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spacing w:beforeLines="0" w:afterLines="0"/>
        <w:ind w:firstLine="0" w:firstLineChars="0"/>
        <w:rPr>
          <w:snapToGrid w:val="0"/>
          <w:color w:val="auto"/>
        </w:rPr>
      </w:pPr>
      <w:r>
        <w:rPr>
          <w:rFonts w:hint="eastAsia"/>
          <w:snapToGrid w:val="0"/>
          <w:color w:val="auto"/>
        </w:rPr>
        <w:t xml:space="preserve"> </w:t>
      </w:r>
    </w:p>
    <w:p>
      <w:pPr>
        <w:pStyle w:val="51"/>
        <w:spacing w:beforeLines="0" w:afterLines="0"/>
        <w:ind w:firstLine="0" w:firstLineChars="0"/>
        <w:rPr>
          <w:snapToGrid w:val="0"/>
          <w:color w:val="auto"/>
        </w:rPr>
      </w:pPr>
    </w:p>
    <w:p>
      <w:pPr>
        <w:pStyle w:val="51"/>
        <w:spacing w:beforeLines="0" w:afterLines="0"/>
        <w:ind w:firstLine="0" w:firstLineChars="0"/>
        <w:rPr>
          <w:snapToGrid w:val="0"/>
          <w:color w:val="auto"/>
          <w:sz w:val="160"/>
        </w:rPr>
      </w:pPr>
      <w:r>
        <w:rPr>
          <w:rFonts w:hint="eastAsia"/>
          <w:color w:val="auto"/>
          <w:sz w:val="44"/>
          <w:szCs w:val="36"/>
        </w:rPr>
        <w:t>河巴线通江县涪阳镇活水沟村滑坡应急抢险治理项目</w:t>
      </w:r>
    </w:p>
    <w:p>
      <w:pPr>
        <w:pStyle w:val="51"/>
        <w:spacing w:beforeLines="0" w:afterLines="0"/>
        <w:ind w:firstLine="0" w:firstLineChars="0"/>
        <w:rPr>
          <w:snapToGrid w:val="0"/>
          <w:color w:val="auto"/>
        </w:rPr>
      </w:pPr>
    </w:p>
    <w:p>
      <w:pPr>
        <w:pStyle w:val="51"/>
        <w:spacing w:beforeLines="0" w:afterLines="0"/>
        <w:ind w:firstLine="0" w:firstLineChars="0"/>
        <w:rPr>
          <w:snapToGrid w:val="0"/>
          <w:color w:val="auto"/>
        </w:rPr>
      </w:pPr>
    </w:p>
    <w:p>
      <w:pPr>
        <w:pStyle w:val="51"/>
        <w:spacing w:before="312" w:after="312"/>
        <w:ind w:firstLine="0" w:firstLineChars="0"/>
        <w:rPr>
          <w:color w:val="auto"/>
          <w:sz w:val="90"/>
          <w:szCs w:val="90"/>
        </w:rPr>
      </w:pPr>
      <w:r>
        <w:rPr>
          <w:color w:val="auto"/>
          <w:sz w:val="90"/>
          <w:szCs w:val="90"/>
        </w:rPr>
        <w:t>环境影响报告书</w:t>
      </w:r>
    </w:p>
    <w:p>
      <w:pPr>
        <w:pStyle w:val="51"/>
        <w:spacing w:beforeLines="0" w:afterLines="0"/>
        <w:ind w:firstLine="0" w:firstLineChars="0"/>
        <w:rPr>
          <w:snapToGrid w:val="0"/>
          <w:color w:val="auto"/>
        </w:rPr>
      </w:pPr>
      <w:r>
        <w:rPr>
          <w:snapToGrid w:val="0"/>
          <w:color w:val="auto"/>
        </w:rPr>
        <w:t>（</w:t>
      </w:r>
      <w:r>
        <w:rPr>
          <w:rFonts w:hint="eastAsia"/>
          <w:snapToGrid w:val="0"/>
          <w:color w:val="auto"/>
        </w:rPr>
        <w:t>公示本</w:t>
      </w:r>
      <w:r>
        <w:rPr>
          <w:snapToGrid w:val="0"/>
          <w:color w:val="auto"/>
        </w:rPr>
        <w:t>）</w:t>
      </w:r>
    </w:p>
    <w:p>
      <w:pPr>
        <w:pStyle w:val="51"/>
        <w:spacing w:before="312" w:after="312"/>
        <w:ind w:firstLine="0" w:firstLineChars="0"/>
        <w:rPr>
          <w:color w:val="auto"/>
          <w:sz w:val="32"/>
        </w:rPr>
      </w:pPr>
    </w:p>
    <w:p>
      <w:pPr>
        <w:pStyle w:val="51"/>
        <w:spacing w:before="312" w:after="312"/>
        <w:ind w:firstLine="0" w:firstLineChars="0"/>
        <w:rPr>
          <w:color w:val="auto"/>
          <w:sz w:val="32"/>
        </w:rPr>
      </w:pPr>
    </w:p>
    <w:p>
      <w:pPr>
        <w:ind w:firstLine="723"/>
        <w:jc w:val="left"/>
        <w:rPr>
          <w:rFonts w:cs="Times New Roman"/>
          <w:b/>
          <w:sz w:val="36"/>
          <w:szCs w:val="36"/>
        </w:rPr>
      </w:pPr>
      <w:r>
        <w:rPr>
          <w:rFonts w:cs="Times New Roman"/>
          <w:b/>
          <w:kern w:val="0"/>
          <w:sz w:val="36"/>
          <w:szCs w:val="24"/>
        </w:rPr>
        <w:t>建设单位：</w:t>
      </w:r>
      <w:r>
        <w:rPr>
          <w:rFonts w:hint="eastAsia" w:cs="Times New Roman"/>
          <w:b/>
          <w:sz w:val="36"/>
          <w:szCs w:val="36"/>
        </w:rPr>
        <w:t>中国石油化工股份有限公司天然气</w:t>
      </w:r>
    </w:p>
    <w:p>
      <w:pPr>
        <w:ind w:firstLine="2548" w:firstLineChars="705"/>
        <w:rPr>
          <w:rFonts w:cs="Times New Roman"/>
          <w:sz w:val="36"/>
        </w:rPr>
      </w:pPr>
      <w:r>
        <w:rPr>
          <w:rFonts w:hint="eastAsia" w:cs="Times New Roman"/>
          <w:b/>
          <w:sz w:val="36"/>
          <w:szCs w:val="36"/>
        </w:rPr>
        <w:t>分公司四川天然气销售中心</w:t>
      </w:r>
    </w:p>
    <w:p>
      <w:pPr>
        <w:ind w:firstLine="723"/>
        <w:rPr>
          <w:b/>
          <w:sz w:val="36"/>
        </w:rPr>
      </w:pPr>
      <w:r>
        <w:rPr>
          <w:b/>
          <w:sz w:val="36"/>
        </w:rPr>
        <w:t>环评单位：成都中成科创环保科技有限公司</w:t>
      </w:r>
    </w:p>
    <w:p>
      <w:pPr>
        <w:pStyle w:val="51"/>
        <w:spacing w:before="312" w:after="312"/>
        <w:ind w:firstLine="0" w:firstLineChars="0"/>
        <w:rPr>
          <w:color w:val="auto"/>
          <w:sz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color w:val="auto"/>
          <w:sz w:val="36"/>
        </w:rPr>
        <w:t>二〇二</w:t>
      </w:r>
      <w:r>
        <w:rPr>
          <w:rFonts w:hint="eastAsia"/>
          <w:color w:val="auto"/>
          <w:sz w:val="36"/>
        </w:rPr>
        <w:t>二</w:t>
      </w:r>
      <w:r>
        <w:rPr>
          <w:color w:val="auto"/>
          <w:sz w:val="36"/>
        </w:rPr>
        <w:t>年</w:t>
      </w:r>
      <w:r>
        <w:rPr>
          <w:rFonts w:hint="eastAsia"/>
          <w:color w:val="auto"/>
          <w:sz w:val="36"/>
        </w:rPr>
        <w:t>四</w:t>
      </w:r>
      <w:r>
        <w:rPr>
          <w:color w:val="auto"/>
          <w:sz w:val="36"/>
        </w:rPr>
        <w:t>月</w:t>
      </w:r>
    </w:p>
    <w:p>
      <w:pPr>
        <w:pStyle w:val="51"/>
        <w:spacing w:before="312" w:after="312"/>
        <w:ind w:firstLine="0" w:firstLineChars="0"/>
        <w:rPr>
          <w:color w:val="auto"/>
          <w:sz w:val="36"/>
        </w:rPr>
      </w:pPr>
    </w:p>
    <w:p>
      <w:pPr>
        <w:pStyle w:val="51"/>
        <w:spacing w:before="312" w:after="312"/>
        <w:ind w:firstLine="0" w:firstLineChars="0"/>
        <w:rPr>
          <w:color w:val="auto"/>
          <w:sz w:val="36"/>
        </w:rPr>
      </w:pPr>
    </w:p>
    <w:p>
      <w:pPr>
        <w:pStyle w:val="51"/>
        <w:spacing w:before="312" w:after="312"/>
        <w:ind w:firstLine="0" w:firstLineChars="0"/>
        <w:rPr>
          <w:color w:val="auto"/>
          <w:sz w:val="36"/>
        </w:rPr>
      </w:pPr>
    </w:p>
    <w:p>
      <w:pPr>
        <w:pStyle w:val="51"/>
        <w:spacing w:before="312" w:after="312"/>
        <w:ind w:firstLine="0" w:firstLineChars="0"/>
        <w:rPr>
          <w:color w:val="auto"/>
          <w:sz w:val="36"/>
        </w:rPr>
        <w:sectPr>
          <w:pgSz w:w="11906" w:h="16838"/>
          <w:pgMar w:top="1440" w:right="1800" w:bottom="1440" w:left="1800" w:header="851" w:footer="992" w:gutter="0"/>
          <w:cols w:space="425" w:num="1"/>
          <w:docGrid w:type="lines" w:linePitch="312" w:charSpace="0"/>
        </w:sectPr>
      </w:pPr>
    </w:p>
    <w:p>
      <w:pPr>
        <w:pStyle w:val="51"/>
        <w:spacing w:before="312" w:after="312"/>
        <w:ind w:firstLine="0" w:firstLineChars="0"/>
        <w:rPr>
          <w:color w:val="auto"/>
          <w:sz w:val="36"/>
        </w:rPr>
      </w:pPr>
      <w:r>
        <w:rPr>
          <w:color w:val="auto"/>
          <w:sz w:val="36"/>
        </w:rPr>
        <w:t>目  录</w:t>
      </w:r>
      <w:bookmarkStart w:id="0" w:name="_Hlk61390780"/>
    </w:p>
    <w:p>
      <w:pPr>
        <w:pStyle w:val="26"/>
        <w:tabs>
          <w:tab w:val="right" w:leader="dot" w:pos="8296"/>
        </w:tabs>
        <w:rPr>
          <w:rFonts w:asciiTheme="minorHAnsi" w:hAnsiTheme="minorHAnsi" w:eastAsiaTheme="minorEastAsia"/>
          <w:b w:val="0"/>
          <w:sz w:val="21"/>
          <w:szCs w:val="22"/>
        </w:rPr>
      </w:pPr>
      <w:bookmarkStart w:id="1" w:name="_Hlk61444278"/>
      <w:r>
        <w:rPr>
          <w:rFonts w:cs="Times New Roman"/>
          <w:sz w:val="36"/>
        </w:rPr>
        <w:fldChar w:fldCharType="begin"/>
      </w:r>
      <w:r>
        <w:rPr>
          <w:rFonts w:cs="Times New Roman"/>
          <w:sz w:val="36"/>
        </w:rPr>
        <w:instrText xml:space="preserve"> TOC \o "1-3" \h \z \u </w:instrText>
      </w:r>
      <w:r>
        <w:rPr>
          <w:rFonts w:cs="Times New Roman"/>
          <w:sz w:val="36"/>
        </w:rPr>
        <w:fldChar w:fldCharType="separate"/>
      </w:r>
      <w:r>
        <w:fldChar w:fldCharType="begin"/>
      </w:r>
      <w:r>
        <w:instrText xml:space="preserve"> HYPERLINK \l "_Toc96680593" </w:instrText>
      </w:r>
      <w:r>
        <w:fldChar w:fldCharType="separate"/>
      </w:r>
      <w:r>
        <w:rPr>
          <w:rStyle w:val="41"/>
          <w:color w:val="auto"/>
        </w:rPr>
        <w:t>前  言</w:t>
      </w:r>
      <w:r>
        <w:tab/>
      </w:r>
      <w:r>
        <w:fldChar w:fldCharType="begin"/>
      </w:r>
      <w:r>
        <w:instrText xml:space="preserve"> PAGEREF _Toc96680593 \h </w:instrText>
      </w:r>
      <w:r>
        <w:fldChar w:fldCharType="separate"/>
      </w:r>
      <w:r>
        <w:t>1</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"_Toc96680594" </w:instrText>
      </w:r>
      <w:r>
        <w:fldChar w:fldCharType="separate"/>
      </w:r>
      <w:r>
        <w:rPr>
          <w:rStyle w:val="41"/>
          <w:color w:val="auto"/>
        </w:rPr>
        <w:t>1 总 则</w:t>
      </w:r>
      <w:r>
        <w:tab/>
      </w:r>
      <w:r>
        <w:fldChar w:fldCharType="begin"/>
      </w:r>
      <w:r>
        <w:instrText xml:space="preserve"> PAGEREF _Toc96680594 \h </w:instrText>
      </w:r>
      <w:r>
        <w:fldChar w:fldCharType="separate"/>
      </w:r>
      <w:r>
        <w:t>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"_Toc96680595" </w:instrText>
      </w:r>
      <w:r>
        <w:fldChar w:fldCharType="separate"/>
      </w:r>
      <w:r>
        <w:rPr>
          <w:rStyle w:val="41"/>
          <w:rFonts w:cs="Times New Roman"/>
          <w:color w:val="auto"/>
          <w14:scene3d>
            <w14:lightRig w14:rig="threePt" w14:dir="t">
              <w14:rot w14:lat="0" w14:lon="0" w14:rev="0"/>
            </w14:lightRig>
          </w14:scene3d>
        </w:rPr>
        <w:t>1.1</w:t>
      </w:r>
      <w:r>
        <w:rPr>
          <w:rStyle w:val="41"/>
          <w:rFonts w:cs="Times New Roman"/>
          <w:color w:val="auto"/>
        </w:rPr>
        <w:t xml:space="preserve"> 编制依据</w:t>
      </w:r>
      <w:r>
        <w:tab/>
      </w:r>
      <w:r>
        <w:fldChar w:fldCharType="begin"/>
      </w:r>
      <w:r>
        <w:instrText xml:space="preserve"> PAGEREF _Toc96680595 \h </w:instrText>
      </w:r>
      <w:r>
        <w:fldChar w:fldCharType="separate"/>
      </w:r>
      <w:r>
        <w:t>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"_Toc96680596" </w:instrText>
      </w:r>
      <w:r>
        <w:fldChar w:fldCharType="separate"/>
      </w:r>
      <w:r>
        <w:rPr>
          <w:rStyle w:val="41"/>
          <w:rFonts w:cs="Times New Roman"/>
          <w:color w:val="auto"/>
          <w14:scene3d>
            <w14:lightRig w14:rig="threePt" w14:dir="t">
              <w14:rot w14:lat="0" w14:lon="0" w14:rev="0"/>
            </w14:lightRig>
          </w14:scene3d>
        </w:rPr>
        <w:t>1.1.1</w:t>
      </w:r>
      <w:r>
        <w:rPr>
          <w:rStyle w:val="41"/>
          <w:rFonts w:cs="Times New Roman"/>
          <w:color w:val="auto"/>
        </w:rPr>
        <w:t xml:space="preserve"> 国家环保法律法规及规章文件</w:t>
      </w:r>
      <w:r>
        <w:tab/>
      </w:r>
      <w:r>
        <w:fldChar w:fldCharType="begin"/>
      </w:r>
      <w:r>
        <w:instrText xml:space="preserve"> PAGEREF _Toc96680596 \h </w:instrText>
      </w:r>
      <w:r>
        <w:fldChar w:fldCharType="separate"/>
      </w:r>
      <w:r>
        <w:t>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"_Toc96680597" </w:instrText>
      </w:r>
      <w:r>
        <w:fldChar w:fldCharType="separate"/>
      </w:r>
      <w:r>
        <w:rPr>
          <w:rStyle w:val="41"/>
          <w:rFonts w:cs="Times New Roman"/>
          <w:color w:val="auto"/>
          <w14:scene3d>
            <w14:lightRig w14:rig="threePt" w14:dir="t">
              <w14:rot w14:lat="0" w14:lon="0" w14:rev="0"/>
            </w14:lightRig>
          </w14:scene3d>
        </w:rPr>
        <w:t>1.1.2</w:t>
      </w:r>
      <w:r>
        <w:rPr>
          <w:rStyle w:val="41"/>
          <w:rFonts w:cs="Times New Roman"/>
          <w:color w:val="auto"/>
        </w:rPr>
        <w:t xml:space="preserve"> 地方有关法律、法规及规章文件</w:t>
      </w:r>
      <w:r>
        <w:tab/>
      </w:r>
      <w:r>
        <w:fldChar w:fldCharType="begin"/>
      </w:r>
      <w:r>
        <w:instrText xml:space="preserve"> PAGEREF _Toc96680597 \h </w:instrText>
      </w:r>
      <w:r>
        <w:fldChar w:fldCharType="separate"/>
      </w:r>
      <w:r>
        <w:t>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"_Toc96680598" </w:instrText>
      </w:r>
      <w:r>
        <w:fldChar w:fldCharType="separate"/>
      </w:r>
      <w:r>
        <w:rPr>
          <w:rStyle w:val="41"/>
          <w:rFonts w:cs="Times New Roman"/>
          <w:color w:val="auto"/>
          <w14:scene3d>
            <w14:lightRig w14:rig="threePt" w14:dir="t">
              <w14:rot w14:lat="0" w14:lon="0" w14:rev="0"/>
            </w14:lightRig>
          </w14:scene3d>
        </w:rPr>
        <w:t>1.1.3</w:t>
      </w:r>
      <w:r>
        <w:rPr>
          <w:rStyle w:val="41"/>
          <w:rFonts w:cs="Times New Roman"/>
          <w:color w:val="auto"/>
        </w:rPr>
        <w:t xml:space="preserve"> 环境影响评价技术规范</w:t>
      </w:r>
      <w:r>
        <w:tab/>
      </w:r>
      <w:r>
        <w:fldChar w:fldCharType="begin"/>
      </w:r>
      <w:r>
        <w:instrText xml:space="preserve"> PAGEREF _Toc96680598 \h </w:instrText>
      </w:r>
      <w:r>
        <w:fldChar w:fldCharType="separate"/>
      </w:r>
      <w:r>
        <w:t>10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"_Toc96680599" </w:instrText>
      </w:r>
      <w:r>
        <w:fldChar w:fldCharType="separate"/>
      </w:r>
      <w:r>
        <w:rPr>
          <w:rStyle w:val="41"/>
          <w:rFonts w:cs="Times New Roman"/>
          <w:color w:val="auto"/>
          <w14:scene3d>
            <w14:lightRig w14:rig="threePt" w14:dir="t">
              <w14:rot w14:lat="0" w14:lon="0" w14:rev="0"/>
            </w14:lightRig>
          </w14:scene3d>
        </w:rPr>
        <w:t>1.1.4</w:t>
      </w:r>
      <w:r>
        <w:rPr>
          <w:rStyle w:val="41"/>
          <w:rFonts w:cs="Times New Roman"/>
          <w:color w:val="auto"/>
        </w:rPr>
        <w:t xml:space="preserve"> 石油天然气行业技术规范</w:t>
      </w:r>
      <w:r>
        <w:tab/>
      </w:r>
      <w:r>
        <w:fldChar w:fldCharType="begin"/>
      </w:r>
      <w:r>
        <w:instrText xml:space="preserve"> PAGEREF _Toc96680599 \h </w:instrText>
      </w:r>
      <w:r>
        <w:fldChar w:fldCharType="separate"/>
      </w:r>
      <w:r>
        <w:t>10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"_Toc96680600" </w:instrText>
      </w:r>
      <w:r>
        <w:fldChar w:fldCharType="separate"/>
      </w:r>
      <w:r>
        <w:rPr>
          <w:rStyle w:val="41"/>
          <w:rFonts w:cs="Times New Roman"/>
          <w:color w:val="auto"/>
          <w14:scene3d>
            <w14:lightRig w14:rig="threePt" w14:dir="t">
              <w14:rot w14:lat="0" w14:lon="0" w14:rev="0"/>
            </w14:lightRig>
          </w14:scene3d>
        </w:rPr>
        <w:t>1.1.5</w:t>
      </w:r>
      <w:r>
        <w:rPr>
          <w:rStyle w:val="41"/>
          <w:rFonts w:cs="Times New Roman"/>
          <w:color w:val="auto"/>
        </w:rPr>
        <w:t xml:space="preserve"> 相关标准</w:t>
      </w:r>
      <w:r>
        <w:tab/>
      </w:r>
      <w:r>
        <w:fldChar w:fldCharType="begin"/>
      </w:r>
      <w:r>
        <w:instrText xml:space="preserve"> PAGEREF _Toc96680600 \h </w:instrText>
      </w:r>
      <w:r>
        <w:fldChar w:fldCharType="separate"/>
      </w:r>
      <w:r>
        <w:t>11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"_Toc96680601" </w:instrText>
      </w:r>
      <w:r>
        <w:fldChar w:fldCharType="separate"/>
      </w:r>
      <w:r>
        <w:rPr>
          <w:rStyle w:val="41"/>
          <w:rFonts w:cs="Times New Roman"/>
          <w:color w:val="auto"/>
          <w14:scene3d>
            <w14:lightRig w14:rig="threePt" w14:dir="t">
              <w14:rot w14:lat="0" w14:lon="0" w14:rev="0"/>
            </w14:lightRig>
          </w14:scene3d>
        </w:rPr>
        <w:t>1.1.6</w:t>
      </w:r>
      <w:r>
        <w:rPr>
          <w:rStyle w:val="41"/>
          <w:rFonts w:cs="Times New Roman"/>
          <w:color w:val="auto"/>
        </w:rPr>
        <w:t xml:space="preserve"> 有关规划资料</w:t>
      </w:r>
      <w:r>
        <w:tab/>
      </w:r>
      <w:r>
        <w:fldChar w:fldCharType="begin"/>
      </w:r>
      <w:r>
        <w:instrText xml:space="preserve"> PAGEREF _Toc96680601 \h </w:instrText>
      </w:r>
      <w:r>
        <w:fldChar w:fldCharType="separate"/>
      </w:r>
      <w:r>
        <w:t>11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"_Toc96680602" </w:instrText>
      </w:r>
      <w:r>
        <w:fldChar w:fldCharType="separate"/>
      </w:r>
      <w:r>
        <w:rPr>
          <w:rStyle w:val="41"/>
          <w:color w:val="auto"/>
          <w14:scene3d>
            <w14:lightRig w14:rig="threePt" w14:dir="t">
              <w14:rot w14:lat="0" w14:lon="0" w14:rev="0"/>
            </w14:lightRig>
          </w14:scene3d>
        </w:rPr>
        <w:t>1.1.7</w:t>
      </w:r>
      <w:r>
        <w:rPr>
          <w:rStyle w:val="41"/>
          <w:color w:val="auto"/>
        </w:rPr>
        <w:t xml:space="preserve"> 其它相关资料</w:t>
      </w:r>
      <w:r>
        <w:tab/>
      </w:r>
      <w:r>
        <w:fldChar w:fldCharType="begin"/>
      </w:r>
      <w:r>
        <w:instrText xml:space="preserve"> PAGEREF _Toc96680602 \h </w:instrText>
      </w:r>
      <w:r>
        <w:fldChar w:fldCharType="separate"/>
      </w:r>
      <w:r>
        <w:t>12</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"_Toc96680603" </w:instrText>
      </w:r>
      <w:r>
        <w:fldChar w:fldCharType="separate"/>
      </w:r>
      <w:r>
        <w:rPr>
          <w:rStyle w:val="41"/>
          <w:rFonts w:cs="Times New Roman"/>
          <w:color w:val="auto"/>
          <w14:scene3d>
            <w14:lightRig w14:rig="threePt" w14:dir="t">
              <w14:rot w14:lat="0" w14:lon="0" w14:rev="0"/>
            </w14:lightRig>
          </w14:scene3d>
        </w:rPr>
        <w:t>1.2</w:t>
      </w:r>
      <w:r>
        <w:rPr>
          <w:rStyle w:val="41"/>
          <w:rFonts w:cs="Times New Roman"/>
          <w:color w:val="auto"/>
        </w:rPr>
        <w:t xml:space="preserve"> 评价时段、内容和重点</w:t>
      </w:r>
      <w:r>
        <w:tab/>
      </w:r>
      <w:r>
        <w:fldChar w:fldCharType="begin"/>
      </w:r>
      <w:r>
        <w:instrText xml:space="preserve"> PAGEREF _Toc96680603 \h </w:instrText>
      </w:r>
      <w:r>
        <w:fldChar w:fldCharType="separate"/>
      </w:r>
      <w:r>
        <w:t>12</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"_Toc96680604" </w:instrText>
      </w:r>
      <w:r>
        <w:fldChar w:fldCharType="separate"/>
      </w:r>
      <w:r>
        <w:rPr>
          <w:rStyle w:val="41"/>
          <w:rFonts w:cs="Times New Roman"/>
          <w:color w:val="auto"/>
          <w14:scene3d>
            <w14:lightRig w14:rig="threePt" w14:dir="t">
              <w14:rot w14:lat="0" w14:lon="0" w14:rev="0"/>
            </w14:lightRig>
          </w14:scene3d>
        </w:rPr>
        <w:t>1.3</w:t>
      </w:r>
      <w:r>
        <w:rPr>
          <w:rStyle w:val="41"/>
          <w:rFonts w:cs="Times New Roman"/>
          <w:color w:val="auto"/>
        </w:rPr>
        <w:t xml:space="preserve"> 环境功能区划与评价标准</w:t>
      </w:r>
      <w:r>
        <w:tab/>
      </w:r>
      <w:r>
        <w:fldChar w:fldCharType="begin"/>
      </w:r>
      <w:r>
        <w:instrText xml:space="preserve"> PAGEREF _Toc96680604 \h </w:instrText>
      </w:r>
      <w:r>
        <w:fldChar w:fldCharType="separate"/>
      </w:r>
      <w:r>
        <w:t>13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"_Toc96680605" </w:instrText>
      </w:r>
      <w:r>
        <w:fldChar w:fldCharType="separate"/>
      </w:r>
      <w:r>
        <w:rPr>
          <w:rStyle w:val="41"/>
          <w:rFonts w:cs="Times New Roman"/>
          <w:color w:val="auto"/>
          <w14:scene3d>
            <w14:lightRig w14:rig="threePt" w14:dir="t">
              <w14:rot w14:lat="0" w14:lon="0" w14:rev="0"/>
            </w14:lightRig>
          </w14:scene3d>
        </w:rPr>
        <w:t>1.3.1</w:t>
      </w:r>
      <w:r>
        <w:rPr>
          <w:rStyle w:val="41"/>
          <w:rFonts w:cs="Times New Roman"/>
          <w:color w:val="auto"/>
        </w:rPr>
        <w:t xml:space="preserve"> 环境功能区划</w:t>
      </w:r>
      <w:r>
        <w:tab/>
      </w:r>
      <w:r>
        <w:fldChar w:fldCharType="begin"/>
      </w:r>
      <w:r>
        <w:instrText xml:space="preserve"> PAGEREF _Toc96680605 \h </w:instrText>
      </w:r>
      <w:r>
        <w:fldChar w:fldCharType="separate"/>
      </w:r>
      <w:r>
        <w:t>13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"_Toc96680606" </w:instrText>
      </w:r>
      <w:r>
        <w:fldChar w:fldCharType="separate"/>
      </w:r>
      <w:r>
        <w:rPr>
          <w:rStyle w:val="41"/>
          <w:rFonts w:cs="Times New Roman"/>
          <w:color w:val="auto"/>
          <w14:scene3d>
            <w14:lightRig w14:rig="threePt" w14:dir="t">
              <w14:rot w14:lat="0" w14:lon="0" w14:rev="0"/>
            </w14:lightRig>
          </w14:scene3d>
        </w:rPr>
        <w:t>1.3.2</w:t>
      </w:r>
      <w:r>
        <w:rPr>
          <w:rStyle w:val="41"/>
          <w:rFonts w:cs="Times New Roman"/>
          <w:color w:val="auto"/>
        </w:rPr>
        <w:t xml:space="preserve"> 评价标准</w:t>
      </w:r>
      <w:r>
        <w:tab/>
      </w:r>
      <w:r>
        <w:fldChar w:fldCharType="begin"/>
      </w:r>
      <w:r>
        <w:instrText xml:space="preserve"> PAGEREF _Toc96680606 \h </w:instrText>
      </w:r>
      <w:r>
        <w:fldChar w:fldCharType="separate"/>
      </w:r>
      <w:r>
        <w:t>14</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"_Toc96680607" </w:instrText>
      </w:r>
      <w:r>
        <w:fldChar w:fldCharType="separate"/>
      </w:r>
      <w:r>
        <w:rPr>
          <w:rStyle w:val="41"/>
          <w:color w:val="auto"/>
          <w14:scene3d>
            <w14:lightRig w14:rig="threePt" w14:dir="t">
              <w14:rot w14:lat="0" w14:lon="0" w14:rev="0"/>
            </w14:lightRig>
          </w14:scene3d>
        </w:rPr>
        <w:t>1.4</w:t>
      </w:r>
      <w:r>
        <w:rPr>
          <w:rStyle w:val="41"/>
          <w:color w:val="auto"/>
        </w:rPr>
        <w:t xml:space="preserve"> 产业政策及其他相关政策符合性分析</w:t>
      </w:r>
      <w:r>
        <w:tab/>
      </w:r>
      <w:r>
        <w:fldChar w:fldCharType="begin"/>
      </w:r>
      <w:r>
        <w:instrText xml:space="preserve"> PAGEREF _Toc96680607 \h </w:instrText>
      </w:r>
      <w:r>
        <w:fldChar w:fldCharType="separate"/>
      </w:r>
      <w:r>
        <w:t>16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"_Toc96680608" </w:instrText>
      </w:r>
      <w:r>
        <w:fldChar w:fldCharType="separate"/>
      </w:r>
      <w:r>
        <w:rPr>
          <w:rStyle w:val="41"/>
          <w:rFonts w:cs="Times New Roman"/>
          <w:color w:val="auto"/>
          <w14:scene3d>
            <w14:lightRig w14:rig="threePt" w14:dir="t">
              <w14:rot w14:lat="0" w14:lon="0" w14:rev="0"/>
            </w14:lightRig>
          </w14:scene3d>
        </w:rPr>
        <w:t>1.4.1</w:t>
      </w:r>
      <w:r>
        <w:rPr>
          <w:rStyle w:val="41"/>
          <w:rFonts w:cs="Times New Roman"/>
          <w:color w:val="auto"/>
        </w:rPr>
        <w:t xml:space="preserve"> 产业政策符合性分析</w:t>
      </w:r>
      <w:r>
        <w:tab/>
      </w:r>
      <w:r>
        <w:fldChar w:fldCharType="begin"/>
      </w:r>
      <w:r>
        <w:instrText xml:space="preserve"> PAGEREF _Toc96680608 \h </w:instrText>
      </w:r>
      <w:r>
        <w:fldChar w:fldCharType="separate"/>
      </w:r>
      <w:r>
        <w:t>16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"_Toc96680609" </w:instrText>
      </w:r>
      <w:r>
        <w:fldChar w:fldCharType="separate"/>
      </w:r>
      <w:r>
        <w:rPr>
          <w:rStyle w:val="41"/>
          <w:rFonts w:cs="Times New Roman"/>
          <w:color w:val="auto"/>
          <w14:scene3d>
            <w14:lightRig w14:rig="threePt" w14:dir="t">
              <w14:rot w14:lat="0" w14:lon="0" w14:rev="0"/>
            </w14:lightRig>
          </w14:scene3d>
        </w:rPr>
        <w:t>1.4.2</w:t>
      </w:r>
      <w:r>
        <w:rPr>
          <w:rStyle w:val="41"/>
          <w:rFonts w:cs="Times New Roman"/>
          <w:color w:val="auto"/>
        </w:rPr>
        <w:t xml:space="preserve"> 规划及相关政策符合性分析</w:t>
      </w:r>
      <w:r>
        <w:tab/>
      </w:r>
      <w:r>
        <w:fldChar w:fldCharType="begin"/>
      </w:r>
      <w:r>
        <w:instrText xml:space="preserve"> PAGEREF _Toc96680609 \h </w:instrText>
      </w:r>
      <w:r>
        <w:fldChar w:fldCharType="separate"/>
      </w:r>
      <w:r>
        <w:t>17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"_Toc96680610" </w:instrText>
      </w:r>
      <w:r>
        <w:fldChar w:fldCharType="separate"/>
      </w:r>
      <w:r>
        <w:rPr>
          <w:rStyle w:val="41"/>
          <w:rFonts w:cs="Times New Roman"/>
          <w:color w:val="auto"/>
          <w14:scene3d>
            <w14:lightRig w14:rig="threePt" w14:dir="t">
              <w14:rot w14:lat="0" w14:lon="0" w14:rev="0"/>
            </w14:lightRig>
          </w14:scene3d>
        </w:rPr>
        <w:t>1.5</w:t>
      </w:r>
      <w:r>
        <w:rPr>
          <w:rStyle w:val="41"/>
          <w:rFonts w:cs="Times New Roman"/>
          <w:color w:val="auto"/>
        </w:rPr>
        <w:t xml:space="preserve"> 环境影响因素识别和评价因子筛选</w:t>
      </w:r>
      <w:r>
        <w:tab/>
      </w:r>
      <w:r>
        <w:fldChar w:fldCharType="begin"/>
      </w:r>
      <w:r>
        <w:instrText xml:space="preserve"> PAGEREF _Toc96680610 \h </w:instrText>
      </w:r>
      <w:r>
        <w:fldChar w:fldCharType="separate"/>
      </w:r>
      <w:r>
        <w:t>30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"_Toc96680611" </w:instrText>
      </w:r>
      <w:r>
        <w:fldChar w:fldCharType="separate"/>
      </w:r>
      <w:r>
        <w:rPr>
          <w:rStyle w:val="41"/>
          <w:rFonts w:cs="Times New Roman"/>
          <w:color w:val="auto"/>
          <w14:scene3d>
            <w14:lightRig w14:rig="threePt" w14:dir="t">
              <w14:rot w14:lat="0" w14:lon="0" w14:rev="0"/>
            </w14:lightRig>
          </w14:scene3d>
        </w:rPr>
        <w:t>1.5.1</w:t>
      </w:r>
      <w:r>
        <w:rPr>
          <w:rStyle w:val="41"/>
          <w:rFonts w:cs="Times New Roman"/>
          <w:color w:val="auto"/>
        </w:rPr>
        <w:t xml:space="preserve"> 环境影响因素分析</w:t>
      </w:r>
      <w:r>
        <w:tab/>
      </w:r>
      <w:r>
        <w:fldChar w:fldCharType="begin"/>
      </w:r>
      <w:r>
        <w:instrText xml:space="preserve"> PAGEREF _Toc96680611 \h </w:instrText>
      </w:r>
      <w:r>
        <w:fldChar w:fldCharType="separate"/>
      </w:r>
      <w:r>
        <w:t>30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"_Toc96680612" </w:instrText>
      </w:r>
      <w:r>
        <w:fldChar w:fldCharType="separate"/>
      </w:r>
      <w:r>
        <w:rPr>
          <w:rStyle w:val="41"/>
          <w:rFonts w:cs="Times New Roman"/>
          <w:color w:val="auto"/>
          <w14:scene3d>
            <w14:lightRig w14:rig="threePt" w14:dir="t">
              <w14:rot w14:lat="0" w14:lon="0" w14:rev="0"/>
            </w14:lightRig>
          </w14:scene3d>
        </w:rPr>
        <w:t>1.5.2</w:t>
      </w:r>
      <w:r>
        <w:rPr>
          <w:rStyle w:val="41"/>
          <w:rFonts w:cs="Times New Roman"/>
          <w:color w:val="auto"/>
        </w:rPr>
        <w:t xml:space="preserve"> 环境影响因素识别和筛选</w:t>
      </w:r>
      <w:r>
        <w:tab/>
      </w:r>
      <w:r>
        <w:fldChar w:fldCharType="begin"/>
      </w:r>
      <w:r>
        <w:instrText xml:space="preserve"> PAGEREF _Toc96680612 \h </w:instrText>
      </w:r>
      <w:r>
        <w:fldChar w:fldCharType="separate"/>
      </w:r>
      <w:r>
        <w:t>31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"_Toc96680613" </w:instrText>
      </w:r>
      <w:r>
        <w:fldChar w:fldCharType="separate"/>
      </w:r>
      <w:r>
        <w:rPr>
          <w:rStyle w:val="41"/>
          <w:rFonts w:cs="Times New Roman"/>
          <w:color w:val="auto"/>
          <w14:scene3d>
            <w14:lightRig w14:rig="threePt" w14:dir="t">
              <w14:rot w14:lat="0" w14:lon="0" w14:rev="0"/>
            </w14:lightRig>
          </w14:scene3d>
        </w:rPr>
        <w:t>1.5.3</w:t>
      </w:r>
      <w:r>
        <w:rPr>
          <w:rStyle w:val="41"/>
          <w:rFonts w:cs="Times New Roman"/>
          <w:color w:val="auto"/>
        </w:rPr>
        <w:t xml:space="preserve"> 评价因子筛选</w:t>
      </w:r>
      <w:r>
        <w:tab/>
      </w:r>
      <w:r>
        <w:fldChar w:fldCharType="begin"/>
      </w:r>
      <w:r>
        <w:instrText xml:space="preserve"> PAGEREF _Toc96680613 \h </w:instrText>
      </w:r>
      <w:r>
        <w:fldChar w:fldCharType="separate"/>
      </w:r>
      <w:r>
        <w:t>32</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"_Toc96680614" </w:instrText>
      </w:r>
      <w:r>
        <w:fldChar w:fldCharType="separate"/>
      </w:r>
      <w:r>
        <w:rPr>
          <w:rStyle w:val="41"/>
          <w:rFonts w:cs="Times New Roman"/>
          <w:color w:val="auto"/>
          <w14:scene3d>
            <w14:lightRig w14:rig="threePt" w14:dir="t">
              <w14:rot w14:lat="0" w14:lon="0" w14:rev="0"/>
            </w14:lightRig>
          </w14:scene3d>
        </w:rPr>
        <w:t>1.6</w:t>
      </w:r>
      <w:r>
        <w:rPr>
          <w:rStyle w:val="41"/>
          <w:rFonts w:cs="Times New Roman"/>
          <w:color w:val="auto"/>
        </w:rPr>
        <w:t xml:space="preserve"> 评价工作等级和评价范围</w:t>
      </w:r>
      <w:r>
        <w:tab/>
      </w:r>
      <w:r>
        <w:fldChar w:fldCharType="begin"/>
      </w:r>
      <w:r>
        <w:instrText xml:space="preserve"> PAGEREF _Toc96680614 \h </w:instrText>
      </w:r>
      <w:r>
        <w:fldChar w:fldCharType="separate"/>
      </w:r>
      <w:r>
        <w:t>33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"_Toc96680615" </w:instrText>
      </w:r>
      <w:r>
        <w:fldChar w:fldCharType="separate"/>
      </w:r>
      <w:r>
        <w:rPr>
          <w:rStyle w:val="41"/>
          <w:rFonts w:cs="Times New Roman"/>
          <w:color w:val="auto"/>
          <w14:scene3d>
            <w14:lightRig w14:rig="threePt" w14:dir="t">
              <w14:rot w14:lat="0" w14:lon="0" w14:rev="0"/>
            </w14:lightRig>
          </w14:scene3d>
        </w:rPr>
        <w:t>1.6.1</w:t>
      </w:r>
      <w:r>
        <w:rPr>
          <w:rStyle w:val="41"/>
          <w:rFonts w:cs="Times New Roman"/>
          <w:color w:val="auto"/>
        </w:rPr>
        <w:t xml:space="preserve"> 大气环境</w:t>
      </w:r>
      <w:r>
        <w:tab/>
      </w:r>
      <w:r>
        <w:fldChar w:fldCharType="begin"/>
      </w:r>
      <w:r>
        <w:instrText xml:space="preserve"> PAGEREF _Toc96680615 \h </w:instrText>
      </w:r>
      <w:r>
        <w:fldChar w:fldCharType="separate"/>
      </w:r>
      <w:r>
        <w:t>33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"_Toc96680616" </w:instrText>
      </w:r>
      <w:r>
        <w:fldChar w:fldCharType="separate"/>
      </w:r>
      <w:r>
        <w:rPr>
          <w:rStyle w:val="41"/>
          <w:rFonts w:cs="Times New Roman"/>
          <w:color w:val="auto"/>
          <w14:scene3d>
            <w14:lightRig w14:rig="threePt" w14:dir="t">
              <w14:rot w14:lat="0" w14:lon="0" w14:rev="0"/>
            </w14:lightRig>
          </w14:scene3d>
        </w:rPr>
        <w:t>1.6.2</w:t>
      </w:r>
      <w:r>
        <w:rPr>
          <w:rStyle w:val="41"/>
          <w:rFonts w:cs="Times New Roman"/>
          <w:color w:val="auto"/>
        </w:rPr>
        <w:t xml:space="preserve"> 地表水环境</w:t>
      </w:r>
      <w:r>
        <w:tab/>
      </w:r>
      <w:r>
        <w:fldChar w:fldCharType="begin"/>
      </w:r>
      <w:r>
        <w:instrText xml:space="preserve"> PAGEREF _Toc96680616 \h </w:instrText>
      </w:r>
      <w:r>
        <w:fldChar w:fldCharType="separate"/>
      </w:r>
      <w:r>
        <w:t>33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"_Toc96680617" </w:instrText>
      </w:r>
      <w:r>
        <w:fldChar w:fldCharType="separate"/>
      </w:r>
      <w:r>
        <w:rPr>
          <w:rStyle w:val="41"/>
          <w:rFonts w:cs="Times New Roman"/>
          <w:color w:val="auto"/>
          <w14:scene3d>
            <w14:lightRig w14:rig="threePt" w14:dir="t">
              <w14:rot w14:lat="0" w14:lon="0" w14:rev="0"/>
            </w14:lightRig>
          </w14:scene3d>
        </w:rPr>
        <w:t>1.6.3</w:t>
      </w:r>
      <w:r>
        <w:rPr>
          <w:rStyle w:val="41"/>
          <w:rFonts w:cs="Times New Roman"/>
          <w:color w:val="auto"/>
        </w:rPr>
        <w:t xml:space="preserve"> 地下水环境</w:t>
      </w:r>
      <w:r>
        <w:tab/>
      </w:r>
      <w:r>
        <w:fldChar w:fldCharType="begin"/>
      </w:r>
      <w:r>
        <w:instrText xml:space="preserve"> PAGEREF _Toc96680617 \h </w:instrText>
      </w:r>
      <w:r>
        <w:fldChar w:fldCharType="separate"/>
      </w:r>
      <w:r>
        <w:t>34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"_Toc96680618" </w:instrText>
      </w:r>
      <w:r>
        <w:fldChar w:fldCharType="separate"/>
      </w:r>
      <w:r>
        <w:rPr>
          <w:rStyle w:val="41"/>
          <w:rFonts w:cs="Times New Roman"/>
          <w:color w:val="auto"/>
          <w14:scene3d>
            <w14:lightRig w14:rig="threePt" w14:dir="t">
              <w14:rot w14:lat="0" w14:lon="0" w14:rev="0"/>
            </w14:lightRig>
          </w14:scene3d>
        </w:rPr>
        <w:t>1.6.4</w:t>
      </w:r>
      <w:r>
        <w:rPr>
          <w:rStyle w:val="41"/>
          <w:rFonts w:cs="Times New Roman"/>
          <w:color w:val="auto"/>
        </w:rPr>
        <w:t xml:space="preserve"> 声环境</w:t>
      </w:r>
      <w:r>
        <w:tab/>
      </w:r>
      <w:r>
        <w:fldChar w:fldCharType="begin"/>
      </w:r>
      <w:r>
        <w:instrText xml:space="preserve"> PAGEREF _Toc96680618 \h </w:instrText>
      </w:r>
      <w:r>
        <w:fldChar w:fldCharType="separate"/>
      </w:r>
      <w:r>
        <w:t>36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"_Toc96680619" </w:instrText>
      </w:r>
      <w:r>
        <w:fldChar w:fldCharType="separate"/>
      </w:r>
      <w:r>
        <w:rPr>
          <w:rStyle w:val="41"/>
          <w:rFonts w:cs="Times New Roman"/>
          <w:color w:val="auto"/>
          <w14:scene3d>
            <w14:lightRig w14:rig="threePt" w14:dir="t">
              <w14:rot w14:lat="0" w14:lon="0" w14:rev="0"/>
            </w14:lightRig>
          </w14:scene3d>
        </w:rPr>
        <w:t>1.6.5</w:t>
      </w:r>
      <w:r>
        <w:rPr>
          <w:rStyle w:val="41"/>
          <w:rFonts w:cs="Times New Roman"/>
          <w:color w:val="auto"/>
        </w:rPr>
        <w:t xml:space="preserve"> 土壤环境</w:t>
      </w:r>
      <w:r>
        <w:tab/>
      </w:r>
      <w:r>
        <w:fldChar w:fldCharType="begin"/>
      </w:r>
      <w:r>
        <w:instrText xml:space="preserve"> PAGEREF _Toc96680619 \h </w:instrText>
      </w:r>
      <w:r>
        <w:fldChar w:fldCharType="separate"/>
      </w:r>
      <w:r>
        <w:t>36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"_Toc96680620" </w:instrText>
      </w:r>
      <w:r>
        <w:fldChar w:fldCharType="separate"/>
      </w:r>
      <w:r>
        <w:rPr>
          <w:rStyle w:val="41"/>
          <w:rFonts w:cs="Times New Roman"/>
          <w:color w:val="auto"/>
          <w14:scene3d>
            <w14:lightRig w14:rig="threePt" w14:dir="t">
              <w14:rot w14:lat="0" w14:lon="0" w14:rev="0"/>
            </w14:lightRig>
          </w14:scene3d>
        </w:rPr>
        <w:t>1.6.6</w:t>
      </w:r>
      <w:r>
        <w:rPr>
          <w:rStyle w:val="41"/>
          <w:rFonts w:cs="Times New Roman"/>
          <w:color w:val="auto"/>
        </w:rPr>
        <w:t xml:space="preserve"> 环境风险</w:t>
      </w:r>
      <w:r>
        <w:tab/>
      </w:r>
      <w:r>
        <w:fldChar w:fldCharType="begin"/>
      </w:r>
      <w:r>
        <w:instrText xml:space="preserve"> PAGEREF _Toc96680620 \h </w:instrText>
      </w:r>
      <w:r>
        <w:fldChar w:fldCharType="separate"/>
      </w:r>
      <w:r>
        <w:t>37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"_Toc96680621" </w:instrText>
      </w:r>
      <w:r>
        <w:fldChar w:fldCharType="separate"/>
      </w:r>
      <w:r>
        <w:rPr>
          <w:rStyle w:val="41"/>
          <w:rFonts w:cs="Times New Roman"/>
          <w:color w:val="auto"/>
          <w14:scene3d>
            <w14:lightRig w14:rig="threePt" w14:dir="t">
              <w14:rot w14:lat="0" w14:lon="0" w14:rev="0"/>
            </w14:lightRig>
          </w14:scene3d>
        </w:rPr>
        <w:t>1.6.7</w:t>
      </w:r>
      <w:r>
        <w:rPr>
          <w:rStyle w:val="41"/>
          <w:rFonts w:cs="Times New Roman"/>
          <w:color w:val="auto"/>
        </w:rPr>
        <w:t xml:space="preserve"> 生态环境</w:t>
      </w:r>
      <w:r>
        <w:tab/>
      </w:r>
      <w:r>
        <w:fldChar w:fldCharType="begin"/>
      </w:r>
      <w:r>
        <w:instrText xml:space="preserve"> PAGEREF _Toc96680621 \h </w:instrText>
      </w:r>
      <w:r>
        <w:fldChar w:fldCharType="separate"/>
      </w:r>
      <w:r>
        <w:t>38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"_Toc96680622" </w:instrText>
      </w:r>
      <w:r>
        <w:fldChar w:fldCharType="separate"/>
      </w:r>
      <w:r>
        <w:rPr>
          <w:rStyle w:val="41"/>
          <w:rFonts w:cs="Times New Roman"/>
          <w:color w:val="auto"/>
          <w14:scene3d>
            <w14:lightRig w14:rig="threePt" w14:dir="t">
              <w14:rot w14:lat="0" w14:lon="0" w14:rev="0"/>
            </w14:lightRig>
          </w14:scene3d>
        </w:rPr>
        <w:t>1.7</w:t>
      </w:r>
      <w:r>
        <w:rPr>
          <w:rStyle w:val="41"/>
          <w:rFonts w:cs="Times New Roman"/>
          <w:color w:val="auto"/>
        </w:rPr>
        <w:t xml:space="preserve"> 项目外环境关系</w:t>
      </w:r>
      <w:r>
        <w:tab/>
      </w:r>
      <w:r>
        <w:fldChar w:fldCharType="begin"/>
      </w:r>
      <w:r>
        <w:instrText xml:space="preserve"> PAGEREF _Toc96680622 \h </w:instrText>
      </w:r>
      <w:r>
        <w:fldChar w:fldCharType="separate"/>
      </w:r>
      <w:r>
        <w:t>38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"_Toc96680623" </w:instrText>
      </w:r>
      <w:r>
        <w:fldChar w:fldCharType="separate"/>
      </w:r>
      <w:r>
        <w:rPr>
          <w:rStyle w:val="41"/>
          <w:rFonts w:cs="Times New Roman"/>
          <w:color w:val="auto"/>
          <w14:scene3d>
            <w14:lightRig w14:rig="threePt" w14:dir="t">
              <w14:rot w14:lat="0" w14:lon="0" w14:rev="0"/>
            </w14:lightRig>
          </w14:scene3d>
        </w:rPr>
        <w:t>1.8</w:t>
      </w:r>
      <w:r>
        <w:rPr>
          <w:rStyle w:val="41"/>
          <w:rFonts w:cs="Times New Roman"/>
          <w:color w:val="auto"/>
        </w:rPr>
        <w:t xml:space="preserve"> 污染控制目标、环境保护目标及环境敏感区</w:t>
      </w:r>
      <w:r>
        <w:tab/>
      </w:r>
      <w:r>
        <w:fldChar w:fldCharType="begin"/>
      </w:r>
      <w:r>
        <w:instrText xml:space="preserve"> PAGEREF _Toc96680623 \h </w:instrText>
      </w:r>
      <w:r>
        <w:fldChar w:fldCharType="separate"/>
      </w:r>
      <w:r>
        <w:t>39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"_Toc96680624" </w:instrText>
      </w:r>
      <w:r>
        <w:fldChar w:fldCharType="separate"/>
      </w:r>
      <w:r>
        <w:rPr>
          <w:rStyle w:val="41"/>
          <w:rFonts w:cs="Times New Roman"/>
          <w:color w:val="auto"/>
          <w14:scene3d>
            <w14:lightRig w14:rig="threePt" w14:dir="t">
              <w14:rot w14:lat="0" w14:lon="0" w14:rev="0"/>
            </w14:lightRig>
          </w14:scene3d>
        </w:rPr>
        <w:t>1.8.1</w:t>
      </w:r>
      <w:r>
        <w:rPr>
          <w:rStyle w:val="41"/>
          <w:rFonts w:cs="Times New Roman"/>
          <w:color w:val="auto"/>
        </w:rPr>
        <w:t xml:space="preserve"> 污染控制目标</w:t>
      </w:r>
      <w:r>
        <w:tab/>
      </w:r>
      <w:r>
        <w:fldChar w:fldCharType="begin"/>
      </w:r>
      <w:r>
        <w:instrText xml:space="preserve"> PAGEREF _Toc96680624 \h </w:instrText>
      </w:r>
      <w:r>
        <w:fldChar w:fldCharType="separate"/>
      </w:r>
      <w:r>
        <w:t>39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"_Toc96680625" </w:instrText>
      </w:r>
      <w:r>
        <w:fldChar w:fldCharType="separate"/>
      </w:r>
      <w:r>
        <w:rPr>
          <w:rStyle w:val="41"/>
          <w:color w:val="auto"/>
          <w14:scene3d>
            <w14:lightRig w14:rig="threePt" w14:dir="t">
              <w14:rot w14:lat="0" w14:lon="0" w14:rev="0"/>
            </w14:lightRig>
          </w14:scene3d>
        </w:rPr>
        <w:t>1.8.2</w:t>
      </w:r>
      <w:r>
        <w:rPr>
          <w:rStyle w:val="41"/>
          <w:color w:val="auto"/>
        </w:rPr>
        <w:t xml:space="preserve"> 环境保护目标</w:t>
      </w:r>
      <w:r>
        <w:tab/>
      </w:r>
      <w:r>
        <w:fldChar w:fldCharType="begin"/>
      </w:r>
      <w:r>
        <w:instrText xml:space="preserve"> PAGEREF _Toc96680625 \h </w:instrText>
      </w:r>
      <w:r>
        <w:fldChar w:fldCharType="separate"/>
      </w:r>
      <w:r>
        <w:t>39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"_Toc96680626" </w:instrText>
      </w:r>
      <w:r>
        <w:fldChar w:fldCharType="separate"/>
      </w:r>
      <w:r>
        <w:rPr>
          <w:rStyle w:val="41"/>
          <w:rFonts w:cs="Times New Roman"/>
          <w:color w:val="auto"/>
          <w14:scene3d>
            <w14:lightRig w14:rig="threePt" w14:dir="t">
              <w14:rot w14:lat="0" w14:lon="0" w14:rev="0"/>
            </w14:lightRig>
          </w14:scene3d>
        </w:rPr>
        <w:t>1.8.3</w:t>
      </w:r>
      <w:r>
        <w:rPr>
          <w:rStyle w:val="41"/>
          <w:rFonts w:cs="Times New Roman"/>
          <w:color w:val="auto"/>
        </w:rPr>
        <w:t xml:space="preserve"> 本项目涉及环境敏感区</w:t>
      </w:r>
      <w:r>
        <w:tab/>
      </w:r>
      <w:r>
        <w:fldChar w:fldCharType="begin"/>
      </w:r>
      <w:r>
        <w:instrText xml:space="preserve"> PAGEREF _Toc96680626 \h </w:instrText>
      </w:r>
      <w:r>
        <w:fldChar w:fldCharType="separate"/>
      </w:r>
      <w:r>
        <w:t>41</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"_Toc96680627" </w:instrText>
      </w:r>
      <w:r>
        <w:fldChar w:fldCharType="separate"/>
      </w:r>
      <w:r>
        <w:rPr>
          <w:rStyle w:val="41"/>
          <w:rFonts w:cs="Times New Roman"/>
          <w:color w:val="auto"/>
        </w:rPr>
        <w:t>2 工程概况</w:t>
      </w:r>
      <w:r>
        <w:tab/>
      </w:r>
      <w:r>
        <w:fldChar w:fldCharType="begin"/>
      </w:r>
      <w:r>
        <w:instrText xml:space="preserve"> PAGEREF _Toc96680627 \h </w:instrText>
      </w:r>
      <w:r>
        <w:fldChar w:fldCharType="separate"/>
      </w:r>
      <w:r>
        <w:t>43</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"_Toc96680628" </w:instrText>
      </w:r>
      <w:r>
        <w:fldChar w:fldCharType="separate"/>
      </w:r>
      <w:r>
        <w:rPr>
          <w:rStyle w:val="41"/>
          <w:rFonts w:cs="Times New Roman"/>
          <w:color w:val="auto"/>
          <w14:scene3d>
            <w14:lightRig w14:rig="threePt" w14:dir="t">
              <w14:rot w14:lat="0" w14:lon="0" w14:rev="0"/>
            </w14:lightRig>
          </w14:scene3d>
        </w:rPr>
        <w:t>2.1</w:t>
      </w:r>
      <w:r>
        <w:rPr>
          <w:rStyle w:val="41"/>
          <w:rFonts w:cs="Times New Roman"/>
          <w:color w:val="auto"/>
        </w:rPr>
        <w:t xml:space="preserve"> 河巴线概况</w:t>
      </w:r>
      <w:r>
        <w:tab/>
      </w:r>
      <w:r>
        <w:fldChar w:fldCharType="begin"/>
      </w:r>
      <w:r>
        <w:instrText xml:space="preserve"> PAGEREF _Toc96680628 \h </w:instrText>
      </w:r>
      <w:r>
        <w:fldChar w:fldCharType="separate"/>
      </w:r>
      <w:r>
        <w:t>43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"_Toc96680629" </w:instrText>
      </w:r>
      <w:r>
        <w:fldChar w:fldCharType="separate"/>
      </w:r>
      <w:r>
        <w:rPr>
          <w:rStyle w:val="41"/>
          <w:color w:val="auto"/>
          <w14:scene3d>
            <w14:lightRig w14:rig="threePt" w14:dir="t">
              <w14:rot w14:lat="0" w14:lon="0" w14:rev="0"/>
            </w14:lightRig>
          </w14:scene3d>
        </w:rPr>
        <w:t>2.1.1</w:t>
      </w:r>
      <w:r>
        <w:rPr>
          <w:rStyle w:val="41"/>
          <w:color w:val="auto"/>
        </w:rPr>
        <w:t xml:space="preserve"> 环保手续执行情况</w:t>
      </w:r>
      <w:r>
        <w:tab/>
      </w:r>
      <w:r>
        <w:fldChar w:fldCharType="begin"/>
      </w:r>
      <w:r>
        <w:instrText xml:space="preserve"> PAGEREF _Toc96680629 \h </w:instrText>
      </w:r>
      <w:r>
        <w:fldChar w:fldCharType="separate"/>
      </w:r>
      <w:r>
        <w:t>43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"_Toc96680630" </w:instrText>
      </w:r>
      <w:r>
        <w:fldChar w:fldCharType="separate"/>
      </w:r>
      <w:r>
        <w:rPr>
          <w:rStyle w:val="41"/>
          <w:color w:val="auto"/>
          <w14:scene3d>
            <w14:lightRig w14:rig="threePt" w14:dir="t">
              <w14:rot w14:lat="0" w14:lon="0" w14:rev="0"/>
            </w14:lightRig>
          </w14:scene3d>
        </w:rPr>
        <w:t>2.1.2</w:t>
      </w:r>
      <w:r>
        <w:rPr>
          <w:rStyle w:val="41"/>
          <w:color w:val="auto"/>
        </w:rPr>
        <w:t xml:space="preserve"> 环保遗留问题</w:t>
      </w:r>
      <w:r>
        <w:tab/>
      </w:r>
      <w:r>
        <w:fldChar w:fldCharType="begin"/>
      </w:r>
      <w:r>
        <w:instrText xml:space="preserve"> PAGEREF _Toc96680630 \h </w:instrText>
      </w:r>
      <w:r>
        <w:fldChar w:fldCharType="separate"/>
      </w:r>
      <w:r>
        <w:t>43</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"_Toc96680631" </w:instrText>
      </w:r>
      <w:r>
        <w:fldChar w:fldCharType="separate"/>
      </w:r>
      <w:r>
        <w:rPr>
          <w:rStyle w:val="41"/>
          <w:rFonts w:cs="Times New Roman"/>
          <w:color w:val="auto"/>
          <w14:scene3d>
            <w14:lightRig w14:rig="threePt" w14:dir="t">
              <w14:rot w14:lat="0" w14:lon="0" w14:rev="0"/>
            </w14:lightRig>
          </w14:scene3d>
        </w:rPr>
        <w:t>2.2</w:t>
      </w:r>
      <w:r>
        <w:rPr>
          <w:rStyle w:val="41"/>
          <w:rFonts w:cs="Times New Roman"/>
          <w:color w:val="auto"/>
        </w:rPr>
        <w:t xml:space="preserve"> 本项目名称、建设地点及建设性质</w:t>
      </w:r>
      <w:r>
        <w:tab/>
      </w:r>
      <w:r>
        <w:fldChar w:fldCharType="begin"/>
      </w:r>
      <w:r>
        <w:instrText xml:space="preserve"> PAGEREF _Toc96680631 \h </w:instrText>
      </w:r>
      <w:r>
        <w:fldChar w:fldCharType="separate"/>
      </w:r>
      <w:r>
        <w:t>44</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"_Toc96680632" </w:instrText>
      </w:r>
      <w:r>
        <w:fldChar w:fldCharType="separate"/>
      </w:r>
      <w:r>
        <w:rPr>
          <w:rStyle w:val="41"/>
          <w:rFonts w:cs="Times New Roman"/>
          <w:color w:val="auto"/>
          <w14:scene3d>
            <w14:lightRig w14:rig="threePt" w14:dir="t">
              <w14:rot w14:lat="0" w14:lon="0" w14:rev="0"/>
            </w14:lightRig>
          </w14:scene3d>
        </w:rPr>
        <w:t>2.3</w:t>
      </w:r>
      <w:r>
        <w:rPr>
          <w:rStyle w:val="41"/>
          <w:rFonts w:cs="Times New Roman"/>
          <w:color w:val="auto"/>
        </w:rPr>
        <w:t xml:space="preserve"> 项目组成及工程量</w:t>
      </w:r>
      <w:r>
        <w:tab/>
      </w:r>
      <w:r>
        <w:fldChar w:fldCharType="begin"/>
      </w:r>
      <w:r>
        <w:instrText xml:space="preserve"> PAGEREF _Toc96680632 \h </w:instrText>
      </w:r>
      <w:r>
        <w:fldChar w:fldCharType="separate"/>
      </w:r>
      <w:r>
        <w:t>44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"_Toc96680633" </w:instrText>
      </w:r>
      <w:r>
        <w:fldChar w:fldCharType="separate"/>
      </w:r>
      <w:r>
        <w:rPr>
          <w:rStyle w:val="41"/>
          <w:rFonts w:cs="Times New Roman"/>
          <w:color w:val="auto"/>
          <w14:scene3d>
            <w14:lightRig w14:rig="threePt" w14:dir="t">
              <w14:rot w14:lat="0" w14:lon="0" w14:rev="0"/>
            </w14:lightRig>
          </w14:scene3d>
        </w:rPr>
        <w:t>2.3.1</w:t>
      </w:r>
      <w:r>
        <w:rPr>
          <w:rStyle w:val="41"/>
          <w:rFonts w:cs="Times New Roman"/>
          <w:color w:val="auto"/>
        </w:rPr>
        <w:t xml:space="preserve"> 项目组成</w:t>
      </w:r>
      <w:r>
        <w:tab/>
      </w:r>
      <w:r>
        <w:fldChar w:fldCharType="begin"/>
      </w:r>
      <w:r>
        <w:instrText xml:space="preserve"> PAGEREF _Toc96680633 \h </w:instrText>
      </w:r>
      <w:r>
        <w:fldChar w:fldCharType="separate"/>
      </w:r>
      <w:r>
        <w:t>44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"_Toc96680634" </w:instrText>
      </w:r>
      <w:r>
        <w:fldChar w:fldCharType="separate"/>
      </w:r>
      <w:r>
        <w:rPr>
          <w:rStyle w:val="41"/>
          <w:rFonts w:cs="Times New Roman"/>
          <w:color w:val="auto"/>
          <w14:scene3d>
            <w14:lightRig w14:rig="threePt" w14:dir="t">
              <w14:rot w14:lat="0" w14:lon="0" w14:rev="0"/>
            </w14:lightRig>
          </w14:scene3d>
        </w:rPr>
        <w:t>2.3.2</w:t>
      </w:r>
      <w:r>
        <w:rPr>
          <w:rStyle w:val="41"/>
          <w:rFonts w:cs="Times New Roman"/>
          <w:color w:val="auto"/>
        </w:rPr>
        <w:t xml:space="preserve"> 项目线路主要工程量</w:t>
      </w:r>
      <w:r>
        <w:tab/>
      </w:r>
      <w:r>
        <w:fldChar w:fldCharType="begin"/>
      </w:r>
      <w:r>
        <w:instrText xml:space="preserve"> PAGEREF _Toc96680634 \h </w:instrText>
      </w:r>
      <w:r>
        <w:fldChar w:fldCharType="separate"/>
      </w:r>
      <w:r>
        <w:t>45</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"_Toc96680635" </w:instrText>
      </w:r>
      <w:r>
        <w:fldChar w:fldCharType="separate"/>
      </w:r>
      <w:r>
        <w:rPr>
          <w:rStyle w:val="41"/>
          <w:rFonts w:cs="Times New Roman"/>
          <w:color w:val="auto"/>
          <w14:scene3d>
            <w14:lightRig w14:rig="threePt" w14:dir="t">
              <w14:rot w14:lat="0" w14:lon="0" w14:rev="0"/>
            </w14:lightRig>
          </w14:scene3d>
        </w:rPr>
        <w:t>2.4</w:t>
      </w:r>
      <w:r>
        <w:rPr>
          <w:rStyle w:val="41"/>
          <w:rFonts w:cs="Times New Roman"/>
          <w:color w:val="auto"/>
        </w:rPr>
        <w:t xml:space="preserve"> 气源组分</w:t>
      </w:r>
      <w:r>
        <w:tab/>
      </w:r>
      <w:r>
        <w:fldChar w:fldCharType="begin"/>
      </w:r>
      <w:r>
        <w:instrText xml:space="preserve"> PAGEREF _Toc96680635 \h </w:instrText>
      </w:r>
      <w:r>
        <w:fldChar w:fldCharType="separate"/>
      </w:r>
      <w:r>
        <w:t>47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"_Toc96680636" </w:instrText>
      </w:r>
      <w:r>
        <w:fldChar w:fldCharType="separate"/>
      </w:r>
      <w:r>
        <w:rPr>
          <w:rStyle w:val="41"/>
          <w:rFonts w:cs="Times New Roman"/>
          <w:color w:val="auto"/>
          <w14:scene3d>
            <w14:lightRig w14:rig="threePt" w14:dir="t">
              <w14:rot w14:lat="0" w14:lon="0" w14:rev="0"/>
            </w14:lightRig>
          </w14:scene3d>
        </w:rPr>
        <w:t>2.5</w:t>
      </w:r>
      <w:r>
        <w:rPr>
          <w:rStyle w:val="41"/>
          <w:rFonts w:cs="Times New Roman"/>
          <w:color w:val="auto"/>
        </w:rPr>
        <w:t xml:space="preserve"> 主体工程</w:t>
      </w:r>
      <w:r>
        <w:tab/>
      </w:r>
      <w:r>
        <w:fldChar w:fldCharType="begin"/>
      </w:r>
      <w:r>
        <w:instrText xml:space="preserve"> PAGEREF _Toc96680636 \h </w:instrText>
      </w:r>
      <w:r>
        <w:fldChar w:fldCharType="separate"/>
      </w:r>
      <w:r>
        <w:t>47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"_Toc96680637" </w:instrText>
      </w:r>
      <w:r>
        <w:fldChar w:fldCharType="separate"/>
      </w:r>
      <w:r>
        <w:rPr>
          <w:rStyle w:val="41"/>
          <w:color w:val="auto"/>
          <w14:scene3d>
            <w14:lightRig w14:rig="threePt" w14:dir="t">
              <w14:rot w14:lat="0" w14:lon="0" w14:rev="0"/>
            </w14:lightRig>
          </w14:scene3d>
        </w:rPr>
        <w:t>2.5.1</w:t>
      </w:r>
      <w:r>
        <w:rPr>
          <w:rStyle w:val="41"/>
          <w:color w:val="auto"/>
        </w:rPr>
        <w:t xml:space="preserve"> 线路工程</w:t>
      </w:r>
      <w:r>
        <w:tab/>
      </w:r>
      <w:r>
        <w:fldChar w:fldCharType="begin"/>
      </w:r>
      <w:r>
        <w:instrText xml:space="preserve"> PAGEREF _Toc96680637 \h </w:instrText>
      </w:r>
      <w:r>
        <w:fldChar w:fldCharType="separate"/>
      </w:r>
      <w:r>
        <w:t>47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"_Toc96680638" </w:instrText>
      </w:r>
      <w:r>
        <w:fldChar w:fldCharType="separate"/>
      </w:r>
      <w:r>
        <w:rPr>
          <w:rStyle w:val="41"/>
          <w:color w:val="auto"/>
          <w14:scene3d>
            <w14:lightRig w14:rig="threePt" w14:dir="t">
              <w14:rot w14:lat="0" w14:lon="0" w14:rev="0"/>
            </w14:lightRig>
          </w14:scene3d>
        </w:rPr>
        <w:t>2.5.2</w:t>
      </w:r>
      <w:r>
        <w:rPr>
          <w:rStyle w:val="41"/>
          <w:color w:val="auto"/>
        </w:rPr>
        <w:t xml:space="preserve"> 穿越工程</w:t>
      </w:r>
      <w:r>
        <w:tab/>
      </w:r>
      <w:r>
        <w:fldChar w:fldCharType="begin"/>
      </w:r>
      <w:r>
        <w:instrText xml:space="preserve"> PAGEREF _Toc96680638 \h </w:instrText>
      </w:r>
      <w:r>
        <w:fldChar w:fldCharType="separate"/>
      </w:r>
      <w:r>
        <w:t>48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"_Toc96680639" </w:instrText>
      </w:r>
      <w:r>
        <w:fldChar w:fldCharType="separate"/>
      </w:r>
      <w:r>
        <w:rPr>
          <w:rStyle w:val="41"/>
          <w:rFonts w:cs="Times New Roman"/>
          <w:color w:val="auto"/>
          <w14:scene3d>
            <w14:lightRig w14:rig="threePt" w14:dir="t">
              <w14:rot w14:lat="0" w14:lon="0" w14:rev="0"/>
            </w14:lightRig>
          </w14:scene3d>
        </w:rPr>
        <w:t>2.6</w:t>
      </w:r>
      <w:r>
        <w:rPr>
          <w:rStyle w:val="41"/>
          <w:rFonts w:cs="Times New Roman"/>
          <w:color w:val="auto"/>
        </w:rPr>
        <w:t xml:space="preserve"> 辅助工程</w:t>
      </w:r>
      <w:r>
        <w:tab/>
      </w:r>
      <w:r>
        <w:fldChar w:fldCharType="begin"/>
      </w:r>
      <w:r>
        <w:instrText xml:space="preserve"> PAGEREF _Toc96680639 \h </w:instrText>
      </w:r>
      <w:r>
        <w:fldChar w:fldCharType="separate"/>
      </w:r>
      <w:r>
        <w:t>48</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"_Toc96680640" </w:instrText>
      </w:r>
      <w:r>
        <w:fldChar w:fldCharType="separate"/>
      </w:r>
      <w:r>
        <w:rPr>
          <w:rStyle w:val="41"/>
          <w:rFonts w:cs="Times New Roman"/>
          <w:color w:val="auto"/>
          <w14:scene3d>
            <w14:lightRig w14:rig="threePt" w14:dir="t">
              <w14:rot w14:lat="0" w14:lon="0" w14:rev="0"/>
            </w14:lightRig>
          </w14:scene3d>
        </w:rPr>
        <w:t>2.6.1</w:t>
      </w:r>
      <w:r>
        <w:rPr>
          <w:rStyle w:val="41"/>
          <w:rFonts w:cs="Times New Roman"/>
          <w:color w:val="auto"/>
        </w:rPr>
        <w:t xml:space="preserve"> 管道地面标示设置</w:t>
      </w:r>
      <w:r>
        <w:tab/>
      </w:r>
      <w:r>
        <w:fldChar w:fldCharType="begin"/>
      </w:r>
      <w:r>
        <w:instrText xml:space="preserve"> PAGEREF _Toc96680640 \h </w:instrText>
      </w:r>
      <w:r>
        <w:fldChar w:fldCharType="separate"/>
      </w:r>
      <w:r>
        <w:t>49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"_Toc96680641" </w:instrText>
      </w:r>
      <w:r>
        <w:fldChar w:fldCharType="separate"/>
      </w:r>
      <w:r>
        <w:rPr>
          <w:rStyle w:val="41"/>
          <w:color w:val="auto"/>
          <w14:scene3d>
            <w14:lightRig w14:rig="threePt" w14:dir="t">
              <w14:rot w14:lat="0" w14:lon="0" w14:rev="0"/>
            </w14:lightRig>
          </w14:scene3d>
        </w:rPr>
        <w:t>2.6.2</w:t>
      </w:r>
      <w:r>
        <w:rPr>
          <w:rStyle w:val="41"/>
          <w:color w:val="auto"/>
        </w:rPr>
        <w:t xml:space="preserve"> 施工便道</w:t>
      </w:r>
      <w:r>
        <w:tab/>
      </w:r>
      <w:r>
        <w:fldChar w:fldCharType="begin"/>
      </w:r>
      <w:r>
        <w:instrText xml:space="preserve"> PAGEREF _Toc96680641 \h </w:instrText>
      </w:r>
      <w:r>
        <w:fldChar w:fldCharType="separate"/>
      </w:r>
      <w:r>
        <w:t>50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"_Toc96680642" </w:instrText>
      </w:r>
      <w:r>
        <w:fldChar w:fldCharType="separate"/>
      </w:r>
      <w:r>
        <w:rPr>
          <w:rStyle w:val="41"/>
          <w:color w:val="auto"/>
          <w14:scene3d>
            <w14:lightRig w14:rig="threePt" w14:dir="t">
              <w14:rot w14:lat="0" w14:lon="0" w14:rev="0"/>
            </w14:lightRig>
          </w14:scene3d>
        </w:rPr>
        <w:t>2.6.3</w:t>
      </w:r>
      <w:r>
        <w:rPr>
          <w:rStyle w:val="41"/>
          <w:color w:val="auto"/>
        </w:rPr>
        <w:t xml:space="preserve"> 堆管场</w:t>
      </w:r>
      <w:r>
        <w:tab/>
      </w:r>
      <w:r>
        <w:fldChar w:fldCharType="begin"/>
      </w:r>
      <w:r>
        <w:instrText xml:space="preserve"> PAGEREF _Toc96680642 \h </w:instrText>
      </w:r>
      <w:r>
        <w:fldChar w:fldCharType="separate"/>
      </w:r>
      <w:r>
        <w:t>50</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"_Toc96680643" </w:instrText>
      </w:r>
      <w:r>
        <w:fldChar w:fldCharType="separate"/>
      </w:r>
      <w:r>
        <w:rPr>
          <w:rStyle w:val="41"/>
          <w:rFonts w:cs="Times New Roman"/>
          <w:color w:val="auto"/>
          <w14:scene3d>
            <w14:lightRig w14:rig="threePt" w14:dir="t">
              <w14:rot w14:lat="0" w14:lon="0" w14:rev="0"/>
            </w14:lightRig>
          </w14:scene3d>
        </w:rPr>
        <w:t>2.7</w:t>
      </w:r>
      <w:r>
        <w:rPr>
          <w:rStyle w:val="41"/>
          <w:rFonts w:cs="Times New Roman"/>
          <w:color w:val="auto"/>
        </w:rPr>
        <w:t xml:space="preserve"> 公用工程</w:t>
      </w:r>
      <w:r>
        <w:tab/>
      </w:r>
      <w:r>
        <w:fldChar w:fldCharType="begin"/>
      </w:r>
      <w:r>
        <w:instrText xml:space="preserve"> PAGEREF _Toc96680643 \h </w:instrText>
      </w:r>
      <w:r>
        <w:fldChar w:fldCharType="separate"/>
      </w:r>
      <w:r>
        <w:t>50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"_Toc96680644" </w:instrText>
      </w:r>
      <w:r>
        <w:fldChar w:fldCharType="separate"/>
      </w:r>
      <w:r>
        <w:rPr>
          <w:rStyle w:val="41"/>
          <w:color w:val="auto"/>
          <w14:scene3d>
            <w14:lightRig w14:rig="threePt" w14:dir="t">
              <w14:rot w14:lat="0" w14:lon="0" w14:rev="0"/>
            </w14:lightRig>
          </w14:scene3d>
        </w:rPr>
        <w:t>2.7.1</w:t>
      </w:r>
      <w:r>
        <w:rPr>
          <w:rStyle w:val="41"/>
          <w:color w:val="auto"/>
        </w:rPr>
        <w:t xml:space="preserve"> 给排水</w:t>
      </w:r>
      <w:r>
        <w:tab/>
      </w:r>
      <w:r>
        <w:fldChar w:fldCharType="begin"/>
      </w:r>
      <w:r>
        <w:instrText xml:space="preserve"> PAGEREF _Toc96680644 \h </w:instrText>
      </w:r>
      <w:r>
        <w:fldChar w:fldCharType="separate"/>
      </w:r>
      <w:r>
        <w:t>50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"_Toc96680645" </w:instrText>
      </w:r>
      <w:r>
        <w:fldChar w:fldCharType="separate"/>
      </w:r>
      <w:r>
        <w:rPr>
          <w:rStyle w:val="41"/>
          <w:rFonts w:cs="Times New Roman"/>
          <w:color w:val="auto"/>
          <w14:scene3d>
            <w14:lightRig w14:rig="threePt" w14:dir="t">
              <w14:rot w14:lat="0" w14:lon="0" w14:rev="0"/>
            </w14:lightRig>
          </w14:scene3d>
        </w:rPr>
        <w:t>2.7.2</w:t>
      </w:r>
      <w:r>
        <w:rPr>
          <w:rStyle w:val="41"/>
          <w:rFonts w:cs="Times New Roman"/>
          <w:color w:val="auto"/>
        </w:rPr>
        <w:t xml:space="preserve"> 抢险和维修</w:t>
      </w:r>
      <w:r>
        <w:tab/>
      </w:r>
      <w:r>
        <w:fldChar w:fldCharType="begin"/>
      </w:r>
      <w:r>
        <w:instrText xml:space="preserve"> PAGEREF _Toc96680645 \h </w:instrText>
      </w:r>
      <w:r>
        <w:fldChar w:fldCharType="separate"/>
      </w:r>
      <w:r>
        <w:t>50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"_Toc96680646" </w:instrText>
      </w:r>
      <w:r>
        <w:fldChar w:fldCharType="separate"/>
      </w:r>
      <w:r>
        <w:rPr>
          <w:rStyle w:val="41"/>
          <w:rFonts w:cs="Times New Roman"/>
          <w:color w:val="auto"/>
          <w14:scene3d>
            <w14:lightRig w14:rig="threePt" w14:dir="t">
              <w14:rot w14:lat="0" w14:lon="0" w14:rev="0"/>
            </w14:lightRig>
          </w14:scene3d>
        </w:rPr>
        <w:t>2.7.3</w:t>
      </w:r>
      <w:r>
        <w:rPr>
          <w:rStyle w:val="41"/>
          <w:rFonts w:cs="Times New Roman"/>
          <w:color w:val="auto"/>
        </w:rPr>
        <w:t xml:space="preserve"> 消防</w:t>
      </w:r>
      <w:r>
        <w:tab/>
      </w:r>
      <w:r>
        <w:fldChar w:fldCharType="begin"/>
      </w:r>
      <w:r>
        <w:instrText xml:space="preserve"> PAGEREF _Toc96680646 \h </w:instrText>
      </w:r>
      <w:r>
        <w:fldChar w:fldCharType="separate"/>
      </w:r>
      <w:r>
        <w:t>50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"_Toc96680647" </w:instrText>
      </w:r>
      <w:r>
        <w:fldChar w:fldCharType="separate"/>
      </w:r>
      <w:r>
        <w:rPr>
          <w:rStyle w:val="41"/>
          <w:color w:val="auto"/>
          <w14:scene3d>
            <w14:lightRig w14:rig="threePt" w14:dir="t">
              <w14:rot w14:lat="0" w14:lon="0" w14:rev="0"/>
            </w14:lightRig>
          </w14:scene3d>
        </w:rPr>
        <w:t>2.7.4</w:t>
      </w:r>
      <w:r>
        <w:rPr>
          <w:rStyle w:val="41"/>
          <w:color w:val="auto"/>
        </w:rPr>
        <w:t xml:space="preserve"> 防腐</w:t>
      </w:r>
      <w:r>
        <w:tab/>
      </w:r>
      <w:r>
        <w:fldChar w:fldCharType="begin"/>
      </w:r>
      <w:r>
        <w:instrText xml:space="preserve"> PAGEREF _Toc96680647 \h </w:instrText>
      </w:r>
      <w:r>
        <w:fldChar w:fldCharType="separate"/>
      </w:r>
      <w:r>
        <w:t>51</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"_Toc96680648" </w:instrText>
      </w:r>
      <w:r>
        <w:fldChar w:fldCharType="separate"/>
      </w:r>
      <w:r>
        <w:rPr>
          <w:rStyle w:val="41"/>
          <w:color w:val="auto"/>
          <w14:scene3d>
            <w14:lightRig w14:rig="threePt" w14:dir="t">
              <w14:rot w14:lat="0" w14:lon="0" w14:rev="0"/>
            </w14:lightRig>
          </w14:scene3d>
        </w:rPr>
        <w:t>2.8</w:t>
      </w:r>
      <w:r>
        <w:rPr>
          <w:rStyle w:val="41"/>
          <w:color w:val="auto"/>
        </w:rPr>
        <w:t xml:space="preserve"> 工程占地</w:t>
      </w:r>
      <w:r>
        <w:tab/>
      </w:r>
      <w:r>
        <w:fldChar w:fldCharType="begin"/>
      </w:r>
      <w:r>
        <w:instrText xml:space="preserve"> PAGEREF _Toc96680648 \h </w:instrText>
      </w:r>
      <w:r>
        <w:fldChar w:fldCharType="separate"/>
      </w:r>
      <w:r>
        <w:t>51</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"_Toc96680649" </w:instrText>
      </w:r>
      <w:r>
        <w:fldChar w:fldCharType="separate"/>
      </w:r>
      <w:r>
        <w:rPr>
          <w:rStyle w:val="41"/>
          <w:color w:val="auto"/>
          <w14:scene3d>
            <w14:lightRig w14:rig="threePt" w14:dir="t">
              <w14:rot w14:lat="0" w14:lon="0" w14:rev="0"/>
            </w14:lightRig>
          </w14:scene3d>
        </w:rPr>
        <w:t>2.9</w:t>
      </w:r>
      <w:r>
        <w:rPr>
          <w:rStyle w:val="41"/>
          <w:color w:val="auto"/>
        </w:rPr>
        <w:t xml:space="preserve"> 土石方工程</w:t>
      </w:r>
      <w:r>
        <w:tab/>
      </w:r>
      <w:r>
        <w:fldChar w:fldCharType="begin"/>
      </w:r>
      <w:r>
        <w:instrText xml:space="preserve"> PAGEREF _Toc96680649 \h </w:instrText>
      </w:r>
      <w:r>
        <w:fldChar w:fldCharType="separate"/>
      </w:r>
      <w:r>
        <w:t>51</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"_Toc96680650" </w:instrText>
      </w:r>
      <w:r>
        <w:fldChar w:fldCharType="separate"/>
      </w:r>
      <w:r>
        <w:rPr>
          <w:rStyle w:val="41"/>
          <w:color w:val="auto"/>
          <w14:scene3d>
            <w14:lightRig w14:rig="threePt" w14:dir="t">
              <w14:rot w14:lat="0" w14:lon="0" w14:rev="0"/>
            </w14:lightRig>
          </w14:scene3d>
        </w:rPr>
        <w:t>2.10</w:t>
      </w:r>
      <w:r>
        <w:rPr>
          <w:rStyle w:val="41"/>
          <w:color w:val="auto"/>
        </w:rPr>
        <w:t xml:space="preserve"> 环保工程</w:t>
      </w:r>
      <w:r>
        <w:tab/>
      </w:r>
      <w:r>
        <w:fldChar w:fldCharType="begin"/>
      </w:r>
      <w:r>
        <w:instrText xml:space="preserve"> PAGEREF _Toc96680650 \h </w:instrText>
      </w:r>
      <w:r>
        <w:fldChar w:fldCharType="separate"/>
      </w:r>
      <w:r>
        <w:t>52</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"_Toc96680651" </w:instrText>
      </w:r>
      <w:r>
        <w:fldChar w:fldCharType="separate"/>
      </w:r>
      <w:r>
        <w:rPr>
          <w:rStyle w:val="41"/>
          <w:color w:val="auto"/>
          <w14:scene3d>
            <w14:lightRig w14:rig="threePt" w14:dir="t">
              <w14:rot w14:lat="0" w14:lon="0" w14:rev="0"/>
            </w14:lightRig>
          </w14:scene3d>
        </w:rPr>
        <w:t>2.11</w:t>
      </w:r>
      <w:r>
        <w:rPr>
          <w:rStyle w:val="41"/>
          <w:color w:val="auto"/>
        </w:rPr>
        <w:t xml:space="preserve"> 拆迁安置工程</w:t>
      </w:r>
      <w:r>
        <w:tab/>
      </w:r>
      <w:r>
        <w:fldChar w:fldCharType="begin"/>
      </w:r>
      <w:r>
        <w:instrText xml:space="preserve"> PAGEREF _Toc96680651 \h </w:instrText>
      </w:r>
      <w:r>
        <w:fldChar w:fldCharType="separate"/>
      </w:r>
      <w:r>
        <w:t>52</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"_Toc96680652" </w:instrText>
      </w:r>
      <w:r>
        <w:fldChar w:fldCharType="separate"/>
      </w:r>
      <w:r>
        <w:rPr>
          <w:rStyle w:val="41"/>
          <w:color w:val="auto"/>
          <w14:scene3d>
            <w14:lightRig w14:rig="threePt" w14:dir="t">
              <w14:rot w14:lat="0" w14:lon="0" w14:rev="0"/>
            </w14:lightRig>
          </w14:scene3d>
        </w:rPr>
        <w:t>2.12</w:t>
      </w:r>
      <w:r>
        <w:rPr>
          <w:rStyle w:val="41"/>
          <w:color w:val="auto"/>
        </w:rPr>
        <w:t xml:space="preserve"> 劳动定员及工作制度</w:t>
      </w:r>
      <w:r>
        <w:tab/>
      </w:r>
      <w:r>
        <w:fldChar w:fldCharType="begin"/>
      </w:r>
      <w:r>
        <w:instrText xml:space="preserve"> PAGEREF _Toc96680652 \h </w:instrText>
      </w:r>
      <w:r>
        <w:fldChar w:fldCharType="separate"/>
      </w:r>
      <w:r>
        <w:t>52</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"_Toc96680653" </w:instrText>
      </w:r>
      <w:r>
        <w:fldChar w:fldCharType="separate"/>
      </w:r>
      <w:r>
        <w:rPr>
          <w:rStyle w:val="41"/>
          <w:rFonts w:cs="Times New Roman"/>
          <w:color w:val="auto"/>
        </w:rPr>
        <w:t>3 选址、选线的环境可行性</w:t>
      </w:r>
      <w:r>
        <w:tab/>
      </w:r>
      <w:r>
        <w:fldChar w:fldCharType="begin"/>
      </w:r>
      <w:r>
        <w:instrText xml:space="preserve"> PAGEREF _Toc96680653 \h </w:instrText>
      </w:r>
      <w:r>
        <w:fldChar w:fldCharType="separate"/>
      </w:r>
      <w:r>
        <w:t>54</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"_Toc96680654" </w:instrText>
      </w:r>
      <w:r>
        <w:fldChar w:fldCharType="separate"/>
      </w:r>
      <w:r>
        <w:rPr>
          <w:rStyle w:val="41"/>
          <w:color w:val="auto"/>
          <w14:scene3d>
            <w14:lightRig w14:rig="threePt" w14:dir="t">
              <w14:rot w14:lat="0" w14:lon="0" w14:rev="0"/>
            </w14:lightRig>
          </w14:scene3d>
        </w:rPr>
        <w:t>3.1</w:t>
      </w:r>
      <w:r>
        <w:rPr>
          <w:rStyle w:val="41"/>
          <w:color w:val="auto"/>
        </w:rPr>
        <w:t xml:space="preserve"> 线路路由的选线原则和确定程序</w:t>
      </w:r>
      <w:r>
        <w:tab/>
      </w:r>
      <w:r>
        <w:fldChar w:fldCharType="begin"/>
      </w:r>
      <w:r>
        <w:instrText xml:space="preserve"> PAGEREF _Toc96680654 \h </w:instrText>
      </w:r>
      <w:r>
        <w:fldChar w:fldCharType="separate"/>
      </w:r>
      <w:r>
        <w:t>54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"_Toc96680655" </w:instrText>
      </w:r>
      <w:r>
        <w:fldChar w:fldCharType="separate"/>
      </w:r>
      <w:r>
        <w:rPr>
          <w:rStyle w:val="41"/>
          <w:color w:val="auto"/>
          <w14:scene3d>
            <w14:lightRig w14:rig="threePt" w14:dir="t">
              <w14:rot w14:lat="0" w14:lon="0" w14:rev="0"/>
            </w14:lightRig>
          </w14:scene3d>
        </w:rPr>
        <w:t>3.1.1</w:t>
      </w:r>
      <w:r>
        <w:rPr>
          <w:rStyle w:val="41"/>
          <w:color w:val="auto"/>
        </w:rPr>
        <w:t xml:space="preserve"> 隐患治理原则</w:t>
      </w:r>
      <w:r>
        <w:tab/>
      </w:r>
      <w:r>
        <w:fldChar w:fldCharType="begin"/>
      </w:r>
      <w:r>
        <w:instrText xml:space="preserve"> PAGEREF _Toc96680655 \h </w:instrText>
      </w:r>
      <w:r>
        <w:fldChar w:fldCharType="separate"/>
      </w:r>
      <w:r>
        <w:t>54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"_Toc96680656" </w:instrText>
      </w:r>
      <w:r>
        <w:fldChar w:fldCharType="separate"/>
      </w:r>
      <w:r>
        <w:rPr>
          <w:rStyle w:val="41"/>
          <w:color w:val="auto"/>
          <w14:scene3d>
            <w14:lightRig w14:rig="threePt" w14:dir="t">
              <w14:rot w14:lat="0" w14:lon="0" w14:rev="0"/>
            </w14:lightRig>
          </w14:scene3d>
        </w:rPr>
        <w:t>3.1.2</w:t>
      </w:r>
      <w:r>
        <w:rPr>
          <w:rStyle w:val="41"/>
          <w:color w:val="auto"/>
        </w:rPr>
        <w:t xml:space="preserve"> 路由选择原则</w:t>
      </w:r>
      <w:r>
        <w:tab/>
      </w:r>
      <w:r>
        <w:fldChar w:fldCharType="begin"/>
      </w:r>
      <w:r>
        <w:instrText xml:space="preserve"> PAGEREF _Toc96680656 \h </w:instrText>
      </w:r>
      <w:r>
        <w:fldChar w:fldCharType="separate"/>
      </w:r>
      <w:r>
        <w:t>54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"_Toc96680657" </w:instrText>
      </w:r>
      <w:r>
        <w:fldChar w:fldCharType="separate"/>
      </w:r>
      <w:r>
        <w:rPr>
          <w:rStyle w:val="41"/>
          <w:color w:val="auto"/>
          <w14:scene3d>
            <w14:lightRig w14:rig="threePt" w14:dir="t">
              <w14:rot w14:lat="0" w14:lon="0" w14:rev="0"/>
            </w14:lightRig>
          </w14:scene3d>
        </w:rPr>
        <w:t>3.1.3</w:t>
      </w:r>
      <w:r>
        <w:rPr>
          <w:rStyle w:val="41"/>
          <w:color w:val="auto"/>
        </w:rPr>
        <w:t xml:space="preserve"> 路由确定程序</w:t>
      </w:r>
      <w:r>
        <w:tab/>
      </w:r>
      <w:r>
        <w:fldChar w:fldCharType="begin"/>
      </w:r>
      <w:r>
        <w:instrText xml:space="preserve"> PAGEREF _Toc96680657 \h </w:instrText>
      </w:r>
      <w:r>
        <w:fldChar w:fldCharType="separate"/>
      </w:r>
      <w:r>
        <w:t>57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"_Toc96680658" </w:instrText>
      </w:r>
      <w:r>
        <w:fldChar w:fldCharType="separate"/>
      </w:r>
      <w:r>
        <w:rPr>
          <w:rStyle w:val="41"/>
          <w:color w:val="auto"/>
          <w14:scene3d>
            <w14:lightRig w14:rig="threePt" w14:dir="t">
              <w14:rot w14:lat="0" w14:lon="0" w14:rev="0"/>
            </w14:lightRig>
          </w14:scene3d>
        </w:rPr>
        <w:t>3.2</w:t>
      </w:r>
      <w:r>
        <w:rPr>
          <w:rStyle w:val="41"/>
          <w:color w:val="auto"/>
        </w:rPr>
        <w:t xml:space="preserve"> 工程路由比选</w:t>
      </w:r>
      <w:r>
        <w:tab/>
      </w:r>
      <w:r>
        <w:fldChar w:fldCharType="begin"/>
      </w:r>
      <w:r>
        <w:instrText xml:space="preserve"> PAGEREF _Toc96680658 \h </w:instrText>
      </w:r>
      <w:r>
        <w:fldChar w:fldCharType="separate"/>
      </w:r>
      <w:r>
        <w:t>57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"_Toc96680659" </w:instrText>
      </w:r>
      <w:r>
        <w:fldChar w:fldCharType="separate"/>
      </w:r>
      <w:r>
        <w:rPr>
          <w:rStyle w:val="41"/>
          <w:color w:val="auto"/>
          <w14:scene3d>
            <w14:lightRig w14:rig="threePt" w14:dir="t">
              <w14:rot w14:lat="0" w14:lon="0" w14:rev="0"/>
            </w14:lightRig>
          </w14:scene3d>
        </w:rPr>
        <w:t>3.2.1</w:t>
      </w:r>
      <w:r>
        <w:rPr>
          <w:rStyle w:val="41"/>
          <w:color w:val="auto"/>
        </w:rPr>
        <w:t xml:space="preserve"> 线路总体走向方案</w:t>
      </w:r>
      <w:r>
        <w:tab/>
      </w:r>
      <w:r>
        <w:fldChar w:fldCharType="begin"/>
      </w:r>
      <w:r>
        <w:instrText xml:space="preserve"> PAGEREF _Toc96680659 \h </w:instrText>
      </w:r>
      <w:r>
        <w:fldChar w:fldCharType="separate"/>
      </w:r>
      <w:r>
        <w:t>57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"_Toc96680660" </w:instrText>
      </w:r>
      <w:r>
        <w:fldChar w:fldCharType="separate"/>
      </w:r>
      <w:r>
        <w:rPr>
          <w:rStyle w:val="41"/>
          <w:color w:val="auto"/>
          <w14:scene3d>
            <w14:lightRig w14:rig="threePt" w14:dir="t">
              <w14:rot w14:lat="0" w14:lon="0" w14:rev="0"/>
            </w14:lightRig>
          </w14:scene3d>
        </w:rPr>
        <w:t>3.2.2</w:t>
      </w:r>
      <w:r>
        <w:rPr>
          <w:rStyle w:val="41"/>
          <w:color w:val="auto"/>
        </w:rPr>
        <w:t xml:space="preserve"> 线路总体方案比选</w:t>
      </w:r>
      <w:r>
        <w:tab/>
      </w:r>
      <w:r>
        <w:fldChar w:fldCharType="begin"/>
      </w:r>
      <w:r>
        <w:instrText xml:space="preserve"> PAGEREF _Toc96680660 \h </w:instrText>
      </w:r>
      <w:r>
        <w:fldChar w:fldCharType="separate"/>
      </w:r>
      <w:r>
        <w:t>58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"_Toc96680661" </w:instrText>
      </w:r>
      <w:r>
        <w:fldChar w:fldCharType="separate"/>
      </w:r>
      <w:r>
        <w:rPr>
          <w:rStyle w:val="41"/>
          <w:color w:val="auto"/>
          <w14:scene3d>
            <w14:lightRig w14:rig="threePt" w14:dir="t">
              <w14:rot w14:lat="0" w14:lon="0" w14:rev="0"/>
            </w14:lightRig>
          </w14:scene3d>
        </w:rPr>
        <w:t>3.3</w:t>
      </w:r>
      <w:r>
        <w:rPr>
          <w:rStyle w:val="41"/>
          <w:color w:val="auto"/>
        </w:rPr>
        <w:t xml:space="preserve"> 选线的环境可行性分析</w:t>
      </w:r>
      <w:r>
        <w:tab/>
      </w:r>
      <w:r>
        <w:fldChar w:fldCharType="begin"/>
      </w:r>
      <w:r>
        <w:instrText xml:space="preserve"> PAGEREF _Toc96680661 \h </w:instrText>
      </w:r>
      <w:r>
        <w:fldChar w:fldCharType="separate"/>
      </w:r>
      <w:r>
        <w:t>58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"_Toc96680662" </w:instrText>
      </w:r>
      <w:r>
        <w:fldChar w:fldCharType="separate"/>
      </w:r>
      <w:r>
        <w:rPr>
          <w:rStyle w:val="41"/>
          <w:color w:val="auto"/>
          <w14:scene3d>
            <w14:lightRig w14:rig="threePt" w14:dir="t">
              <w14:rot w14:lat="0" w14:lon="0" w14:rev="0"/>
            </w14:lightRig>
          </w14:scene3d>
        </w:rPr>
        <w:t>3.4</w:t>
      </w:r>
      <w:r>
        <w:rPr>
          <w:rStyle w:val="41"/>
          <w:color w:val="auto"/>
        </w:rPr>
        <w:t xml:space="preserve"> 环境保护目标的保护性</w:t>
      </w:r>
      <w:r>
        <w:tab/>
      </w:r>
      <w:r>
        <w:fldChar w:fldCharType="begin"/>
      </w:r>
      <w:r>
        <w:instrText xml:space="preserve"> PAGEREF _Toc96680662 \h </w:instrText>
      </w:r>
      <w:r>
        <w:fldChar w:fldCharType="separate"/>
      </w:r>
      <w:r>
        <w:t>59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"_Toc96680663" </w:instrText>
      </w:r>
      <w:r>
        <w:fldChar w:fldCharType="separate"/>
      </w:r>
      <w:r>
        <w:rPr>
          <w:rStyle w:val="41"/>
          <w:color w:val="auto"/>
          <w14:scene3d>
            <w14:lightRig w14:rig="threePt" w14:dir="t">
              <w14:rot w14:lat="0" w14:lon="0" w14:rev="0"/>
            </w14:lightRig>
          </w14:scene3d>
        </w:rPr>
        <w:t>3.4.1</w:t>
      </w:r>
      <w:r>
        <w:rPr>
          <w:rStyle w:val="41"/>
          <w:color w:val="auto"/>
        </w:rPr>
        <w:t xml:space="preserve"> 对大气环境环保目标的保护性</w:t>
      </w:r>
      <w:r>
        <w:tab/>
      </w:r>
      <w:r>
        <w:fldChar w:fldCharType="begin"/>
      </w:r>
      <w:r>
        <w:instrText xml:space="preserve"> PAGEREF _Toc96680663 \h </w:instrText>
      </w:r>
      <w:r>
        <w:fldChar w:fldCharType="separate"/>
      </w:r>
      <w:r>
        <w:t>59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"_Toc96680664" </w:instrText>
      </w:r>
      <w:r>
        <w:fldChar w:fldCharType="separate"/>
      </w:r>
      <w:r>
        <w:rPr>
          <w:rStyle w:val="41"/>
          <w:color w:val="auto"/>
          <w14:scene3d>
            <w14:lightRig w14:rig="threePt" w14:dir="t">
              <w14:rot w14:lat="0" w14:lon="0" w14:rev="0"/>
            </w14:lightRig>
          </w14:scene3d>
        </w:rPr>
        <w:t>3.4.2</w:t>
      </w:r>
      <w:r>
        <w:rPr>
          <w:rStyle w:val="41"/>
          <w:color w:val="auto"/>
        </w:rPr>
        <w:t xml:space="preserve"> 对水环境环保目标的保护性</w:t>
      </w:r>
      <w:r>
        <w:tab/>
      </w:r>
      <w:r>
        <w:fldChar w:fldCharType="begin"/>
      </w:r>
      <w:r>
        <w:instrText xml:space="preserve"> PAGEREF _Toc96680664 \h </w:instrText>
      </w:r>
      <w:r>
        <w:fldChar w:fldCharType="separate"/>
      </w:r>
      <w:r>
        <w:t>59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"_Toc96680665" </w:instrText>
      </w:r>
      <w:r>
        <w:fldChar w:fldCharType="separate"/>
      </w:r>
      <w:r>
        <w:rPr>
          <w:rStyle w:val="41"/>
          <w:color w:val="auto"/>
          <w14:scene3d>
            <w14:lightRig w14:rig="threePt" w14:dir="t">
              <w14:rot w14:lat="0" w14:lon="0" w14:rev="0"/>
            </w14:lightRig>
          </w14:scene3d>
        </w:rPr>
        <w:t>3.4.3</w:t>
      </w:r>
      <w:r>
        <w:rPr>
          <w:rStyle w:val="41"/>
          <w:color w:val="auto"/>
        </w:rPr>
        <w:t xml:space="preserve"> 对声环境环保目标的保护性</w:t>
      </w:r>
      <w:r>
        <w:tab/>
      </w:r>
      <w:r>
        <w:fldChar w:fldCharType="begin"/>
      </w:r>
      <w:r>
        <w:instrText xml:space="preserve"> PAGEREF _Toc96680665 \h </w:instrText>
      </w:r>
      <w:r>
        <w:fldChar w:fldCharType="separate"/>
      </w:r>
      <w:r>
        <w:t>59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"_Toc96680666" </w:instrText>
      </w:r>
      <w:r>
        <w:fldChar w:fldCharType="separate"/>
      </w:r>
      <w:r>
        <w:rPr>
          <w:rStyle w:val="41"/>
          <w:color w:val="auto"/>
          <w14:scene3d>
            <w14:lightRig w14:rig="threePt" w14:dir="t">
              <w14:rot w14:lat="0" w14:lon="0" w14:rev="0"/>
            </w14:lightRig>
          </w14:scene3d>
        </w:rPr>
        <w:t>3.4.4</w:t>
      </w:r>
      <w:r>
        <w:rPr>
          <w:rStyle w:val="41"/>
          <w:color w:val="auto"/>
        </w:rPr>
        <w:t xml:space="preserve"> 对生态环境环保目标的保护性</w:t>
      </w:r>
      <w:r>
        <w:tab/>
      </w:r>
      <w:r>
        <w:fldChar w:fldCharType="begin"/>
      </w:r>
      <w:r>
        <w:instrText xml:space="preserve"> PAGEREF _Toc96680666 \h </w:instrText>
      </w:r>
      <w:r>
        <w:fldChar w:fldCharType="separate"/>
      </w:r>
      <w:r>
        <w:t>59</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"_Toc96680667" </w:instrText>
      </w:r>
      <w:r>
        <w:fldChar w:fldCharType="separate"/>
      </w:r>
      <w:r>
        <w:rPr>
          <w:rStyle w:val="41"/>
          <w:color w:val="auto"/>
          <w14:scene3d>
            <w14:lightRig w14:rig="threePt" w14:dir="t">
              <w14:rot w14:lat="0" w14:lon="0" w14:rev="0"/>
            </w14:lightRig>
          </w14:scene3d>
        </w:rPr>
        <w:t>3.5</w:t>
      </w:r>
      <w:r>
        <w:rPr>
          <w:rStyle w:val="41"/>
          <w:color w:val="auto"/>
        </w:rPr>
        <w:t xml:space="preserve"> 小结</w:t>
      </w:r>
      <w:r>
        <w:tab/>
      </w:r>
      <w:r>
        <w:fldChar w:fldCharType="begin"/>
      </w:r>
      <w:r>
        <w:instrText xml:space="preserve"> PAGEREF _Toc96680667 \h </w:instrText>
      </w:r>
      <w:r>
        <w:fldChar w:fldCharType="separate"/>
      </w:r>
      <w:r>
        <w:t>59</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"_Toc96680668" </w:instrText>
      </w:r>
      <w:r>
        <w:fldChar w:fldCharType="separate"/>
      </w:r>
      <w:r>
        <w:rPr>
          <w:rStyle w:val="41"/>
          <w:rFonts w:cs="Times New Roman"/>
          <w:color w:val="auto"/>
        </w:rPr>
        <w:t>4 工程分析</w:t>
      </w:r>
      <w:r>
        <w:tab/>
      </w:r>
      <w:r>
        <w:fldChar w:fldCharType="begin"/>
      </w:r>
      <w:r>
        <w:instrText xml:space="preserve"> PAGEREF _Toc96680668 \h </w:instrText>
      </w:r>
      <w:r>
        <w:fldChar w:fldCharType="separate"/>
      </w:r>
      <w:r>
        <w:t>60</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"_Toc96680669" </w:instrText>
      </w:r>
      <w:r>
        <w:fldChar w:fldCharType="separate"/>
      </w:r>
      <w:r>
        <w:rPr>
          <w:rStyle w:val="41"/>
          <w:rFonts w:cs="Times New Roman"/>
          <w:color w:val="auto"/>
          <w14:scene3d>
            <w14:lightRig w14:rig="threePt" w14:dir="t">
              <w14:rot w14:lat="0" w14:lon="0" w14:rev="0"/>
            </w14:lightRig>
          </w14:scene3d>
        </w:rPr>
        <w:t>4.1</w:t>
      </w:r>
      <w:r>
        <w:rPr>
          <w:rStyle w:val="41"/>
          <w:rFonts w:cs="Times New Roman"/>
          <w:color w:val="auto"/>
        </w:rPr>
        <w:t xml:space="preserve"> 施工期工艺流程及产污分析</w:t>
      </w:r>
      <w:r>
        <w:tab/>
      </w:r>
      <w:r>
        <w:fldChar w:fldCharType="begin"/>
      </w:r>
      <w:r>
        <w:instrText xml:space="preserve"> PAGEREF _Toc96680669 \h </w:instrText>
      </w:r>
      <w:r>
        <w:fldChar w:fldCharType="separate"/>
      </w:r>
      <w:r>
        <w:t>60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"_Toc96680670" </w:instrText>
      </w:r>
      <w:r>
        <w:fldChar w:fldCharType="separate"/>
      </w:r>
      <w:r>
        <w:rPr>
          <w:rStyle w:val="41"/>
          <w:rFonts w:cs="Times New Roman"/>
          <w:color w:val="auto"/>
          <w14:scene3d>
            <w14:lightRig w14:rig="threePt" w14:dir="t">
              <w14:rot w14:lat="0" w14:lon="0" w14:rev="0"/>
            </w14:lightRig>
          </w14:scene3d>
        </w:rPr>
        <w:t>4.1.1</w:t>
      </w:r>
      <w:r>
        <w:rPr>
          <w:rStyle w:val="41"/>
          <w:rFonts w:cs="Times New Roman"/>
          <w:color w:val="auto"/>
        </w:rPr>
        <w:t xml:space="preserve"> 施工期主要工艺</w:t>
      </w:r>
      <w:r>
        <w:tab/>
      </w:r>
      <w:r>
        <w:fldChar w:fldCharType="begin"/>
      </w:r>
      <w:r>
        <w:instrText xml:space="preserve"> PAGEREF _Toc96680670 \h </w:instrText>
      </w:r>
      <w:r>
        <w:fldChar w:fldCharType="separate"/>
      </w:r>
      <w:r>
        <w:t>60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"_Toc96680671" </w:instrText>
      </w:r>
      <w:r>
        <w:fldChar w:fldCharType="separate"/>
      </w:r>
      <w:r>
        <w:rPr>
          <w:rStyle w:val="41"/>
          <w:color w:val="auto"/>
          <w14:scene3d>
            <w14:lightRig w14:rig="threePt" w14:dir="t">
              <w14:rot w14:lat="0" w14:lon="0" w14:rev="0"/>
            </w14:lightRig>
          </w14:scene3d>
        </w:rPr>
        <w:t>4.1.2</w:t>
      </w:r>
      <w:r>
        <w:rPr>
          <w:rStyle w:val="41"/>
          <w:color w:val="auto"/>
        </w:rPr>
        <w:t xml:space="preserve"> 施工期产污环节分析</w:t>
      </w:r>
      <w:r>
        <w:tab/>
      </w:r>
      <w:r>
        <w:fldChar w:fldCharType="begin"/>
      </w:r>
      <w:r>
        <w:instrText xml:space="preserve"> PAGEREF _Toc96680671 \h </w:instrText>
      </w:r>
      <w:r>
        <w:fldChar w:fldCharType="separate"/>
      </w:r>
      <w:r>
        <w:t>66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"_Toc96680672" </w:instrText>
      </w:r>
      <w:r>
        <w:fldChar w:fldCharType="separate"/>
      </w:r>
      <w:r>
        <w:rPr>
          <w:rStyle w:val="41"/>
          <w:color w:val="auto"/>
          <w14:scene3d>
            <w14:lightRig w14:rig="threePt" w14:dir="t">
              <w14:rot w14:lat="0" w14:lon="0" w14:rev="0"/>
            </w14:lightRig>
          </w14:scene3d>
        </w:rPr>
        <w:t>4.1.3</w:t>
      </w:r>
      <w:r>
        <w:rPr>
          <w:rStyle w:val="41"/>
          <w:color w:val="auto"/>
        </w:rPr>
        <w:t xml:space="preserve"> 施工期污染及非污染因素分析</w:t>
      </w:r>
      <w:r>
        <w:tab/>
      </w:r>
      <w:r>
        <w:fldChar w:fldCharType="begin"/>
      </w:r>
      <w:r>
        <w:instrText xml:space="preserve"> PAGEREF _Toc96680672 \h </w:instrText>
      </w:r>
      <w:r>
        <w:fldChar w:fldCharType="separate"/>
      </w:r>
      <w:r>
        <w:t>67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"_Toc96680673" </w:instrText>
      </w:r>
      <w:r>
        <w:fldChar w:fldCharType="separate"/>
      </w:r>
      <w:r>
        <w:rPr>
          <w:rStyle w:val="41"/>
          <w:color w:val="auto"/>
          <w14:scene3d>
            <w14:lightRig w14:rig="threePt" w14:dir="t">
              <w14:rot w14:lat="0" w14:lon="0" w14:rev="0"/>
            </w14:lightRig>
          </w14:scene3d>
        </w:rPr>
        <w:t>4.2</w:t>
      </w:r>
      <w:r>
        <w:rPr>
          <w:rStyle w:val="41"/>
          <w:color w:val="auto"/>
        </w:rPr>
        <w:t xml:space="preserve"> 营运期工艺流程及产污分析</w:t>
      </w:r>
      <w:r>
        <w:tab/>
      </w:r>
      <w:r>
        <w:fldChar w:fldCharType="begin"/>
      </w:r>
      <w:r>
        <w:instrText xml:space="preserve"> PAGEREF _Toc96680673 \h </w:instrText>
      </w:r>
      <w:r>
        <w:fldChar w:fldCharType="separate"/>
      </w:r>
      <w:r>
        <w:t>75</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"_Toc96680674" </w:instrText>
      </w:r>
      <w:r>
        <w:fldChar w:fldCharType="separate"/>
      </w:r>
      <w:r>
        <w:rPr>
          <w:rStyle w:val="41"/>
          <w:color w:val="auto"/>
          <w14:scene3d>
            <w14:lightRig w14:rig="threePt" w14:dir="t">
              <w14:rot w14:lat="0" w14:lon="0" w14:rev="0"/>
            </w14:lightRig>
          </w14:scene3d>
        </w:rPr>
        <w:t>4.2.1</w:t>
      </w:r>
      <w:r>
        <w:rPr>
          <w:rStyle w:val="41"/>
          <w:color w:val="auto"/>
        </w:rPr>
        <w:t xml:space="preserve"> 废气</w:t>
      </w:r>
      <w:r>
        <w:tab/>
      </w:r>
      <w:r>
        <w:fldChar w:fldCharType="begin"/>
      </w:r>
      <w:r>
        <w:instrText xml:space="preserve"> PAGEREF _Toc96680674 \h </w:instrText>
      </w:r>
      <w:r>
        <w:fldChar w:fldCharType="separate"/>
      </w:r>
      <w:r>
        <w:t>75</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"_Toc96680675" </w:instrText>
      </w:r>
      <w:r>
        <w:fldChar w:fldCharType="separate"/>
      </w:r>
      <w:r>
        <w:rPr>
          <w:rStyle w:val="41"/>
          <w:color w:val="auto"/>
          <w14:scene3d>
            <w14:lightRig w14:rig="threePt" w14:dir="t">
              <w14:rot w14:lat="0" w14:lon="0" w14:rev="0"/>
            </w14:lightRig>
          </w14:scene3d>
        </w:rPr>
        <w:t>4.2.2</w:t>
      </w:r>
      <w:r>
        <w:rPr>
          <w:rStyle w:val="41"/>
          <w:color w:val="auto"/>
        </w:rPr>
        <w:t xml:space="preserve"> 废水</w:t>
      </w:r>
      <w:r>
        <w:tab/>
      </w:r>
      <w:r>
        <w:fldChar w:fldCharType="begin"/>
      </w:r>
      <w:r>
        <w:instrText xml:space="preserve"> PAGEREF _Toc96680675 \h </w:instrText>
      </w:r>
      <w:r>
        <w:fldChar w:fldCharType="separate"/>
      </w:r>
      <w:r>
        <w:t>75</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"_Toc96680676" </w:instrText>
      </w:r>
      <w:r>
        <w:fldChar w:fldCharType="separate"/>
      </w:r>
      <w:r>
        <w:rPr>
          <w:rStyle w:val="41"/>
          <w:color w:val="auto"/>
          <w14:scene3d>
            <w14:lightRig w14:rig="threePt" w14:dir="t">
              <w14:rot w14:lat="0" w14:lon="0" w14:rev="0"/>
            </w14:lightRig>
          </w14:scene3d>
        </w:rPr>
        <w:t>4.2.3</w:t>
      </w:r>
      <w:r>
        <w:rPr>
          <w:rStyle w:val="41"/>
          <w:color w:val="auto"/>
        </w:rPr>
        <w:t xml:space="preserve"> 噪声</w:t>
      </w:r>
      <w:r>
        <w:tab/>
      </w:r>
      <w:r>
        <w:fldChar w:fldCharType="begin"/>
      </w:r>
      <w:r>
        <w:instrText xml:space="preserve"> PAGEREF _Toc96680676 \h </w:instrText>
      </w:r>
      <w:r>
        <w:fldChar w:fldCharType="separate"/>
      </w:r>
      <w:r>
        <w:t>76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"_Toc96680677" </w:instrText>
      </w:r>
      <w:r>
        <w:fldChar w:fldCharType="separate"/>
      </w:r>
      <w:r>
        <w:rPr>
          <w:rStyle w:val="41"/>
          <w:color w:val="auto"/>
          <w14:scene3d>
            <w14:lightRig w14:rig="threePt" w14:dir="t">
              <w14:rot w14:lat="0" w14:lon="0" w14:rev="0"/>
            </w14:lightRig>
          </w14:scene3d>
        </w:rPr>
        <w:t>4.2.4</w:t>
      </w:r>
      <w:r>
        <w:rPr>
          <w:rStyle w:val="41"/>
          <w:color w:val="auto"/>
        </w:rPr>
        <w:t xml:space="preserve"> 固体废弃物</w:t>
      </w:r>
      <w:r>
        <w:tab/>
      </w:r>
      <w:r>
        <w:fldChar w:fldCharType="begin"/>
      </w:r>
      <w:r>
        <w:instrText xml:space="preserve"> PAGEREF _Toc96680677 \h </w:instrText>
      </w:r>
      <w:r>
        <w:fldChar w:fldCharType="separate"/>
      </w:r>
      <w:r>
        <w:t>76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"_Toc96680678" </w:instrText>
      </w:r>
      <w:r>
        <w:fldChar w:fldCharType="separate"/>
      </w:r>
      <w:r>
        <w:rPr>
          <w:rStyle w:val="41"/>
          <w:color w:val="auto"/>
          <w14:scene3d>
            <w14:lightRig w14:rig="threePt" w14:dir="t">
              <w14:rot w14:lat="0" w14:lon="0" w14:rev="0"/>
            </w14:lightRig>
          </w14:scene3d>
        </w:rPr>
        <w:t>4.2.5</w:t>
      </w:r>
      <w:r>
        <w:rPr>
          <w:rStyle w:val="41"/>
          <w:color w:val="auto"/>
        </w:rPr>
        <w:t xml:space="preserve"> 总运营期产污汇总</w:t>
      </w:r>
      <w:r>
        <w:tab/>
      </w:r>
      <w:r>
        <w:fldChar w:fldCharType="begin"/>
      </w:r>
      <w:r>
        <w:instrText xml:space="preserve"> PAGEREF _Toc96680678 \h </w:instrText>
      </w:r>
      <w:r>
        <w:fldChar w:fldCharType="separate"/>
      </w:r>
      <w:r>
        <w:t>76</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"_Toc96680679" </w:instrText>
      </w:r>
      <w:r>
        <w:fldChar w:fldCharType="separate"/>
      </w:r>
      <w:r>
        <w:rPr>
          <w:rStyle w:val="41"/>
          <w:color w:val="auto"/>
          <w14:scene3d>
            <w14:lightRig w14:rig="threePt" w14:dir="t">
              <w14:rot w14:lat="0" w14:lon="0" w14:rev="0"/>
            </w14:lightRig>
          </w14:scene3d>
        </w:rPr>
        <w:t>4.3</w:t>
      </w:r>
      <w:r>
        <w:rPr>
          <w:rStyle w:val="41"/>
          <w:color w:val="auto"/>
        </w:rPr>
        <w:t xml:space="preserve"> 总量控制</w:t>
      </w:r>
      <w:r>
        <w:tab/>
      </w:r>
      <w:r>
        <w:fldChar w:fldCharType="begin"/>
      </w:r>
      <w:r>
        <w:instrText xml:space="preserve"> PAGEREF _Toc96680679 \h </w:instrText>
      </w:r>
      <w:r>
        <w:fldChar w:fldCharType="separate"/>
      </w:r>
      <w:r>
        <w:t>76</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"_Toc96680680" </w:instrText>
      </w:r>
      <w:r>
        <w:fldChar w:fldCharType="separate"/>
      </w:r>
      <w:r>
        <w:rPr>
          <w:rStyle w:val="41"/>
          <w:rFonts w:cs="Times New Roman"/>
          <w:color w:val="auto"/>
        </w:rPr>
        <w:t>5 自然环境概况</w:t>
      </w:r>
      <w:r>
        <w:tab/>
      </w:r>
      <w:r>
        <w:fldChar w:fldCharType="begin"/>
      </w:r>
      <w:r>
        <w:instrText xml:space="preserve"> PAGEREF _Toc96680680 \h </w:instrText>
      </w:r>
      <w:r>
        <w:fldChar w:fldCharType="separate"/>
      </w:r>
      <w:r>
        <w:t>78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"_Toc96680681" </w:instrText>
      </w:r>
      <w:r>
        <w:fldChar w:fldCharType="separate"/>
      </w:r>
      <w:r>
        <w:rPr>
          <w:rStyle w:val="41"/>
          <w:rFonts w:cs="Times New Roman"/>
          <w:color w:val="auto"/>
          <w14:scene3d>
            <w14:lightRig w14:rig="threePt" w14:dir="t">
              <w14:rot w14:lat="0" w14:lon="0" w14:rev="0"/>
            </w14:lightRig>
          </w14:scene3d>
        </w:rPr>
        <w:t>5.1</w:t>
      </w:r>
      <w:r>
        <w:rPr>
          <w:rStyle w:val="41"/>
          <w:rFonts w:cs="Times New Roman"/>
          <w:color w:val="auto"/>
        </w:rPr>
        <w:t xml:space="preserve"> 地理位置</w:t>
      </w:r>
      <w:r>
        <w:tab/>
      </w:r>
      <w:r>
        <w:fldChar w:fldCharType="begin"/>
      </w:r>
      <w:r>
        <w:instrText xml:space="preserve"> PAGEREF _Toc96680681 \h </w:instrText>
      </w:r>
      <w:r>
        <w:fldChar w:fldCharType="separate"/>
      </w:r>
      <w:r>
        <w:t>78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"_Toc96680682" </w:instrText>
      </w:r>
      <w:r>
        <w:fldChar w:fldCharType="separate"/>
      </w:r>
      <w:r>
        <w:rPr>
          <w:rStyle w:val="41"/>
          <w:rFonts w:cs="Times New Roman"/>
          <w:color w:val="auto"/>
          <w14:scene3d>
            <w14:lightRig w14:rig="threePt" w14:dir="t">
              <w14:rot w14:lat="0" w14:lon="0" w14:rev="0"/>
            </w14:lightRig>
          </w14:scene3d>
        </w:rPr>
        <w:t>5.2</w:t>
      </w:r>
      <w:r>
        <w:rPr>
          <w:rStyle w:val="41"/>
          <w:rFonts w:cs="Times New Roman"/>
          <w:color w:val="auto"/>
        </w:rPr>
        <w:t xml:space="preserve"> 地形、地貌</w:t>
      </w:r>
      <w:r>
        <w:tab/>
      </w:r>
      <w:r>
        <w:fldChar w:fldCharType="begin"/>
      </w:r>
      <w:r>
        <w:instrText xml:space="preserve"> PAGEREF _Toc96680682 \h </w:instrText>
      </w:r>
      <w:r>
        <w:fldChar w:fldCharType="separate"/>
      </w:r>
      <w:r>
        <w:t>78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"_Toc96680683" </w:instrText>
      </w:r>
      <w:r>
        <w:fldChar w:fldCharType="separate"/>
      </w:r>
      <w:r>
        <w:rPr>
          <w:rStyle w:val="41"/>
          <w:rFonts w:cs="Times New Roman"/>
          <w:color w:val="auto"/>
          <w14:scene3d>
            <w14:lightRig w14:rig="threePt" w14:dir="t">
              <w14:rot w14:lat="0" w14:lon="0" w14:rev="0"/>
            </w14:lightRig>
          </w14:scene3d>
        </w:rPr>
        <w:t>5.3</w:t>
      </w:r>
      <w:r>
        <w:rPr>
          <w:rStyle w:val="41"/>
          <w:rFonts w:cs="Times New Roman"/>
          <w:color w:val="auto"/>
        </w:rPr>
        <w:t xml:space="preserve"> 水文</w:t>
      </w:r>
      <w:r>
        <w:tab/>
      </w:r>
      <w:r>
        <w:fldChar w:fldCharType="begin"/>
      </w:r>
      <w:r>
        <w:instrText xml:space="preserve"> PAGEREF _Toc96680683 \h </w:instrText>
      </w:r>
      <w:r>
        <w:fldChar w:fldCharType="separate"/>
      </w:r>
      <w:r>
        <w:t>79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"_Toc96680684" </w:instrText>
      </w:r>
      <w:r>
        <w:fldChar w:fldCharType="separate"/>
      </w:r>
      <w:r>
        <w:rPr>
          <w:rStyle w:val="41"/>
          <w:rFonts w:cs="Times New Roman"/>
          <w:color w:val="auto"/>
          <w14:scene3d>
            <w14:lightRig w14:rig="threePt" w14:dir="t">
              <w14:rot w14:lat="0" w14:lon="0" w14:rev="0"/>
            </w14:lightRig>
          </w14:scene3d>
        </w:rPr>
        <w:t>5.3.1</w:t>
      </w:r>
      <w:r>
        <w:rPr>
          <w:rStyle w:val="41"/>
          <w:rFonts w:cs="Times New Roman"/>
          <w:color w:val="auto"/>
        </w:rPr>
        <w:t xml:space="preserve"> 地表水</w:t>
      </w:r>
      <w:r>
        <w:tab/>
      </w:r>
      <w:r>
        <w:fldChar w:fldCharType="begin"/>
      </w:r>
      <w:r>
        <w:instrText xml:space="preserve"> PAGEREF _Toc96680684 \h </w:instrText>
      </w:r>
      <w:r>
        <w:fldChar w:fldCharType="separate"/>
      </w:r>
      <w:r>
        <w:t>79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"_Toc96680685" </w:instrText>
      </w:r>
      <w:r>
        <w:fldChar w:fldCharType="separate"/>
      </w:r>
      <w:r>
        <w:rPr>
          <w:rStyle w:val="41"/>
          <w:rFonts w:cs="Times New Roman"/>
          <w:color w:val="auto"/>
          <w14:scene3d>
            <w14:lightRig w14:rig="threePt" w14:dir="t">
              <w14:rot w14:lat="0" w14:lon="0" w14:rev="0"/>
            </w14:lightRig>
          </w14:scene3d>
        </w:rPr>
        <w:t>5.3.2</w:t>
      </w:r>
      <w:r>
        <w:rPr>
          <w:rStyle w:val="41"/>
          <w:rFonts w:cs="Times New Roman"/>
          <w:color w:val="auto"/>
        </w:rPr>
        <w:t xml:space="preserve"> 地下水</w:t>
      </w:r>
      <w:r>
        <w:tab/>
      </w:r>
      <w:r>
        <w:fldChar w:fldCharType="begin"/>
      </w:r>
      <w:r>
        <w:instrText xml:space="preserve"> PAGEREF _Toc96680685 \h </w:instrText>
      </w:r>
      <w:r>
        <w:fldChar w:fldCharType="separate"/>
      </w:r>
      <w:r>
        <w:t>79</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"_Toc96680686" </w:instrText>
      </w:r>
      <w:r>
        <w:fldChar w:fldCharType="separate"/>
      </w:r>
      <w:r>
        <w:rPr>
          <w:rStyle w:val="41"/>
          <w:rFonts w:cs="Times New Roman"/>
          <w:color w:val="auto"/>
          <w14:scene3d>
            <w14:lightRig w14:rig="threePt" w14:dir="t">
              <w14:rot w14:lat="0" w14:lon="0" w14:rev="0"/>
            </w14:lightRig>
          </w14:scene3d>
        </w:rPr>
        <w:t>5.4</w:t>
      </w:r>
      <w:r>
        <w:rPr>
          <w:rStyle w:val="41"/>
          <w:rFonts w:cs="Times New Roman"/>
          <w:color w:val="auto"/>
        </w:rPr>
        <w:t xml:space="preserve"> 气候、气象</w:t>
      </w:r>
      <w:r>
        <w:tab/>
      </w:r>
      <w:r>
        <w:fldChar w:fldCharType="begin"/>
      </w:r>
      <w:r>
        <w:instrText xml:space="preserve"> PAGEREF _Toc96680686 \h </w:instrText>
      </w:r>
      <w:r>
        <w:fldChar w:fldCharType="separate"/>
      </w:r>
      <w:r>
        <w:t>79</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"_Toc96680687" </w:instrText>
      </w:r>
      <w:r>
        <w:fldChar w:fldCharType="separate"/>
      </w:r>
      <w:r>
        <w:rPr>
          <w:rStyle w:val="41"/>
          <w:rFonts w:cs="Times New Roman"/>
          <w:color w:val="auto"/>
          <w14:scene3d>
            <w14:lightRig w14:rig="threePt" w14:dir="t">
              <w14:rot w14:lat="0" w14:lon="0" w14:rev="0"/>
            </w14:lightRig>
          </w14:scene3d>
        </w:rPr>
        <w:t>5.5</w:t>
      </w:r>
      <w:r>
        <w:rPr>
          <w:rStyle w:val="41"/>
          <w:rFonts w:cs="Times New Roman"/>
          <w:color w:val="auto"/>
        </w:rPr>
        <w:t xml:space="preserve"> 土壤、动植物资源</w:t>
      </w:r>
      <w:r>
        <w:tab/>
      </w:r>
      <w:r>
        <w:fldChar w:fldCharType="begin"/>
      </w:r>
      <w:r>
        <w:instrText xml:space="preserve"> PAGEREF _Toc96680687 \h </w:instrText>
      </w:r>
      <w:r>
        <w:fldChar w:fldCharType="separate"/>
      </w:r>
      <w:r>
        <w:t>79</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"_Toc96680688" </w:instrText>
      </w:r>
      <w:r>
        <w:fldChar w:fldCharType="separate"/>
      </w:r>
      <w:r>
        <w:rPr>
          <w:rStyle w:val="41"/>
          <w:rFonts w:cs="Times New Roman"/>
          <w:color w:val="auto"/>
          <w14:scene3d>
            <w14:lightRig w14:rig="threePt" w14:dir="t">
              <w14:rot w14:lat="0" w14:lon="0" w14:rev="0"/>
            </w14:lightRig>
          </w14:scene3d>
        </w:rPr>
        <w:t>5.6</w:t>
      </w:r>
      <w:r>
        <w:rPr>
          <w:rStyle w:val="41"/>
          <w:rFonts w:cs="Times New Roman"/>
          <w:color w:val="auto"/>
        </w:rPr>
        <w:t xml:space="preserve"> 地震概况</w:t>
      </w:r>
      <w:r>
        <w:tab/>
      </w:r>
      <w:r>
        <w:fldChar w:fldCharType="begin"/>
      </w:r>
      <w:r>
        <w:instrText xml:space="preserve"> PAGEREF _Toc96680688 \h </w:instrText>
      </w:r>
      <w:r>
        <w:fldChar w:fldCharType="separate"/>
      </w:r>
      <w:r>
        <w:t>80</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"_Toc96680689" </w:instrText>
      </w:r>
      <w:r>
        <w:fldChar w:fldCharType="separate"/>
      </w:r>
      <w:r>
        <w:rPr>
          <w:rStyle w:val="41"/>
          <w:color w:val="auto"/>
          <w14:scene3d>
            <w14:lightRig w14:rig="threePt" w14:dir="t">
              <w14:rot w14:lat="0" w14:lon="0" w14:rev="0"/>
            </w14:lightRig>
          </w14:scene3d>
        </w:rPr>
        <w:t>5.7</w:t>
      </w:r>
      <w:r>
        <w:rPr>
          <w:rStyle w:val="41"/>
          <w:color w:val="auto"/>
        </w:rPr>
        <w:t xml:space="preserve"> 地质地貌</w:t>
      </w:r>
      <w:r>
        <w:tab/>
      </w:r>
      <w:r>
        <w:fldChar w:fldCharType="begin"/>
      </w:r>
      <w:r>
        <w:instrText xml:space="preserve"> PAGEREF _Toc96680689 \h </w:instrText>
      </w:r>
      <w:r>
        <w:fldChar w:fldCharType="separate"/>
      </w:r>
      <w:r>
        <w:t>81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"_Toc96680690" </w:instrText>
      </w:r>
      <w:r>
        <w:fldChar w:fldCharType="separate"/>
      </w:r>
      <w:r>
        <w:rPr>
          <w:rStyle w:val="41"/>
          <w:color w:val="auto"/>
          <w14:scene3d>
            <w14:lightRig w14:rig="threePt" w14:dir="t">
              <w14:rot w14:lat="0" w14:lon="0" w14:rev="0"/>
            </w14:lightRig>
          </w14:scene3d>
        </w:rPr>
        <w:t>5.7.1</w:t>
      </w:r>
      <w:r>
        <w:rPr>
          <w:rStyle w:val="41"/>
          <w:color w:val="auto"/>
        </w:rPr>
        <w:t xml:space="preserve"> 地层岩性</w:t>
      </w:r>
      <w:r>
        <w:tab/>
      </w:r>
      <w:r>
        <w:fldChar w:fldCharType="begin"/>
      </w:r>
      <w:r>
        <w:instrText xml:space="preserve"> PAGEREF _Toc96680690 \h </w:instrText>
      </w:r>
      <w:r>
        <w:fldChar w:fldCharType="separate"/>
      </w:r>
      <w:r>
        <w:t>81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"_Toc96680691" </w:instrText>
      </w:r>
      <w:r>
        <w:fldChar w:fldCharType="separate"/>
      </w:r>
      <w:r>
        <w:rPr>
          <w:rStyle w:val="41"/>
          <w:color w:val="auto"/>
          <w14:scene3d>
            <w14:lightRig w14:rig="threePt" w14:dir="t">
              <w14:rot w14:lat="0" w14:lon="0" w14:rev="0"/>
            </w14:lightRig>
          </w14:scene3d>
        </w:rPr>
        <w:t>5.7.2</w:t>
      </w:r>
      <w:r>
        <w:rPr>
          <w:rStyle w:val="41"/>
          <w:color w:val="auto"/>
        </w:rPr>
        <w:t xml:space="preserve"> 地质构造</w:t>
      </w:r>
      <w:r>
        <w:tab/>
      </w:r>
      <w:r>
        <w:fldChar w:fldCharType="begin"/>
      </w:r>
      <w:r>
        <w:instrText xml:space="preserve"> PAGEREF _Toc96680691 \h </w:instrText>
      </w:r>
      <w:r>
        <w:fldChar w:fldCharType="separate"/>
      </w:r>
      <w:r>
        <w:t>81</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"_Toc96680692" </w:instrText>
      </w:r>
      <w:r>
        <w:fldChar w:fldCharType="separate"/>
      </w:r>
      <w:r>
        <w:rPr>
          <w:rStyle w:val="41"/>
          <w:color w:val="auto"/>
          <w14:scene3d>
            <w14:lightRig w14:rig="threePt" w14:dir="t">
              <w14:rot w14:lat="0" w14:lon="0" w14:rev="0"/>
            </w14:lightRig>
          </w14:scene3d>
        </w:rPr>
        <w:t>5.8</w:t>
      </w:r>
      <w:r>
        <w:rPr>
          <w:rStyle w:val="41"/>
          <w:color w:val="auto"/>
        </w:rPr>
        <w:t xml:space="preserve"> 水文地质条件</w:t>
      </w:r>
      <w:r>
        <w:tab/>
      </w:r>
      <w:r>
        <w:fldChar w:fldCharType="begin"/>
      </w:r>
      <w:r>
        <w:instrText xml:space="preserve"> PAGEREF _Toc96680692 \h </w:instrText>
      </w:r>
      <w:r>
        <w:fldChar w:fldCharType="separate"/>
      </w:r>
      <w:r>
        <w:t>81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"_Toc96680693" </w:instrText>
      </w:r>
      <w:r>
        <w:fldChar w:fldCharType="separate"/>
      </w:r>
      <w:r>
        <w:rPr>
          <w:rStyle w:val="41"/>
          <w:color w:val="auto"/>
          <w14:scene3d>
            <w14:lightRig w14:rig="threePt" w14:dir="t">
              <w14:rot w14:lat="0" w14:lon="0" w14:rev="0"/>
            </w14:lightRig>
          </w14:scene3d>
        </w:rPr>
        <w:t>5.8.1</w:t>
      </w:r>
      <w:r>
        <w:rPr>
          <w:rStyle w:val="41"/>
          <w:color w:val="auto"/>
        </w:rPr>
        <w:t xml:space="preserve"> 地层岩性</w:t>
      </w:r>
      <w:r>
        <w:tab/>
      </w:r>
      <w:r>
        <w:fldChar w:fldCharType="begin"/>
      </w:r>
      <w:r>
        <w:instrText xml:space="preserve"> PAGEREF _Toc96680693 \h </w:instrText>
      </w:r>
      <w:r>
        <w:fldChar w:fldCharType="separate"/>
      </w:r>
      <w:r>
        <w:t>81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"_Toc96680694" </w:instrText>
      </w:r>
      <w:r>
        <w:fldChar w:fldCharType="separate"/>
      </w:r>
      <w:r>
        <w:rPr>
          <w:rStyle w:val="41"/>
          <w:color w:val="auto"/>
          <w14:scene3d>
            <w14:lightRig w14:rig="threePt" w14:dir="t">
              <w14:rot w14:lat="0" w14:lon="0" w14:rev="0"/>
            </w14:lightRig>
          </w14:scene3d>
        </w:rPr>
        <w:t>5.8.2</w:t>
      </w:r>
      <w:r>
        <w:rPr>
          <w:rStyle w:val="41"/>
          <w:color w:val="auto"/>
        </w:rPr>
        <w:t xml:space="preserve"> 地下水类型及富水性</w:t>
      </w:r>
      <w:r>
        <w:tab/>
      </w:r>
      <w:r>
        <w:fldChar w:fldCharType="begin"/>
      </w:r>
      <w:r>
        <w:instrText xml:space="preserve"> PAGEREF _Toc96680694 \h </w:instrText>
      </w:r>
      <w:r>
        <w:fldChar w:fldCharType="separate"/>
      </w:r>
      <w:r>
        <w:t>81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"_Toc96680695" </w:instrText>
      </w:r>
      <w:r>
        <w:fldChar w:fldCharType="separate"/>
      </w:r>
      <w:r>
        <w:rPr>
          <w:rStyle w:val="41"/>
          <w:rFonts w:cs="Times New Roman"/>
          <w:color w:val="auto"/>
          <w14:scene3d>
            <w14:lightRig w14:rig="threePt" w14:dir="t">
              <w14:rot w14:lat="0" w14:lon="0" w14:rev="0"/>
            </w14:lightRig>
          </w14:scene3d>
        </w:rPr>
        <w:t>5.8.3</w:t>
      </w:r>
      <w:r>
        <w:rPr>
          <w:rStyle w:val="41"/>
          <w:rFonts w:cs="Times New Roman"/>
          <w:color w:val="auto"/>
        </w:rPr>
        <w:t xml:space="preserve"> 地下水补给、径流、排泄条件</w:t>
      </w:r>
      <w:r>
        <w:tab/>
      </w:r>
      <w:r>
        <w:fldChar w:fldCharType="begin"/>
      </w:r>
      <w:r>
        <w:instrText xml:space="preserve"> PAGEREF _Toc96680695 \h </w:instrText>
      </w:r>
      <w:r>
        <w:fldChar w:fldCharType="separate"/>
      </w:r>
      <w:r>
        <w:t>82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"_Toc96680696" </w:instrText>
      </w:r>
      <w:r>
        <w:fldChar w:fldCharType="separate"/>
      </w:r>
      <w:r>
        <w:rPr>
          <w:rStyle w:val="41"/>
          <w:rFonts w:cs="Times New Roman"/>
          <w:color w:val="auto"/>
          <w14:scene3d>
            <w14:lightRig w14:rig="threePt" w14:dir="t">
              <w14:rot w14:lat="0" w14:lon="0" w14:rev="0"/>
            </w14:lightRig>
          </w14:scene3d>
        </w:rPr>
        <w:t>5.8.4</w:t>
      </w:r>
      <w:r>
        <w:rPr>
          <w:rStyle w:val="41"/>
          <w:rFonts w:cs="Times New Roman"/>
          <w:color w:val="auto"/>
        </w:rPr>
        <w:t xml:space="preserve"> 地下水化学类型</w:t>
      </w:r>
      <w:r>
        <w:tab/>
      </w:r>
      <w:r>
        <w:fldChar w:fldCharType="begin"/>
      </w:r>
      <w:r>
        <w:instrText xml:space="preserve"> PAGEREF _Toc96680696 \h </w:instrText>
      </w:r>
      <w:r>
        <w:fldChar w:fldCharType="separate"/>
      </w:r>
      <w:r>
        <w:t>82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"_Toc96680697" </w:instrText>
      </w:r>
      <w:r>
        <w:fldChar w:fldCharType="separate"/>
      </w:r>
      <w:r>
        <w:rPr>
          <w:rStyle w:val="41"/>
          <w:rFonts w:cs="Times New Roman"/>
          <w:color w:val="auto"/>
          <w14:scene3d>
            <w14:lightRig w14:rig="threePt" w14:dir="t">
              <w14:rot w14:lat="0" w14:lon="0" w14:rev="0"/>
            </w14:lightRig>
          </w14:scene3d>
        </w:rPr>
        <w:t>5.8.5</w:t>
      </w:r>
      <w:r>
        <w:rPr>
          <w:rStyle w:val="41"/>
          <w:rFonts w:cs="Times New Roman"/>
          <w:color w:val="auto"/>
        </w:rPr>
        <w:t xml:space="preserve"> 地下水水位统计</w:t>
      </w:r>
      <w:r>
        <w:tab/>
      </w:r>
      <w:r>
        <w:fldChar w:fldCharType="begin"/>
      </w:r>
      <w:r>
        <w:instrText xml:space="preserve"> PAGEREF _Toc96680697 \h </w:instrText>
      </w:r>
      <w:r>
        <w:fldChar w:fldCharType="separate"/>
      </w:r>
      <w:r>
        <w:t>82</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"_Toc96680698" </w:instrText>
      </w:r>
      <w:r>
        <w:fldChar w:fldCharType="separate"/>
      </w:r>
      <w:r>
        <w:rPr>
          <w:rStyle w:val="41"/>
          <w:rFonts w:cs="Times New Roman"/>
          <w:color w:val="auto"/>
        </w:rPr>
        <w:t>6 环境质量现状评价</w:t>
      </w:r>
      <w:r>
        <w:tab/>
      </w:r>
      <w:r>
        <w:fldChar w:fldCharType="begin"/>
      </w:r>
      <w:r>
        <w:instrText xml:space="preserve"> PAGEREF _Toc96680698 \h </w:instrText>
      </w:r>
      <w:r>
        <w:fldChar w:fldCharType="separate"/>
      </w:r>
      <w:r>
        <w:t>83</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"_Toc96680699" </w:instrText>
      </w:r>
      <w:r>
        <w:fldChar w:fldCharType="separate"/>
      </w:r>
      <w:r>
        <w:rPr>
          <w:rStyle w:val="41"/>
          <w:rFonts w:cs="Times New Roman"/>
          <w:color w:val="auto"/>
          <w14:scene3d>
            <w14:lightRig w14:rig="threePt" w14:dir="t">
              <w14:rot w14:lat="0" w14:lon="0" w14:rev="0"/>
            </w14:lightRig>
          </w14:scene3d>
        </w:rPr>
        <w:t>6.1</w:t>
      </w:r>
      <w:r>
        <w:rPr>
          <w:rStyle w:val="41"/>
          <w:rFonts w:cs="Times New Roman"/>
          <w:color w:val="auto"/>
        </w:rPr>
        <w:t xml:space="preserve"> 环境空气质量现状</w:t>
      </w:r>
      <w:r>
        <w:tab/>
      </w:r>
      <w:r>
        <w:fldChar w:fldCharType="begin"/>
      </w:r>
      <w:r>
        <w:instrText xml:space="preserve"> PAGEREF _Toc96680699 \h </w:instrText>
      </w:r>
      <w:r>
        <w:fldChar w:fldCharType="separate"/>
      </w:r>
      <w:r>
        <w:t>83</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"_Toc96680700" </w:instrText>
      </w:r>
      <w:r>
        <w:fldChar w:fldCharType="separate"/>
      </w:r>
      <w:r>
        <w:rPr>
          <w:rStyle w:val="41"/>
          <w:rFonts w:cs="Times New Roman"/>
          <w:color w:val="auto"/>
          <w14:scene3d>
            <w14:lightRig w14:rig="threePt" w14:dir="t">
              <w14:rot w14:lat="0" w14:lon="0" w14:rev="0"/>
            </w14:lightRig>
          </w14:scene3d>
        </w:rPr>
        <w:t>6.2</w:t>
      </w:r>
      <w:r>
        <w:rPr>
          <w:rStyle w:val="41"/>
          <w:rFonts w:cs="Times New Roman"/>
          <w:color w:val="auto"/>
        </w:rPr>
        <w:t xml:space="preserve"> 地表水环境现状</w:t>
      </w:r>
      <w:r>
        <w:tab/>
      </w:r>
      <w:r>
        <w:fldChar w:fldCharType="begin"/>
      </w:r>
      <w:r>
        <w:instrText xml:space="preserve"> PAGEREF _Toc96680700 \h </w:instrText>
      </w:r>
      <w:r>
        <w:fldChar w:fldCharType="separate"/>
      </w:r>
      <w:r>
        <w:t>83</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"_Toc96680701" </w:instrText>
      </w:r>
      <w:r>
        <w:fldChar w:fldCharType="separate"/>
      </w:r>
      <w:r>
        <w:rPr>
          <w:rStyle w:val="41"/>
          <w:rFonts w:cs="Times New Roman"/>
          <w:color w:val="auto"/>
          <w14:scene3d>
            <w14:lightRig w14:rig="threePt" w14:dir="t">
              <w14:rot w14:lat="0" w14:lon="0" w14:rev="0"/>
            </w14:lightRig>
          </w14:scene3d>
        </w:rPr>
        <w:t>6.3</w:t>
      </w:r>
      <w:r>
        <w:rPr>
          <w:rStyle w:val="41"/>
          <w:rFonts w:cs="Times New Roman"/>
          <w:color w:val="auto"/>
        </w:rPr>
        <w:t xml:space="preserve"> 地下水环境现状</w:t>
      </w:r>
      <w:r>
        <w:tab/>
      </w:r>
      <w:r>
        <w:fldChar w:fldCharType="begin"/>
      </w:r>
      <w:r>
        <w:instrText xml:space="preserve"> PAGEREF _Toc96680701 \h </w:instrText>
      </w:r>
      <w:r>
        <w:fldChar w:fldCharType="separate"/>
      </w:r>
      <w:r>
        <w:t>86</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"_Toc96680702" </w:instrText>
      </w:r>
      <w:r>
        <w:fldChar w:fldCharType="separate"/>
      </w:r>
      <w:r>
        <w:rPr>
          <w:rStyle w:val="41"/>
          <w:rFonts w:cs="Times New Roman"/>
          <w:color w:val="auto"/>
          <w14:scene3d>
            <w14:lightRig w14:rig="threePt" w14:dir="t">
              <w14:rot w14:lat="0" w14:lon="0" w14:rev="0"/>
            </w14:lightRig>
          </w14:scene3d>
        </w:rPr>
        <w:t>6.4</w:t>
      </w:r>
      <w:r>
        <w:rPr>
          <w:rStyle w:val="41"/>
          <w:rFonts w:cs="Times New Roman"/>
          <w:color w:val="auto"/>
        </w:rPr>
        <w:t xml:space="preserve"> 声环境质量现状</w:t>
      </w:r>
      <w:r>
        <w:tab/>
      </w:r>
      <w:r>
        <w:fldChar w:fldCharType="begin"/>
      </w:r>
      <w:r>
        <w:instrText xml:space="preserve"> PAGEREF _Toc96680702 \h </w:instrText>
      </w:r>
      <w:r>
        <w:fldChar w:fldCharType="separate"/>
      </w:r>
      <w:r>
        <w:t>89</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"_Toc96680703" </w:instrText>
      </w:r>
      <w:r>
        <w:fldChar w:fldCharType="separate"/>
      </w:r>
      <w:r>
        <w:rPr>
          <w:rStyle w:val="41"/>
          <w:rFonts w:cs="Times New Roman"/>
          <w:color w:val="auto"/>
          <w14:scene3d>
            <w14:lightRig w14:rig="threePt" w14:dir="t">
              <w14:rot w14:lat="0" w14:lon="0" w14:rev="0"/>
            </w14:lightRig>
          </w14:scene3d>
        </w:rPr>
        <w:t>6.5</w:t>
      </w:r>
      <w:r>
        <w:rPr>
          <w:rStyle w:val="41"/>
          <w:rFonts w:cs="Times New Roman"/>
          <w:color w:val="auto"/>
        </w:rPr>
        <w:t xml:space="preserve"> 土壤环境质量现状调查与评价</w:t>
      </w:r>
      <w:r>
        <w:tab/>
      </w:r>
      <w:r>
        <w:fldChar w:fldCharType="begin"/>
      </w:r>
      <w:r>
        <w:instrText xml:space="preserve"> PAGEREF _Toc96680703 \h </w:instrText>
      </w:r>
      <w:r>
        <w:fldChar w:fldCharType="separate"/>
      </w:r>
      <w:r>
        <w:t>90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"_Toc96680704" </w:instrText>
      </w:r>
      <w:r>
        <w:fldChar w:fldCharType="separate"/>
      </w:r>
      <w:r>
        <w:rPr>
          <w:rStyle w:val="41"/>
          <w:rFonts w:cs="Times New Roman"/>
          <w:color w:val="auto"/>
          <w14:scene3d>
            <w14:lightRig w14:rig="threePt" w14:dir="t">
              <w14:rot w14:lat="0" w14:lon="0" w14:rev="0"/>
            </w14:lightRig>
          </w14:scene3d>
        </w:rPr>
        <w:t>6.5.1</w:t>
      </w:r>
      <w:r>
        <w:rPr>
          <w:rStyle w:val="41"/>
          <w:rFonts w:cs="Times New Roman"/>
          <w:color w:val="auto"/>
        </w:rPr>
        <w:t xml:space="preserve"> 区域土壤环境现状</w:t>
      </w:r>
      <w:r>
        <w:tab/>
      </w:r>
      <w:r>
        <w:fldChar w:fldCharType="begin"/>
      </w:r>
      <w:r>
        <w:instrText xml:space="preserve"> PAGEREF _Toc96680704 \h </w:instrText>
      </w:r>
      <w:r>
        <w:fldChar w:fldCharType="separate"/>
      </w:r>
      <w:r>
        <w:t>90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"_Toc96680705" </w:instrText>
      </w:r>
      <w:r>
        <w:fldChar w:fldCharType="separate"/>
      </w:r>
      <w:r>
        <w:rPr>
          <w:rStyle w:val="41"/>
          <w:rFonts w:cs="Times New Roman"/>
          <w:color w:val="auto"/>
          <w14:scene3d>
            <w14:lightRig w14:rig="threePt" w14:dir="t">
              <w14:rot w14:lat="0" w14:lon="0" w14:rev="0"/>
            </w14:lightRig>
          </w14:scene3d>
        </w:rPr>
        <w:t>6.5.2</w:t>
      </w:r>
      <w:r>
        <w:rPr>
          <w:rStyle w:val="41"/>
          <w:rFonts w:cs="Times New Roman"/>
          <w:color w:val="auto"/>
        </w:rPr>
        <w:t xml:space="preserve"> 土壤环境质量现状</w:t>
      </w:r>
      <w:r>
        <w:tab/>
      </w:r>
      <w:r>
        <w:fldChar w:fldCharType="begin"/>
      </w:r>
      <w:r>
        <w:instrText xml:space="preserve"> PAGEREF _Toc96680705 \h </w:instrText>
      </w:r>
      <w:r>
        <w:fldChar w:fldCharType="separate"/>
      </w:r>
      <w:r>
        <w:t>90</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"_Toc96680706" </w:instrText>
      </w:r>
      <w:r>
        <w:fldChar w:fldCharType="separate"/>
      </w:r>
      <w:r>
        <w:rPr>
          <w:rStyle w:val="41"/>
          <w:rFonts w:cs="Times New Roman"/>
          <w:color w:val="auto"/>
          <w14:scene3d>
            <w14:lightRig w14:rig="threePt" w14:dir="t">
              <w14:rot w14:lat="0" w14:lon="0" w14:rev="0"/>
            </w14:lightRig>
          </w14:scene3d>
        </w:rPr>
        <w:t>6.6</w:t>
      </w:r>
      <w:r>
        <w:rPr>
          <w:rStyle w:val="41"/>
          <w:rFonts w:cs="Times New Roman"/>
          <w:color w:val="auto"/>
        </w:rPr>
        <w:t xml:space="preserve"> 生态环境现状调查与评价</w:t>
      </w:r>
      <w:r>
        <w:tab/>
      </w:r>
      <w:r>
        <w:fldChar w:fldCharType="begin"/>
      </w:r>
      <w:r>
        <w:instrText xml:space="preserve"> PAGEREF _Toc96680706 \h </w:instrText>
      </w:r>
      <w:r>
        <w:fldChar w:fldCharType="separate"/>
      </w:r>
      <w:r>
        <w:t>90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"_Toc96680707" </w:instrText>
      </w:r>
      <w:r>
        <w:fldChar w:fldCharType="separate"/>
      </w:r>
      <w:r>
        <w:rPr>
          <w:rStyle w:val="41"/>
          <w:rFonts w:cs="Times New Roman"/>
          <w:color w:val="auto"/>
          <w14:scene3d>
            <w14:lightRig w14:rig="threePt" w14:dir="t">
              <w14:rot w14:lat="0" w14:lon="0" w14:rev="0"/>
            </w14:lightRig>
          </w14:scene3d>
        </w:rPr>
        <w:t>6.6.1</w:t>
      </w:r>
      <w:r>
        <w:rPr>
          <w:rStyle w:val="41"/>
          <w:rFonts w:cs="Times New Roman"/>
          <w:color w:val="auto"/>
        </w:rPr>
        <w:t xml:space="preserve"> 生态功能区划</w:t>
      </w:r>
      <w:r>
        <w:tab/>
      </w:r>
      <w:r>
        <w:fldChar w:fldCharType="begin"/>
      </w:r>
      <w:r>
        <w:instrText xml:space="preserve"> PAGEREF _Toc96680707 \h </w:instrText>
      </w:r>
      <w:r>
        <w:fldChar w:fldCharType="separate"/>
      </w:r>
      <w:r>
        <w:t>90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"_Toc96680708" </w:instrText>
      </w:r>
      <w:r>
        <w:fldChar w:fldCharType="separate"/>
      </w:r>
      <w:r>
        <w:rPr>
          <w:rStyle w:val="41"/>
          <w:rFonts w:cs="Times New Roman"/>
          <w:color w:val="auto"/>
          <w14:scene3d>
            <w14:lightRig w14:rig="threePt" w14:dir="t">
              <w14:rot w14:lat="0" w14:lon="0" w14:rev="0"/>
            </w14:lightRig>
          </w14:scene3d>
        </w:rPr>
        <w:t>6.6.2</w:t>
      </w:r>
      <w:r>
        <w:rPr>
          <w:rStyle w:val="41"/>
          <w:rFonts w:cs="Times New Roman"/>
          <w:color w:val="auto"/>
        </w:rPr>
        <w:t xml:space="preserve"> 生态系统调查</w:t>
      </w:r>
      <w:r>
        <w:tab/>
      </w:r>
      <w:r>
        <w:fldChar w:fldCharType="begin"/>
      </w:r>
      <w:r>
        <w:instrText xml:space="preserve"> PAGEREF _Toc96680708 \h </w:instrText>
      </w:r>
      <w:r>
        <w:fldChar w:fldCharType="separate"/>
      </w:r>
      <w:r>
        <w:t>91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"_Toc96680709" </w:instrText>
      </w:r>
      <w:r>
        <w:fldChar w:fldCharType="separate"/>
      </w:r>
      <w:r>
        <w:rPr>
          <w:rStyle w:val="41"/>
          <w:rFonts w:cs="Times New Roman"/>
          <w:color w:val="auto"/>
          <w14:scene3d>
            <w14:lightRig w14:rig="threePt" w14:dir="t">
              <w14:rot w14:lat="0" w14:lon="0" w14:rev="0"/>
            </w14:lightRig>
          </w14:scene3d>
        </w:rPr>
        <w:t>6.6.3</w:t>
      </w:r>
      <w:r>
        <w:rPr>
          <w:rStyle w:val="41"/>
          <w:color w:val="auto"/>
        </w:rPr>
        <w:t xml:space="preserve"> 植被现状</w:t>
      </w:r>
      <w:r>
        <w:tab/>
      </w:r>
      <w:r>
        <w:fldChar w:fldCharType="begin"/>
      </w:r>
      <w:r>
        <w:instrText xml:space="preserve"> PAGEREF _Toc96680709 \h </w:instrText>
      </w:r>
      <w:r>
        <w:fldChar w:fldCharType="separate"/>
      </w:r>
      <w:r>
        <w:t>91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"_Toc96680710" </w:instrText>
      </w:r>
      <w:r>
        <w:fldChar w:fldCharType="separate"/>
      </w:r>
      <w:r>
        <w:rPr>
          <w:rStyle w:val="41"/>
          <w:color w:val="auto"/>
          <w14:scene3d>
            <w14:lightRig w14:rig="threePt" w14:dir="t">
              <w14:rot w14:lat="0" w14:lon="0" w14:rev="0"/>
            </w14:lightRig>
          </w14:scene3d>
        </w:rPr>
        <w:t>6.6.4</w:t>
      </w:r>
      <w:r>
        <w:rPr>
          <w:rStyle w:val="41"/>
          <w:color w:val="auto"/>
        </w:rPr>
        <w:t xml:space="preserve"> 动物资源现状</w:t>
      </w:r>
      <w:r>
        <w:tab/>
      </w:r>
      <w:r>
        <w:fldChar w:fldCharType="begin"/>
      </w:r>
      <w:r>
        <w:instrText xml:space="preserve"> PAGEREF _Toc96680710 \h </w:instrText>
      </w:r>
      <w:r>
        <w:fldChar w:fldCharType="separate"/>
      </w:r>
      <w:r>
        <w:t>98</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"_Toc96680711" </w:instrText>
      </w:r>
      <w:r>
        <w:fldChar w:fldCharType="separate"/>
      </w:r>
      <w:r>
        <w:rPr>
          <w:rStyle w:val="41"/>
          <w:color w:val="auto"/>
          <w14:scene3d>
            <w14:lightRig w14:rig="threePt" w14:dir="t">
              <w14:rot w14:lat="0" w14:lon="0" w14:rev="0"/>
            </w14:lightRig>
          </w14:scene3d>
        </w:rPr>
        <w:t>6.6.5</w:t>
      </w:r>
      <w:r>
        <w:rPr>
          <w:rStyle w:val="41"/>
          <w:color w:val="auto"/>
        </w:rPr>
        <w:t xml:space="preserve"> 土地利用现状</w:t>
      </w:r>
      <w:r>
        <w:tab/>
      </w:r>
      <w:r>
        <w:fldChar w:fldCharType="begin"/>
      </w:r>
      <w:r>
        <w:instrText xml:space="preserve"> PAGEREF _Toc96680711 \h </w:instrText>
      </w:r>
      <w:r>
        <w:fldChar w:fldCharType="separate"/>
      </w:r>
      <w:r>
        <w:t>98</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"_Toc96680712" </w:instrText>
      </w:r>
      <w:r>
        <w:fldChar w:fldCharType="separate"/>
      </w:r>
      <w:r>
        <w:rPr>
          <w:rStyle w:val="41"/>
          <w:color w:val="auto"/>
          <w14:scene3d>
            <w14:lightRig w14:rig="threePt" w14:dir="t">
              <w14:rot w14:lat="0" w14:lon="0" w14:rev="0"/>
            </w14:lightRig>
          </w14:scene3d>
        </w:rPr>
        <w:t>6.6.6</w:t>
      </w:r>
      <w:r>
        <w:rPr>
          <w:rStyle w:val="41"/>
          <w:color w:val="auto"/>
        </w:rPr>
        <w:t xml:space="preserve"> 土壤侵蚀现状</w:t>
      </w:r>
      <w:r>
        <w:tab/>
      </w:r>
      <w:r>
        <w:fldChar w:fldCharType="begin"/>
      </w:r>
      <w:r>
        <w:instrText xml:space="preserve"> PAGEREF _Toc96680712 \h </w:instrText>
      </w:r>
      <w:r>
        <w:fldChar w:fldCharType="separate"/>
      </w:r>
      <w:r>
        <w:t>99</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"_Toc96680713" </w:instrText>
      </w:r>
      <w:r>
        <w:fldChar w:fldCharType="separate"/>
      </w:r>
      <w:r>
        <w:rPr>
          <w:rStyle w:val="41"/>
          <w:color w:val="auto"/>
        </w:rPr>
        <w:t>7 环境影响预测与评价</w:t>
      </w:r>
      <w:r>
        <w:tab/>
      </w:r>
      <w:r>
        <w:fldChar w:fldCharType="begin"/>
      </w:r>
      <w:r>
        <w:instrText xml:space="preserve"> PAGEREF _Toc96680713 \h </w:instrText>
      </w:r>
      <w:r>
        <w:fldChar w:fldCharType="separate"/>
      </w:r>
      <w:r>
        <w:t>100</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"_Toc96680714" </w:instrText>
      </w:r>
      <w:r>
        <w:fldChar w:fldCharType="separate"/>
      </w:r>
      <w:r>
        <w:rPr>
          <w:rStyle w:val="41"/>
          <w:rFonts w:cs="Times New Roman"/>
          <w:color w:val="auto"/>
          <w14:scene3d>
            <w14:lightRig w14:rig="threePt" w14:dir="t">
              <w14:rot w14:lat="0" w14:lon="0" w14:rev="0"/>
            </w14:lightRig>
          </w14:scene3d>
        </w:rPr>
        <w:t>7.1</w:t>
      </w:r>
      <w:r>
        <w:rPr>
          <w:rStyle w:val="41"/>
          <w:rFonts w:cs="Times New Roman"/>
          <w:color w:val="auto"/>
        </w:rPr>
        <w:t xml:space="preserve"> 施工期环境影响分析</w:t>
      </w:r>
      <w:r>
        <w:tab/>
      </w:r>
      <w:r>
        <w:fldChar w:fldCharType="begin"/>
      </w:r>
      <w:r>
        <w:instrText xml:space="preserve"> PAGEREF _Toc96680714 \h </w:instrText>
      </w:r>
      <w:r>
        <w:fldChar w:fldCharType="separate"/>
      </w:r>
      <w:r>
        <w:t>100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"_Toc96680715" </w:instrText>
      </w:r>
      <w:r>
        <w:fldChar w:fldCharType="separate"/>
      </w:r>
      <w:r>
        <w:rPr>
          <w:rStyle w:val="41"/>
          <w:rFonts w:cs="Times New Roman"/>
          <w:color w:val="auto"/>
          <w14:scene3d>
            <w14:lightRig w14:rig="threePt" w14:dir="t">
              <w14:rot w14:lat="0" w14:lon="0" w14:rev="0"/>
            </w14:lightRig>
          </w14:scene3d>
        </w:rPr>
        <w:t>7.1.1</w:t>
      </w:r>
      <w:r>
        <w:rPr>
          <w:rStyle w:val="41"/>
          <w:rFonts w:cs="Times New Roman"/>
          <w:color w:val="auto"/>
        </w:rPr>
        <w:t xml:space="preserve"> 施工期大气环境影响分析</w:t>
      </w:r>
      <w:r>
        <w:tab/>
      </w:r>
      <w:r>
        <w:fldChar w:fldCharType="begin"/>
      </w:r>
      <w:r>
        <w:instrText xml:space="preserve"> PAGEREF _Toc96680715 \h </w:instrText>
      </w:r>
      <w:r>
        <w:fldChar w:fldCharType="separate"/>
      </w:r>
      <w:r>
        <w:t>100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"_Toc96680716" </w:instrText>
      </w:r>
      <w:r>
        <w:fldChar w:fldCharType="separate"/>
      </w:r>
      <w:r>
        <w:rPr>
          <w:rStyle w:val="41"/>
          <w:color w:val="auto"/>
          <w14:scene3d>
            <w14:lightRig w14:rig="threePt" w14:dir="t">
              <w14:rot w14:lat="0" w14:lon="0" w14:rev="0"/>
            </w14:lightRig>
          </w14:scene3d>
        </w:rPr>
        <w:t>7.1.2</w:t>
      </w:r>
      <w:r>
        <w:rPr>
          <w:rStyle w:val="41"/>
          <w:color w:val="auto"/>
        </w:rPr>
        <w:t xml:space="preserve"> 施工期地表水环境影响分析</w:t>
      </w:r>
      <w:r>
        <w:tab/>
      </w:r>
      <w:r>
        <w:fldChar w:fldCharType="begin"/>
      </w:r>
      <w:r>
        <w:instrText xml:space="preserve"> PAGEREF _Toc96680716 \h </w:instrText>
      </w:r>
      <w:r>
        <w:fldChar w:fldCharType="separate"/>
      </w:r>
      <w:r>
        <w:t>101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"_Toc96680717" </w:instrText>
      </w:r>
      <w:r>
        <w:fldChar w:fldCharType="separate"/>
      </w:r>
      <w:r>
        <w:rPr>
          <w:rStyle w:val="41"/>
          <w:color w:val="auto"/>
          <w14:scene3d>
            <w14:lightRig w14:rig="threePt" w14:dir="t">
              <w14:rot w14:lat="0" w14:lon="0" w14:rev="0"/>
            </w14:lightRig>
          </w14:scene3d>
        </w:rPr>
        <w:t>7.1.3</w:t>
      </w:r>
      <w:r>
        <w:rPr>
          <w:rStyle w:val="41"/>
          <w:color w:val="auto"/>
        </w:rPr>
        <w:t xml:space="preserve"> 施工期地下水环境影响分析</w:t>
      </w:r>
      <w:r>
        <w:tab/>
      </w:r>
      <w:r>
        <w:fldChar w:fldCharType="begin"/>
      </w:r>
      <w:r>
        <w:instrText xml:space="preserve"> PAGEREF _Toc96680717 \h </w:instrText>
      </w:r>
      <w:r>
        <w:fldChar w:fldCharType="separate"/>
      </w:r>
      <w:r>
        <w:t>102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"_Toc96680718" </w:instrText>
      </w:r>
      <w:r>
        <w:fldChar w:fldCharType="separate"/>
      </w:r>
      <w:r>
        <w:rPr>
          <w:rStyle w:val="41"/>
          <w:color w:val="auto"/>
          <w14:scene3d>
            <w14:lightRig w14:rig="threePt" w14:dir="t">
              <w14:rot w14:lat="0" w14:lon="0" w14:rev="0"/>
            </w14:lightRig>
          </w14:scene3d>
        </w:rPr>
        <w:t>7.1.4</w:t>
      </w:r>
      <w:r>
        <w:rPr>
          <w:rStyle w:val="41"/>
          <w:color w:val="auto"/>
        </w:rPr>
        <w:t xml:space="preserve"> 施工期声环境影响分析</w:t>
      </w:r>
      <w:r>
        <w:tab/>
      </w:r>
      <w:r>
        <w:fldChar w:fldCharType="begin"/>
      </w:r>
      <w:r>
        <w:instrText xml:space="preserve"> PAGEREF _Toc96680718 \h </w:instrText>
      </w:r>
      <w:r>
        <w:fldChar w:fldCharType="separate"/>
      </w:r>
      <w:r>
        <w:t>102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"_Toc96680719" </w:instrText>
      </w:r>
      <w:r>
        <w:fldChar w:fldCharType="separate"/>
      </w:r>
      <w:r>
        <w:rPr>
          <w:rStyle w:val="41"/>
          <w:color w:val="auto"/>
          <w14:scene3d>
            <w14:lightRig w14:rig="threePt" w14:dir="t">
              <w14:rot w14:lat="0" w14:lon="0" w14:rev="0"/>
            </w14:lightRig>
          </w14:scene3d>
        </w:rPr>
        <w:t>7.1.5</w:t>
      </w:r>
      <w:r>
        <w:rPr>
          <w:rStyle w:val="41"/>
          <w:color w:val="auto"/>
        </w:rPr>
        <w:t xml:space="preserve"> 施工期固体废物环境影响分析</w:t>
      </w:r>
      <w:r>
        <w:tab/>
      </w:r>
      <w:r>
        <w:fldChar w:fldCharType="begin"/>
      </w:r>
      <w:r>
        <w:instrText xml:space="preserve"> PAGEREF _Toc96680719 \h </w:instrText>
      </w:r>
      <w:r>
        <w:fldChar w:fldCharType="separate"/>
      </w:r>
      <w:r>
        <w:t>104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"_Toc96680720" </w:instrText>
      </w:r>
      <w:r>
        <w:fldChar w:fldCharType="separate"/>
      </w:r>
      <w:r>
        <w:rPr>
          <w:rStyle w:val="41"/>
          <w:rFonts w:cs="Times New Roman"/>
          <w:color w:val="auto"/>
          <w14:scene3d>
            <w14:lightRig w14:rig="threePt" w14:dir="t">
              <w14:rot w14:lat="0" w14:lon="0" w14:rev="0"/>
            </w14:lightRig>
          </w14:scene3d>
        </w:rPr>
        <w:t>7.1.6</w:t>
      </w:r>
      <w:r>
        <w:rPr>
          <w:rStyle w:val="41"/>
          <w:rFonts w:cs="Times New Roman"/>
          <w:color w:val="auto"/>
        </w:rPr>
        <w:t xml:space="preserve"> 施工期生态环境影响分析</w:t>
      </w:r>
      <w:r>
        <w:tab/>
      </w:r>
      <w:r>
        <w:fldChar w:fldCharType="begin"/>
      </w:r>
      <w:r>
        <w:instrText xml:space="preserve"> PAGEREF _Toc96680720 \h </w:instrText>
      </w:r>
      <w:r>
        <w:fldChar w:fldCharType="separate"/>
      </w:r>
      <w:r>
        <w:t>105</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"_Toc96680721" </w:instrText>
      </w:r>
      <w:r>
        <w:fldChar w:fldCharType="separate"/>
      </w:r>
      <w:r>
        <w:rPr>
          <w:rStyle w:val="41"/>
          <w:color w:val="auto"/>
          <w14:scene3d>
            <w14:lightRig w14:rig="threePt" w14:dir="t">
              <w14:rot w14:lat="0" w14:lon="0" w14:rev="0"/>
            </w14:lightRig>
          </w14:scene3d>
        </w:rPr>
        <w:t>7.2</w:t>
      </w:r>
      <w:r>
        <w:rPr>
          <w:rStyle w:val="41"/>
          <w:color w:val="auto"/>
        </w:rPr>
        <w:t xml:space="preserve"> 运营期环境影响分析</w:t>
      </w:r>
      <w:r>
        <w:tab/>
      </w:r>
      <w:r>
        <w:fldChar w:fldCharType="begin"/>
      </w:r>
      <w:r>
        <w:instrText xml:space="preserve"> PAGEREF _Toc96680721 \h </w:instrText>
      </w:r>
      <w:r>
        <w:fldChar w:fldCharType="separate"/>
      </w:r>
      <w:r>
        <w:t>109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"_Toc96680722" </w:instrText>
      </w:r>
      <w:r>
        <w:fldChar w:fldCharType="separate"/>
      </w:r>
      <w:r>
        <w:rPr>
          <w:rStyle w:val="41"/>
          <w:color w:val="auto"/>
          <w14:scene3d>
            <w14:lightRig w14:rig="threePt" w14:dir="t">
              <w14:rot w14:lat="0" w14:lon="0" w14:rev="0"/>
            </w14:lightRig>
          </w14:scene3d>
        </w:rPr>
        <w:t>7.2.1</w:t>
      </w:r>
      <w:r>
        <w:rPr>
          <w:rStyle w:val="41"/>
          <w:color w:val="auto"/>
        </w:rPr>
        <w:t xml:space="preserve"> 运营期大气环境影响分析</w:t>
      </w:r>
      <w:r>
        <w:tab/>
      </w:r>
      <w:r>
        <w:fldChar w:fldCharType="begin"/>
      </w:r>
      <w:r>
        <w:instrText xml:space="preserve"> PAGEREF _Toc96680722 \h </w:instrText>
      </w:r>
      <w:r>
        <w:fldChar w:fldCharType="separate"/>
      </w:r>
      <w:r>
        <w:t>109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"_Toc96680723" </w:instrText>
      </w:r>
      <w:r>
        <w:fldChar w:fldCharType="separate"/>
      </w:r>
      <w:r>
        <w:rPr>
          <w:rStyle w:val="41"/>
          <w:color w:val="auto"/>
          <w14:scene3d>
            <w14:lightRig w14:rig="threePt" w14:dir="t">
              <w14:rot w14:lat="0" w14:lon="0" w14:rev="0"/>
            </w14:lightRig>
          </w14:scene3d>
        </w:rPr>
        <w:t>7.2.2</w:t>
      </w:r>
      <w:r>
        <w:rPr>
          <w:rStyle w:val="41"/>
          <w:color w:val="auto"/>
        </w:rPr>
        <w:t xml:space="preserve"> 运营期地表水环境影响分析</w:t>
      </w:r>
      <w:r>
        <w:tab/>
      </w:r>
      <w:r>
        <w:fldChar w:fldCharType="begin"/>
      </w:r>
      <w:r>
        <w:instrText xml:space="preserve"> PAGEREF _Toc96680723 \h </w:instrText>
      </w:r>
      <w:r>
        <w:fldChar w:fldCharType="separate"/>
      </w:r>
      <w:r>
        <w:t>109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"_Toc96680724" </w:instrText>
      </w:r>
      <w:r>
        <w:fldChar w:fldCharType="separate"/>
      </w:r>
      <w:r>
        <w:rPr>
          <w:rStyle w:val="41"/>
          <w:color w:val="auto"/>
          <w14:scene3d>
            <w14:lightRig w14:rig="threePt" w14:dir="t">
              <w14:rot w14:lat="0" w14:lon="0" w14:rev="0"/>
            </w14:lightRig>
          </w14:scene3d>
        </w:rPr>
        <w:t>7.2.3</w:t>
      </w:r>
      <w:r>
        <w:rPr>
          <w:rStyle w:val="41"/>
          <w:color w:val="auto"/>
        </w:rPr>
        <w:t xml:space="preserve"> 运营期地下水环境影响分析</w:t>
      </w:r>
      <w:r>
        <w:tab/>
      </w:r>
      <w:r>
        <w:fldChar w:fldCharType="begin"/>
      </w:r>
      <w:r>
        <w:instrText xml:space="preserve"> PAGEREF _Toc96680724 \h </w:instrText>
      </w:r>
      <w:r>
        <w:fldChar w:fldCharType="separate"/>
      </w:r>
      <w:r>
        <w:t>109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"_Toc96680725" </w:instrText>
      </w:r>
      <w:r>
        <w:fldChar w:fldCharType="separate"/>
      </w:r>
      <w:r>
        <w:rPr>
          <w:rStyle w:val="41"/>
          <w:color w:val="auto"/>
          <w14:scene3d>
            <w14:lightRig w14:rig="threePt" w14:dir="t">
              <w14:rot w14:lat="0" w14:lon="0" w14:rev="0"/>
            </w14:lightRig>
          </w14:scene3d>
        </w:rPr>
        <w:t>7.2.4</w:t>
      </w:r>
      <w:r>
        <w:rPr>
          <w:rStyle w:val="41"/>
          <w:color w:val="auto"/>
        </w:rPr>
        <w:t xml:space="preserve"> 运营期声环境影响分析</w:t>
      </w:r>
      <w:r>
        <w:tab/>
      </w:r>
      <w:r>
        <w:fldChar w:fldCharType="begin"/>
      </w:r>
      <w:r>
        <w:instrText xml:space="preserve"> PAGEREF _Toc96680725 \h </w:instrText>
      </w:r>
      <w:r>
        <w:fldChar w:fldCharType="separate"/>
      </w:r>
      <w:r>
        <w:t>110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"_Toc96680726" </w:instrText>
      </w:r>
      <w:r>
        <w:fldChar w:fldCharType="separate"/>
      </w:r>
      <w:r>
        <w:rPr>
          <w:rStyle w:val="41"/>
          <w:color w:val="auto"/>
          <w14:scene3d>
            <w14:lightRig w14:rig="threePt" w14:dir="t">
              <w14:rot w14:lat="0" w14:lon="0" w14:rev="0"/>
            </w14:lightRig>
          </w14:scene3d>
        </w:rPr>
        <w:t>7.2.5</w:t>
      </w:r>
      <w:r>
        <w:rPr>
          <w:rStyle w:val="41"/>
          <w:color w:val="auto"/>
        </w:rPr>
        <w:t xml:space="preserve"> 运营期固体废物环境影响分析</w:t>
      </w:r>
      <w:r>
        <w:tab/>
      </w:r>
      <w:r>
        <w:fldChar w:fldCharType="begin"/>
      </w:r>
      <w:r>
        <w:instrText xml:space="preserve"> PAGEREF _Toc96680726 \h </w:instrText>
      </w:r>
      <w:r>
        <w:fldChar w:fldCharType="separate"/>
      </w:r>
      <w:r>
        <w:t>110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"_Toc96680727" </w:instrText>
      </w:r>
      <w:r>
        <w:fldChar w:fldCharType="separate"/>
      </w:r>
      <w:r>
        <w:rPr>
          <w:rStyle w:val="41"/>
          <w:color w:val="auto"/>
          <w14:scene3d>
            <w14:lightRig w14:rig="threePt" w14:dir="t">
              <w14:rot w14:lat="0" w14:lon="0" w14:rev="0"/>
            </w14:lightRig>
          </w14:scene3d>
        </w:rPr>
        <w:t>7.2.6</w:t>
      </w:r>
      <w:r>
        <w:rPr>
          <w:rStyle w:val="41"/>
          <w:color w:val="auto"/>
        </w:rPr>
        <w:t xml:space="preserve"> 运营期生态环境影响分析</w:t>
      </w:r>
      <w:r>
        <w:tab/>
      </w:r>
      <w:r>
        <w:fldChar w:fldCharType="begin"/>
      </w:r>
      <w:r>
        <w:instrText xml:space="preserve"> PAGEREF _Toc96680727 \h </w:instrText>
      </w:r>
      <w:r>
        <w:fldChar w:fldCharType="separate"/>
      </w:r>
      <w:r>
        <w:t>110</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"_Toc96680728" </w:instrText>
      </w:r>
      <w:r>
        <w:fldChar w:fldCharType="separate"/>
      </w:r>
      <w:r>
        <w:rPr>
          <w:rStyle w:val="41"/>
          <w:color w:val="auto"/>
          <w14:scene3d>
            <w14:lightRig w14:rig="threePt" w14:dir="t">
              <w14:rot w14:lat="0" w14:lon="0" w14:rev="0"/>
            </w14:lightRig>
          </w14:scene3d>
        </w:rPr>
        <w:t>7.3</w:t>
      </w:r>
      <w:r>
        <w:rPr>
          <w:rStyle w:val="41"/>
          <w:color w:val="auto"/>
        </w:rPr>
        <w:t xml:space="preserve"> 对环境敏感区的影响分析</w:t>
      </w:r>
      <w:r>
        <w:tab/>
      </w:r>
      <w:r>
        <w:fldChar w:fldCharType="begin"/>
      </w:r>
      <w:r>
        <w:instrText xml:space="preserve"> PAGEREF _Toc96680728 \h </w:instrText>
      </w:r>
      <w:r>
        <w:fldChar w:fldCharType="separate"/>
      </w:r>
      <w:r>
        <w:t>113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"_Toc96680729" </w:instrText>
      </w:r>
      <w:r>
        <w:fldChar w:fldCharType="separate"/>
      </w:r>
      <w:r>
        <w:rPr>
          <w:rStyle w:val="41"/>
          <w:color w:val="auto"/>
          <w14:scene3d>
            <w14:lightRig w14:rig="threePt" w14:dir="t">
              <w14:rot w14:lat="0" w14:lon="0" w14:rev="0"/>
            </w14:lightRig>
          </w14:scene3d>
        </w:rPr>
        <w:t>7.3.1</w:t>
      </w:r>
      <w:r>
        <w:rPr>
          <w:rStyle w:val="41"/>
          <w:color w:val="auto"/>
        </w:rPr>
        <w:t xml:space="preserve"> 对永久基本农田环境影响分析</w:t>
      </w:r>
      <w:r>
        <w:tab/>
      </w:r>
      <w:r>
        <w:fldChar w:fldCharType="begin"/>
      </w:r>
      <w:r>
        <w:instrText xml:space="preserve"> PAGEREF _Toc96680729 \h </w:instrText>
      </w:r>
      <w:r>
        <w:fldChar w:fldCharType="separate"/>
      </w:r>
      <w:r>
        <w:t>113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"_Toc96680730" </w:instrText>
      </w:r>
      <w:r>
        <w:fldChar w:fldCharType="separate"/>
      </w:r>
      <w:r>
        <w:rPr>
          <w:rStyle w:val="41"/>
          <w:color w:val="auto"/>
          <w14:scene3d>
            <w14:lightRig w14:rig="threePt" w14:dir="t">
              <w14:rot w14:lat="0" w14:lon="0" w14:rev="0"/>
            </w14:lightRig>
          </w14:scene3d>
        </w:rPr>
        <w:t>7.3.2</w:t>
      </w:r>
      <w:r>
        <w:rPr>
          <w:rStyle w:val="41"/>
          <w:color w:val="auto"/>
        </w:rPr>
        <w:t xml:space="preserve"> 对天然林的影响分析</w:t>
      </w:r>
      <w:r>
        <w:tab/>
      </w:r>
      <w:r>
        <w:fldChar w:fldCharType="begin"/>
      </w:r>
      <w:r>
        <w:instrText xml:space="preserve"> PAGEREF _Toc96680730 \h </w:instrText>
      </w:r>
      <w:r>
        <w:fldChar w:fldCharType="separate"/>
      </w:r>
      <w:r>
        <w:t>114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"_Toc96680731" </w:instrText>
      </w:r>
      <w:r>
        <w:fldChar w:fldCharType="separate"/>
      </w:r>
      <w:r>
        <w:rPr>
          <w:rStyle w:val="41"/>
          <w:color w:val="auto"/>
          <w14:scene3d>
            <w14:lightRig w14:rig="threePt" w14:dir="t">
              <w14:rot w14:lat="0" w14:lon="0" w14:rev="0"/>
            </w14:lightRig>
          </w14:scene3d>
        </w:rPr>
        <w:t>7.3.3</w:t>
      </w:r>
      <w:r>
        <w:rPr>
          <w:rStyle w:val="41"/>
          <w:color w:val="auto"/>
        </w:rPr>
        <w:t xml:space="preserve"> 水土保持分析与评价</w:t>
      </w:r>
      <w:r>
        <w:tab/>
      </w:r>
      <w:r>
        <w:fldChar w:fldCharType="begin"/>
      </w:r>
      <w:r>
        <w:instrText xml:space="preserve"> PAGEREF _Toc96680731 \h </w:instrText>
      </w:r>
      <w:r>
        <w:fldChar w:fldCharType="separate"/>
      </w:r>
      <w:r>
        <w:t>115</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"_Toc96680732" </w:instrText>
      </w:r>
      <w:r>
        <w:fldChar w:fldCharType="separate"/>
      </w:r>
      <w:r>
        <w:rPr>
          <w:rStyle w:val="41"/>
          <w:rFonts w:cs="Times New Roman"/>
          <w:color w:val="auto"/>
        </w:rPr>
        <w:t>8 环境风险影响评价</w:t>
      </w:r>
      <w:r>
        <w:tab/>
      </w:r>
      <w:r>
        <w:fldChar w:fldCharType="begin"/>
      </w:r>
      <w:r>
        <w:instrText xml:space="preserve"> PAGEREF _Toc96680732 \h </w:instrText>
      </w:r>
      <w:r>
        <w:fldChar w:fldCharType="separate"/>
      </w:r>
      <w:r>
        <w:t>117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"_Toc96680733" </w:instrText>
      </w:r>
      <w:r>
        <w:fldChar w:fldCharType="separate"/>
      </w:r>
      <w:r>
        <w:rPr>
          <w:rStyle w:val="41"/>
          <w:rFonts w:cs="Times New Roman"/>
          <w:color w:val="auto"/>
          <w14:scene3d>
            <w14:lightRig w14:rig="threePt" w14:dir="t">
              <w14:rot w14:lat="0" w14:lon="0" w14:rev="0"/>
            </w14:lightRig>
          </w14:scene3d>
        </w:rPr>
        <w:t>8.1</w:t>
      </w:r>
      <w:r>
        <w:rPr>
          <w:rStyle w:val="41"/>
          <w:rFonts w:cs="Times New Roman"/>
          <w:color w:val="auto"/>
        </w:rPr>
        <w:t xml:space="preserve"> 评价原则</w:t>
      </w:r>
      <w:r>
        <w:tab/>
      </w:r>
      <w:r>
        <w:fldChar w:fldCharType="begin"/>
      </w:r>
      <w:r>
        <w:instrText xml:space="preserve"> PAGEREF _Toc96680733 \h </w:instrText>
      </w:r>
      <w:r>
        <w:fldChar w:fldCharType="separate"/>
      </w:r>
      <w:r>
        <w:t>117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"_Toc96680734" </w:instrText>
      </w:r>
      <w:r>
        <w:fldChar w:fldCharType="separate"/>
      </w:r>
      <w:r>
        <w:rPr>
          <w:rStyle w:val="41"/>
          <w:rFonts w:cs="Times New Roman"/>
          <w:color w:val="auto"/>
          <w14:scene3d>
            <w14:lightRig w14:rig="threePt" w14:dir="t">
              <w14:rot w14:lat="0" w14:lon="0" w14:rev="0"/>
            </w14:lightRig>
          </w14:scene3d>
        </w:rPr>
        <w:t>8.2</w:t>
      </w:r>
      <w:r>
        <w:rPr>
          <w:rStyle w:val="41"/>
          <w:rFonts w:cs="Times New Roman"/>
          <w:color w:val="auto"/>
        </w:rPr>
        <w:t xml:space="preserve"> 风险评价程序</w:t>
      </w:r>
      <w:r>
        <w:tab/>
      </w:r>
      <w:r>
        <w:fldChar w:fldCharType="begin"/>
      </w:r>
      <w:r>
        <w:instrText xml:space="preserve"> PAGEREF _Toc96680734 \h </w:instrText>
      </w:r>
      <w:r>
        <w:fldChar w:fldCharType="separate"/>
      </w:r>
      <w:r>
        <w:t>117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"_Toc96680735" </w:instrText>
      </w:r>
      <w:r>
        <w:fldChar w:fldCharType="separate"/>
      </w:r>
      <w:r>
        <w:rPr>
          <w:rStyle w:val="41"/>
          <w:rFonts w:cs="Times New Roman"/>
          <w:color w:val="auto"/>
          <w14:scene3d>
            <w14:lightRig w14:rig="threePt" w14:dir="t">
              <w14:rot w14:lat="0" w14:lon="0" w14:rev="0"/>
            </w14:lightRig>
          </w14:scene3d>
        </w:rPr>
        <w:t>8.3</w:t>
      </w:r>
      <w:r>
        <w:rPr>
          <w:rStyle w:val="41"/>
          <w:rFonts w:cs="Times New Roman"/>
          <w:color w:val="auto"/>
        </w:rPr>
        <w:t xml:space="preserve"> 风险调查</w:t>
      </w:r>
      <w:r>
        <w:tab/>
      </w:r>
      <w:r>
        <w:fldChar w:fldCharType="begin"/>
      </w:r>
      <w:r>
        <w:instrText xml:space="preserve"> PAGEREF _Toc96680735 \h </w:instrText>
      </w:r>
      <w:r>
        <w:fldChar w:fldCharType="separate"/>
      </w:r>
      <w:r>
        <w:t>118</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"_Toc96680736" </w:instrText>
      </w:r>
      <w:r>
        <w:fldChar w:fldCharType="separate"/>
      </w:r>
      <w:r>
        <w:rPr>
          <w:rStyle w:val="41"/>
          <w:rFonts w:cs="Times New Roman"/>
          <w:color w:val="auto"/>
          <w14:scene3d>
            <w14:lightRig w14:rig="threePt" w14:dir="t">
              <w14:rot w14:lat="0" w14:lon="0" w14:rev="0"/>
            </w14:lightRig>
          </w14:scene3d>
        </w:rPr>
        <w:t>8.3.1</w:t>
      </w:r>
      <w:r>
        <w:rPr>
          <w:rStyle w:val="41"/>
          <w:rFonts w:cs="Times New Roman"/>
          <w:color w:val="auto"/>
        </w:rPr>
        <w:t xml:space="preserve"> 风险源调查</w:t>
      </w:r>
      <w:r>
        <w:tab/>
      </w:r>
      <w:r>
        <w:fldChar w:fldCharType="begin"/>
      </w:r>
      <w:r>
        <w:instrText xml:space="preserve"> PAGEREF _Toc96680736 \h </w:instrText>
      </w:r>
      <w:r>
        <w:fldChar w:fldCharType="separate"/>
      </w:r>
      <w:r>
        <w:t>118</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"_Toc96680737" </w:instrText>
      </w:r>
      <w:r>
        <w:fldChar w:fldCharType="separate"/>
      </w:r>
      <w:r>
        <w:rPr>
          <w:rStyle w:val="41"/>
          <w:rFonts w:cs="Times New Roman"/>
          <w:color w:val="auto"/>
          <w14:scene3d>
            <w14:lightRig w14:rig="threePt" w14:dir="t">
              <w14:rot w14:lat="0" w14:lon="0" w14:rev="0"/>
            </w14:lightRig>
          </w14:scene3d>
        </w:rPr>
        <w:t>8.3.2</w:t>
      </w:r>
      <w:r>
        <w:rPr>
          <w:rStyle w:val="41"/>
          <w:rFonts w:cs="Times New Roman"/>
          <w:color w:val="auto"/>
        </w:rPr>
        <w:t xml:space="preserve"> 环境敏感目标调查</w:t>
      </w:r>
      <w:r>
        <w:tab/>
      </w:r>
      <w:r>
        <w:fldChar w:fldCharType="begin"/>
      </w:r>
      <w:r>
        <w:instrText xml:space="preserve"> PAGEREF _Toc96680737 \h </w:instrText>
      </w:r>
      <w:r>
        <w:fldChar w:fldCharType="separate"/>
      </w:r>
      <w:r>
        <w:t>119</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"_Toc96680738" </w:instrText>
      </w:r>
      <w:r>
        <w:fldChar w:fldCharType="separate"/>
      </w:r>
      <w:r>
        <w:rPr>
          <w:rStyle w:val="41"/>
          <w:rFonts w:cs="Times New Roman"/>
          <w:color w:val="auto"/>
          <w14:scene3d>
            <w14:lightRig w14:rig="threePt" w14:dir="t">
              <w14:rot w14:lat="0" w14:lon="0" w14:rev="0"/>
            </w14:lightRig>
          </w14:scene3d>
        </w:rPr>
        <w:t>8.4</w:t>
      </w:r>
      <w:r>
        <w:rPr>
          <w:rStyle w:val="41"/>
          <w:rFonts w:cs="Times New Roman"/>
          <w:color w:val="auto"/>
        </w:rPr>
        <w:t xml:space="preserve"> 风险潜势初判</w:t>
      </w:r>
      <w:r>
        <w:tab/>
      </w:r>
      <w:r>
        <w:fldChar w:fldCharType="begin"/>
      </w:r>
      <w:r>
        <w:instrText xml:space="preserve"> PAGEREF _Toc96680738 \h </w:instrText>
      </w:r>
      <w:r>
        <w:fldChar w:fldCharType="separate"/>
      </w:r>
      <w:r>
        <w:t>119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"_Toc96680739" </w:instrText>
      </w:r>
      <w:r>
        <w:fldChar w:fldCharType="separate"/>
      </w:r>
      <w:r>
        <w:rPr>
          <w:rStyle w:val="41"/>
          <w:color w:val="auto"/>
          <w14:scene3d>
            <w14:lightRig w14:rig="threePt" w14:dir="t">
              <w14:rot w14:lat="0" w14:lon="0" w14:rev="0"/>
            </w14:lightRig>
          </w14:scene3d>
        </w:rPr>
        <w:t>8.4.1</w:t>
      </w:r>
      <w:r>
        <w:rPr>
          <w:rStyle w:val="41"/>
          <w:color w:val="auto"/>
        </w:rPr>
        <w:t xml:space="preserve"> 环境敏感程度（E）的确定</w:t>
      </w:r>
      <w:r>
        <w:tab/>
      </w:r>
      <w:r>
        <w:fldChar w:fldCharType="begin"/>
      </w:r>
      <w:r>
        <w:instrText xml:space="preserve"> PAGEREF _Toc96680739 \h </w:instrText>
      </w:r>
      <w:r>
        <w:fldChar w:fldCharType="separate"/>
      </w:r>
      <w:r>
        <w:t>119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"_Toc96680740" </w:instrText>
      </w:r>
      <w:r>
        <w:fldChar w:fldCharType="separate"/>
      </w:r>
      <w:r>
        <w:rPr>
          <w:rStyle w:val="41"/>
          <w:color w:val="auto"/>
          <w14:scene3d>
            <w14:lightRig w14:rig="threePt" w14:dir="t">
              <w14:rot w14:lat="0" w14:lon="0" w14:rev="0"/>
            </w14:lightRig>
          </w14:scene3d>
        </w:rPr>
        <w:t>8.4.2</w:t>
      </w:r>
      <w:r>
        <w:rPr>
          <w:rStyle w:val="41"/>
          <w:color w:val="auto"/>
        </w:rPr>
        <w:t xml:space="preserve"> 危险物质及工艺系统危险性（P）的分级确定</w:t>
      </w:r>
      <w:r>
        <w:tab/>
      </w:r>
      <w:r>
        <w:fldChar w:fldCharType="begin"/>
      </w:r>
      <w:r>
        <w:instrText xml:space="preserve"> PAGEREF _Toc96680740 \h </w:instrText>
      </w:r>
      <w:r>
        <w:fldChar w:fldCharType="separate"/>
      </w:r>
      <w:r>
        <w:t>120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"_Toc96680741" </w:instrText>
      </w:r>
      <w:r>
        <w:fldChar w:fldCharType="separate"/>
      </w:r>
      <w:r>
        <w:rPr>
          <w:rStyle w:val="41"/>
          <w:color w:val="auto"/>
          <w14:scene3d>
            <w14:lightRig w14:rig="threePt" w14:dir="t">
              <w14:rot w14:lat="0" w14:lon="0" w14:rev="0"/>
            </w14:lightRig>
          </w14:scene3d>
        </w:rPr>
        <w:t>8.4.3</w:t>
      </w:r>
      <w:r>
        <w:rPr>
          <w:rStyle w:val="41"/>
          <w:color w:val="auto"/>
        </w:rPr>
        <w:t xml:space="preserve"> 环境风险潜势划分</w:t>
      </w:r>
      <w:r>
        <w:tab/>
      </w:r>
      <w:r>
        <w:fldChar w:fldCharType="begin"/>
      </w:r>
      <w:r>
        <w:instrText xml:space="preserve"> PAGEREF _Toc96680741 \h </w:instrText>
      </w:r>
      <w:r>
        <w:fldChar w:fldCharType="separate"/>
      </w:r>
      <w:r>
        <w:t>121</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"_Toc96680742" </w:instrText>
      </w:r>
      <w:r>
        <w:fldChar w:fldCharType="separate"/>
      </w:r>
      <w:r>
        <w:rPr>
          <w:rStyle w:val="41"/>
          <w:rFonts w:cs="Times New Roman"/>
          <w:color w:val="auto"/>
          <w14:scene3d>
            <w14:lightRig w14:rig="threePt" w14:dir="t">
              <w14:rot w14:lat="0" w14:lon="0" w14:rev="0"/>
            </w14:lightRig>
          </w14:scene3d>
        </w:rPr>
        <w:t>8.5</w:t>
      </w:r>
      <w:r>
        <w:rPr>
          <w:rStyle w:val="41"/>
          <w:rFonts w:cs="Times New Roman"/>
          <w:color w:val="auto"/>
        </w:rPr>
        <w:t xml:space="preserve"> 评价等级和评价范围</w:t>
      </w:r>
      <w:r>
        <w:tab/>
      </w:r>
      <w:r>
        <w:fldChar w:fldCharType="begin"/>
      </w:r>
      <w:r>
        <w:instrText xml:space="preserve"> PAGEREF _Toc96680742 \h </w:instrText>
      </w:r>
      <w:r>
        <w:fldChar w:fldCharType="separate"/>
      </w:r>
      <w:r>
        <w:t>122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"_Toc96680743" </w:instrText>
      </w:r>
      <w:r>
        <w:fldChar w:fldCharType="separate"/>
      </w:r>
      <w:r>
        <w:rPr>
          <w:rStyle w:val="41"/>
          <w:color w:val="auto"/>
          <w14:scene3d>
            <w14:lightRig w14:rig="threePt" w14:dir="t">
              <w14:rot w14:lat="0" w14:lon="0" w14:rev="0"/>
            </w14:lightRig>
          </w14:scene3d>
        </w:rPr>
        <w:t>8.5.1</w:t>
      </w:r>
      <w:r>
        <w:rPr>
          <w:rStyle w:val="41"/>
          <w:color w:val="auto"/>
        </w:rPr>
        <w:t xml:space="preserve"> 评价等级</w:t>
      </w:r>
      <w:r>
        <w:tab/>
      </w:r>
      <w:r>
        <w:fldChar w:fldCharType="begin"/>
      </w:r>
      <w:r>
        <w:instrText xml:space="preserve"> PAGEREF _Toc96680743 \h </w:instrText>
      </w:r>
      <w:r>
        <w:fldChar w:fldCharType="separate"/>
      </w:r>
      <w:r>
        <w:t>122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"_Toc96680744" </w:instrText>
      </w:r>
      <w:r>
        <w:fldChar w:fldCharType="separate"/>
      </w:r>
      <w:r>
        <w:rPr>
          <w:rStyle w:val="41"/>
          <w:color w:val="auto"/>
          <w14:scene3d>
            <w14:lightRig w14:rig="threePt" w14:dir="t">
              <w14:rot w14:lat="0" w14:lon="0" w14:rev="0"/>
            </w14:lightRig>
          </w14:scene3d>
        </w:rPr>
        <w:t>8.5.2</w:t>
      </w:r>
      <w:r>
        <w:rPr>
          <w:rStyle w:val="41"/>
          <w:color w:val="auto"/>
        </w:rPr>
        <w:t xml:space="preserve"> 评价范围</w:t>
      </w:r>
      <w:r>
        <w:tab/>
      </w:r>
      <w:r>
        <w:fldChar w:fldCharType="begin"/>
      </w:r>
      <w:r>
        <w:instrText xml:space="preserve"> PAGEREF _Toc96680744 \h </w:instrText>
      </w:r>
      <w:r>
        <w:fldChar w:fldCharType="separate"/>
      </w:r>
      <w:r>
        <w:t>122</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"_Toc96680745" </w:instrText>
      </w:r>
      <w:r>
        <w:fldChar w:fldCharType="separate"/>
      </w:r>
      <w:r>
        <w:rPr>
          <w:rStyle w:val="41"/>
          <w:rFonts w:cs="Times New Roman"/>
          <w:color w:val="auto"/>
          <w14:scene3d>
            <w14:lightRig w14:rig="threePt" w14:dir="t">
              <w14:rot w14:lat="0" w14:lon="0" w14:rev="0"/>
            </w14:lightRig>
          </w14:scene3d>
        </w:rPr>
        <w:t>8.6</w:t>
      </w:r>
      <w:r>
        <w:rPr>
          <w:rStyle w:val="41"/>
          <w:rFonts w:cs="Times New Roman"/>
          <w:color w:val="auto"/>
        </w:rPr>
        <w:t xml:space="preserve"> 环境风险识别</w:t>
      </w:r>
      <w:r>
        <w:tab/>
      </w:r>
      <w:r>
        <w:fldChar w:fldCharType="begin"/>
      </w:r>
      <w:r>
        <w:instrText xml:space="preserve"> PAGEREF _Toc96680745 \h </w:instrText>
      </w:r>
      <w:r>
        <w:fldChar w:fldCharType="separate"/>
      </w:r>
      <w:r>
        <w:t>123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"_Toc96680746" </w:instrText>
      </w:r>
      <w:r>
        <w:fldChar w:fldCharType="separate"/>
      </w:r>
      <w:r>
        <w:rPr>
          <w:rStyle w:val="41"/>
          <w:rFonts w:cs="Times New Roman"/>
          <w:color w:val="auto"/>
          <w14:scene3d>
            <w14:lightRig w14:rig="threePt" w14:dir="t">
              <w14:rot w14:lat="0" w14:lon="0" w14:rev="0"/>
            </w14:lightRig>
          </w14:scene3d>
        </w:rPr>
        <w:t>8.6.1</w:t>
      </w:r>
      <w:r>
        <w:rPr>
          <w:rStyle w:val="41"/>
          <w:rFonts w:cs="Times New Roman"/>
          <w:color w:val="auto"/>
        </w:rPr>
        <w:t xml:space="preserve"> 风险物质识别</w:t>
      </w:r>
      <w:r>
        <w:tab/>
      </w:r>
      <w:r>
        <w:fldChar w:fldCharType="begin"/>
      </w:r>
      <w:r>
        <w:instrText xml:space="preserve"> PAGEREF _Toc96680746 \h </w:instrText>
      </w:r>
      <w:r>
        <w:fldChar w:fldCharType="separate"/>
      </w:r>
      <w:r>
        <w:t>123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"_Toc96680747" </w:instrText>
      </w:r>
      <w:r>
        <w:fldChar w:fldCharType="separate"/>
      </w:r>
      <w:r>
        <w:rPr>
          <w:rStyle w:val="41"/>
          <w:rFonts w:cs="Times New Roman"/>
          <w:color w:val="auto"/>
          <w14:scene3d>
            <w14:lightRig w14:rig="threePt" w14:dir="t">
              <w14:rot w14:lat="0" w14:lon="0" w14:rev="0"/>
            </w14:lightRig>
          </w14:scene3d>
        </w:rPr>
        <w:t>8.6.2</w:t>
      </w:r>
      <w:r>
        <w:rPr>
          <w:rStyle w:val="41"/>
          <w:rFonts w:cs="Times New Roman"/>
          <w:color w:val="auto"/>
        </w:rPr>
        <w:t xml:space="preserve"> 生产系统风险识别</w:t>
      </w:r>
      <w:r>
        <w:tab/>
      </w:r>
      <w:r>
        <w:fldChar w:fldCharType="begin"/>
      </w:r>
      <w:r>
        <w:instrText xml:space="preserve"> PAGEREF _Toc96680747 \h </w:instrText>
      </w:r>
      <w:r>
        <w:fldChar w:fldCharType="separate"/>
      </w:r>
      <w:r>
        <w:t>124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"_Toc96680748" </w:instrText>
      </w:r>
      <w:r>
        <w:fldChar w:fldCharType="separate"/>
      </w:r>
      <w:r>
        <w:rPr>
          <w:rStyle w:val="41"/>
          <w:rFonts w:cs="Times New Roman"/>
          <w:color w:val="auto"/>
          <w14:scene3d>
            <w14:lightRig w14:rig="threePt" w14:dir="t">
              <w14:rot w14:lat="0" w14:lon="0" w14:rev="0"/>
            </w14:lightRig>
          </w14:scene3d>
        </w:rPr>
        <w:t>8.6.3</w:t>
      </w:r>
      <w:r>
        <w:rPr>
          <w:rStyle w:val="41"/>
          <w:rFonts w:cs="Times New Roman"/>
          <w:color w:val="auto"/>
        </w:rPr>
        <w:t xml:space="preserve"> 危险物质向环境转移的途径识别</w:t>
      </w:r>
      <w:r>
        <w:tab/>
      </w:r>
      <w:r>
        <w:fldChar w:fldCharType="begin"/>
      </w:r>
      <w:r>
        <w:instrText xml:space="preserve"> PAGEREF _Toc96680748 \h </w:instrText>
      </w:r>
      <w:r>
        <w:fldChar w:fldCharType="separate"/>
      </w:r>
      <w:r>
        <w:t>126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"_Toc96680749" </w:instrText>
      </w:r>
      <w:r>
        <w:fldChar w:fldCharType="separate"/>
      </w:r>
      <w:r>
        <w:rPr>
          <w:rStyle w:val="41"/>
          <w:rFonts w:cs="Times New Roman"/>
          <w:color w:val="auto"/>
          <w14:scene3d>
            <w14:lightRig w14:rig="threePt" w14:dir="t">
              <w14:rot w14:lat="0" w14:lon="0" w14:rev="0"/>
            </w14:lightRig>
          </w14:scene3d>
        </w:rPr>
        <w:t>8.6.4</w:t>
      </w:r>
      <w:r>
        <w:rPr>
          <w:rStyle w:val="41"/>
          <w:rFonts w:cs="Times New Roman"/>
          <w:color w:val="auto"/>
        </w:rPr>
        <w:t xml:space="preserve"> 风险识别结果</w:t>
      </w:r>
      <w:r>
        <w:tab/>
      </w:r>
      <w:r>
        <w:fldChar w:fldCharType="begin"/>
      </w:r>
      <w:r>
        <w:instrText xml:space="preserve"> PAGEREF _Toc96680749 \h </w:instrText>
      </w:r>
      <w:r>
        <w:fldChar w:fldCharType="separate"/>
      </w:r>
      <w:r>
        <w:t>127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"_Toc96680750" </w:instrText>
      </w:r>
      <w:r>
        <w:fldChar w:fldCharType="separate"/>
      </w:r>
      <w:r>
        <w:rPr>
          <w:rStyle w:val="41"/>
          <w:rFonts w:cs="Times New Roman"/>
          <w:color w:val="auto"/>
          <w14:scene3d>
            <w14:lightRig w14:rig="threePt" w14:dir="t">
              <w14:rot w14:lat="0" w14:lon="0" w14:rev="0"/>
            </w14:lightRig>
          </w14:scene3d>
        </w:rPr>
        <w:t>8.7</w:t>
      </w:r>
      <w:r>
        <w:rPr>
          <w:rStyle w:val="41"/>
          <w:rFonts w:cs="Times New Roman"/>
          <w:color w:val="auto"/>
        </w:rPr>
        <w:t xml:space="preserve"> 环境风险分析</w:t>
      </w:r>
      <w:r>
        <w:tab/>
      </w:r>
      <w:r>
        <w:fldChar w:fldCharType="begin"/>
      </w:r>
      <w:r>
        <w:instrText xml:space="preserve"> PAGEREF _Toc96680750 \h </w:instrText>
      </w:r>
      <w:r>
        <w:fldChar w:fldCharType="separate"/>
      </w:r>
      <w:r>
        <w:t>127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"_Toc96680751" </w:instrText>
      </w:r>
      <w:r>
        <w:fldChar w:fldCharType="separate"/>
      </w:r>
      <w:r>
        <w:rPr>
          <w:rStyle w:val="41"/>
          <w:color w:val="auto"/>
          <w14:scene3d>
            <w14:lightRig w14:rig="threePt" w14:dir="t">
              <w14:rot w14:lat="0" w14:lon="0" w14:rev="0"/>
            </w14:lightRig>
          </w14:scene3d>
        </w:rPr>
        <w:t>8.7.1</w:t>
      </w:r>
      <w:r>
        <w:rPr>
          <w:rStyle w:val="41"/>
          <w:color w:val="auto"/>
        </w:rPr>
        <w:t xml:space="preserve"> 天然气泄漏风险影响分析</w:t>
      </w:r>
      <w:r>
        <w:tab/>
      </w:r>
      <w:r>
        <w:fldChar w:fldCharType="begin"/>
      </w:r>
      <w:r>
        <w:instrText xml:space="preserve"> PAGEREF _Toc96680751 \h </w:instrText>
      </w:r>
      <w:r>
        <w:fldChar w:fldCharType="separate"/>
      </w:r>
      <w:r>
        <w:t>127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"_Toc96680752" </w:instrText>
      </w:r>
      <w:r>
        <w:fldChar w:fldCharType="separate"/>
      </w:r>
      <w:r>
        <w:rPr>
          <w:rStyle w:val="41"/>
          <w:color w:val="auto"/>
          <w14:scene3d>
            <w14:lightRig w14:rig="threePt" w14:dir="t">
              <w14:rot w14:lat="0" w14:lon="0" w14:rev="0"/>
            </w14:lightRig>
          </w14:scene3d>
        </w:rPr>
        <w:t>8.7.2</w:t>
      </w:r>
      <w:r>
        <w:rPr>
          <w:rStyle w:val="41"/>
          <w:color w:val="auto"/>
        </w:rPr>
        <w:t xml:space="preserve"> 火灾、爆炸次生污染物影响分析</w:t>
      </w:r>
      <w:r>
        <w:tab/>
      </w:r>
      <w:r>
        <w:fldChar w:fldCharType="begin"/>
      </w:r>
      <w:r>
        <w:instrText xml:space="preserve"> PAGEREF _Toc96680752 \h </w:instrText>
      </w:r>
      <w:r>
        <w:fldChar w:fldCharType="separate"/>
      </w:r>
      <w:r>
        <w:t>127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"_Toc96680753" </w:instrText>
      </w:r>
      <w:r>
        <w:fldChar w:fldCharType="separate"/>
      </w:r>
      <w:r>
        <w:rPr>
          <w:rStyle w:val="41"/>
          <w:color w:val="auto"/>
          <w14:scene3d>
            <w14:lightRig w14:rig="threePt" w14:dir="t">
              <w14:rot w14:lat="0" w14:lon="0" w14:rev="0"/>
            </w14:lightRig>
          </w14:scene3d>
        </w:rPr>
        <w:t>8.7.3</w:t>
      </w:r>
      <w:r>
        <w:rPr>
          <w:rStyle w:val="41"/>
          <w:color w:val="auto"/>
        </w:rPr>
        <w:t xml:space="preserve"> 对沿线农作物的影响分析</w:t>
      </w:r>
      <w:r>
        <w:tab/>
      </w:r>
      <w:r>
        <w:fldChar w:fldCharType="begin"/>
      </w:r>
      <w:r>
        <w:instrText xml:space="preserve"> PAGEREF _Toc96680753 \h </w:instrText>
      </w:r>
      <w:r>
        <w:fldChar w:fldCharType="separate"/>
      </w:r>
      <w:r>
        <w:t>128</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"_Toc96680754" </w:instrText>
      </w:r>
      <w:r>
        <w:fldChar w:fldCharType="separate"/>
      </w:r>
      <w:r>
        <w:rPr>
          <w:rStyle w:val="41"/>
          <w:rFonts w:cs="Times New Roman"/>
          <w:color w:val="auto"/>
          <w14:scene3d>
            <w14:lightRig w14:rig="threePt" w14:dir="t">
              <w14:rot w14:lat="0" w14:lon="0" w14:rev="0"/>
            </w14:lightRig>
          </w14:scene3d>
        </w:rPr>
        <w:t>8.7.4</w:t>
      </w:r>
      <w:r>
        <w:rPr>
          <w:rStyle w:val="41"/>
          <w:rFonts w:cs="Times New Roman"/>
          <w:color w:val="auto"/>
        </w:rPr>
        <w:t xml:space="preserve"> 对沿线林地植被影响分析</w:t>
      </w:r>
      <w:r>
        <w:tab/>
      </w:r>
      <w:r>
        <w:fldChar w:fldCharType="begin"/>
      </w:r>
      <w:r>
        <w:instrText xml:space="preserve"> PAGEREF _Toc96680754 \h </w:instrText>
      </w:r>
      <w:r>
        <w:fldChar w:fldCharType="separate"/>
      </w:r>
      <w:r>
        <w:t>128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"_Toc96680755" </w:instrText>
      </w:r>
      <w:r>
        <w:fldChar w:fldCharType="separate"/>
      </w:r>
      <w:r>
        <w:rPr>
          <w:rStyle w:val="41"/>
          <w:rFonts w:cs="Times New Roman"/>
          <w:color w:val="auto"/>
          <w14:scene3d>
            <w14:lightRig w14:rig="threePt" w14:dir="t">
              <w14:rot w14:lat="0" w14:lon="0" w14:rev="0"/>
            </w14:lightRig>
          </w14:scene3d>
        </w:rPr>
        <w:t>8.8</w:t>
      </w:r>
      <w:r>
        <w:rPr>
          <w:rStyle w:val="41"/>
          <w:rFonts w:cs="Times New Roman"/>
          <w:color w:val="auto"/>
        </w:rPr>
        <w:t xml:space="preserve"> 环境风险管理</w:t>
      </w:r>
      <w:r>
        <w:tab/>
      </w:r>
      <w:r>
        <w:fldChar w:fldCharType="begin"/>
      </w:r>
      <w:r>
        <w:instrText xml:space="preserve"> PAGEREF _Toc96680755 \h </w:instrText>
      </w:r>
      <w:r>
        <w:fldChar w:fldCharType="separate"/>
      </w:r>
      <w:r>
        <w:t>129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"_Toc96680756" </w:instrText>
      </w:r>
      <w:r>
        <w:fldChar w:fldCharType="separate"/>
      </w:r>
      <w:r>
        <w:rPr>
          <w:rStyle w:val="41"/>
          <w:rFonts w:cs="Times New Roman"/>
          <w:color w:val="auto"/>
          <w14:scene3d>
            <w14:lightRig w14:rig="threePt" w14:dir="t">
              <w14:rot w14:lat="0" w14:lon="0" w14:rev="0"/>
            </w14:lightRig>
          </w14:scene3d>
        </w:rPr>
        <w:t>8.8.1</w:t>
      </w:r>
      <w:r>
        <w:rPr>
          <w:rStyle w:val="41"/>
          <w:rFonts w:cs="Times New Roman"/>
          <w:color w:val="auto"/>
        </w:rPr>
        <w:t xml:space="preserve"> 环境风险管理目标</w:t>
      </w:r>
      <w:r>
        <w:tab/>
      </w:r>
      <w:r>
        <w:fldChar w:fldCharType="begin"/>
      </w:r>
      <w:r>
        <w:instrText xml:space="preserve"> PAGEREF _Toc96680756 \h </w:instrText>
      </w:r>
      <w:r>
        <w:fldChar w:fldCharType="separate"/>
      </w:r>
      <w:r>
        <w:t>129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"_Toc96680757" </w:instrText>
      </w:r>
      <w:r>
        <w:fldChar w:fldCharType="separate"/>
      </w:r>
      <w:r>
        <w:rPr>
          <w:rStyle w:val="41"/>
          <w:rFonts w:cs="Times New Roman"/>
          <w:color w:val="auto"/>
          <w14:scene3d>
            <w14:lightRig w14:rig="threePt" w14:dir="t">
              <w14:rot w14:lat="0" w14:lon="0" w14:rev="0"/>
            </w14:lightRig>
          </w14:scene3d>
        </w:rPr>
        <w:t>8.8.2</w:t>
      </w:r>
      <w:r>
        <w:rPr>
          <w:rStyle w:val="41"/>
          <w:rFonts w:cs="Times New Roman"/>
          <w:color w:val="auto"/>
        </w:rPr>
        <w:t xml:space="preserve"> 环境风险防范措施</w:t>
      </w:r>
      <w:r>
        <w:tab/>
      </w:r>
      <w:r>
        <w:fldChar w:fldCharType="begin"/>
      </w:r>
      <w:r>
        <w:instrText xml:space="preserve"> PAGEREF _Toc96680757 \h </w:instrText>
      </w:r>
      <w:r>
        <w:fldChar w:fldCharType="separate"/>
      </w:r>
      <w:r>
        <w:t>130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"_Toc96680758" </w:instrText>
      </w:r>
      <w:r>
        <w:fldChar w:fldCharType="separate"/>
      </w:r>
      <w:r>
        <w:rPr>
          <w:rStyle w:val="41"/>
          <w:rFonts w:cs="Times New Roman"/>
          <w:color w:val="auto"/>
          <w14:scene3d>
            <w14:lightRig w14:rig="threePt" w14:dir="t">
              <w14:rot w14:lat="0" w14:lon="0" w14:rev="0"/>
            </w14:lightRig>
          </w14:scene3d>
        </w:rPr>
        <w:t>8.8.3</w:t>
      </w:r>
      <w:r>
        <w:rPr>
          <w:rStyle w:val="41"/>
          <w:rFonts w:cs="Times New Roman"/>
          <w:color w:val="auto"/>
        </w:rPr>
        <w:t xml:space="preserve"> 环境风险事故应急措施</w:t>
      </w:r>
      <w:r>
        <w:tab/>
      </w:r>
      <w:r>
        <w:fldChar w:fldCharType="begin"/>
      </w:r>
      <w:r>
        <w:instrText xml:space="preserve"> PAGEREF _Toc96680758 \h </w:instrText>
      </w:r>
      <w:r>
        <w:fldChar w:fldCharType="separate"/>
      </w:r>
      <w:r>
        <w:t>135</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"_Toc96680759" </w:instrText>
      </w:r>
      <w:r>
        <w:fldChar w:fldCharType="separate"/>
      </w:r>
      <w:r>
        <w:rPr>
          <w:rStyle w:val="41"/>
          <w:rFonts w:cs="Times New Roman"/>
          <w:color w:val="auto"/>
          <w14:scene3d>
            <w14:lightRig w14:rig="threePt" w14:dir="t">
              <w14:rot w14:lat="0" w14:lon="0" w14:rev="0"/>
            </w14:lightRig>
          </w14:scene3d>
        </w:rPr>
        <w:t>8.8.4</w:t>
      </w:r>
      <w:r>
        <w:rPr>
          <w:rStyle w:val="41"/>
          <w:rFonts w:cs="Times New Roman"/>
          <w:color w:val="auto"/>
        </w:rPr>
        <w:t xml:space="preserve"> 突发环境事件应急预案编制要求</w:t>
      </w:r>
      <w:r>
        <w:tab/>
      </w:r>
      <w:r>
        <w:fldChar w:fldCharType="begin"/>
      </w:r>
      <w:r>
        <w:instrText xml:space="preserve"> PAGEREF _Toc96680759 \h </w:instrText>
      </w:r>
      <w:r>
        <w:fldChar w:fldCharType="separate"/>
      </w:r>
      <w:r>
        <w:t>137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"_Toc96680760" </w:instrText>
      </w:r>
      <w:r>
        <w:fldChar w:fldCharType="separate"/>
      </w:r>
      <w:r>
        <w:rPr>
          <w:rStyle w:val="41"/>
          <w:color w:val="auto"/>
          <w14:scene3d>
            <w14:lightRig w14:rig="threePt" w14:dir="t">
              <w14:rot w14:lat="0" w14:lon="0" w14:rev="0"/>
            </w14:lightRig>
          </w14:scene3d>
        </w:rPr>
        <w:t>8.8.5</w:t>
      </w:r>
      <w:r>
        <w:rPr>
          <w:rStyle w:val="41"/>
          <w:color w:val="auto"/>
        </w:rPr>
        <w:t xml:space="preserve"> 其他要求</w:t>
      </w:r>
      <w:r>
        <w:tab/>
      </w:r>
      <w:r>
        <w:fldChar w:fldCharType="begin"/>
      </w:r>
      <w:r>
        <w:instrText xml:space="preserve"> PAGEREF _Toc96680760 \h </w:instrText>
      </w:r>
      <w:r>
        <w:fldChar w:fldCharType="separate"/>
      </w:r>
      <w:r>
        <w:t>142</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"_Toc96680761" </w:instrText>
      </w:r>
      <w:r>
        <w:fldChar w:fldCharType="separate"/>
      </w:r>
      <w:r>
        <w:rPr>
          <w:rStyle w:val="41"/>
          <w:rFonts w:cs="Times New Roman"/>
          <w:color w:val="auto"/>
          <w14:scene3d>
            <w14:lightRig w14:rig="threePt" w14:dir="t">
              <w14:rot w14:lat="0" w14:lon="0" w14:rev="0"/>
            </w14:lightRig>
          </w14:scene3d>
        </w:rPr>
        <w:t>8.9</w:t>
      </w:r>
      <w:r>
        <w:rPr>
          <w:rStyle w:val="41"/>
          <w:rFonts w:cs="Times New Roman"/>
          <w:color w:val="auto"/>
        </w:rPr>
        <w:t xml:space="preserve"> 风险防范措施投资</w:t>
      </w:r>
      <w:r>
        <w:tab/>
      </w:r>
      <w:r>
        <w:fldChar w:fldCharType="begin"/>
      </w:r>
      <w:r>
        <w:instrText xml:space="preserve"> PAGEREF _Toc96680761 \h </w:instrText>
      </w:r>
      <w:r>
        <w:fldChar w:fldCharType="separate"/>
      </w:r>
      <w:r>
        <w:t>143</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"_Toc96680762" </w:instrText>
      </w:r>
      <w:r>
        <w:fldChar w:fldCharType="separate"/>
      </w:r>
      <w:r>
        <w:rPr>
          <w:rStyle w:val="41"/>
          <w:rFonts w:cs="Times New Roman"/>
          <w:color w:val="auto"/>
          <w14:scene3d>
            <w14:lightRig w14:rig="threePt" w14:dir="t">
              <w14:rot w14:lat="0" w14:lon="0" w14:rev="0"/>
            </w14:lightRig>
          </w14:scene3d>
        </w:rPr>
        <w:t>8.10</w:t>
      </w:r>
      <w:r>
        <w:rPr>
          <w:rStyle w:val="41"/>
          <w:rFonts w:cs="Times New Roman"/>
          <w:color w:val="auto"/>
        </w:rPr>
        <w:t xml:space="preserve"> 环境风险分析结论</w:t>
      </w:r>
      <w:r>
        <w:tab/>
      </w:r>
      <w:r>
        <w:fldChar w:fldCharType="begin"/>
      </w:r>
      <w:r>
        <w:instrText xml:space="preserve"> PAGEREF _Toc96680762 \h </w:instrText>
      </w:r>
      <w:r>
        <w:fldChar w:fldCharType="separate"/>
      </w:r>
      <w:r>
        <w:t>143</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"_Toc96680763" </w:instrText>
      </w:r>
      <w:r>
        <w:fldChar w:fldCharType="separate"/>
      </w:r>
      <w:r>
        <w:rPr>
          <w:rStyle w:val="41"/>
          <w:rFonts w:cs="Times New Roman"/>
          <w:color w:val="auto"/>
        </w:rPr>
        <w:t>9 环境保护措施及其可行性论证</w:t>
      </w:r>
      <w:r>
        <w:tab/>
      </w:r>
      <w:r>
        <w:fldChar w:fldCharType="begin"/>
      </w:r>
      <w:r>
        <w:instrText xml:space="preserve"> PAGEREF _Toc96680763 \h </w:instrText>
      </w:r>
      <w:r>
        <w:fldChar w:fldCharType="separate"/>
      </w:r>
      <w:r>
        <w:t>144</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"_Toc96680764" </w:instrText>
      </w:r>
      <w:r>
        <w:fldChar w:fldCharType="separate"/>
      </w:r>
      <w:r>
        <w:rPr>
          <w:rStyle w:val="41"/>
          <w:rFonts w:cs="Times New Roman"/>
          <w:color w:val="auto"/>
          <w14:scene3d>
            <w14:lightRig w14:rig="threePt" w14:dir="t">
              <w14:rot w14:lat="0" w14:lon="0" w14:rev="0"/>
            </w14:lightRig>
          </w14:scene3d>
        </w:rPr>
        <w:t>9.1</w:t>
      </w:r>
      <w:r>
        <w:rPr>
          <w:rStyle w:val="41"/>
          <w:rFonts w:cs="Times New Roman"/>
          <w:color w:val="auto"/>
        </w:rPr>
        <w:t xml:space="preserve"> 施工期环境影响减缓措施</w:t>
      </w:r>
      <w:r>
        <w:tab/>
      </w:r>
      <w:r>
        <w:fldChar w:fldCharType="begin"/>
      </w:r>
      <w:r>
        <w:instrText xml:space="preserve"> PAGEREF _Toc96680764 \h </w:instrText>
      </w:r>
      <w:r>
        <w:fldChar w:fldCharType="separate"/>
      </w:r>
      <w:r>
        <w:t>144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"_Toc96680765" </w:instrText>
      </w:r>
      <w:r>
        <w:fldChar w:fldCharType="separate"/>
      </w:r>
      <w:r>
        <w:rPr>
          <w:rStyle w:val="41"/>
          <w:rFonts w:cs="Times New Roman"/>
          <w:color w:val="auto"/>
          <w14:scene3d>
            <w14:lightRig w14:rig="threePt" w14:dir="t">
              <w14:rot w14:lat="0" w14:lon="0" w14:rev="0"/>
            </w14:lightRig>
          </w14:scene3d>
        </w:rPr>
        <w:t>9.1.1</w:t>
      </w:r>
      <w:r>
        <w:rPr>
          <w:rStyle w:val="41"/>
          <w:rFonts w:cs="Times New Roman"/>
          <w:color w:val="auto"/>
        </w:rPr>
        <w:t xml:space="preserve"> 施工期大气环境影响减缓措施</w:t>
      </w:r>
      <w:r>
        <w:tab/>
      </w:r>
      <w:r>
        <w:fldChar w:fldCharType="begin"/>
      </w:r>
      <w:r>
        <w:instrText xml:space="preserve"> PAGEREF _Toc96680765 \h </w:instrText>
      </w:r>
      <w:r>
        <w:fldChar w:fldCharType="separate"/>
      </w:r>
      <w:r>
        <w:t>144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"_Toc96680766" </w:instrText>
      </w:r>
      <w:r>
        <w:fldChar w:fldCharType="separate"/>
      </w:r>
      <w:r>
        <w:rPr>
          <w:rStyle w:val="41"/>
          <w:rFonts w:cs="Times New Roman"/>
          <w:color w:val="auto"/>
          <w14:scene3d>
            <w14:lightRig w14:rig="threePt" w14:dir="t">
              <w14:rot w14:lat="0" w14:lon="0" w14:rev="0"/>
            </w14:lightRig>
          </w14:scene3d>
        </w:rPr>
        <w:t>9.1.2</w:t>
      </w:r>
      <w:r>
        <w:rPr>
          <w:rStyle w:val="41"/>
          <w:rFonts w:cs="Times New Roman"/>
          <w:color w:val="auto"/>
        </w:rPr>
        <w:t xml:space="preserve"> 施工期地表水环境影响减缓措施</w:t>
      </w:r>
      <w:r>
        <w:tab/>
      </w:r>
      <w:r>
        <w:fldChar w:fldCharType="begin"/>
      </w:r>
      <w:r>
        <w:instrText xml:space="preserve"> PAGEREF _Toc96680766 \h </w:instrText>
      </w:r>
      <w:r>
        <w:fldChar w:fldCharType="separate"/>
      </w:r>
      <w:r>
        <w:t>146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"_Toc96680767" </w:instrText>
      </w:r>
      <w:r>
        <w:fldChar w:fldCharType="separate"/>
      </w:r>
      <w:r>
        <w:rPr>
          <w:rStyle w:val="41"/>
          <w:color w:val="auto"/>
          <w14:scene3d>
            <w14:lightRig w14:rig="threePt" w14:dir="t">
              <w14:rot w14:lat="0" w14:lon="0" w14:rev="0"/>
            </w14:lightRig>
          </w14:scene3d>
        </w:rPr>
        <w:t>9.1.3</w:t>
      </w:r>
      <w:r>
        <w:rPr>
          <w:rStyle w:val="41"/>
          <w:color w:val="auto"/>
        </w:rPr>
        <w:t xml:space="preserve"> 施工期地下水污染防治措施</w:t>
      </w:r>
      <w:r>
        <w:tab/>
      </w:r>
      <w:r>
        <w:fldChar w:fldCharType="begin"/>
      </w:r>
      <w:r>
        <w:instrText xml:space="preserve"> PAGEREF _Toc96680767 \h </w:instrText>
      </w:r>
      <w:r>
        <w:fldChar w:fldCharType="separate"/>
      </w:r>
      <w:r>
        <w:t>146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"_Toc96680768" </w:instrText>
      </w:r>
      <w:r>
        <w:fldChar w:fldCharType="separate"/>
      </w:r>
      <w:r>
        <w:rPr>
          <w:rStyle w:val="41"/>
          <w:rFonts w:cs="Times New Roman"/>
          <w:color w:val="auto"/>
          <w14:scene3d>
            <w14:lightRig w14:rig="threePt" w14:dir="t">
              <w14:rot w14:lat="0" w14:lon="0" w14:rev="0"/>
            </w14:lightRig>
          </w14:scene3d>
        </w:rPr>
        <w:t>9.1.4</w:t>
      </w:r>
      <w:r>
        <w:rPr>
          <w:rStyle w:val="41"/>
          <w:rFonts w:cs="Times New Roman"/>
          <w:color w:val="auto"/>
        </w:rPr>
        <w:t xml:space="preserve"> 施工期噪声污染防治措施</w:t>
      </w:r>
      <w:r>
        <w:tab/>
      </w:r>
      <w:r>
        <w:fldChar w:fldCharType="begin"/>
      </w:r>
      <w:r>
        <w:instrText xml:space="preserve"> PAGEREF _Toc96680768 \h </w:instrText>
      </w:r>
      <w:r>
        <w:fldChar w:fldCharType="separate"/>
      </w:r>
      <w:r>
        <w:t>146</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"_Toc96680769" </w:instrText>
      </w:r>
      <w:r>
        <w:fldChar w:fldCharType="separate"/>
      </w:r>
      <w:r>
        <w:rPr>
          <w:rStyle w:val="41"/>
          <w:color w:val="auto"/>
          <w14:scene3d>
            <w14:lightRig w14:rig="threePt" w14:dir="t">
              <w14:rot w14:lat="0" w14:lon="0" w14:rev="0"/>
            </w14:lightRig>
          </w14:scene3d>
        </w:rPr>
        <w:t>9.1.5</w:t>
      </w:r>
      <w:r>
        <w:rPr>
          <w:rStyle w:val="41"/>
          <w:color w:val="auto"/>
        </w:rPr>
        <w:t xml:space="preserve"> 施工期固体废物污染防治措施</w:t>
      </w:r>
      <w:r>
        <w:tab/>
      </w:r>
      <w:r>
        <w:fldChar w:fldCharType="begin"/>
      </w:r>
      <w:r>
        <w:instrText xml:space="preserve"> PAGEREF _Toc96680769 \h </w:instrText>
      </w:r>
      <w:r>
        <w:fldChar w:fldCharType="separate"/>
      </w:r>
      <w:r>
        <w:t>147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"_Toc96680770" </w:instrText>
      </w:r>
      <w:r>
        <w:fldChar w:fldCharType="separate"/>
      </w:r>
      <w:r>
        <w:rPr>
          <w:rStyle w:val="41"/>
          <w:color w:val="auto"/>
          <w14:scene3d>
            <w14:lightRig w14:rig="threePt" w14:dir="t">
              <w14:rot w14:lat="0" w14:lon="0" w14:rev="0"/>
            </w14:lightRig>
          </w14:scene3d>
        </w:rPr>
        <w:t>9.1.6</w:t>
      </w:r>
      <w:r>
        <w:rPr>
          <w:rStyle w:val="41"/>
          <w:color w:val="auto"/>
        </w:rPr>
        <w:t xml:space="preserve"> 施工期生态环境影响减缓措施</w:t>
      </w:r>
      <w:r>
        <w:tab/>
      </w:r>
      <w:r>
        <w:fldChar w:fldCharType="begin"/>
      </w:r>
      <w:r>
        <w:instrText xml:space="preserve"> PAGEREF _Toc96680770 \h </w:instrText>
      </w:r>
      <w:r>
        <w:fldChar w:fldCharType="separate"/>
      </w:r>
      <w:r>
        <w:t>147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"_Toc96680771" </w:instrText>
      </w:r>
      <w:r>
        <w:fldChar w:fldCharType="separate"/>
      </w:r>
      <w:r>
        <w:rPr>
          <w:rStyle w:val="41"/>
          <w:rFonts w:cs="Times New Roman"/>
          <w:color w:val="auto"/>
          <w14:scene3d>
            <w14:lightRig w14:rig="threePt" w14:dir="t">
              <w14:rot w14:lat="0" w14:lon="0" w14:rev="0"/>
            </w14:lightRig>
          </w14:scene3d>
        </w:rPr>
        <w:t>9.2</w:t>
      </w:r>
      <w:r>
        <w:rPr>
          <w:rStyle w:val="41"/>
          <w:rFonts w:cs="Times New Roman"/>
          <w:color w:val="auto"/>
        </w:rPr>
        <w:t xml:space="preserve"> 运营期环境影响减缓措施</w:t>
      </w:r>
      <w:r>
        <w:tab/>
      </w:r>
      <w:r>
        <w:fldChar w:fldCharType="begin"/>
      </w:r>
      <w:r>
        <w:instrText xml:space="preserve"> PAGEREF _Toc96680771 \h </w:instrText>
      </w:r>
      <w:r>
        <w:fldChar w:fldCharType="separate"/>
      </w:r>
      <w:r>
        <w:t>154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"_Toc96680772" </w:instrText>
      </w:r>
      <w:r>
        <w:fldChar w:fldCharType="separate"/>
      </w:r>
      <w:r>
        <w:rPr>
          <w:rStyle w:val="41"/>
          <w:color w:val="auto"/>
          <w14:scene3d>
            <w14:lightRig w14:rig="threePt" w14:dir="t">
              <w14:rot w14:lat="0" w14:lon="0" w14:rev="0"/>
            </w14:lightRig>
          </w14:scene3d>
        </w:rPr>
        <w:t>9.2.1</w:t>
      </w:r>
      <w:r>
        <w:rPr>
          <w:rStyle w:val="41"/>
          <w:color w:val="auto"/>
        </w:rPr>
        <w:t xml:space="preserve"> 运营期污染防治措施</w:t>
      </w:r>
      <w:r>
        <w:tab/>
      </w:r>
      <w:r>
        <w:fldChar w:fldCharType="begin"/>
      </w:r>
      <w:r>
        <w:instrText xml:space="preserve"> PAGEREF _Toc96680772 \h </w:instrText>
      </w:r>
      <w:r>
        <w:fldChar w:fldCharType="separate"/>
      </w:r>
      <w:r>
        <w:t>154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"_Toc96680773" </w:instrText>
      </w:r>
      <w:r>
        <w:fldChar w:fldCharType="separate"/>
      </w:r>
      <w:r>
        <w:rPr>
          <w:rStyle w:val="41"/>
          <w:rFonts w:cs="Times New Roman"/>
          <w:color w:val="auto"/>
          <w14:scene3d>
            <w14:lightRig w14:rig="threePt" w14:dir="t">
              <w14:rot w14:lat="0" w14:lon="0" w14:rev="0"/>
            </w14:lightRig>
          </w14:scene3d>
        </w:rPr>
        <w:t>9.2.2</w:t>
      </w:r>
      <w:r>
        <w:rPr>
          <w:rStyle w:val="41"/>
          <w:rFonts w:cs="Times New Roman"/>
          <w:color w:val="auto"/>
        </w:rPr>
        <w:t xml:space="preserve"> 运营期生态环境影响减缓措施</w:t>
      </w:r>
      <w:r>
        <w:tab/>
      </w:r>
      <w:r>
        <w:fldChar w:fldCharType="begin"/>
      </w:r>
      <w:r>
        <w:instrText xml:space="preserve"> PAGEREF _Toc96680773 \h </w:instrText>
      </w:r>
      <w:r>
        <w:fldChar w:fldCharType="separate"/>
      </w:r>
      <w:r>
        <w:t>154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"_Toc96680774" </w:instrText>
      </w:r>
      <w:r>
        <w:fldChar w:fldCharType="separate"/>
      </w:r>
      <w:r>
        <w:rPr>
          <w:rStyle w:val="41"/>
          <w:rFonts w:cs="Times New Roman"/>
          <w:color w:val="auto"/>
          <w14:scene3d>
            <w14:lightRig w14:rig="threePt" w14:dir="t">
              <w14:rot w14:lat="0" w14:lon="0" w14:rev="0"/>
            </w14:lightRig>
          </w14:scene3d>
        </w:rPr>
        <w:t>9.2.3</w:t>
      </w:r>
      <w:r>
        <w:rPr>
          <w:rStyle w:val="41"/>
          <w:rFonts w:cs="Times New Roman"/>
          <w:color w:val="auto"/>
        </w:rPr>
        <w:t xml:space="preserve"> 运营期天然气管线保护措施</w:t>
      </w:r>
      <w:r>
        <w:tab/>
      </w:r>
      <w:r>
        <w:fldChar w:fldCharType="begin"/>
      </w:r>
      <w:r>
        <w:instrText xml:space="preserve"> PAGEREF _Toc96680774 \h </w:instrText>
      </w:r>
      <w:r>
        <w:fldChar w:fldCharType="separate"/>
      </w:r>
      <w:r>
        <w:t>155</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"_Toc96680775" </w:instrText>
      </w:r>
      <w:r>
        <w:fldChar w:fldCharType="separate"/>
      </w:r>
      <w:r>
        <w:rPr>
          <w:rStyle w:val="41"/>
          <w:rFonts w:cs="Times New Roman"/>
          <w:color w:val="auto"/>
          <w14:scene3d>
            <w14:lightRig w14:rig="threePt" w14:dir="t">
              <w14:rot w14:lat="0" w14:lon="0" w14:rev="0"/>
            </w14:lightRig>
          </w14:scene3d>
        </w:rPr>
        <w:t>9.3</w:t>
      </w:r>
      <w:r>
        <w:rPr>
          <w:rStyle w:val="41"/>
          <w:rFonts w:cs="Times New Roman"/>
          <w:color w:val="auto"/>
        </w:rPr>
        <w:t xml:space="preserve"> 环保投资估算</w:t>
      </w:r>
      <w:r>
        <w:tab/>
      </w:r>
      <w:r>
        <w:fldChar w:fldCharType="begin"/>
      </w:r>
      <w:r>
        <w:instrText xml:space="preserve"> PAGEREF _Toc96680775 \h </w:instrText>
      </w:r>
      <w:r>
        <w:fldChar w:fldCharType="separate"/>
      </w:r>
      <w:r>
        <w:t>156</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"_Toc96680776" </w:instrText>
      </w:r>
      <w:r>
        <w:fldChar w:fldCharType="separate"/>
      </w:r>
      <w:r>
        <w:rPr>
          <w:rStyle w:val="41"/>
          <w:rFonts w:cs="Times New Roman"/>
          <w:color w:val="auto"/>
        </w:rPr>
        <w:t>10 环境影响经济损益分析</w:t>
      </w:r>
      <w:r>
        <w:tab/>
      </w:r>
      <w:r>
        <w:fldChar w:fldCharType="begin"/>
      </w:r>
      <w:r>
        <w:instrText xml:space="preserve"> PAGEREF _Toc96680776 \h </w:instrText>
      </w:r>
      <w:r>
        <w:fldChar w:fldCharType="separate"/>
      </w:r>
      <w:r>
        <w:t>158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"_Toc96680777" </w:instrText>
      </w:r>
      <w:r>
        <w:fldChar w:fldCharType="separate"/>
      </w:r>
      <w:r>
        <w:rPr>
          <w:rStyle w:val="41"/>
          <w:rFonts w:cs="Times New Roman"/>
          <w:color w:val="auto"/>
          <w14:scene3d>
            <w14:lightRig w14:rig="threePt" w14:dir="t">
              <w14:rot w14:lat="0" w14:lon="0" w14:rev="0"/>
            </w14:lightRig>
          </w14:scene3d>
        </w:rPr>
        <w:t>10.1</w:t>
      </w:r>
      <w:r>
        <w:rPr>
          <w:rStyle w:val="41"/>
          <w:rFonts w:cs="Times New Roman"/>
          <w:color w:val="auto"/>
        </w:rPr>
        <w:t xml:space="preserve"> 经济效益分析</w:t>
      </w:r>
      <w:r>
        <w:tab/>
      </w:r>
      <w:r>
        <w:fldChar w:fldCharType="begin"/>
      </w:r>
      <w:r>
        <w:instrText xml:space="preserve"> PAGEREF _Toc96680777 \h </w:instrText>
      </w:r>
      <w:r>
        <w:fldChar w:fldCharType="separate"/>
      </w:r>
      <w:r>
        <w:t>158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"_Toc96680778" </w:instrText>
      </w:r>
      <w:r>
        <w:fldChar w:fldCharType="separate"/>
      </w:r>
      <w:r>
        <w:rPr>
          <w:rStyle w:val="41"/>
          <w:rFonts w:cs="Times New Roman"/>
          <w:color w:val="auto"/>
          <w14:scene3d>
            <w14:lightRig w14:rig="threePt" w14:dir="t">
              <w14:rot w14:lat="0" w14:lon="0" w14:rev="0"/>
            </w14:lightRig>
          </w14:scene3d>
        </w:rPr>
        <w:t>10.2</w:t>
      </w:r>
      <w:r>
        <w:rPr>
          <w:rStyle w:val="41"/>
          <w:rFonts w:cs="Times New Roman"/>
          <w:color w:val="auto"/>
        </w:rPr>
        <w:t xml:space="preserve"> 社会效益分析</w:t>
      </w:r>
      <w:r>
        <w:tab/>
      </w:r>
      <w:r>
        <w:fldChar w:fldCharType="begin"/>
      </w:r>
      <w:r>
        <w:instrText xml:space="preserve"> PAGEREF _Toc96680778 \h </w:instrText>
      </w:r>
      <w:r>
        <w:fldChar w:fldCharType="separate"/>
      </w:r>
      <w:r>
        <w:t>158</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"_Toc96680779" </w:instrText>
      </w:r>
      <w:r>
        <w:fldChar w:fldCharType="separate"/>
      </w:r>
      <w:r>
        <w:rPr>
          <w:rStyle w:val="41"/>
          <w:rFonts w:cs="Times New Roman"/>
          <w:color w:val="auto"/>
          <w14:scene3d>
            <w14:lightRig w14:rig="threePt" w14:dir="t">
              <w14:rot w14:lat="0" w14:lon="0" w14:rev="0"/>
            </w14:lightRig>
          </w14:scene3d>
        </w:rPr>
        <w:t>10.3</w:t>
      </w:r>
      <w:r>
        <w:rPr>
          <w:rStyle w:val="41"/>
          <w:rFonts w:cs="Times New Roman"/>
          <w:color w:val="auto"/>
        </w:rPr>
        <w:t xml:space="preserve"> 环境损益分析</w:t>
      </w:r>
      <w:r>
        <w:tab/>
      </w:r>
      <w:r>
        <w:fldChar w:fldCharType="begin"/>
      </w:r>
      <w:r>
        <w:instrText xml:space="preserve"> PAGEREF _Toc96680779 \h </w:instrText>
      </w:r>
      <w:r>
        <w:fldChar w:fldCharType="separate"/>
      </w:r>
      <w:r>
        <w:t>159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"_Toc96680780" </w:instrText>
      </w:r>
      <w:r>
        <w:fldChar w:fldCharType="separate"/>
      </w:r>
      <w:r>
        <w:rPr>
          <w:rStyle w:val="41"/>
          <w:color w:val="auto"/>
          <w14:scene3d>
            <w14:lightRig w14:rig="threePt" w14:dir="t">
              <w14:rot w14:lat="0" w14:lon="0" w14:rev="0"/>
            </w14:lightRig>
          </w14:scene3d>
        </w:rPr>
        <w:t>10.3.1</w:t>
      </w:r>
      <w:r>
        <w:rPr>
          <w:rStyle w:val="41"/>
          <w:color w:val="auto"/>
        </w:rPr>
        <w:t xml:space="preserve"> 环境</w:t>
      </w:r>
      <w:r>
        <w:rPr>
          <w:rStyle w:val="41"/>
          <w:rFonts w:cs="Times New Roman"/>
          <w:color w:val="auto"/>
        </w:rPr>
        <w:t>损失分析</w:t>
      </w:r>
      <w:r>
        <w:tab/>
      </w:r>
      <w:r>
        <w:fldChar w:fldCharType="begin"/>
      </w:r>
      <w:r>
        <w:instrText xml:space="preserve"> PAGEREF _Toc96680780 \h </w:instrText>
      </w:r>
      <w:r>
        <w:fldChar w:fldCharType="separate"/>
      </w:r>
      <w:r>
        <w:t>159</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"_Toc96680781" </w:instrText>
      </w:r>
      <w:r>
        <w:fldChar w:fldCharType="separate"/>
      </w:r>
      <w:r>
        <w:rPr>
          <w:rStyle w:val="41"/>
          <w:rFonts w:cs="Times New Roman"/>
          <w:color w:val="auto"/>
          <w14:scene3d>
            <w14:lightRig w14:rig="threePt" w14:dir="t">
              <w14:rot w14:lat="0" w14:lon="0" w14:rev="0"/>
            </w14:lightRig>
          </w14:scene3d>
        </w:rPr>
        <w:t>10.3.2</w:t>
      </w:r>
      <w:r>
        <w:rPr>
          <w:rStyle w:val="41"/>
          <w:rFonts w:cs="Times New Roman"/>
          <w:color w:val="auto"/>
        </w:rPr>
        <w:t xml:space="preserve"> 环境效益分析</w:t>
      </w:r>
      <w:r>
        <w:tab/>
      </w:r>
      <w:r>
        <w:fldChar w:fldCharType="begin"/>
      </w:r>
      <w:r>
        <w:instrText xml:space="preserve"> PAGEREF _Toc96680781 \h </w:instrText>
      </w:r>
      <w:r>
        <w:fldChar w:fldCharType="separate"/>
      </w:r>
      <w:r>
        <w:t>159</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"_Toc96680782" </w:instrText>
      </w:r>
      <w:r>
        <w:fldChar w:fldCharType="separate"/>
      </w:r>
      <w:r>
        <w:rPr>
          <w:rStyle w:val="41"/>
          <w:color w:val="auto"/>
          <w14:scene3d>
            <w14:lightRig w14:rig="threePt" w14:dir="t">
              <w14:rot w14:lat="0" w14:lon="0" w14:rev="0"/>
            </w14:lightRig>
          </w14:scene3d>
        </w:rPr>
        <w:t>10.4</w:t>
      </w:r>
      <w:r>
        <w:rPr>
          <w:rStyle w:val="41"/>
          <w:color w:val="auto"/>
        </w:rPr>
        <w:t xml:space="preserve"> 环境影响经济损益分析结论</w:t>
      </w:r>
      <w:r>
        <w:tab/>
      </w:r>
      <w:r>
        <w:fldChar w:fldCharType="begin"/>
      </w:r>
      <w:r>
        <w:instrText xml:space="preserve"> PAGEREF _Toc96680782 \h </w:instrText>
      </w:r>
      <w:r>
        <w:fldChar w:fldCharType="separate"/>
      </w:r>
      <w:r>
        <w:t>160</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"_Toc96680783" </w:instrText>
      </w:r>
      <w:r>
        <w:fldChar w:fldCharType="separate"/>
      </w:r>
      <w:r>
        <w:rPr>
          <w:rStyle w:val="41"/>
          <w:rFonts w:cs="Times New Roman"/>
          <w:color w:val="auto"/>
        </w:rPr>
        <w:t>11 环境管理及监测计划</w:t>
      </w:r>
      <w:r>
        <w:tab/>
      </w:r>
      <w:r>
        <w:fldChar w:fldCharType="begin"/>
      </w:r>
      <w:r>
        <w:instrText xml:space="preserve"> PAGEREF _Toc96680783 \h </w:instrText>
      </w:r>
      <w:r>
        <w:fldChar w:fldCharType="separate"/>
      </w:r>
      <w:r>
        <w:t>161</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"_Toc96680784" </w:instrText>
      </w:r>
      <w:r>
        <w:fldChar w:fldCharType="separate"/>
      </w:r>
      <w:r>
        <w:rPr>
          <w:rStyle w:val="41"/>
          <w:color w:val="auto"/>
          <w14:scene3d>
            <w14:lightRig w14:rig="threePt" w14:dir="t">
              <w14:rot w14:lat="0" w14:lon="0" w14:rev="0"/>
            </w14:lightRig>
          </w14:scene3d>
        </w:rPr>
        <w:t>11.1</w:t>
      </w:r>
      <w:r>
        <w:rPr>
          <w:rStyle w:val="41"/>
          <w:color w:val="auto"/>
        </w:rPr>
        <w:t xml:space="preserve"> 环境管理</w:t>
      </w:r>
      <w:r>
        <w:tab/>
      </w:r>
      <w:r>
        <w:fldChar w:fldCharType="begin"/>
      </w:r>
      <w:r>
        <w:instrText xml:space="preserve"> PAGEREF _Toc96680784 \h </w:instrText>
      </w:r>
      <w:r>
        <w:fldChar w:fldCharType="separate"/>
      </w:r>
      <w:r>
        <w:t>161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"_Toc96680785" </w:instrText>
      </w:r>
      <w:r>
        <w:fldChar w:fldCharType="separate"/>
      </w:r>
      <w:r>
        <w:rPr>
          <w:rStyle w:val="41"/>
          <w:color w:val="auto"/>
          <w14:scene3d>
            <w14:lightRig w14:rig="threePt" w14:dir="t">
              <w14:rot w14:lat="0" w14:lon="0" w14:rev="0"/>
            </w14:lightRig>
          </w14:scene3d>
        </w:rPr>
        <w:t>11.1.1</w:t>
      </w:r>
      <w:r>
        <w:rPr>
          <w:rStyle w:val="41"/>
          <w:color w:val="auto"/>
        </w:rPr>
        <w:t xml:space="preserve"> 机构设置</w:t>
      </w:r>
      <w:r>
        <w:tab/>
      </w:r>
      <w:r>
        <w:fldChar w:fldCharType="begin"/>
      </w:r>
      <w:r>
        <w:instrText xml:space="preserve"> PAGEREF _Toc96680785 \h </w:instrText>
      </w:r>
      <w:r>
        <w:fldChar w:fldCharType="separate"/>
      </w:r>
      <w:r>
        <w:t>161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"_Toc96680786" </w:instrText>
      </w:r>
      <w:r>
        <w:fldChar w:fldCharType="separate"/>
      </w:r>
      <w:r>
        <w:rPr>
          <w:rStyle w:val="41"/>
          <w:color w:val="auto"/>
          <w14:scene3d>
            <w14:lightRig w14:rig="threePt" w14:dir="t">
              <w14:rot w14:lat="0" w14:lon="0" w14:rev="0"/>
            </w14:lightRig>
          </w14:scene3d>
        </w:rPr>
        <w:t>11.1.2</w:t>
      </w:r>
      <w:r>
        <w:rPr>
          <w:rStyle w:val="41"/>
          <w:color w:val="auto"/>
        </w:rPr>
        <w:t xml:space="preserve"> 机构职责</w:t>
      </w:r>
      <w:r>
        <w:tab/>
      </w:r>
      <w:r>
        <w:fldChar w:fldCharType="begin"/>
      </w:r>
      <w:r>
        <w:instrText xml:space="preserve"> PAGEREF _Toc96680786 \h </w:instrText>
      </w:r>
      <w:r>
        <w:fldChar w:fldCharType="separate"/>
      </w:r>
      <w:r>
        <w:t>162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"_Toc96680787" </w:instrText>
      </w:r>
      <w:r>
        <w:fldChar w:fldCharType="separate"/>
      </w:r>
      <w:r>
        <w:rPr>
          <w:rStyle w:val="41"/>
          <w:color w:val="auto"/>
          <w14:scene3d>
            <w14:lightRig w14:rig="threePt" w14:dir="t">
              <w14:rot w14:lat="0" w14:lon="0" w14:rev="0"/>
            </w14:lightRig>
          </w14:scene3d>
        </w:rPr>
        <w:t>11.1.3</w:t>
      </w:r>
      <w:r>
        <w:rPr>
          <w:rStyle w:val="41"/>
          <w:color w:val="auto"/>
        </w:rPr>
        <w:t xml:space="preserve"> 施工期环境管理</w:t>
      </w:r>
      <w:r>
        <w:tab/>
      </w:r>
      <w:r>
        <w:fldChar w:fldCharType="begin"/>
      </w:r>
      <w:r>
        <w:instrText xml:space="preserve"> PAGEREF _Toc96680787 \h </w:instrText>
      </w:r>
      <w:r>
        <w:fldChar w:fldCharType="separate"/>
      </w:r>
      <w:r>
        <w:t>163</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"_Toc96680788" </w:instrText>
      </w:r>
      <w:r>
        <w:fldChar w:fldCharType="separate"/>
      </w:r>
      <w:r>
        <w:rPr>
          <w:rStyle w:val="41"/>
          <w:color w:val="auto"/>
          <w14:scene3d>
            <w14:lightRig w14:rig="threePt" w14:dir="t">
              <w14:rot w14:lat="0" w14:lon="0" w14:rev="0"/>
            </w14:lightRig>
          </w14:scene3d>
        </w:rPr>
        <w:t>11.1.4</w:t>
      </w:r>
      <w:r>
        <w:rPr>
          <w:rStyle w:val="41"/>
          <w:color w:val="auto"/>
        </w:rPr>
        <w:t xml:space="preserve"> 运营期环境管理</w:t>
      </w:r>
      <w:r>
        <w:tab/>
      </w:r>
      <w:r>
        <w:fldChar w:fldCharType="begin"/>
      </w:r>
      <w:r>
        <w:instrText xml:space="preserve"> PAGEREF _Toc96680788 \h </w:instrText>
      </w:r>
      <w:r>
        <w:fldChar w:fldCharType="separate"/>
      </w:r>
      <w:r>
        <w:t>164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"_Toc96680789" </w:instrText>
      </w:r>
      <w:r>
        <w:fldChar w:fldCharType="separate"/>
      </w:r>
      <w:r>
        <w:rPr>
          <w:rStyle w:val="41"/>
          <w:color w:val="auto"/>
          <w14:scene3d>
            <w14:lightRig w14:rig="threePt" w14:dir="t">
              <w14:rot w14:lat="0" w14:lon="0" w14:rev="0"/>
            </w14:lightRig>
          </w14:scene3d>
        </w:rPr>
        <w:t>11.1.5</w:t>
      </w:r>
      <w:r>
        <w:rPr>
          <w:rStyle w:val="41"/>
          <w:color w:val="auto"/>
        </w:rPr>
        <w:t xml:space="preserve"> 环境监理</w:t>
      </w:r>
      <w:r>
        <w:tab/>
      </w:r>
      <w:r>
        <w:fldChar w:fldCharType="begin"/>
      </w:r>
      <w:r>
        <w:instrText xml:space="preserve"> PAGEREF _Toc96680789 \h </w:instrText>
      </w:r>
      <w:r>
        <w:fldChar w:fldCharType="separate"/>
      </w:r>
      <w:r>
        <w:t>164</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"_Toc96680790" </w:instrText>
      </w:r>
      <w:r>
        <w:fldChar w:fldCharType="separate"/>
      </w:r>
      <w:r>
        <w:rPr>
          <w:rStyle w:val="41"/>
          <w:rFonts w:cs="Times New Roman"/>
          <w:color w:val="auto"/>
          <w14:scene3d>
            <w14:lightRig w14:rig="threePt" w14:dir="t">
              <w14:rot w14:lat="0" w14:lon="0" w14:rev="0"/>
            </w14:lightRig>
          </w14:scene3d>
        </w:rPr>
        <w:t>11.2</w:t>
      </w:r>
      <w:r>
        <w:rPr>
          <w:rStyle w:val="41"/>
          <w:rFonts w:cs="Times New Roman"/>
          <w:color w:val="auto"/>
        </w:rPr>
        <w:t xml:space="preserve"> 环境监测计划</w:t>
      </w:r>
      <w:r>
        <w:tab/>
      </w:r>
      <w:r>
        <w:fldChar w:fldCharType="begin"/>
      </w:r>
      <w:r>
        <w:instrText xml:space="preserve"> PAGEREF _Toc96680790 \h </w:instrText>
      </w:r>
      <w:r>
        <w:fldChar w:fldCharType="separate"/>
      </w:r>
      <w:r>
        <w:t>167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"_Toc96680791" </w:instrText>
      </w:r>
      <w:r>
        <w:fldChar w:fldCharType="separate"/>
      </w:r>
      <w:r>
        <w:rPr>
          <w:rStyle w:val="41"/>
          <w:rFonts w:cs="Times New Roman"/>
          <w:color w:val="auto"/>
          <w14:scene3d>
            <w14:lightRig w14:rig="threePt" w14:dir="t">
              <w14:rot w14:lat="0" w14:lon="0" w14:rev="0"/>
            </w14:lightRig>
          </w14:scene3d>
        </w:rPr>
        <w:t>11.2.1</w:t>
      </w:r>
      <w:r>
        <w:rPr>
          <w:rStyle w:val="41"/>
          <w:rFonts w:cs="Times New Roman"/>
          <w:color w:val="auto"/>
        </w:rPr>
        <w:t xml:space="preserve"> 环境监测工作组织</w:t>
      </w:r>
      <w:r>
        <w:tab/>
      </w:r>
      <w:r>
        <w:fldChar w:fldCharType="begin"/>
      </w:r>
      <w:r>
        <w:instrText xml:space="preserve"> PAGEREF _Toc96680791 \h </w:instrText>
      </w:r>
      <w:r>
        <w:fldChar w:fldCharType="separate"/>
      </w:r>
      <w:r>
        <w:t>167</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"_Toc96680792" </w:instrText>
      </w:r>
      <w:r>
        <w:fldChar w:fldCharType="separate"/>
      </w:r>
      <w:r>
        <w:rPr>
          <w:rStyle w:val="41"/>
          <w:rFonts w:cs="Times New Roman"/>
          <w:color w:val="auto"/>
          <w14:scene3d>
            <w14:lightRig w14:rig="threePt" w14:dir="t">
              <w14:rot w14:lat="0" w14:lon="0" w14:rev="0"/>
            </w14:lightRig>
          </w14:scene3d>
        </w:rPr>
        <w:t>11.2.2</w:t>
      </w:r>
      <w:r>
        <w:rPr>
          <w:rStyle w:val="41"/>
          <w:color w:val="auto"/>
        </w:rPr>
        <w:t xml:space="preserve"> 监测计划</w:t>
      </w:r>
      <w:r>
        <w:tab/>
      </w:r>
      <w:r>
        <w:fldChar w:fldCharType="begin"/>
      </w:r>
      <w:r>
        <w:instrText xml:space="preserve"> PAGEREF _Toc96680792 \h </w:instrText>
      </w:r>
      <w:r>
        <w:fldChar w:fldCharType="separate"/>
      </w:r>
      <w:r>
        <w:t>167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"_Toc96680793" </w:instrText>
      </w:r>
      <w:r>
        <w:fldChar w:fldCharType="separate"/>
      </w:r>
      <w:r>
        <w:rPr>
          <w:rStyle w:val="41"/>
          <w:color w:val="auto"/>
          <w14:scene3d>
            <w14:lightRig w14:rig="threePt" w14:dir="t">
              <w14:rot w14:lat="0" w14:lon="0" w14:rev="0"/>
            </w14:lightRig>
          </w14:scene3d>
        </w:rPr>
        <w:t>11.3</w:t>
      </w:r>
      <w:r>
        <w:rPr>
          <w:rStyle w:val="41"/>
          <w:color w:val="auto"/>
        </w:rPr>
        <w:t xml:space="preserve"> 环境工程监督管理建议</w:t>
      </w:r>
      <w:r>
        <w:tab/>
      </w:r>
      <w:r>
        <w:fldChar w:fldCharType="begin"/>
      </w:r>
      <w:r>
        <w:instrText xml:space="preserve"> PAGEREF _Toc96680793 \h </w:instrText>
      </w:r>
      <w:r>
        <w:fldChar w:fldCharType="separate"/>
      </w:r>
      <w:r>
        <w:t>167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"_Toc96680794" </w:instrText>
      </w:r>
      <w:r>
        <w:fldChar w:fldCharType="separate"/>
      </w:r>
      <w:r>
        <w:rPr>
          <w:rStyle w:val="41"/>
          <w:color w:val="auto"/>
          <w14:scene3d>
            <w14:lightRig w14:rig="threePt" w14:dir="t">
              <w14:rot w14:lat="0" w14:lon="0" w14:rev="0"/>
            </w14:lightRig>
          </w14:scene3d>
        </w:rPr>
        <w:t>11.4</w:t>
      </w:r>
      <w:r>
        <w:rPr>
          <w:rStyle w:val="41"/>
          <w:color w:val="auto"/>
        </w:rPr>
        <w:t xml:space="preserve"> 竣工环保验收内容及要求</w:t>
      </w:r>
      <w:r>
        <w:tab/>
      </w:r>
      <w:r>
        <w:fldChar w:fldCharType="begin"/>
      </w:r>
      <w:r>
        <w:instrText xml:space="preserve"> PAGEREF _Toc96680794 \h </w:instrText>
      </w:r>
      <w:r>
        <w:fldChar w:fldCharType="separate"/>
      </w:r>
      <w:r>
        <w:t>167</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"_Toc96680795" </w:instrText>
      </w:r>
      <w:r>
        <w:fldChar w:fldCharType="separate"/>
      </w:r>
      <w:r>
        <w:rPr>
          <w:rStyle w:val="41"/>
          <w:color w:val="auto"/>
          <w14:scene3d>
            <w14:lightRig w14:rig="threePt" w14:dir="t">
              <w14:rot w14:lat="0" w14:lon="0" w14:rev="0"/>
            </w14:lightRig>
          </w14:scene3d>
        </w:rPr>
        <w:t>11.5</w:t>
      </w:r>
      <w:r>
        <w:rPr>
          <w:rStyle w:val="41"/>
          <w:color w:val="auto"/>
        </w:rPr>
        <w:t xml:space="preserve"> 碳排放</w:t>
      </w:r>
      <w:r>
        <w:tab/>
      </w:r>
      <w:r>
        <w:fldChar w:fldCharType="begin"/>
      </w:r>
      <w:r>
        <w:instrText xml:space="preserve"> PAGEREF _Toc96680795 \h </w:instrText>
      </w:r>
      <w:r>
        <w:fldChar w:fldCharType="separate"/>
      </w:r>
      <w:r>
        <w:t>168</w:t>
      </w:r>
      <w:r>
        <w:fldChar w:fldCharType="end"/>
      </w:r>
      <w:r>
        <w:fldChar w:fldCharType="end"/>
      </w:r>
    </w:p>
    <w:p>
      <w:pPr>
        <w:pStyle w:val="26"/>
        <w:tabs>
          <w:tab w:val="right" w:leader="dot" w:pos="8296"/>
        </w:tabs>
        <w:rPr>
          <w:rFonts w:asciiTheme="minorHAnsi" w:hAnsiTheme="minorHAnsi" w:eastAsiaTheme="minorEastAsia"/>
          <w:b w:val="0"/>
          <w:sz w:val="21"/>
          <w:szCs w:val="22"/>
        </w:rPr>
      </w:pPr>
      <w:r>
        <w:fldChar w:fldCharType="begin"/>
      </w:r>
      <w:r>
        <w:instrText xml:space="preserve"> HYPERLINK \l "_Toc96680796" </w:instrText>
      </w:r>
      <w:r>
        <w:fldChar w:fldCharType="separate"/>
      </w:r>
      <w:r>
        <w:rPr>
          <w:rStyle w:val="41"/>
          <w:rFonts w:cs="Times New Roman"/>
          <w:color w:val="auto"/>
        </w:rPr>
        <w:t>12 环境影响评价结论及建议</w:t>
      </w:r>
      <w:r>
        <w:tab/>
      </w:r>
      <w:r>
        <w:fldChar w:fldCharType="begin"/>
      </w:r>
      <w:r>
        <w:instrText xml:space="preserve"> PAGEREF _Toc96680796 \h </w:instrText>
      </w:r>
      <w:r>
        <w:fldChar w:fldCharType="separate"/>
      </w:r>
      <w:r>
        <w:t>170</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"_Toc96680797" </w:instrText>
      </w:r>
      <w:r>
        <w:fldChar w:fldCharType="separate"/>
      </w:r>
      <w:r>
        <w:rPr>
          <w:rStyle w:val="41"/>
          <w:rFonts w:cs="Times New Roman"/>
          <w:color w:val="auto"/>
          <w14:scene3d>
            <w14:lightRig w14:rig="threePt" w14:dir="t">
              <w14:rot w14:lat="0" w14:lon="0" w14:rev="0"/>
            </w14:lightRig>
          </w14:scene3d>
        </w:rPr>
        <w:t>12.1</w:t>
      </w:r>
      <w:r>
        <w:rPr>
          <w:rStyle w:val="41"/>
          <w:rFonts w:cs="Times New Roman"/>
          <w:color w:val="auto"/>
        </w:rPr>
        <w:t xml:space="preserve"> 环境影响评价结论</w:t>
      </w:r>
      <w:r>
        <w:tab/>
      </w:r>
      <w:r>
        <w:fldChar w:fldCharType="begin"/>
      </w:r>
      <w:r>
        <w:instrText xml:space="preserve"> PAGEREF _Toc96680797 \h </w:instrText>
      </w:r>
      <w:r>
        <w:fldChar w:fldCharType="separate"/>
      </w:r>
      <w:r>
        <w:t>170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"_Toc96680798" </w:instrText>
      </w:r>
      <w:r>
        <w:fldChar w:fldCharType="separate"/>
      </w:r>
      <w:r>
        <w:rPr>
          <w:rStyle w:val="41"/>
          <w:rFonts w:cs="Times New Roman"/>
          <w:color w:val="auto"/>
          <w14:scene3d>
            <w14:lightRig w14:rig="threePt" w14:dir="t">
              <w14:rot w14:lat="0" w14:lon="0" w14:rev="0"/>
            </w14:lightRig>
          </w14:scene3d>
        </w:rPr>
        <w:t>12.1.1</w:t>
      </w:r>
      <w:r>
        <w:rPr>
          <w:rStyle w:val="41"/>
          <w:rFonts w:cs="Times New Roman"/>
          <w:color w:val="auto"/>
        </w:rPr>
        <w:t xml:space="preserve"> 项目概况</w:t>
      </w:r>
      <w:r>
        <w:tab/>
      </w:r>
      <w:r>
        <w:fldChar w:fldCharType="begin"/>
      </w:r>
      <w:r>
        <w:instrText xml:space="preserve"> PAGEREF _Toc96680798 \h </w:instrText>
      </w:r>
      <w:r>
        <w:fldChar w:fldCharType="separate"/>
      </w:r>
      <w:r>
        <w:t>170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"_Toc96680799" </w:instrText>
      </w:r>
      <w:r>
        <w:fldChar w:fldCharType="separate"/>
      </w:r>
      <w:r>
        <w:rPr>
          <w:rStyle w:val="41"/>
          <w:rFonts w:cs="Times New Roman"/>
          <w:color w:val="auto"/>
          <w14:scene3d>
            <w14:lightRig w14:rig="threePt" w14:dir="t">
              <w14:rot w14:lat="0" w14:lon="0" w14:rev="0"/>
            </w14:lightRig>
          </w14:scene3d>
        </w:rPr>
        <w:t>12.1.2</w:t>
      </w:r>
      <w:r>
        <w:rPr>
          <w:rStyle w:val="41"/>
          <w:rFonts w:cs="Times New Roman"/>
          <w:color w:val="auto"/>
        </w:rPr>
        <w:t xml:space="preserve"> 产业政策符合性</w:t>
      </w:r>
      <w:r>
        <w:tab/>
      </w:r>
      <w:r>
        <w:fldChar w:fldCharType="begin"/>
      </w:r>
      <w:r>
        <w:instrText xml:space="preserve"> PAGEREF _Toc96680799 \h </w:instrText>
      </w:r>
      <w:r>
        <w:fldChar w:fldCharType="separate"/>
      </w:r>
      <w:r>
        <w:t>170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"_Toc96680800" </w:instrText>
      </w:r>
      <w:r>
        <w:fldChar w:fldCharType="separate"/>
      </w:r>
      <w:r>
        <w:rPr>
          <w:rStyle w:val="41"/>
          <w:rFonts w:cs="Times New Roman"/>
          <w:color w:val="auto"/>
          <w14:scene3d>
            <w14:lightRig w14:rig="threePt" w14:dir="t">
              <w14:rot w14:lat="0" w14:lon="0" w14:rev="0"/>
            </w14:lightRig>
          </w14:scene3d>
        </w:rPr>
        <w:t>12.1.3</w:t>
      </w:r>
      <w:r>
        <w:rPr>
          <w:rStyle w:val="41"/>
          <w:rFonts w:cs="Times New Roman"/>
          <w:color w:val="auto"/>
        </w:rPr>
        <w:t xml:space="preserve"> 规划符合性</w:t>
      </w:r>
      <w:r>
        <w:tab/>
      </w:r>
      <w:r>
        <w:fldChar w:fldCharType="begin"/>
      </w:r>
      <w:r>
        <w:instrText xml:space="preserve"> PAGEREF _Toc96680800 \h </w:instrText>
      </w:r>
      <w:r>
        <w:fldChar w:fldCharType="separate"/>
      </w:r>
      <w:r>
        <w:t>170</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"_Toc96680801" </w:instrText>
      </w:r>
      <w:r>
        <w:fldChar w:fldCharType="separate"/>
      </w:r>
      <w:r>
        <w:rPr>
          <w:rStyle w:val="41"/>
          <w:color w:val="auto"/>
          <w14:scene3d>
            <w14:lightRig w14:rig="threePt" w14:dir="t">
              <w14:rot w14:lat="0" w14:lon="0" w14:rev="0"/>
            </w14:lightRig>
          </w14:scene3d>
        </w:rPr>
        <w:t>12.1.4</w:t>
      </w:r>
      <w:r>
        <w:rPr>
          <w:rStyle w:val="41"/>
          <w:color w:val="auto"/>
        </w:rPr>
        <w:t xml:space="preserve"> “三线一单”的符合性</w:t>
      </w:r>
      <w:r>
        <w:tab/>
      </w:r>
      <w:r>
        <w:fldChar w:fldCharType="begin"/>
      </w:r>
      <w:r>
        <w:instrText xml:space="preserve"> PAGEREF _Toc96680801 \h </w:instrText>
      </w:r>
      <w:r>
        <w:fldChar w:fldCharType="separate"/>
      </w:r>
      <w:r>
        <w:t>171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"_Toc96680802" </w:instrText>
      </w:r>
      <w:r>
        <w:fldChar w:fldCharType="separate"/>
      </w:r>
      <w:r>
        <w:rPr>
          <w:rStyle w:val="41"/>
          <w:rFonts w:cs="Times New Roman"/>
          <w:color w:val="auto"/>
          <w14:scene3d>
            <w14:lightRig w14:rig="threePt" w14:dir="t">
              <w14:rot w14:lat="0" w14:lon="0" w14:rev="0"/>
            </w14:lightRig>
          </w14:scene3d>
        </w:rPr>
        <w:t>12.1.5</w:t>
      </w:r>
      <w:r>
        <w:rPr>
          <w:rStyle w:val="41"/>
          <w:rFonts w:cs="Times New Roman"/>
          <w:color w:val="auto"/>
        </w:rPr>
        <w:t xml:space="preserve"> 总量控制</w:t>
      </w:r>
      <w:r>
        <w:tab/>
      </w:r>
      <w:r>
        <w:fldChar w:fldCharType="begin"/>
      </w:r>
      <w:r>
        <w:instrText xml:space="preserve"> PAGEREF _Toc96680802 \h </w:instrText>
      </w:r>
      <w:r>
        <w:fldChar w:fldCharType="separate"/>
      </w:r>
      <w:r>
        <w:t>171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"_Toc96680803" </w:instrText>
      </w:r>
      <w:r>
        <w:fldChar w:fldCharType="separate"/>
      </w:r>
      <w:r>
        <w:rPr>
          <w:rStyle w:val="41"/>
          <w:rFonts w:cs="Times New Roman"/>
          <w:color w:val="auto"/>
          <w14:scene3d>
            <w14:lightRig w14:rig="threePt" w14:dir="t">
              <w14:rot w14:lat="0" w14:lon="0" w14:rev="0"/>
            </w14:lightRig>
          </w14:scene3d>
        </w:rPr>
        <w:t>12.1.6</w:t>
      </w:r>
      <w:r>
        <w:rPr>
          <w:rStyle w:val="41"/>
          <w:rFonts w:cs="Times New Roman"/>
          <w:color w:val="auto"/>
        </w:rPr>
        <w:t xml:space="preserve"> 环境现状评价结论</w:t>
      </w:r>
      <w:r>
        <w:tab/>
      </w:r>
      <w:r>
        <w:fldChar w:fldCharType="begin"/>
      </w:r>
      <w:r>
        <w:instrText xml:space="preserve"> PAGEREF _Toc96680803 \h </w:instrText>
      </w:r>
      <w:r>
        <w:fldChar w:fldCharType="separate"/>
      </w:r>
      <w:r>
        <w:t>171</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"_Toc96680804" </w:instrText>
      </w:r>
      <w:r>
        <w:fldChar w:fldCharType="separate"/>
      </w:r>
      <w:r>
        <w:rPr>
          <w:rStyle w:val="41"/>
          <w:color w:val="auto"/>
          <w14:scene3d>
            <w14:lightRig w14:rig="threePt" w14:dir="t">
              <w14:rot w14:lat="0" w14:lon="0" w14:rev="0"/>
            </w14:lightRig>
          </w14:scene3d>
        </w:rPr>
        <w:t>12.1.7</w:t>
      </w:r>
      <w:r>
        <w:rPr>
          <w:rStyle w:val="41"/>
          <w:color w:val="auto"/>
        </w:rPr>
        <w:t xml:space="preserve"> 污染防治措施及环境影响</w:t>
      </w:r>
      <w:r>
        <w:tab/>
      </w:r>
      <w:r>
        <w:fldChar w:fldCharType="begin"/>
      </w:r>
      <w:r>
        <w:instrText xml:space="preserve"> PAGEREF _Toc96680804 \h </w:instrText>
      </w:r>
      <w:r>
        <w:fldChar w:fldCharType="separate"/>
      </w:r>
      <w:r>
        <w:t>172</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"_Toc96680805" </w:instrText>
      </w:r>
      <w:r>
        <w:fldChar w:fldCharType="separate"/>
      </w:r>
      <w:r>
        <w:rPr>
          <w:rStyle w:val="41"/>
          <w:rFonts w:cs="Times New Roman"/>
          <w:color w:val="auto"/>
          <w14:scene3d>
            <w14:lightRig w14:rig="threePt" w14:dir="t">
              <w14:rot w14:lat="0" w14:lon="0" w14:rev="0"/>
            </w14:lightRig>
          </w14:scene3d>
        </w:rPr>
        <w:t>12.1.8</w:t>
      </w:r>
      <w:r>
        <w:rPr>
          <w:rStyle w:val="41"/>
          <w:rFonts w:cs="Times New Roman"/>
          <w:color w:val="auto"/>
        </w:rPr>
        <w:t xml:space="preserve"> 污染防治措施的有效性</w:t>
      </w:r>
      <w:r>
        <w:tab/>
      </w:r>
      <w:r>
        <w:fldChar w:fldCharType="begin"/>
      </w:r>
      <w:r>
        <w:instrText xml:space="preserve"> PAGEREF _Toc96680805 \h </w:instrText>
      </w:r>
      <w:r>
        <w:fldChar w:fldCharType="separate"/>
      </w:r>
      <w:r>
        <w:t>174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"_Toc96680806" </w:instrText>
      </w:r>
      <w:r>
        <w:fldChar w:fldCharType="separate"/>
      </w:r>
      <w:r>
        <w:rPr>
          <w:rStyle w:val="41"/>
          <w:rFonts w:cs="Times New Roman"/>
          <w:color w:val="auto"/>
          <w14:scene3d>
            <w14:lightRig w14:rig="threePt" w14:dir="t">
              <w14:rot w14:lat="0" w14:lon="0" w14:rev="0"/>
            </w14:lightRig>
          </w14:scene3d>
        </w:rPr>
        <w:t>12.1.9</w:t>
      </w:r>
      <w:r>
        <w:rPr>
          <w:rStyle w:val="41"/>
          <w:rFonts w:cs="Times New Roman"/>
          <w:color w:val="auto"/>
        </w:rPr>
        <w:t xml:space="preserve"> 公众参与</w:t>
      </w:r>
      <w:r>
        <w:tab/>
      </w:r>
      <w:r>
        <w:fldChar w:fldCharType="begin"/>
      </w:r>
      <w:r>
        <w:instrText xml:space="preserve"> PAGEREF _Toc96680806 \h </w:instrText>
      </w:r>
      <w:r>
        <w:fldChar w:fldCharType="separate"/>
      </w:r>
      <w:r>
        <w:t>174</w:t>
      </w:r>
      <w:r>
        <w:fldChar w:fldCharType="end"/>
      </w:r>
      <w:r>
        <w:fldChar w:fldCharType="end"/>
      </w:r>
    </w:p>
    <w:p>
      <w:pPr>
        <w:pStyle w:val="18"/>
        <w:tabs>
          <w:tab w:val="right" w:leader="dot" w:pos="8296"/>
        </w:tabs>
        <w:ind w:left="720"/>
        <w:rPr>
          <w:rFonts w:asciiTheme="minorHAnsi" w:hAnsiTheme="minorHAnsi" w:eastAsiaTheme="minorEastAsia"/>
        </w:rPr>
      </w:pPr>
      <w:r>
        <w:fldChar w:fldCharType="begin"/>
      </w:r>
      <w:r>
        <w:instrText xml:space="preserve"> HYPERLINK \l "_Toc96680807" </w:instrText>
      </w:r>
      <w:r>
        <w:fldChar w:fldCharType="separate"/>
      </w:r>
      <w:r>
        <w:rPr>
          <w:rStyle w:val="41"/>
          <w:rFonts w:cs="Times New Roman"/>
          <w:color w:val="auto"/>
          <w14:scene3d>
            <w14:lightRig w14:rig="threePt" w14:dir="t">
              <w14:rot w14:lat="0" w14:lon="0" w14:rev="0"/>
            </w14:lightRig>
          </w14:scene3d>
        </w:rPr>
        <w:t>12.1.10</w:t>
      </w:r>
      <w:r>
        <w:rPr>
          <w:rStyle w:val="41"/>
          <w:rFonts w:cs="Times New Roman"/>
          <w:color w:val="auto"/>
        </w:rPr>
        <w:t xml:space="preserve"> 评价结论</w:t>
      </w:r>
      <w:r>
        <w:tab/>
      </w:r>
      <w:r>
        <w:fldChar w:fldCharType="begin"/>
      </w:r>
      <w:r>
        <w:instrText xml:space="preserve"> PAGEREF _Toc96680807 \h </w:instrText>
      </w:r>
      <w:r>
        <w:fldChar w:fldCharType="separate"/>
      </w:r>
      <w:r>
        <w:t>174</w:t>
      </w:r>
      <w:r>
        <w:fldChar w:fldCharType="end"/>
      </w:r>
      <w:r>
        <w:fldChar w:fldCharType="end"/>
      </w:r>
    </w:p>
    <w:p>
      <w:pPr>
        <w:pStyle w:val="29"/>
        <w:tabs>
          <w:tab w:val="right" w:leader="dot" w:pos="8296"/>
        </w:tabs>
        <w:ind w:left="360"/>
        <w:rPr>
          <w:rFonts w:asciiTheme="minorHAnsi" w:hAnsiTheme="minorHAnsi" w:eastAsiaTheme="minorEastAsia"/>
          <w:szCs w:val="22"/>
        </w:rPr>
      </w:pPr>
      <w:r>
        <w:fldChar w:fldCharType="begin"/>
      </w:r>
      <w:r>
        <w:instrText xml:space="preserve"> HYPERLINK \l "_Toc96680808" </w:instrText>
      </w:r>
      <w:r>
        <w:fldChar w:fldCharType="separate"/>
      </w:r>
      <w:r>
        <w:rPr>
          <w:rStyle w:val="41"/>
          <w:rFonts w:cs="Times New Roman"/>
          <w:color w:val="auto"/>
          <w14:scene3d>
            <w14:lightRig w14:rig="threePt" w14:dir="t">
              <w14:rot w14:lat="0" w14:lon="0" w14:rev="0"/>
            </w14:lightRig>
          </w14:scene3d>
        </w:rPr>
        <w:t>12.2</w:t>
      </w:r>
      <w:r>
        <w:rPr>
          <w:rStyle w:val="41"/>
          <w:rFonts w:cs="Times New Roman"/>
          <w:color w:val="auto"/>
        </w:rPr>
        <w:t xml:space="preserve"> 建议</w:t>
      </w:r>
      <w:r>
        <w:tab/>
      </w:r>
      <w:r>
        <w:fldChar w:fldCharType="begin"/>
      </w:r>
      <w:r>
        <w:instrText xml:space="preserve"> PAGEREF _Toc96680808 \h </w:instrText>
      </w:r>
      <w:r>
        <w:fldChar w:fldCharType="separate"/>
      </w:r>
      <w:r>
        <w:t>174</w:t>
      </w:r>
      <w:r>
        <w:fldChar w:fldCharType="end"/>
      </w:r>
      <w:r>
        <w:fldChar w:fldCharType="end"/>
      </w:r>
    </w:p>
    <w:p>
      <w:pPr>
        <w:ind w:firstLine="372" w:firstLineChars="155"/>
        <w:rPr>
          <w:rFonts w:cs="Times New Roman"/>
        </w:rPr>
      </w:pPr>
      <w:r>
        <w:rPr>
          <w:rFonts w:cs="Times New Roman"/>
        </w:rPr>
        <w:fldChar w:fldCharType="end"/>
      </w:r>
      <w:bookmarkEnd w:id="0"/>
      <w:bookmarkEnd w:id="1"/>
    </w:p>
    <w:p>
      <w:pPr>
        <w:pStyle w:val="2"/>
        <w:ind w:left="900" w:hanging="420"/>
      </w:pPr>
    </w:p>
    <w:p>
      <w:pPr>
        <w:ind w:firstLine="480"/>
        <w:rPr>
          <w:rFonts w:hint="eastAsia"/>
        </w:rPr>
        <w:sectPr>
          <w:headerReference r:id="rId11" w:type="default"/>
          <w:footerReference r:id="rId12" w:type="default"/>
          <w:pgSz w:w="11906" w:h="16838"/>
          <w:pgMar w:top="1440" w:right="1800" w:bottom="1440" w:left="1800" w:header="851" w:footer="992" w:gutter="0"/>
          <w:pgNumType w:fmt="upperRoman" w:start="1"/>
          <w:cols w:space="425" w:num="1"/>
          <w:docGrid w:type="lines" w:linePitch="312" w:charSpace="0"/>
        </w:sectPr>
      </w:pPr>
    </w:p>
    <w:p>
      <w:pPr>
        <w:pStyle w:val="3"/>
        <w:numPr>
          <w:ilvl w:val="0"/>
          <w:numId w:val="0"/>
        </w:numPr>
        <w:rPr>
          <w:rStyle w:val="166"/>
          <w:rFonts w:hint="default"/>
          <w:color w:val="auto"/>
        </w:rPr>
      </w:pPr>
      <w:bookmarkStart w:id="2" w:name="_Toc57710979"/>
      <w:bookmarkStart w:id="3" w:name="_Toc96680593"/>
      <w:r>
        <w:t>前  言</w:t>
      </w:r>
      <w:bookmarkEnd w:id="2"/>
      <w:bookmarkEnd w:id="3"/>
    </w:p>
    <w:p>
      <w:pPr>
        <w:pStyle w:val="122"/>
        <w:numPr>
          <w:ilvl w:val="0"/>
          <w:numId w:val="3"/>
        </w:numPr>
        <w:ind w:firstLineChars="0"/>
        <w:outlineLvl w:val="4"/>
        <w:rPr>
          <w:rFonts w:cs="Times New Roman"/>
          <w:b/>
          <w:bCs/>
          <w:sz w:val="30"/>
          <w:szCs w:val="30"/>
        </w:rPr>
      </w:pPr>
      <w:r>
        <w:rPr>
          <w:rFonts w:cs="Times New Roman"/>
          <w:b/>
          <w:bCs/>
          <w:sz w:val="30"/>
          <w:szCs w:val="30"/>
        </w:rPr>
        <w:t>项目由来</w:t>
      </w:r>
    </w:p>
    <w:p>
      <w:pPr>
        <w:widowControl/>
        <w:ind w:firstLine="482"/>
        <w:jc w:val="left"/>
        <w:rPr>
          <w:b/>
        </w:rPr>
      </w:pPr>
      <w:r>
        <w:rPr>
          <w:rFonts w:hint="eastAsia"/>
          <w:b/>
        </w:rPr>
        <w:t>1.河巴线</w:t>
      </w:r>
      <w:r>
        <w:rPr>
          <w:b/>
        </w:rPr>
        <w:t>输气管道现状</w:t>
      </w:r>
    </w:p>
    <w:p>
      <w:pPr>
        <w:widowControl/>
        <w:ind w:firstLine="480"/>
        <w:jc w:val="left"/>
        <w:rPr>
          <w:rFonts w:ascii="宋体" w:hAnsi="宋体" w:cs="宋体"/>
          <w:kern w:val="0"/>
          <w:szCs w:val="24"/>
          <w:lang w:bidi="ar"/>
        </w:rPr>
      </w:pPr>
      <w:r>
        <w:t>中国石化西南油气分公司</w:t>
      </w:r>
      <w:r>
        <w:rPr>
          <w:rFonts w:hint="eastAsia" w:ascii="宋体" w:hAnsi="宋体" w:cs="宋体"/>
          <w:kern w:val="0"/>
          <w:szCs w:val="24"/>
          <w:lang w:bidi="ar"/>
        </w:rPr>
        <w:t>河坝</w:t>
      </w:r>
      <w:r>
        <w:rPr>
          <w:rFonts w:cs="Times New Roman"/>
          <w:kern w:val="0"/>
          <w:szCs w:val="24"/>
          <w:lang w:bidi="ar"/>
        </w:rPr>
        <w:t>1</w:t>
      </w:r>
      <w:r>
        <w:rPr>
          <w:rFonts w:hint="eastAsia" w:ascii="宋体" w:hAnsi="宋体" w:cs="宋体"/>
          <w:kern w:val="0"/>
          <w:szCs w:val="24"/>
          <w:lang w:bidi="ar"/>
        </w:rPr>
        <w:t>井</w:t>
      </w:r>
      <w:r>
        <w:rPr>
          <w:rFonts w:cs="Times New Roman"/>
          <w:kern w:val="0"/>
          <w:szCs w:val="24"/>
          <w:lang w:bidi="ar"/>
        </w:rPr>
        <w:t>-</w:t>
      </w:r>
      <w:r>
        <w:rPr>
          <w:rFonts w:hint="eastAsia" w:ascii="宋体" w:hAnsi="宋体" w:cs="宋体"/>
          <w:kern w:val="0"/>
          <w:szCs w:val="24"/>
          <w:lang w:bidi="ar"/>
        </w:rPr>
        <w:t>巴中输气站长输管道（以下简称“河巴线”）</w:t>
      </w:r>
      <w:r>
        <w:rPr>
          <w:rFonts w:hint="eastAsia"/>
        </w:rPr>
        <w:t>起于河坝1井，终于巴中输气站，管线全长</w:t>
      </w:r>
      <w:r>
        <w:t>81</w:t>
      </w:r>
      <w:r>
        <w:rPr>
          <w:rFonts w:hint="eastAsia"/>
        </w:rPr>
        <w:t>km。</w:t>
      </w:r>
      <w:r>
        <w:t>河巴线管线设计压力为8.0MPa，设计输量为150×10</w:t>
      </w:r>
      <w:r>
        <w:rPr>
          <w:vertAlign w:val="superscript"/>
        </w:rPr>
        <w:t>4</w:t>
      </w:r>
      <w:r>
        <w:t>m</w:t>
      </w:r>
      <w:r>
        <w:rPr>
          <w:vertAlign w:val="superscript"/>
        </w:rPr>
        <w:t>3</w:t>
      </w:r>
      <w:r>
        <w:t>/d，管道规格为Φ273×8.0mm，材质为L360无缝钢管，管道全线采用常温型加强级三层PE外防腐，联合强制电流阴极保护系统，输气管道全线同沟敷设GYTA53-同模12芯光缆。现实际运行压力范围为4.0~5.0MPa，实际输气量为33×10</w:t>
      </w:r>
      <w:r>
        <w:rPr>
          <w:vertAlign w:val="superscript"/>
        </w:rPr>
        <w:t>4</w:t>
      </w:r>
      <w:r>
        <w:t>m</w:t>
      </w:r>
      <w:r>
        <w:rPr>
          <w:vertAlign w:val="superscript"/>
        </w:rPr>
        <w:t>3</w:t>
      </w:r>
      <w:r>
        <w:t>/d</w:t>
      </w:r>
      <w:r>
        <w:rPr>
          <w:rFonts w:hint="eastAsia"/>
        </w:rPr>
        <w:t>。</w:t>
      </w:r>
      <w:r>
        <w:rPr>
          <w:rFonts w:hint="eastAsia" w:ascii="宋体" w:hAnsi="宋体" w:cs="宋体"/>
          <w:kern w:val="0"/>
          <w:szCs w:val="24"/>
          <w:lang w:bidi="ar"/>
        </w:rPr>
        <w:t>沿途设河坝</w:t>
      </w:r>
      <w:r>
        <w:rPr>
          <w:rFonts w:cs="Times New Roman"/>
          <w:kern w:val="0"/>
          <w:szCs w:val="24"/>
          <w:lang w:bidi="ar"/>
        </w:rPr>
        <w:t>1</w:t>
      </w:r>
      <w:r>
        <w:rPr>
          <w:rFonts w:hint="eastAsia" w:ascii="宋体" w:hAnsi="宋体" w:cs="宋体"/>
          <w:kern w:val="0"/>
          <w:szCs w:val="24"/>
          <w:lang w:bidi="ar"/>
        </w:rPr>
        <w:t>井站、草池站、巴中输气站共</w:t>
      </w:r>
      <w:r>
        <w:rPr>
          <w:rFonts w:cs="Times New Roman"/>
          <w:kern w:val="0"/>
          <w:szCs w:val="24"/>
          <w:lang w:bidi="ar"/>
        </w:rPr>
        <w:t>3</w:t>
      </w:r>
      <w:r>
        <w:rPr>
          <w:rFonts w:hint="eastAsia" w:ascii="宋体" w:hAnsi="宋体" w:cs="宋体"/>
          <w:kern w:val="0"/>
          <w:szCs w:val="24"/>
          <w:lang w:bidi="ar"/>
        </w:rPr>
        <w:t>座工艺站场，设涪阳阀室、梓潼庙阀室、何家湾阀室、巴河阀室共</w:t>
      </w:r>
      <w:r>
        <w:rPr>
          <w:rFonts w:cs="Times New Roman"/>
          <w:kern w:val="0"/>
          <w:szCs w:val="24"/>
          <w:lang w:bidi="ar"/>
        </w:rPr>
        <w:t>4</w:t>
      </w:r>
      <w:r>
        <w:rPr>
          <w:rFonts w:hint="eastAsia" w:ascii="宋体" w:hAnsi="宋体" w:cs="宋体"/>
          <w:kern w:val="0"/>
          <w:szCs w:val="24"/>
          <w:lang w:bidi="ar"/>
        </w:rPr>
        <w:t>座阀室。该管线于</w:t>
      </w:r>
      <w:r>
        <w:rPr>
          <w:rFonts w:cs="Times New Roman"/>
          <w:kern w:val="0"/>
          <w:szCs w:val="24"/>
          <w:lang w:bidi="ar"/>
        </w:rPr>
        <w:t>2007</w:t>
      </w:r>
      <w:r>
        <w:rPr>
          <w:rFonts w:hint="eastAsia" w:ascii="宋体" w:hAnsi="宋体" w:cs="宋体"/>
          <w:kern w:val="0"/>
          <w:szCs w:val="24"/>
          <w:lang w:bidi="ar"/>
        </w:rPr>
        <w:t>年</w:t>
      </w:r>
      <w:r>
        <w:rPr>
          <w:rFonts w:cs="Times New Roman"/>
          <w:kern w:val="0"/>
          <w:szCs w:val="24"/>
          <w:lang w:bidi="ar"/>
        </w:rPr>
        <w:t>4</w:t>
      </w:r>
      <w:r>
        <w:rPr>
          <w:rFonts w:hint="eastAsia" w:ascii="宋体" w:hAnsi="宋体" w:cs="宋体"/>
          <w:kern w:val="0"/>
          <w:szCs w:val="24"/>
          <w:lang w:bidi="ar"/>
        </w:rPr>
        <w:t>月投入运行。河巴线总体情况如下图所示。</w:t>
      </w:r>
    </w:p>
    <w:p>
      <w:pPr>
        <w:pStyle w:val="2"/>
        <w:ind w:left="0" w:leftChars="0" w:firstLine="0" w:firstLineChars="0"/>
        <w:jc w:val="center"/>
        <w:rPr>
          <w:lang w:bidi="ar"/>
        </w:rPr>
      </w:pPr>
      <w:r>
        <w:t>******</w:t>
      </w:r>
    </w:p>
    <w:p>
      <w:pPr>
        <w:pStyle w:val="250"/>
      </w:pPr>
      <w:r>
        <w:rPr>
          <w:rFonts w:hint="eastAsia"/>
        </w:rPr>
        <w:t>图1  河坝</w:t>
      </w:r>
      <w:r>
        <w:t>1</w:t>
      </w:r>
      <w:r>
        <w:rPr>
          <w:rFonts w:hint="eastAsia"/>
        </w:rPr>
        <w:t>井</w:t>
      </w:r>
      <w:r>
        <w:t>-</w:t>
      </w:r>
      <w:r>
        <w:rPr>
          <w:rFonts w:hint="eastAsia"/>
        </w:rPr>
        <w:t>巴中输气管道总体情况图</w:t>
      </w:r>
    </w:p>
    <w:p>
      <w:pPr>
        <w:pStyle w:val="248"/>
        <w:ind w:firstLine="482"/>
        <w:rPr>
          <w:b/>
        </w:rPr>
      </w:pPr>
      <w:r>
        <w:rPr>
          <w:rFonts w:hint="eastAsia"/>
          <w:b/>
        </w:rPr>
        <w:t>2.滑坡</w:t>
      </w:r>
      <w:r>
        <w:rPr>
          <w:b/>
        </w:rPr>
        <w:t>地质灾害简述</w:t>
      </w:r>
    </w:p>
    <w:p>
      <w:pPr>
        <w:pStyle w:val="214"/>
        <w:ind w:firstLine="480"/>
      </w:pPr>
      <w:r>
        <w:rPr>
          <w:rFonts w:hint="eastAsia"/>
        </w:rPr>
        <w:t>2</w:t>
      </w:r>
      <w:r>
        <w:t>021</w:t>
      </w:r>
      <w:r>
        <w:rPr>
          <w:rFonts w:hint="eastAsia"/>
        </w:rPr>
        <w:t>年</w:t>
      </w:r>
      <w:r>
        <w:t>8月份以来，四川多地遭受长时间强降雨恶劣天气，多地发布了暴雨、洪水和地灾预警，发生了滑坡、泥石流等地质灾害。受强降雨影响</w:t>
      </w:r>
      <w:r>
        <w:rPr>
          <w:rFonts w:hint="eastAsia"/>
        </w:rPr>
        <w:t>，2021年</w:t>
      </w:r>
      <w:r>
        <w:t>9月5日22点10分，草池增压站压缩机突然失压紧急联锁关断，经排查发现涪阳镇活水沟村山体滑坡引发</w:t>
      </w:r>
      <w:r>
        <w:rPr>
          <w:rFonts w:hint="eastAsia"/>
        </w:rPr>
        <w:t>涪阳阀室</w:t>
      </w:r>
      <w:r>
        <w:t>至草池增压站段管道断裂。强降雨造成滑坡地质灾害，损坏管道长度大约400m。</w:t>
      </w:r>
    </w:p>
    <w:p>
      <w:pPr>
        <w:pStyle w:val="214"/>
        <w:ind w:firstLine="482"/>
        <w:rPr>
          <w:b/>
        </w:rPr>
      </w:pPr>
      <w:r>
        <w:rPr>
          <w:rFonts w:hint="eastAsia"/>
          <w:b/>
        </w:rPr>
        <w:t>3.抢险临时管道</w:t>
      </w:r>
    </w:p>
    <w:p>
      <w:pPr>
        <w:pStyle w:val="248"/>
        <w:ind w:firstLine="480"/>
        <w:rPr>
          <w:rFonts w:ascii="宋体" w:hAnsi="宋体" w:cs="宋体"/>
        </w:rPr>
      </w:pPr>
      <w:r>
        <w:t>为保证输气管道平稳安全运行及人民生命财产安全，</w:t>
      </w:r>
      <w:r>
        <w:rPr>
          <w:rFonts w:hint="eastAsia"/>
        </w:rPr>
        <w:t>确保恢复河坝片区、马路背片区产能释放，保障沿线用气供气需求，建设</w:t>
      </w:r>
      <w:r>
        <w:t>单位</w:t>
      </w:r>
      <w:r>
        <w:rPr>
          <w:rFonts w:hint="eastAsia"/>
        </w:rPr>
        <w:t>及时敷设</w:t>
      </w:r>
      <w:r>
        <w:t>了抢险临时管道</w:t>
      </w:r>
      <w:r>
        <w:rPr>
          <w:rFonts w:hint="eastAsia"/>
        </w:rPr>
        <w:t>。</w:t>
      </w:r>
      <w:r>
        <w:rPr>
          <w:rFonts w:hint="eastAsia" w:ascii="宋体" w:hAnsi="宋体" w:cs="宋体"/>
          <w:kern w:val="0"/>
          <w:szCs w:val="24"/>
        </w:rPr>
        <w:t>由于现场施工条件复杂，抢险时间紧迫和库存管状况，抢险临时管道选为Φ</w:t>
      </w:r>
      <w:r>
        <w:rPr>
          <w:rFonts w:cs="Times New Roman"/>
          <w:kern w:val="0"/>
          <w:szCs w:val="24"/>
        </w:rPr>
        <w:t>159</w:t>
      </w:r>
      <w:r>
        <w:rPr>
          <w:rFonts w:hint="eastAsia" w:ascii="宋体" w:hAnsi="宋体" w:cs="宋体"/>
          <w:kern w:val="0"/>
          <w:szCs w:val="24"/>
        </w:rPr>
        <w:t>×</w:t>
      </w:r>
      <w:r>
        <w:rPr>
          <w:rFonts w:cs="Times New Roman"/>
          <w:kern w:val="0"/>
          <w:szCs w:val="24"/>
        </w:rPr>
        <w:t>6.0/L245N</w:t>
      </w:r>
      <w:r>
        <w:rPr>
          <w:rFonts w:hint="eastAsia" w:ascii="宋体" w:hAnsi="宋体" w:cs="宋体"/>
          <w:kern w:val="0"/>
          <w:szCs w:val="24"/>
        </w:rPr>
        <w:t>无缝</w:t>
      </w:r>
      <w:r>
        <w:rPr>
          <w:rFonts w:hint="eastAsia" w:ascii="宋体" w:hAnsi="宋体" w:cs="宋体"/>
        </w:rPr>
        <w:t>管，长度</w:t>
      </w:r>
      <w:r>
        <w:t>1000m</w:t>
      </w:r>
      <w:r>
        <w:rPr>
          <w:rFonts w:hint="eastAsia" w:ascii="宋体" w:hAnsi="宋体" w:cs="宋体"/>
        </w:rPr>
        <w:t>，地面敷设，不敷设光缆。</w:t>
      </w:r>
    </w:p>
    <w:p>
      <w:pPr>
        <w:pStyle w:val="2"/>
        <w:ind w:left="0" w:leftChars="0" w:firstLine="0" w:firstLineChars="0"/>
        <w:jc w:val="center"/>
        <w:rPr>
          <w:rFonts w:ascii="宋体" w:hAnsi="宋体" w:cs="宋体"/>
        </w:rPr>
      </w:pPr>
      <w:r>
        <mc:AlternateContent>
          <mc:Choice Requires="wps">
            <w:drawing>
              <wp:anchor distT="0" distB="0" distL="114300" distR="114300" simplePos="0" relativeHeight="251689984" behindDoc="0" locked="0" layoutInCell="1" allowOverlap="1">
                <wp:simplePos x="0" y="0"/>
                <wp:positionH relativeFrom="column">
                  <wp:posOffset>3404235</wp:posOffset>
                </wp:positionH>
                <wp:positionV relativeFrom="paragraph">
                  <wp:posOffset>2529840</wp:posOffset>
                </wp:positionV>
                <wp:extent cx="812165" cy="351790"/>
                <wp:effectExtent l="361950" t="76200" r="26670" b="10160"/>
                <wp:wrapNone/>
                <wp:docPr id="60509" name="矩形标注 60509"/>
                <wp:cNvGraphicFramePr/>
                <a:graphic xmlns:a="http://schemas.openxmlformats.org/drawingml/2006/main">
                  <a:graphicData uri="http://schemas.microsoft.com/office/word/2010/wordprocessingShape">
                    <wps:wsp>
                      <wps:cNvSpPr/>
                      <wps:spPr>
                        <a:xfrm>
                          <a:off x="0" y="0"/>
                          <a:ext cx="811924" cy="351790"/>
                        </a:xfrm>
                        <a:prstGeom prst="wedgeRectCallout">
                          <a:avLst>
                            <a:gd name="adj1" fmla="val -88936"/>
                            <a:gd name="adj2" fmla="val -63698"/>
                          </a:avLst>
                        </a:prstGeom>
                        <a:solidFill>
                          <a:schemeClr val="accent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color w:val="FF0000"/>
                              </w:rPr>
                            </w:pPr>
                            <w:r>
                              <w:rPr>
                                <w:rFonts w:hint="eastAsia"/>
                                <w:color w:val="FF0000"/>
                                <w:highlight w:val="yellow"/>
                              </w:rPr>
                              <w:t>滑坡</w:t>
                            </w:r>
                            <w:r>
                              <w:rPr>
                                <w:color w:val="FF0000"/>
                                <w:highlight w:val="yellow"/>
                              </w:rPr>
                              <w:t>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8.05pt;margin-top:199.2pt;height:27.7pt;width:63.95pt;z-index:251689984;v-text-anchor:middle;mso-width-relative:page;mso-height-relative:page;" fillcolor="#4472C4 [3204]" filled="t" stroked="t" coordsize="21600,21600" o:gfxdata="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BFVdw9kAAAALAQAADwAA&#10;AAAAAAABACAAAAAiAAAAZHJzL2Rvd25yZXYueG1sUEsBAhQAFAAAAAgAh07iQL5AgDvAAgAAiAUA&#10;AA4AAAAAAAAAAQAgAAAAKAEAAGRycy9lMm9Eb2MueG1sUEsFBgAAAAAGAAYAWQEAAFoGAAAAAA==&#10;" adj="-8410,-2959">
                <v:fill on="t" opacity="0f" focussize="0,0"/>
                <v:stroke weight="1pt" color="#000000 [3213]" miterlimit="8" joinstyle="miter"/>
                <v:imagedata o:title=""/>
                <o:lock v:ext="edit" aspectratio="f"/>
                <v:textbox>
                  <w:txbxContent>
                    <w:p>
                      <w:pPr>
                        <w:ind w:firstLine="0" w:firstLineChars="0"/>
                        <w:rPr>
                          <w:color w:val="FF0000"/>
                        </w:rPr>
                      </w:pPr>
                      <w:r>
                        <w:rPr>
                          <w:rFonts w:hint="eastAsia"/>
                          <w:color w:val="FF0000"/>
                          <w:highlight w:val="yellow"/>
                        </w:rPr>
                        <w:t>滑坡</w:t>
                      </w:r>
                      <w:r>
                        <w:rPr>
                          <w:color w:val="FF0000"/>
                          <w:highlight w:val="yellow"/>
                        </w:rPr>
                        <w:t>范围</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1588135</wp:posOffset>
                </wp:positionH>
                <wp:positionV relativeFrom="paragraph">
                  <wp:posOffset>3114675</wp:posOffset>
                </wp:positionV>
                <wp:extent cx="252095" cy="323850"/>
                <wp:effectExtent l="0" t="0" r="15240" b="19050"/>
                <wp:wrapNone/>
                <wp:docPr id="60506" name="任意多边形 60506"/>
                <wp:cNvGraphicFramePr/>
                <a:graphic xmlns:a="http://schemas.openxmlformats.org/drawingml/2006/main">
                  <a:graphicData uri="http://schemas.microsoft.com/office/word/2010/wordprocessingShape">
                    <wps:wsp>
                      <wps:cNvSpPr/>
                      <wps:spPr>
                        <a:xfrm>
                          <a:off x="0" y="0"/>
                          <a:ext cx="252000" cy="324000"/>
                        </a:xfrm>
                        <a:custGeom>
                          <a:avLst/>
                          <a:gdLst>
                            <a:gd name="connsiteX0" fmla="*/ 0 w 275897"/>
                            <a:gd name="connsiteY0" fmla="*/ 0 h 260131"/>
                            <a:gd name="connsiteX1" fmla="*/ 275897 w 275897"/>
                            <a:gd name="connsiteY1" fmla="*/ 260131 h 260131"/>
                            <a:gd name="connsiteX2" fmla="*/ 275897 w 275897"/>
                            <a:gd name="connsiteY2" fmla="*/ 260131 h 260131"/>
                          </a:gdLst>
                          <a:ahLst/>
                          <a:cxnLst>
                            <a:cxn ang="0">
                              <a:pos x="connsiteX0" y="connsiteY0"/>
                            </a:cxn>
                            <a:cxn ang="0">
                              <a:pos x="connsiteX1" y="connsiteY1"/>
                            </a:cxn>
                            <a:cxn ang="0">
                              <a:pos x="connsiteX2" y="connsiteY2"/>
                            </a:cxn>
                          </a:cxnLst>
                          <a:rect l="l" t="t" r="r" b="b"/>
                          <a:pathLst>
                            <a:path w="275897" h="260131">
                              <a:moveTo>
                                <a:pt x="0" y="0"/>
                              </a:moveTo>
                              <a:lnTo>
                                <a:pt x="275897" y="260131"/>
                              </a:lnTo>
                              <a:lnTo>
                                <a:pt x="275897" y="260131"/>
                              </a:lnTo>
                            </a:path>
                          </a:pathLst>
                        </a:cu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125.05pt;margin-top:245.25pt;height:25.5pt;width:19.85pt;z-index:251680768;v-text-anchor:middle;mso-width-relative:page;mso-height-relative:page;" filled="f" stroked="t" coordsize="275897,260131" o:gfxdata="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mL4Z82gAAAAsBAAAPAAAAAAAAAAEAIAAAACIAAABkcnMvZG93bnJldi54&#10;bWxQSwECFAAUAAAACACHTuJAu0IDhk4DAADDBwAADgAAAAAAAAABACAAAAApAQAAZHJzL2Uyb0Rv&#10;Yy54bWxQSwUGAAAAAAYABgBZAQAA6QYAAAAA&#10;" path="m0,0l275897,260131,275897,260131e">
                <v:path o:connectlocs="0,0;252000,324000;252000,324000" o:connectangles="0,0,0"/>
                <v:fill on="f" focussize="0,0"/>
                <v:stroke weight="2pt" color="#FFFF00 [3204]" miterlimit="8"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2970530</wp:posOffset>
                </wp:positionH>
                <wp:positionV relativeFrom="paragraph">
                  <wp:posOffset>1893570</wp:posOffset>
                </wp:positionV>
                <wp:extent cx="957580" cy="370205"/>
                <wp:effectExtent l="0" t="0" r="0" b="0"/>
                <wp:wrapNone/>
                <wp:docPr id="60502" name="文本框 60502"/>
                <wp:cNvGraphicFramePr/>
                <a:graphic xmlns:a="http://schemas.openxmlformats.org/drawingml/2006/main">
                  <a:graphicData uri="http://schemas.microsoft.com/office/word/2010/wordprocessingShape">
                    <wps:wsp>
                      <wps:cNvSpPr txBox="1"/>
                      <wps:spPr>
                        <a:xfrm>
                          <a:off x="0" y="0"/>
                          <a:ext cx="957761" cy="370115"/>
                        </a:xfrm>
                        <a:prstGeom prst="rect">
                          <a:avLst/>
                        </a:prstGeom>
                        <a:solidFill>
                          <a:schemeClr val="lt1">
                            <a:alpha val="0"/>
                          </a:schemeClr>
                        </a:solidFill>
                        <a:ln w="6350">
                          <a:noFill/>
                        </a:ln>
                      </wps:spPr>
                      <wps:txbx>
                        <w:txbxContent>
                          <w:p>
                            <w:pPr>
                              <w:ind w:firstLine="0" w:firstLineChars="0"/>
                              <w:rPr>
                                <w:color w:val="FF00FF"/>
                              </w:rPr>
                            </w:pPr>
                            <w:r>
                              <w:rPr>
                                <w:rFonts w:hint="eastAsia"/>
                                <w:color w:val="FF00FF"/>
                              </w:rPr>
                              <w:t>断口</w:t>
                            </w:r>
                            <w:r>
                              <w:rPr>
                                <w:color w:val="FF00FF"/>
                              </w:rPr>
                              <w:t>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9pt;margin-top:149.1pt;height:29.15pt;width:75.4pt;z-index:251673600;mso-width-relative:page;mso-height-relative:page;" fillcolor="#FFFFFF [3201]" filled="t" stroked="f" coordsize="21600,21600" o:gfxdata="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9KIhdsAAAALAQAADwAAAAAAAAABACAAAAAiAAAAZHJzL2Rvd25yZXYueG1sUEsBAhQAFAAA&#10;AAgAh07iQO41fQBeAgAAswQAAA4AAAAAAAAAAQAgAAAAKgEAAGRycy9lMm9Eb2MueG1sUEsFBgAA&#10;AAAGAAYAWQEAAPoFAAAAAA==&#10;">
                <v:fill on="t" opacity="0f" focussize="0,0"/>
                <v:stroke on="f" weight="0.5pt"/>
                <v:imagedata o:title=""/>
                <o:lock v:ext="edit" aspectratio="f"/>
                <v:textbox>
                  <w:txbxContent>
                    <w:p>
                      <w:pPr>
                        <w:ind w:firstLine="0" w:firstLineChars="0"/>
                        <w:rPr>
                          <w:color w:val="FF00FF"/>
                        </w:rPr>
                      </w:pPr>
                      <w:r>
                        <w:rPr>
                          <w:rFonts w:hint="eastAsia"/>
                          <w:color w:val="FF00FF"/>
                        </w:rPr>
                        <w:t>断口</w:t>
                      </w:r>
                      <w:r>
                        <w:rPr>
                          <w:color w:val="FF00FF"/>
                        </w:rPr>
                        <w:t>处</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2499360</wp:posOffset>
                </wp:positionH>
                <wp:positionV relativeFrom="paragraph">
                  <wp:posOffset>1734185</wp:posOffset>
                </wp:positionV>
                <wp:extent cx="957580" cy="370205"/>
                <wp:effectExtent l="0" t="0" r="0" b="0"/>
                <wp:wrapNone/>
                <wp:docPr id="60497" name="文本框 60497"/>
                <wp:cNvGraphicFramePr/>
                <a:graphic xmlns:a="http://schemas.openxmlformats.org/drawingml/2006/main">
                  <a:graphicData uri="http://schemas.microsoft.com/office/word/2010/wordprocessingShape">
                    <wps:wsp>
                      <wps:cNvSpPr txBox="1"/>
                      <wps:spPr>
                        <a:xfrm>
                          <a:off x="0" y="0"/>
                          <a:ext cx="957761" cy="370115"/>
                        </a:xfrm>
                        <a:prstGeom prst="rect">
                          <a:avLst/>
                        </a:prstGeom>
                        <a:solidFill>
                          <a:schemeClr val="lt1">
                            <a:alpha val="0"/>
                          </a:schemeClr>
                        </a:solidFill>
                        <a:ln w="6350">
                          <a:noFill/>
                        </a:ln>
                      </wps:spPr>
                      <wps:txbx>
                        <w:txbxContent>
                          <w:p>
                            <w:pPr>
                              <w:ind w:firstLine="0" w:firstLineChars="0"/>
                              <w:rPr>
                                <w:color w:val="FF00FF"/>
                              </w:rPr>
                            </w:pPr>
                            <w:r>
                              <w:rPr>
                                <w:rFonts w:hint="eastAsia"/>
                                <w:color w:val="FF00FF"/>
                              </w:rPr>
                              <w:t>断口</w:t>
                            </w:r>
                            <w:r>
                              <w:rPr>
                                <w:color w:val="FF00FF"/>
                              </w:rPr>
                              <w:t>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8pt;margin-top:136.55pt;height:29.15pt;width:75.4pt;z-index:251672576;mso-width-relative:page;mso-height-relative:page;" fillcolor="#FFFFFF [3201]" filled="t" stroked="f" coordsize="21600,21600" o:gfxdata="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1AvV2gAAAAsBAAAPAAAAAAAAAAEAIAAAACIAAABkcnMvZG93bnJldi54bWxQSwECFAAUAAAA&#10;CACHTuJAjFC/f14CAACzBAAADgAAAAAAAAABACAAAAApAQAAZHJzL2Uyb0RvYy54bWxQSwUGAAAA&#10;AAYABgBZAQAA+QUAAAAA&#10;">
                <v:fill on="t" opacity="0f" focussize="0,0"/>
                <v:stroke on="f" weight="0.5pt"/>
                <v:imagedata o:title=""/>
                <o:lock v:ext="edit" aspectratio="f"/>
                <v:textbox>
                  <w:txbxContent>
                    <w:p>
                      <w:pPr>
                        <w:ind w:firstLine="0" w:firstLineChars="0"/>
                        <w:rPr>
                          <w:color w:val="FF00FF"/>
                        </w:rPr>
                      </w:pPr>
                      <w:r>
                        <w:rPr>
                          <w:rFonts w:hint="eastAsia"/>
                          <w:color w:val="FF00FF"/>
                        </w:rPr>
                        <w:t>断口</w:t>
                      </w:r>
                      <w:r>
                        <w:rPr>
                          <w:color w:val="FF00FF"/>
                        </w:rPr>
                        <w:t>处</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2565400</wp:posOffset>
                </wp:positionH>
                <wp:positionV relativeFrom="paragraph">
                  <wp:posOffset>2082800</wp:posOffset>
                </wp:positionV>
                <wp:extent cx="732790" cy="159385"/>
                <wp:effectExtent l="0" t="0" r="29210" b="31115"/>
                <wp:wrapNone/>
                <wp:docPr id="46" name="直接连接符 46"/>
                <wp:cNvGraphicFramePr/>
                <a:graphic xmlns:a="http://schemas.openxmlformats.org/drawingml/2006/main">
                  <a:graphicData uri="http://schemas.microsoft.com/office/word/2010/wordprocessingShape">
                    <wps:wsp>
                      <wps:cNvCnPr/>
                      <wps:spPr>
                        <a:xfrm>
                          <a:off x="0" y="0"/>
                          <a:ext cx="732971" cy="159657"/>
                        </a:xfrm>
                        <a:prstGeom prst="line">
                          <a:avLst/>
                        </a:prstGeom>
                        <a:ln w="12700">
                          <a:solidFill>
                            <a:srgbClr val="2303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2pt;margin-top:164pt;height:12.55pt;width:57.7pt;z-index:251705344;mso-width-relative:page;mso-height-relative:page;" filled="f" stroked="t" coordsize="21600,21600" o:gfxdata="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yQ4A9oAAAALAQAADwAAAAAAAAABACAAAAAiAAAAZHJzL2Rvd25yZXYueG1sUEsBAhQA&#10;FAAAAAgAh07iQMwHZn/wAQAAuAMAAA4AAAAAAAAAAQAgAAAAKQEAAGRycy9lMm9Eb2MueG1sUEsF&#10;BgAAAAAGAAYAWQEAAIsFAAAAAA==&#10;">
                <v:fill on="f" focussize="0,0"/>
                <v:stroke weight="1pt" color="#2303E1 [3204]" miterlimit="8" joinstyle="miter"/>
                <v:imagedata o:title=""/>
                <o:lock v:ext="edit" aspectratio="f"/>
              </v:line>
            </w:pict>
          </mc:Fallback>
        </mc:AlternateContent>
      </w:r>
      <w:r>
        <w:t>******</w:t>
      </w:r>
    </w:p>
    <w:p>
      <w:pPr>
        <w:pStyle w:val="73"/>
      </w:pPr>
      <w:r>
        <w:rPr>
          <w:rFonts w:hint="eastAsia"/>
        </w:rPr>
        <w:t>图2 通江县涪阳镇活水沟村滑坡地质灾害引发河巴线管道断裂位置及</w:t>
      </w:r>
      <w:r>
        <w:t>临时管线路由</w:t>
      </w:r>
      <w:r>
        <w:rPr>
          <w:rFonts w:hint="eastAsia"/>
        </w:rPr>
        <w:t>图</w:t>
      </w:r>
    </w:p>
    <w:p>
      <w:pPr>
        <w:pStyle w:val="248"/>
        <w:ind w:firstLine="482"/>
        <w:rPr>
          <w:b/>
        </w:rPr>
      </w:pPr>
    </w:p>
    <w:p>
      <w:pPr>
        <w:pStyle w:val="248"/>
        <w:ind w:firstLine="482"/>
        <w:rPr>
          <w:b/>
        </w:rPr>
      </w:pPr>
      <w:r>
        <w:rPr>
          <w:b/>
        </w:rPr>
        <w:t>4.</w:t>
      </w:r>
      <w:r>
        <w:rPr>
          <w:rFonts w:hint="eastAsia"/>
          <w:b/>
        </w:rPr>
        <w:t>项目建设</w:t>
      </w:r>
      <w:r>
        <w:rPr>
          <w:b/>
        </w:rPr>
        <w:t>必要性</w:t>
      </w:r>
    </w:p>
    <w:p>
      <w:pPr>
        <w:pStyle w:val="248"/>
        <w:ind w:firstLine="480"/>
      </w:pPr>
      <w:r>
        <w:rPr>
          <w:rFonts w:hint="eastAsia" w:hAnsi="Times New Roman" w:cs="Times New Roman"/>
        </w:rPr>
        <w:t>（1）</w:t>
      </w:r>
      <w:r>
        <w:rPr>
          <w:rFonts w:hint="eastAsia"/>
        </w:rPr>
        <w:t>根据当地政府要求，临时管道使用年限</w:t>
      </w:r>
      <w:r>
        <w:rPr>
          <w:rFonts w:hAnsi="Times New Roman" w:cs="Times New Roman"/>
        </w:rPr>
        <w:t>1</w:t>
      </w:r>
      <w:r>
        <w:rPr>
          <w:rFonts w:hint="eastAsia"/>
        </w:rPr>
        <w:t>年，</w:t>
      </w:r>
      <w:r>
        <w:rPr>
          <w:rFonts w:hAnsi="Times New Roman" w:cs="Times New Roman"/>
        </w:rPr>
        <w:t>1</w:t>
      </w:r>
      <w:r>
        <w:rPr>
          <w:rFonts w:hint="eastAsia"/>
        </w:rPr>
        <w:t>年内应建成正式管线进行输送。</w:t>
      </w:r>
    </w:p>
    <w:p>
      <w:pPr>
        <w:pStyle w:val="248"/>
        <w:ind w:firstLine="480"/>
        <w:rPr>
          <w:rFonts w:ascii="宋体" w:hAnsi="宋体" w:cs="宋体"/>
          <w:b/>
          <w:bCs/>
          <w:kern w:val="0"/>
          <w:szCs w:val="24"/>
        </w:rPr>
      </w:pPr>
      <w:r>
        <w:rPr>
          <w:rFonts w:hint="eastAsia" w:cs="Times New Roman"/>
          <w:kern w:val="0"/>
          <w:szCs w:val="24"/>
        </w:rPr>
        <w:t>（2）</w:t>
      </w:r>
      <w:r>
        <w:rPr>
          <w:rFonts w:hint="eastAsia" w:ascii="宋体" w:hAnsi="宋体" w:cs="宋体"/>
          <w:kern w:val="0"/>
          <w:szCs w:val="24"/>
        </w:rPr>
        <w:t>抢险临时管道与河巴线管道本体不符。临时管道规格Φ</w:t>
      </w:r>
      <w:r>
        <w:rPr>
          <w:rFonts w:cs="Times New Roman"/>
          <w:kern w:val="0"/>
          <w:szCs w:val="24"/>
        </w:rPr>
        <w:t>159</w:t>
      </w:r>
      <w:r>
        <w:rPr>
          <w:rFonts w:hint="eastAsia" w:ascii="宋体" w:hAnsi="宋体" w:cs="宋体"/>
          <w:kern w:val="0"/>
          <w:szCs w:val="24"/>
        </w:rPr>
        <w:t>×</w:t>
      </w:r>
      <w:r>
        <w:rPr>
          <w:rFonts w:cs="Times New Roman"/>
          <w:kern w:val="0"/>
          <w:szCs w:val="24"/>
        </w:rPr>
        <w:t>6</w:t>
      </w:r>
      <w:r>
        <w:rPr>
          <w:rFonts w:hint="eastAsia" w:ascii="宋体" w:hAnsi="宋体" w:cs="宋体"/>
          <w:kern w:val="0"/>
          <w:szCs w:val="24"/>
        </w:rPr>
        <w:t>，设计压力</w:t>
      </w:r>
      <w:r>
        <w:rPr>
          <w:rFonts w:cs="Times New Roman"/>
          <w:kern w:val="0"/>
          <w:szCs w:val="24"/>
        </w:rPr>
        <w:t>5.0MPa</w:t>
      </w:r>
      <w:r>
        <w:rPr>
          <w:rFonts w:hint="eastAsia" w:ascii="宋体" w:hAnsi="宋体" w:cs="宋体"/>
          <w:kern w:val="0"/>
          <w:szCs w:val="24"/>
        </w:rPr>
        <w:t>。河巴线管道规格为Φ</w:t>
      </w:r>
      <w:r>
        <w:rPr>
          <w:rFonts w:cs="Times New Roman"/>
          <w:kern w:val="0"/>
          <w:szCs w:val="24"/>
        </w:rPr>
        <w:t>273</w:t>
      </w:r>
      <w:r>
        <w:rPr>
          <w:rFonts w:hint="eastAsia" w:ascii="宋体" w:hAnsi="宋体" w:cs="宋体"/>
          <w:kern w:val="0"/>
          <w:szCs w:val="24"/>
        </w:rPr>
        <w:t>×</w:t>
      </w:r>
      <w:r>
        <w:rPr>
          <w:rFonts w:cs="Times New Roman"/>
          <w:kern w:val="0"/>
          <w:szCs w:val="24"/>
        </w:rPr>
        <w:t>8.0</w:t>
      </w:r>
      <w:r>
        <w:rPr>
          <w:rFonts w:hint="eastAsia" w:ascii="宋体" w:hAnsi="宋体" w:cs="宋体"/>
          <w:kern w:val="0"/>
          <w:szCs w:val="24"/>
        </w:rPr>
        <w:t>，设计压力为</w:t>
      </w:r>
      <w:r>
        <w:rPr>
          <w:rFonts w:cs="Times New Roman"/>
          <w:kern w:val="0"/>
          <w:szCs w:val="24"/>
        </w:rPr>
        <w:t>8.0MPa</w:t>
      </w:r>
      <w:r>
        <w:rPr>
          <w:rFonts w:hint="eastAsia" w:ascii="宋体" w:hAnsi="宋体" w:cs="宋体"/>
          <w:kern w:val="0"/>
          <w:szCs w:val="24"/>
        </w:rPr>
        <w:t>。临时管道与河巴线管道设计压力等级、管径均不同，从而限制整个河巴线管道的输送能力，形成产能外输瓶颈</w:t>
      </w:r>
      <w:r>
        <w:rPr>
          <w:rFonts w:hint="eastAsia" w:ascii="宋体" w:hAnsi="宋体" w:cs="宋体"/>
          <w:b/>
          <w:bCs/>
          <w:kern w:val="0"/>
          <w:szCs w:val="24"/>
        </w:rPr>
        <w:t>。</w:t>
      </w:r>
    </w:p>
    <w:p>
      <w:pPr>
        <w:pStyle w:val="248"/>
        <w:ind w:firstLine="480"/>
        <w:rPr>
          <w:rFonts w:ascii="宋体" w:hAnsi="宋体" w:cs="宋体"/>
          <w:kern w:val="0"/>
          <w:szCs w:val="24"/>
        </w:rPr>
      </w:pPr>
      <w:r>
        <w:rPr>
          <w:rFonts w:hint="eastAsia" w:cs="Times New Roman"/>
          <w:kern w:val="0"/>
          <w:szCs w:val="24"/>
        </w:rPr>
        <w:t>（3）</w:t>
      </w:r>
      <w:r>
        <w:rPr>
          <w:rFonts w:hint="eastAsia" w:ascii="宋体" w:hAnsi="宋体" w:cs="宋体"/>
          <w:kern w:val="0"/>
          <w:szCs w:val="24"/>
        </w:rPr>
        <w:t xml:space="preserve">抢险临时管道地面敷设，第三方破坏风险很大，须建设正式管线替换。 </w:t>
      </w:r>
    </w:p>
    <w:p>
      <w:pPr>
        <w:pStyle w:val="248"/>
        <w:ind w:firstLine="480"/>
        <w:rPr>
          <w:rFonts w:ascii="宋体" w:hAnsi="宋体" w:cs="宋体"/>
          <w:kern w:val="0"/>
          <w:szCs w:val="24"/>
        </w:rPr>
      </w:pPr>
      <w:r>
        <w:rPr>
          <w:rFonts w:hint="eastAsia" w:hAnsi="Times New Roman" w:cs="Times New Roman"/>
          <w:kern w:val="0"/>
          <w:szCs w:val="24"/>
        </w:rPr>
        <w:t>（4）</w:t>
      </w:r>
      <w:r>
        <w:rPr>
          <w:rFonts w:hint="eastAsia" w:ascii="宋体" w:hAnsi="宋体" w:cs="宋体"/>
          <w:kern w:val="0"/>
          <w:szCs w:val="24"/>
        </w:rPr>
        <w:t>地质灾害风险。附近崩坡积区域易诱发滑坡，对管道运行存在安全风险。</w:t>
      </w:r>
    </w:p>
    <w:p>
      <w:pPr>
        <w:pStyle w:val="248"/>
        <w:ind w:firstLine="480"/>
      </w:pPr>
      <w:r>
        <w:rPr>
          <w:rFonts w:hint="eastAsia"/>
        </w:rPr>
        <w:t>针对</w:t>
      </w:r>
      <w:r>
        <w:t>以上情况，</w:t>
      </w:r>
      <w:r>
        <w:rPr>
          <w:rFonts w:hint="eastAsia"/>
        </w:rPr>
        <w:t>建设</w:t>
      </w:r>
      <w:r>
        <w:t>单位形成改线方案，</w:t>
      </w:r>
      <w:r>
        <w:rPr>
          <w:rFonts w:hint="eastAsia"/>
        </w:rPr>
        <w:t xml:space="preserve">根据方案设计，改迁（本项目）路由为绕开滑坡山体，往北从山顶的林地穿过，改迁后新建管线长度2000m。 </w:t>
      </w:r>
    </w:p>
    <w:p>
      <w:pPr>
        <w:pStyle w:val="214"/>
        <w:ind w:firstLine="480"/>
      </w:pPr>
      <w:r>
        <w:t>根据《中华人民共和国环境保护法》《中华人民共和国环境影响评价法》以及国务院第682号令《建设项目环境保护管理条例》的有关规定，本项目应进行环境影响评价。本项目位于</w:t>
      </w:r>
      <w:r>
        <w:rPr>
          <w:rFonts w:hint="eastAsia"/>
        </w:rPr>
        <w:t>通江县涪阳</w:t>
      </w:r>
      <w:r>
        <w:t>镇，部分管段涉及基本农田和</w:t>
      </w:r>
      <w:r>
        <w:rPr>
          <w:rFonts w:hint="eastAsia"/>
        </w:rPr>
        <w:t>天然林</w:t>
      </w:r>
      <w:r>
        <w:t>，因此，本项目涉及环境敏感区。根据《建设项目环境影响评价分类管理名录（2021年版）》，本项目属于“</w:t>
      </w:r>
      <w:r>
        <w:rPr>
          <w:rFonts w:hint="eastAsia"/>
        </w:rPr>
        <w:t>五十二</w:t>
      </w:r>
      <w:r>
        <w:t>、</w:t>
      </w:r>
      <w:r>
        <w:rPr>
          <w:rFonts w:hint="eastAsia"/>
        </w:rPr>
        <w:t>交通运输业、</w:t>
      </w:r>
      <w:r>
        <w:t>管道运输</w:t>
      </w:r>
      <w:r>
        <w:rPr>
          <w:rFonts w:hint="eastAsia"/>
        </w:rPr>
        <w:t xml:space="preserve">业 </w:t>
      </w:r>
      <w:r>
        <w:t>147.</w:t>
      </w:r>
      <w:r>
        <w:rPr>
          <w:rFonts w:hint="eastAsia"/>
        </w:rPr>
        <w:t>原油、</w:t>
      </w:r>
      <w:r>
        <w:t>成品油、天然气管线（</w:t>
      </w:r>
      <w:r>
        <w:rPr>
          <w:rFonts w:hint="eastAsia"/>
        </w:rPr>
        <w:t>不含</w:t>
      </w:r>
      <w:r>
        <w:t>城市天然气管线；不含城镇燃气管线；不含企业厂区内管道）”，涉及环境敏感区，应编制环境影响报告书。</w:t>
      </w:r>
    </w:p>
    <w:p>
      <w:pPr>
        <w:pStyle w:val="122"/>
        <w:numPr>
          <w:ilvl w:val="0"/>
          <w:numId w:val="3"/>
        </w:numPr>
        <w:ind w:firstLineChars="0"/>
        <w:outlineLvl w:val="4"/>
        <w:rPr>
          <w:rFonts w:cs="Times New Roman"/>
          <w:b/>
          <w:bCs/>
          <w:sz w:val="30"/>
          <w:szCs w:val="30"/>
        </w:rPr>
      </w:pPr>
      <w:bookmarkStart w:id="4" w:name="_Hlk68101200"/>
      <w:r>
        <w:rPr>
          <w:rFonts w:hint="eastAsia" w:cs="Times New Roman"/>
          <w:b/>
          <w:bCs/>
          <w:sz w:val="30"/>
          <w:szCs w:val="30"/>
        </w:rPr>
        <w:t>项目</w:t>
      </w:r>
      <w:r>
        <w:rPr>
          <w:rFonts w:cs="Times New Roman"/>
          <w:b/>
          <w:bCs/>
          <w:sz w:val="30"/>
          <w:szCs w:val="30"/>
        </w:rPr>
        <w:t>特点</w:t>
      </w:r>
    </w:p>
    <w:p>
      <w:pPr>
        <w:spacing w:line="336" w:lineRule="auto"/>
        <w:ind w:firstLine="480"/>
        <w:rPr>
          <w:rFonts w:cs="Times New Roman"/>
        </w:rPr>
      </w:pPr>
      <w:r>
        <w:rPr>
          <w:rFonts w:cs="Times New Roman"/>
        </w:rPr>
        <w:t>本项目包括施工期和营运期。</w:t>
      </w:r>
    </w:p>
    <w:p>
      <w:pPr>
        <w:spacing w:line="336" w:lineRule="auto"/>
        <w:ind w:firstLine="480"/>
        <w:rPr>
          <w:rFonts w:cs="Times New Roman"/>
        </w:rPr>
      </w:pPr>
      <w:r>
        <w:rPr>
          <w:rFonts w:cs="Times New Roman"/>
        </w:rPr>
        <w:t>施工期主要内容为管道的铺设、回填，公路</w:t>
      </w:r>
      <w:r>
        <w:rPr>
          <w:rFonts w:hint="eastAsia" w:cs="Times New Roman"/>
        </w:rPr>
        <w:t>、</w:t>
      </w:r>
      <w:r>
        <w:rPr>
          <w:rFonts w:cs="Times New Roman"/>
        </w:rPr>
        <w:t>林地穿越等。施工期对环境的主要影响为对生态环境的影响。</w:t>
      </w:r>
    </w:p>
    <w:p>
      <w:pPr>
        <w:spacing w:line="336" w:lineRule="auto"/>
        <w:ind w:firstLine="480"/>
        <w:rPr>
          <w:rFonts w:cs="Times New Roman"/>
        </w:rPr>
      </w:pPr>
      <w:r>
        <w:rPr>
          <w:rFonts w:cs="Times New Roman"/>
        </w:rPr>
        <w:t>营运期为天然气的输送</w:t>
      </w:r>
      <w:r>
        <w:rPr>
          <w:rFonts w:hint="eastAsia" w:cs="Times New Roman"/>
        </w:rPr>
        <w:t>，</w:t>
      </w:r>
      <w:r>
        <w:rPr>
          <w:rFonts w:cs="Times New Roman"/>
        </w:rPr>
        <w:t>不涉及场站和阀室，本项目输送属于不含硫天然气。正常情况下无废水</w:t>
      </w:r>
      <w:r>
        <w:rPr>
          <w:rFonts w:hint="eastAsia" w:cs="Times New Roman"/>
        </w:rPr>
        <w:t>、</w:t>
      </w:r>
      <w:r>
        <w:rPr>
          <w:rFonts w:cs="Times New Roman"/>
        </w:rPr>
        <w:t>废气等产生，营运期对环境的主要影响为环境风险。</w:t>
      </w:r>
    </w:p>
    <w:bookmarkEnd w:id="4"/>
    <w:p>
      <w:pPr>
        <w:pStyle w:val="122"/>
        <w:numPr>
          <w:ilvl w:val="0"/>
          <w:numId w:val="3"/>
        </w:numPr>
        <w:ind w:firstLineChars="0"/>
        <w:outlineLvl w:val="4"/>
        <w:rPr>
          <w:rFonts w:cs="Times New Roman"/>
          <w:b/>
          <w:bCs/>
          <w:sz w:val="30"/>
          <w:szCs w:val="30"/>
        </w:rPr>
      </w:pPr>
      <w:r>
        <w:rPr>
          <w:rFonts w:cs="Times New Roman"/>
          <w:b/>
          <w:bCs/>
          <w:sz w:val="30"/>
          <w:szCs w:val="30"/>
        </w:rPr>
        <w:t>环境影响评价的工作过程</w:t>
      </w:r>
    </w:p>
    <w:p>
      <w:pPr>
        <w:pStyle w:val="214"/>
        <w:ind w:firstLine="480"/>
      </w:pPr>
      <w:r>
        <w:t>中国石油化工股份有限公司西南油气分公司</w:t>
      </w:r>
      <w:r>
        <w:rPr>
          <w:rFonts w:hint="eastAsia"/>
        </w:rPr>
        <w:t>油气销售中心</w:t>
      </w:r>
      <w:r>
        <w:t>于2021年</w:t>
      </w:r>
      <w:r>
        <w:rPr>
          <w:rFonts w:hint="eastAsia"/>
        </w:rPr>
        <w:t>11</w:t>
      </w:r>
      <w:r>
        <w:t>月2</w:t>
      </w:r>
      <w:r>
        <w:rPr>
          <w:rFonts w:hint="eastAsia"/>
        </w:rPr>
        <w:t>2</w:t>
      </w:r>
      <w:r>
        <w:t>日委托成都中成科创环保科技有限公司（以下简称我公司）承担本项目的环境影响评价工作</w:t>
      </w:r>
      <w:r>
        <w:rPr>
          <w:rFonts w:hint="eastAsia"/>
        </w:rPr>
        <w:t>，2022年1月10日，由于</w:t>
      </w:r>
      <w:r>
        <w:t>中国石油化工股份有限公司</w:t>
      </w:r>
      <w:r>
        <w:rPr>
          <w:rFonts w:hint="eastAsia"/>
        </w:rPr>
        <w:t>内部</w:t>
      </w:r>
      <w:r>
        <w:t>调整，西南油气分公司销售中心将</w:t>
      </w:r>
      <w:r>
        <w:rPr>
          <w:rFonts w:hint="eastAsia"/>
        </w:rPr>
        <w:t>该项目</w:t>
      </w:r>
      <w:r>
        <w:t>转</w:t>
      </w:r>
      <w:r>
        <w:rPr>
          <w:rFonts w:hint="eastAsia"/>
        </w:rPr>
        <w:t>移</w:t>
      </w:r>
      <w:r>
        <w:t>至</w:t>
      </w:r>
      <w:r>
        <w:rPr>
          <w:rFonts w:hint="eastAsia"/>
        </w:rPr>
        <w:t>天然气分公司四川天然气销售中心</w:t>
      </w:r>
      <w:r>
        <w:t>。</w:t>
      </w:r>
    </w:p>
    <w:p>
      <w:pPr>
        <w:pStyle w:val="214"/>
        <w:ind w:firstLine="480"/>
      </w:pPr>
      <w:r>
        <w:t>接受委托后，我公司成立了评价工作组，工作组技术人员开展了全面的现场调查和资料收集工作，并结合本项目特点委托实施了环境质量现状监测和卫星遥感解译工作。在工程分析、环境影响识别和评价因子筛选等工作的基础上，按照环境影响评价相关技术导则要求，编制完成了《</w:t>
      </w:r>
      <w:r>
        <w:rPr>
          <w:rFonts w:hint="eastAsia"/>
        </w:rPr>
        <w:t>河巴线通江县涪阳镇活水沟村滑坡应急抢险治理项目</w:t>
      </w:r>
      <w:r>
        <w:t>环境影响报告书》。本环境影响报告书编制过程中，得到了巴中市生态环境局、通江县生态环境局、通江县自然资源和规划局、中国石油化工股份有限公司西南油气分公司</w:t>
      </w:r>
      <w:r>
        <w:rPr>
          <w:rFonts w:hint="eastAsia"/>
        </w:rPr>
        <w:t>油气销售中心、</w:t>
      </w:r>
      <w:r>
        <w:t>天然气分公司</w:t>
      </w:r>
      <w:r>
        <w:rPr>
          <w:rFonts w:hint="eastAsia"/>
        </w:rPr>
        <w:t>四川天然气销售中心</w:t>
      </w:r>
      <w:r>
        <w:t>等有关单位的大力支持和帮助，在此一并致以诚挚的谢意。</w:t>
      </w:r>
    </w:p>
    <w:p>
      <w:pPr>
        <w:pStyle w:val="214"/>
        <w:ind w:firstLine="480"/>
      </w:pPr>
      <w:r>
        <w:t>本次环评工作分为三个阶段，第一个阶段为前期准备、调研和工作方案阶段，第二个阶段为分析论证和预测评价阶段，第三个阶段为环境影响报告书编制阶段。</w:t>
      </w:r>
    </w:p>
    <w:p>
      <w:pPr>
        <w:pStyle w:val="214"/>
        <w:ind w:firstLine="482"/>
        <w:rPr>
          <w:b/>
        </w:rPr>
      </w:pPr>
      <w:r>
        <w:rPr>
          <w:b/>
        </w:rPr>
        <w:t>（1）调查分析和工作方案制定阶段</w:t>
      </w:r>
    </w:p>
    <w:p>
      <w:pPr>
        <w:pStyle w:val="214"/>
        <w:ind w:firstLine="480"/>
      </w:pPr>
      <w:r>
        <w:t>接受委托后，我公司即派技术人员赴现场踏勘，了解本项目拟建地有关情况，收集了相关资料；研究了本项目建设方案及与本项目相关的支持性文件；进行了初步工程分析，开展了初步的环境状况调查，进行了本项目环境影响因素识别与评价因子筛选，明确了评价重点，掌握了本项目的四邻关系、环境保护目标情况等，在以上工作的基础上，确定了本项目的评价工作等级和评价范围，制定了本项目的评价工作方案及编制人员分工。</w:t>
      </w:r>
    </w:p>
    <w:p>
      <w:pPr>
        <w:ind w:firstLine="482"/>
        <w:rPr>
          <w:rFonts w:cs="Times New Roman"/>
          <w:b/>
        </w:rPr>
      </w:pPr>
      <w:r>
        <w:rPr>
          <w:rFonts w:cs="Times New Roman"/>
          <w:b/>
        </w:rPr>
        <w:t>（2）分析论证和预测评价阶段</w:t>
      </w:r>
    </w:p>
    <w:p>
      <w:pPr>
        <w:pStyle w:val="214"/>
        <w:ind w:firstLine="480"/>
      </w:pPr>
      <w:r>
        <w:t>结合本项目特点和项目所在地区域概况委托实施环境质量现状监测；在工作方案的指导下，我公司评价工作组技术人员开始进行本项目的工程分析，并在此基础上开展本项目区域环境质量现状调查与评价，在现状评价及工程分析的基础上对各个环境要素进行了环境影响预测及评价。</w:t>
      </w:r>
    </w:p>
    <w:p>
      <w:pPr>
        <w:ind w:firstLine="482"/>
        <w:rPr>
          <w:rFonts w:cs="Times New Roman"/>
          <w:b/>
        </w:rPr>
      </w:pPr>
      <w:r>
        <w:rPr>
          <w:rFonts w:cs="Times New Roman"/>
          <w:b/>
        </w:rPr>
        <w:t>（3）环评报告书编制阶段</w:t>
      </w:r>
    </w:p>
    <w:p>
      <w:pPr>
        <w:pStyle w:val="214"/>
        <w:ind w:firstLine="480"/>
      </w:pPr>
      <w:r>
        <w:t>在前面工作的基础上对本项目拟采取的环保措施进行技术经济论证，对部分不满足要求的措施，环评给出了补充措施的要求及建议，并分析了补充环保措施的可行性，在此基础上给出了本项目环境可行性的评价结论。</w:t>
      </w:r>
    </w:p>
    <w:p>
      <w:pPr>
        <w:pStyle w:val="214"/>
        <w:ind w:firstLine="480"/>
      </w:pPr>
      <w:r>
        <w:t>根据《建设项目环境影响评价技术导则 总纲》（HJ</w:t>
      </w:r>
      <w:r>
        <w:rPr>
          <w:rFonts w:hint="eastAsia"/>
        </w:rPr>
        <w:t xml:space="preserve"> </w:t>
      </w:r>
      <w:r>
        <w:t>2.1-2016）等相关技术规范的要求，本项目环境影响评价的工作过程及程序见下图。</w:t>
      </w:r>
    </w:p>
    <w:p>
      <w:pPr>
        <w:ind w:firstLine="0" w:firstLineChars="0"/>
        <w:jc w:val="center"/>
        <w:rPr>
          <w:rFonts w:cs="Times New Roman"/>
          <w:lang w:val="zh-CN"/>
        </w:rPr>
      </w:pPr>
      <w:r>
        <w:rPr>
          <w:rFonts w:cs="Times New Roman"/>
        </w:rPr>
        <w:object>
          <v:shape id="_x0000_i1025" o:spt="75" type="#_x0000_t75" style="height:470.3pt;width:420.25pt;" o:ole="t" filled="f" coordsize="21600,21600">
            <v:path/>
            <v:fill on="f" focussize="0,0"/>
            <v:stroke/>
            <v:imagedata r:id="rId39" o:title=""/>
            <o:lock v:ext="edit" aspectratio="t"/>
            <w10:wrap type="none"/>
            <w10:anchorlock/>
          </v:shape>
          <o:OLEObject Type="Embed" ProgID="Visio.Drawing.11" ShapeID="_x0000_i1025" DrawAspect="Content" ObjectID="_1468075725" r:id="rId38">
            <o:LockedField>false</o:LockedField>
          </o:OLEObject>
        </w:object>
      </w:r>
      <w:r>
        <w:rPr>
          <w:rFonts w:eastAsia="楷体" w:cs="Times New Roman"/>
          <w:b/>
          <w:kern w:val="0"/>
          <w:sz w:val="22"/>
          <w:szCs w:val="24"/>
        </w:rPr>
        <w:t>图</w:t>
      </w:r>
      <w:r>
        <w:rPr>
          <w:rFonts w:hint="eastAsia" w:eastAsia="楷体" w:cs="Times New Roman"/>
          <w:b/>
          <w:kern w:val="0"/>
          <w:sz w:val="22"/>
          <w:szCs w:val="24"/>
        </w:rPr>
        <w:t xml:space="preserve">3 </w:t>
      </w:r>
      <w:r>
        <w:rPr>
          <w:rFonts w:eastAsia="楷体" w:cs="Times New Roman"/>
          <w:b/>
          <w:kern w:val="0"/>
          <w:sz w:val="22"/>
          <w:szCs w:val="24"/>
        </w:rPr>
        <w:t>本项目环境影响评价工作程序图</w:t>
      </w:r>
    </w:p>
    <w:p>
      <w:pPr>
        <w:pStyle w:val="122"/>
        <w:numPr>
          <w:ilvl w:val="0"/>
          <w:numId w:val="3"/>
        </w:numPr>
        <w:ind w:firstLineChars="0"/>
        <w:outlineLvl w:val="4"/>
        <w:rPr>
          <w:rFonts w:cs="Times New Roman"/>
          <w:b/>
          <w:bCs/>
          <w:sz w:val="30"/>
          <w:szCs w:val="30"/>
        </w:rPr>
      </w:pPr>
      <w:r>
        <w:rPr>
          <w:rFonts w:cs="Times New Roman"/>
          <w:b/>
          <w:bCs/>
          <w:sz w:val="30"/>
          <w:szCs w:val="30"/>
        </w:rPr>
        <w:t>评价目的和原则</w:t>
      </w:r>
    </w:p>
    <w:p>
      <w:pPr>
        <w:ind w:firstLine="482"/>
        <w:rPr>
          <w:rFonts w:cs="Times New Roman"/>
          <w:b/>
        </w:rPr>
      </w:pPr>
      <w:r>
        <w:rPr>
          <w:rFonts w:cs="Times New Roman"/>
          <w:b/>
        </w:rPr>
        <w:t>1、评价目的</w:t>
      </w:r>
    </w:p>
    <w:p>
      <w:pPr>
        <w:ind w:firstLine="480"/>
        <w:rPr>
          <w:rFonts w:cs="Times New Roman"/>
        </w:rPr>
      </w:pPr>
      <w:r>
        <w:rPr>
          <w:rFonts w:cs="Times New Roman"/>
        </w:rPr>
        <w:t xml:space="preserve">（1）通过国家和省市的产业政策、城市及环境规划的了解和分析，论证项目建设及其选址的可行性和合理性； </w:t>
      </w:r>
    </w:p>
    <w:p>
      <w:pPr>
        <w:ind w:firstLine="480"/>
        <w:rPr>
          <w:rFonts w:cs="Times New Roman"/>
        </w:rPr>
      </w:pPr>
      <w:r>
        <w:rPr>
          <w:rFonts w:cs="Times New Roman"/>
        </w:rPr>
        <w:t xml:space="preserve">（2）通过对建设项目周围环境现状资料调查收集及环境现状监测，掌握评价区域的环境质量现状，确定主要环境保护目标； </w:t>
      </w:r>
    </w:p>
    <w:p>
      <w:pPr>
        <w:ind w:firstLine="480"/>
        <w:rPr>
          <w:rFonts w:cs="Times New Roman"/>
        </w:rPr>
      </w:pPr>
      <w:r>
        <w:rPr>
          <w:rFonts w:cs="Times New Roman"/>
        </w:rPr>
        <w:t>（3）通过对该建设项目工程内容的分析，确定项目建成后的工程特点、污染物排放特征。结合周围环境特点和项目污染物排放特征，主要分析预测项目施工期</w:t>
      </w:r>
      <w:r>
        <w:rPr>
          <w:rFonts w:hint="eastAsia" w:cs="Times New Roman"/>
        </w:rPr>
        <w:t>、</w:t>
      </w:r>
      <w:r>
        <w:rPr>
          <w:rFonts w:cs="Times New Roman"/>
        </w:rPr>
        <w:t xml:space="preserve">运营期对周围环境的影响程度、影响范围以及环境质量可能发生的变化； </w:t>
      </w:r>
    </w:p>
    <w:p>
      <w:pPr>
        <w:ind w:firstLine="480"/>
        <w:rPr>
          <w:rFonts w:cs="Times New Roman"/>
        </w:rPr>
      </w:pPr>
      <w:r>
        <w:rPr>
          <w:rFonts w:cs="Times New Roman"/>
        </w:rPr>
        <w:t xml:space="preserve">（4）根据工程分析和影响预测评价的结果，对建设单位选用的污染治理设施作出评价，论述本项目环保设施的可靠性和合理性，提出防治和减缓措施的对策和建议； </w:t>
      </w:r>
    </w:p>
    <w:p>
      <w:pPr>
        <w:ind w:firstLine="480"/>
        <w:rPr>
          <w:rFonts w:cs="Times New Roman"/>
        </w:rPr>
      </w:pPr>
      <w:r>
        <w:rPr>
          <w:rFonts w:cs="Times New Roman"/>
        </w:rPr>
        <w:t xml:space="preserve">（5）从环保的角度明确给出项目建设的可行性结论，同时对项目提出环境管理和环境监测建议，从而为环保决策和管理部门提供科学依据。 </w:t>
      </w:r>
    </w:p>
    <w:p>
      <w:pPr>
        <w:ind w:firstLine="482"/>
        <w:rPr>
          <w:rFonts w:cs="Times New Roman"/>
          <w:b/>
        </w:rPr>
      </w:pPr>
      <w:r>
        <w:rPr>
          <w:rFonts w:cs="Times New Roman"/>
          <w:b/>
        </w:rPr>
        <w:t>2、评价原则</w:t>
      </w:r>
    </w:p>
    <w:p>
      <w:pPr>
        <w:ind w:firstLine="480"/>
        <w:rPr>
          <w:rFonts w:cs="Times New Roman"/>
        </w:rPr>
      </w:pPr>
      <w:r>
        <w:rPr>
          <w:rFonts w:cs="Times New Roman"/>
        </w:rPr>
        <w:t>突出环境影响评价的源头预防作用，坚持保持和改善环境质量。</w:t>
      </w:r>
    </w:p>
    <w:p>
      <w:pPr>
        <w:ind w:firstLine="480"/>
        <w:rPr>
          <w:rFonts w:cs="Times New Roman"/>
        </w:rPr>
      </w:pPr>
      <w:r>
        <w:rPr>
          <w:rFonts w:cs="Times New Roman"/>
        </w:rPr>
        <w:t>（1）依法评价：贯彻执行我国环境保护相关法律法规、标准、政策和规划等，优化项目建设，服务环境管理。</w:t>
      </w:r>
    </w:p>
    <w:p>
      <w:pPr>
        <w:ind w:firstLine="480"/>
        <w:rPr>
          <w:rFonts w:cs="Times New Roman"/>
        </w:rPr>
      </w:pPr>
      <w:r>
        <w:rPr>
          <w:rFonts w:cs="Times New Roman"/>
        </w:rPr>
        <w:t>（2）科学评价：规范环境影响评价方法，科学分析项目建设对环境质量的影响。</w:t>
      </w:r>
    </w:p>
    <w:p>
      <w:pPr>
        <w:ind w:firstLine="480"/>
        <w:rPr>
          <w:rFonts w:cs="Times New Roman"/>
        </w:rPr>
      </w:pPr>
      <w:r>
        <w:rPr>
          <w:rFonts w:cs="Times New Roman"/>
        </w:rPr>
        <w:t>（3）突出重点：根据建设项目的工程内容及特点，明确与环境要素间的作用效应关系，根据规划环境影响评价结论和审查意见，充分利用符合时效的数据资料及成果，对建设项目主要环境影响予以重点分析和评价。</w:t>
      </w:r>
    </w:p>
    <w:p>
      <w:pPr>
        <w:pStyle w:val="122"/>
        <w:numPr>
          <w:ilvl w:val="0"/>
          <w:numId w:val="3"/>
        </w:numPr>
        <w:ind w:firstLineChars="0"/>
        <w:outlineLvl w:val="4"/>
        <w:rPr>
          <w:rFonts w:cs="Times New Roman"/>
          <w:b/>
          <w:bCs/>
          <w:sz w:val="30"/>
          <w:szCs w:val="30"/>
        </w:rPr>
      </w:pPr>
      <w:r>
        <w:rPr>
          <w:rFonts w:cs="Times New Roman"/>
          <w:b/>
          <w:bCs/>
          <w:sz w:val="30"/>
          <w:szCs w:val="30"/>
        </w:rPr>
        <w:t>关注的主要环境问题及环境影响</w:t>
      </w:r>
    </w:p>
    <w:p>
      <w:pPr>
        <w:pStyle w:val="214"/>
        <w:ind w:firstLine="480"/>
      </w:pPr>
      <w:r>
        <w:t>根据本项目的特点，环境影响评价过程关注的主要环境问题及环境影响如下：</w:t>
      </w:r>
    </w:p>
    <w:p>
      <w:pPr>
        <w:pStyle w:val="214"/>
        <w:ind w:firstLine="480"/>
      </w:pPr>
      <w:bookmarkStart w:id="5" w:name="_Hlk75179458"/>
      <w:r>
        <w:t>（1）本项目占用永久基本农田、天然林、公益林，涉及水土流失重点治理区及防治区，重点关注本项目的建设对环境敏感区的影响；</w:t>
      </w:r>
    </w:p>
    <w:bookmarkEnd w:id="5"/>
    <w:p>
      <w:pPr>
        <w:pStyle w:val="214"/>
        <w:ind w:firstLine="480"/>
      </w:pPr>
      <w:r>
        <w:t>（2）调查管道周边环境敏感点距离，分析最不利情况下对周边敏感点的可能影响及需采取的防范措施；</w:t>
      </w:r>
    </w:p>
    <w:p>
      <w:pPr>
        <w:pStyle w:val="214"/>
        <w:ind w:firstLine="480"/>
      </w:pPr>
      <w:r>
        <w:t xml:space="preserve">（3）结合施工、运行方式，分析项目施工期及运营期对环境产生的直接、间接影响及配套环保措施的有效性； </w:t>
      </w:r>
    </w:p>
    <w:p>
      <w:pPr>
        <w:pStyle w:val="214"/>
        <w:ind w:firstLine="480"/>
      </w:pPr>
      <w:r>
        <w:t>（4）分析事故状态时释放的危害物质对周边环境可能产生的影响范围和程度，提出风险防范或应急措施。</w:t>
      </w:r>
    </w:p>
    <w:p>
      <w:pPr>
        <w:pStyle w:val="122"/>
        <w:numPr>
          <w:ilvl w:val="0"/>
          <w:numId w:val="3"/>
        </w:numPr>
        <w:ind w:firstLineChars="0"/>
        <w:outlineLvl w:val="4"/>
        <w:rPr>
          <w:rFonts w:cs="Times New Roman"/>
          <w:b/>
          <w:bCs/>
          <w:sz w:val="30"/>
          <w:szCs w:val="30"/>
        </w:rPr>
      </w:pPr>
      <w:r>
        <w:rPr>
          <w:rFonts w:cs="Times New Roman"/>
          <w:b/>
          <w:bCs/>
          <w:sz w:val="30"/>
          <w:szCs w:val="30"/>
        </w:rPr>
        <w:t>环境影响评价的主要结论</w:t>
      </w:r>
    </w:p>
    <w:p>
      <w:pPr>
        <w:pStyle w:val="214"/>
        <w:ind w:firstLine="480"/>
        <w:rPr>
          <w:rStyle w:val="119"/>
          <w:rFonts w:hint="default"/>
          <w:color w:val="auto"/>
        </w:rPr>
      </w:pPr>
      <w:bookmarkStart w:id="6" w:name="_Hlk68007476"/>
      <w:r>
        <w:rPr>
          <w:rStyle w:val="119"/>
          <w:rFonts w:hint="default"/>
          <w:color w:val="auto"/>
        </w:rPr>
        <w:t>本项目属于《产业结构调整指导目录(2019 年本)》(发展改革委令第29 号)中“原油、天然气、液化天然气、成品油的储运和管道输送设施、网络和液化天然气加注设施建设”类项目，为国家“鼓励类”项目中第7条第3款。因此，本项目符合国家产业政策。</w:t>
      </w:r>
    </w:p>
    <w:bookmarkEnd w:id="6"/>
    <w:p>
      <w:pPr>
        <w:pStyle w:val="214"/>
        <w:ind w:firstLine="480"/>
        <w:rPr>
          <w:rStyle w:val="119"/>
          <w:rFonts w:hint="default"/>
          <w:color w:val="auto"/>
        </w:rPr>
      </w:pPr>
      <w:r>
        <w:rPr>
          <w:rStyle w:val="119"/>
          <w:rFonts w:hint="default"/>
          <w:color w:val="auto"/>
        </w:rPr>
        <w:t>评价区域环境空气质量、声环境质量、地表水环境质量、地下水环境质量以及土壤环境质量现状总体较好；通过严格落实污染防治措施，项目建设产生的污染物能做到达标排放或妥善处置，对生态环境、地表水、地下水、土壤以及大气环境影响控制在当地环境可接受范围内，本项目的实施不会改变区域原有的环境功能；项目采用的环保措施可行，社会、经济效益十分显著；建设项目选址合理，环境可行。通过严格落实行业规范以及完善环境风险事故防范措施和制定较详尽有效的环境风险事故应急预案，项目环境风险可防可控，环境可接受。</w:t>
      </w:r>
    </w:p>
    <w:p>
      <w:pPr>
        <w:ind w:firstLine="480"/>
        <w:rPr>
          <w:rStyle w:val="119"/>
          <w:rFonts w:hint="default" w:ascii="Times New Roman" w:hAnsi="Times New Roman" w:cs="Times New Roman"/>
          <w:color w:val="auto"/>
        </w:rPr>
        <w:sectPr>
          <w:headerReference r:id="rId13" w:type="default"/>
          <w:footerReference r:id="rId14" w:type="default"/>
          <w:pgSz w:w="11906" w:h="16838"/>
          <w:pgMar w:top="1440" w:right="1800" w:bottom="1440" w:left="1800" w:header="850" w:footer="794" w:gutter="0"/>
          <w:pgNumType w:start="1"/>
          <w:cols w:space="425" w:num="1"/>
          <w:docGrid w:type="lines" w:linePitch="326" w:charSpace="0"/>
        </w:sectPr>
      </w:pPr>
    </w:p>
    <w:p>
      <w:pPr>
        <w:pStyle w:val="3"/>
      </w:pPr>
      <w:bookmarkStart w:id="7" w:name="_Toc57710980"/>
      <w:r>
        <w:t xml:space="preserve"> </w:t>
      </w:r>
      <w:bookmarkStart w:id="8" w:name="_Toc96680594"/>
      <w:r>
        <w:t>总 则</w:t>
      </w:r>
      <w:bookmarkEnd w:id="7"/>
      <w:bookmarkEnd w:id="8"/>
    </w:p>
    <w:p>
      <w:pPr>
        <w:pStyle w:val="4"/>
        <w:rPr>
          <w:rFonts w:cs="Times New Roman"/>
        </w:rPr>
      </w:pPr>
      <w:bookmarkStart w:id="9" w:name="_Toc57710982"/>
      <w:r>
        <w:rPr>
          <w:rFonts w:cs="Times New Roman"/>
        </w:rPr>
        <w:t xml:space="preserve"> </w:t>
      </w:r>
      <w:bookmarkStart w:id="10" w:name="_Toc96680595"/>
      <w:r>
        <w:rPr>
          <w:rFonts w:cs="Times New Roman"/>
        </w:rPr>
        <w:t>编制依据</w:t>
      </w:r>
      <w:bookmarkEnd w:id="9"/>
      <w:bookmarkEnd w:id="10"/>
    </w:p>
    <w:p>
      <w:pPr>
        <w:pStyle w:val="5"/>
        <w:rPr>
          <w:rFonts w:cs="Times New Roman"/>
        </w:rPr>
      </w:pPr>
      <w:bookmarkStart w:id="11" w:name="_Toc29808302"/>
      <w:bookmarkStart w:id="12" w:name="_Toc39651911"/>
      <w:bookmarkStart w:id="13" w:name="_Toc151203669"/>
      <w:bookmarkStart w:id="14" w:name="_Toc45098306"/>
      <w:r>
        <w:rPr>
          <w:rFonts w:cs="Times New Roman"/>
        </w:rPr>
        <w:t xml:space="preserve"> </w:t>
      </w:r>
      <w:bookmarkStart w:id="15" w:name="_Toc96680596"/>
      <w:r>
        <w:rPr>
          <w:rFonts w:cs="Times New Roman"/>
        </w:rPr>
        <w:t>国家环保法律</w:t>
      </w:r>
      <w:bookmarkEnd w:id="11"/>
      <w:bookmarkEnd w:id="12"/>
      <w:r>
        <w:rPr>
          <w:rFonts w:cs="Times New Roman"/>
        </w:rPr>
        <w:t>法规及规章文件</w:t>
      </w:r>
      <w:bookmarkEnd w:id="15"/>
    </w:p>
    <w:p>
      <w:pPr>
        <w:pStyle w:val="214"/>
        <w:ind w:firstLine="480"/>
      </w:pPr>
      <w:r>
        <w:t>（1）《中华人民共和国环境保护法》（2014年修订）；</w:t>
      </w:r>
    </w:p>
    <w:p>
      <w:pPr>
        <w:pStyle w:val="214"/>
        <w:ind w:firstLine="480"/>
      </w:pPr>
      <w:r>
        <w:t>（2）《中华人民共和国环境影响评价法》（2018年修正）；</w:t>
      </w:r>
    </w:p>
    <w:p>
      <w:pPr>
        <w:pStyle w:val="214"/>
        <w:ind w:firstLine="480"/>
      </w:pPr>
      <w:r>
        <w:t>（3）《建设项目环境保护管理条例》(国令第682号)；</w:t>
      </w:r>
    </w:p>
    <w:p>
      <w:pPr>
        <w:pStyle w:val="214"/>
        <w:ind w:firstLine="480"/>
      </w:pPr>
      <w:r>
        <w:t>（4）《建设项目环境影响评价分类管理名录（2021年版）》（生态环境部 部令第16号）；</w:t>
      </w:r>
    </w:p>
    <w:p>
      <w:pPr>
        <w:pStyle w:val="214"/>
        <w:ind w:firstLine="480"/>
      </w:pPr>
      <w:r>
        <w:t>（5）《产业结构调整指导目录（2019年本）》（国家发展和改革委员会令第29号）；</w:t>
      </w:r>
    </w:p>
    <w:p>
      <w:pPr>
        <w:pStyle w:val="214"/>
        <w:ind w:firstLine="480"/>
      </w:pPr>
      <w:r>
        <w:t>（6）《中华人民共和国大气污染防治法》（2018年修正）；</w:t>
      </w:r>
    </w:p>
    <w:p>
      <w:pPr>
        <w:pStyle w:val="214"/>
        <w:ind w:firstLine="480"/>
      </w:pPr>
      <w:r>
        <w:t>（7）《中华人民共和国水污染防治法》（2017年修正）；</w:t>
      </w:r>
    </w:p>
    <w:p>
      <w:pPr>
        <w:pStyle w:val="214"/>
        <w:ind w:firstLine="480"/>
      </w:pPr>
      <w:r>
        <w:t>（8）《中华人民共和国环境噪声污染防治法》（2018年修正）；</w:t>
      </w:r>
    </w:p>
    <w:p>
      <w:pPr>
        <w:pStyle w:val="214"/>
        <w:ind w:firstLine="480"/>
      </w:pPr>
      <w:r>
        <w:t>（9）《中华人民共和国固体废物污染环境防治法》（2020年修正）；</w:t>
      </w:r>
    </w:p>
    <w:p>
      <w:pPr>
        <w:pStyle w:val="214"/>
        <w:ind w:firstLine="480"/>
      </w:pPr>
      <w:r>
        <w:t>（10）《中华人民共和国土壤污染防治法》（2018年）；</w:t>
      </w:r>
    </w:p>
    <w:p>
      <w:pPr>
        <w:pStyle w:val="214"/>
        <w:ind w:firstLine="480"/>
      </w:pPr>
      <w:r>
        <w:t>（11）《中华人民共和国水法》（2016年修正）；</w:t>
      </w:r>
    </w:p>
    <w:p>
      <w:pPr>
        <w:pStyle w:val="214"/>
        <w:ind w:firstLine="480"/>
      </w:pPr>
      <w:r>
        <w:t>（12）《中华人民共和国土地管理法》（2019年修正）；</w:t>
      </w:r>
    </w:p>
    <w:p>
      <w:pPr>
        <w:pStyle w:val="214"/>
        <w:ind w:firstLine="480"/>
      </w:pPr>
      <w:r>
        <w:t>（13）《中华人民共和国矿产资源法》（2009年修正）；</w:t>
      </w:r>
    </w:p>
    <w:p>
      <w:pPr>
        <w:pStyle w:val="214"/>
        <w:ind w:firstLine="480"/>
      </w:pPr>
      <w:r>
        <w:t>（14）《中华人民共和国石油天然气管道保护法》（2010年）；</w:t>
      </w:r>
    </w:p>
    <w:p>
      <w:pPr>
        <w:pStyle w:val="214"/>
        <w:ind w:firstLine="480"/>
      </w:pPr>
      <w:r>
        <w:t>（15）《中华人民共和国节约能源法》（2018年修正）；</w:t>
      </w:r>
    </w:p>
    <w:p>
      <w:pPr>
        <w:pStyle w:val="214"/>
        <w:ind w:firstLine="480"/>
      </w:pPr>
      <w:r>
        <w:t>（16）《中华人民共和国清洁生产促进法》（2012年修正）；</w:t>
      </w:r>
    </w:p>
    <w:p>
      <w:pPr>
        <w:pStyle w:val="214"/>
        <w:ind w:firstLine="480"/>
      </w:pPr>
      <w:r>
        <w:t>（17）《中华人民共和国野生动物保护法》（2018年修正）；</w:t>
      </w:r>
    </w:p>
    <w:p>
      <w:pPr>
        <w:pStyle w:val="214"/>
        <w:ind w:firstLine="480"/>
      </w:pPr>
      <w:r>
        <w:t>（18）《中华人民共和国森林法》（2019年修正）；</w:t>
      </w:r>
    </w:p>
    <w:p>
      <w:pPr>
        <w:pStyle w:val="214"/>
        <w:ind w:firstLine="480"/>
      </w:pPr>
      <w:r>
        <w:t>（19）《基本农田保护条例》（国务院令第588号）；</w:t>
      </w:r>
    </w:p>
    <w:p>
      <w:pPr>
        <w:pStyle w:val="214"/>
        <w:ind w:firstLine="480"/>
      </w:pPr>
      <w:r>
        <w:t>（20）《中华人民共和国自然保护区条例》（国务院令第687号）；</w:t>
      </w:r>
    </w:p>
    <w:p>
      <w:pPr>
        <w:pStyle w:val="214"/>
        <w:ind w:firstLine="480"/>
      </w:pPr>
      <w:r>
        <w:t>（21）《中华人民共和国野生植物保护条例》（国务院令第687号）；</w:t>
      </w:r>
    </w:p>
    <w:p>
      <w:pPr>
        <w:pStyle w:val="214"/>
        <w:ind w:firstLine="480"/>
      </w:pPr>
      <w:r>
        <w:t>（22）</w:t>
      </w:r>
      <w:r>
        <w:rPr>
          <w:spacing w:val="-6"/>
        </w:rPr>
        <w:t>《中华人民共和国陆生野生动物保护法实施条例》（国务院令第666号）；</w:t>
      </w:r>
    </w:p>
    <w:p>
      <w:pPr>
        <w:pStyle w:val="214"/>
        <w:ind w:firstLine="480"/>
      </w:pPr>
      <w:r>
        <w:t>（23）《土地复垦条例》（国令第592号）；</w:t>
      </w:r>
    </w:p>
    <w:p>
      <w:pPr>
        <w:pStyle w:val="214"/>
        <w:ind w:firstLine="480"/>
      </w:pPr>
      <w:r>
        <w:t>（24）</w:t>
      </w:r>
      <w:r>
        <w:rPr>
          <w:rFonts w:hint="eastAsia"/>
        </w:rPr>
        <w:t>《地下水管理条例》（</w:t>
      </w:r>
      <w:r>
        <w:t>国务院令第748号</w:t>
      </w:r>
      <w:r>
        <w:rPr>
          <w:rFonts w:hint="eastAsia"/>
        </w:rPr>
        <w:t>）</w:t>
      </w:r>
    </w:p>
    <w:p>
      <w:pPr>
        <w:pStyle w:val="214"/>
        <w:ind w:firstLine="480"/>
      </w:pPr>
      <w:r>
        <w:t>（25）《全国生态功能区划（修编版）》（公告2015年第61号）；</w:t>
      </w:r>
    </w:p>
    <w:p>
      <w:pPr>
        <w:pStyle w:val="214"/>
        <w:ind w:firstLine="480"/>
      </w:pPr>
      <w:r>
        <w:t>（26）《“十三五”环境影响评价改革实施方案》（环环评〔2016〕95号）；</w:t>
      </w:r>
    </w:p>
    <w:p>
      <w:pPr>
        <w:pStyle w:val="214"/>
        <w:ind w:firstLine="480"/>
      </w:pPr>
      <w:r>
        <w:t>（27）国家林业局 财政部关于印发《国家级公益林区划界定办法》和《国家级公益林管理办法》的通知（林资发〔2017〕34号）；</w:t>
      </w:r>
    </w:p>
    <w:p>
      <w:pPr>
        <w:pStyle w:val="214"/>
        <w:ind w:firstLine="480"/>
      </w:pPr>
      <w:r>
        <w:t>（28）《企业突发环境事件隐患排查和治理工作指南（试行）》（公告2016年 第74号）；</w:t>
      </w:r>
    </w:p>
    <w:p>
      <w:pPr>
        <w:pStyle w:val="214"/>
        <w:ind w:firstLine="480"/>
      </w:pPr>
      <w:r>
        <w:t>（29）《关于全面实行永久基本农田特殊保护的通知》（国土资规〔2018〕1号）</w:t>
      </w:r>
      <w:r>
        <w:rPr>
          <w:rFonts w:hint="eastAsia"/>
        </w:rPr>
        <w:t>；</w:t>
      </w:r>
    </w:p>
    <w:p>
      <w:pPr>
        <w:pStyle w:val="214"/>
        <w:ind w:firstLine="480"/>
      </w:pPr>
      <w:r>
        <w:t>（30）《国土资源部关于印发&lt;自然生态空间用途管制办法（试行）&gt;的通知》（国土资发〔2017〕33号）；</w:t>
      </w:r>
    </w:p>
    <w:p>
      <w:pPr>
        <w:pStyle w:val="214"/>
        <w:ind w:firstLine="480"/>
      </w:pPr>
      <w:r>
        <w:t>（31）《关于发布矿山生态环境保护与污染防治技术政策的通知》（环发〔2005〕109号）；</w:t>
      </w:r>
    </w:p>
    <w:p>
      <w:pPr>
        <w:pStyle w:val="214"/>
        <w:ind w:firstLine="480"/>
      </w:pPr>
      <w:r>
        <w:t>（32）《石油天然气开采业污染防治技术政策》（公告2012年第18号）；</w:t>
      </w:r>
    </w:p>
    <w:p>
      <w:pPr>
        <w:pStyle w:val="214"/>
        <w:ind w:firstLine="480"/>
      </w:pPr>
      <w:r>
        <w:t>（33）《国务院关于印发水污染防治行动计划的通知》(国发〔2015〕17号)；</w:t>
      </w:r>
    </w:p>
    <w:p>
      <w:pPr>
        <w:pStyle w:val="214"/>
        <w:ind w:firstLine="480"/>
      </w:pPr>
      <w:r>
        <w:rPr>
          <w:rFonts w:hint="eastAsia"/>
        </w:rPr>
        <w:t>（34）</w:t>
      </w:r>
      <w:r>
        <w:rPr>
          <w:spacing w:val="-6"/>
        </w:rPr>
        <w:t>《环境空气细颗粒物污染综合防治技术政策》（公告2013年第59号)；</w:t>
      </w:r>
    </w:p>
    <w:p>
      <w:pPr>
        <w:pStyle w:val="214"/>
        <w:ind w:firstLine="480"/>
      </w:pPr>
      <w:r>
        <w:rPr>
          <w:rFonts w:hint="eastAsia"/>
        </w:rPr>
        <w:t>（35）</w:t>
      </w:r>
      <w:r>
        <w:t>《石油天然气开采业污染防治技术政策》（公告2012年第18号）；</w:t>
      </w:r>
    </w:p>
    <w:p>
      <w:pPr>
        <w:pStyle w:val="214"/>
        <w:ind w:firstLine="456"/>
        <w:rPr>
          <w:spacing w:val="-6"/>
        </w:rPr>
      </w:pPr>
      <w:r>
        <w:rPr>
          <w:rFonts w:hint="eastAsia"/>
          <w:spacing w:val="-6"/>
        </w:rPr>
        <w:t>（36）</w:t>
      </w:r>
      <w:r>
        <w:t>《国务院关于印发水污染防治行动计划的通知》(国发〔2015〕17号)；</w:t>
      </w:r>
    </w:p>
    <w:p>
      <w:pPr>
        <w:pStyle w:val="214"/>
        <w:ind w:firstLine="480"/>
      </w:pPr>
      <w:r>
        <w:rPr>
          <w:rFonts w:hint="eastAsia"/>
        </w:rPr>
        <w:t>（37）</w:t>
      </w:r>
      <w:r>
        <w:rPr>
          <w:spacing w:val="-6"/>
        </w:rPr>
        <w:t>《国务院关于印发大气污染防治行动计划的通知》(国发〔2013〕37号)；</w:t>
      </w:r>
    </w:p>
    <w:p>
      <w:pPr>
        <w:pStyle w:val="214"/>
        <w:ind w:firstLine="480"/>
      </w:pPr>
      <w:r>
        <w:rPr>
          <w:rFonts w:hint="eastAsia"/>
        </w:rPr>
        <w:t>（38）</w:t>
      </w:r>
      <w:r>
        <w:t>《关于印发能源行业加强大气污染防治工作方案的通知》（发改能源〔2014〕506号）；</w:t>
      </w:r>
    </w:p>
    <w:p>
      <w:pPr>
        <w:pStyle w:val="214"/>
        <w:ind w:firstLine="456"/>
      </w:pPr>
      <w:r>
        <w:rPr>
          <w:rFonts w:hint="eastAsia"/>
          <w:spacing w:val="-6"/>
        </w:rPr>
        <w:t>（39）</w:t>
      </w:r>
      <w:r>
        <w:t>《关于进一步加强石油天然气行业环境影响评价管理的通知》（环办环评函〔2019〕910号）；</w:t>
      </w:r>
    </w:p>
    <w:p>
      <w:pPr>
        <w:pStyle w:val="214"/>
        <w:ind w:firstLine="480"/>
      </w:pPr>
      <w:r>
        <w:rPr>
          <w:rFonts w:hint="eastAsia"/>
        </w:rPr>
        <w:t>（40）</w:t>
      </w:r>
      <w:r>
        <w:t>《关于做好环境影响评价制度与排污许可制衔接相关工作的通知》（环办环评〔2017〕84号）；</w:t>
      </w:r>
    </w:p>
    <w:p>
      <w:pPr>
        <w:pStyle w:val="214"/>
        <w:ind w:firstLine="480"/>
      </w:pPr>
      <w:r>
        <w:rPr>
          <w:rFonts w:hint="eastAsia"/>
        </w:rPr>
        <w:t>（41）</w:t>
      </w:r>
      <w:r>
        <w:t>《关于加强资源环境生态红线管控的指导意见的通知》（发改环资〔2016〕1162号）；</w:t>
      </w:r>
    </w:p>
    <w:p>
      <w:pPr>
        <w:pStyle w:val="214"/>
        <w:ind w:firstLine="480"/>
      </w:pPr>
      <w:r>
        <w:rPr>
          <w:rFonts w:hint="eastAsia"/>
        </w:rPr>
        <w:t>（42）</w:t>
      </w:r>
      <w:r>
        <w:t>《关于以改善环境质量为核心加强环境影响评价管理的通知》（环环评〔2016〕150号）；</w:t>
      </w:r>
    </w:p>
    <w:p>
      <w:pPr>
        <w:pStyle w:val="214"/>
        <w:ind w:firstLine="480"/>
      </w:pPr>
      <w:r>
        <w:t>（</w:t>
      </w:r>
      <w:r>
        <w:rPr>
          <w:rFonts w:hint="eastAsia"/>
        </w:rPr>
        <w:t>43</w:t>
      </w:r>
      <w:r>
        <w:t>）《关于进一步加强环境影响评价管理防范环境风险的通知》（环发〔2012〕77号)；</w:t>
      </w:r>
    </w:p>
    <w:p>
      <w:pPr>
        <w:pStyle w:val="214"/>
        <w:ind w:firstLine="480"/>
      </w:pPr>
      <w:r>
        <w:rPr>
          <w:rFonts w:hint="eastAsia"/>
        </w:rPr>
        <w:t>（44）</w:t>
      </w:r>
      <w:r>
        <w:t>《关于切实加强风险防范严格环境影响评价管理的通知》（环发〔2012〕98号）；</w:t>
      </w:r>
    </w:p>
    <w:p>
      <w:pPr>
        <w:pStyle w:val="214"/>
        <w:ind w:firstLine="480"/>
      </w:pPr>
      <w:r>
        <w:t>（</w:t>
      </w:r>
      <w:r>
        <w:rPr>
          <w:rFonts w:hint="eastAsia"/>
        </w:rPr>
        <w:t>45</w:t>
      </w:r>
      <w:r>
        <w:t>）《关于印发企业事业单位突发环境事件应急预案备案管理办法（试行）的通知》（环发〔2015〕4号）；</w:t>
      </w:r>
    </w:p>
    <w:p>
      <w:pPr>
        <w:pStyle w:val="214"/>
        <w:ind w:firstLine="480"/>
      </w:pPr>
      <w:r>
        <w:t>（</w:t>
      </w:r>
      <w:r>
        <w:rPr>
          <w:rFonts w:hint="eastAsia"/>
        </w:rPr>
        <w:t>46</w:t>
      </w:r>
      <w:r>
        <w:t>）《关于贯彻实施国家主体功能区环境政策的若干意见》（环发〔2015〕92号）；</w:t>
      </w:r>
    </w:p>
    <w:p>
      <w:pPr>
        <w:pStyle w:val="214"/>
        <w:ind w:firstLine="480"/>
      </w:pPr>
      <w:r>
        <w:t>（</w:t>
      </w:r>
      <w:r>
        <w:rPr>
          <w:rFonts w:hint="eastAsia"/>
        </w:rPr>
        <w:t>47</w:t>
      </w:r>
      <w:r>
        <w:t>）《关于加强资源开发生态环境保护监管工作的意见》（环发〔2004﹞24号）；</w:t>
      </w:r>
    </w:p>
    <w:p>
      <w:pPr>
        <w:pStyle w:val="214"/>
        <w:ind w:firstLine="480"/>
      </w:pPr>
      <w:r>
        <w:t>（</w:t>
      </w:r>
      <w:r>
        <w:rPr>
          <w:rFonts w:hint="eastAsia"/>
        </w:rPr>
        <w:t>48</w:t>
      </w:r>
      <w:r>
        <w:t>）中共中央办公厅 国务院办公厅印发《关于划定并严守生态保护红线的若干意见》</w:t>
      </w:r>
      <w:r>
        <w:rPr>
          <w:rFonts w:hint="eastAsia"/>
        </w:rPr>
        <w:t>；</w:t>
      </w:r>
    </w:p>
    <w:p>
      <w:pPr>
        <w:pStyle w:val="214"/>
        <w:ind w:firstLine="480"/>
      </w:pPr>
      <w:r>
        <w:t>（4</w:t>
      </w:r>
      <w:r>
        <w:rPr>
          <w:rFonts w:hint="eastAsia"/>
        </w:rPr>
        <w:t>9</w:t>
      </w:r>
      <w:r>
        <w:t>）《国土资源部、工业和信息化部、财政部、环保部、国家能源局关于加强矿山地质环境恢复和综合治理的指导意见》（国土资发〔2016〕63号）；</w:t>
      </w:r>
    </w:p>
    <w:p>
      <w:pPr>
        <w:pStyle w:val="214"/>
        <w:ind w:firstLine="480"/>
      </w:pPr>
      <w:r>
        <w:t>（</w:t>
      </w:r>
      <w:r>
        <w:rPr>
          <w:rFonts w:hint="eastAsia"/>
        </w:rPr>
        <w:t>50</w:t>
      </w:r>
      <w:r>
        <w:t>）中共中央办公厅 国务院办公厅印发《关于在国土空间规划中统筹划定落实三条控制线的指导意见》。</w:t>
      </w:r>
    </w:p>
    <w:p>
      <w:pPr>
        <w:pStyle w:val="5"/>
        <w:rPr>
          <w:rFonts w:cs="Times New Roman"/>
        </w:rPr>
      </w:pPr>
      <w:bookmarkStart w:id="16" w:name="_Toc39651913"/>
      <w:r>
        <w:rPr>
          <w:rFonts w:cs="Times New Roman"/>
        </w:rPr>
        <w:t xml:space="preserve"> </w:t>
      </w:r>
      <w:bookmarkStart w:id="17" w:name="_Toc96680597"/>
      <w:r>
        <w:rPr>
          <w:rFonts w:cs="Times New Roman"/>
        </w:rPr>
        <w:t>地方有关法律、法规及规章文件</w:t>
      </w:r>
      <w:bookmarkEnd w:id="16"/>
      <w:bookmarkEnd w:id="17"/>
    </w:p>
    <w:p>
      <w:pPr>
        <w:pStyle w:val="214"/>
        <w:ind w:firstLine="480"/>
      </w:pPr>
      <w:r>
        <w:t>（1）《四川省环境保护条例》（四川省第十二届人民代表大会常务委员会公告第94号）；</w:t>
      </w:r>
    </w:p>
    <w:p>
      <w:pPr>
        <w:pStyle w:val="214"/>
        <w:ind w:firstLine="480"/>
      </w:pPr>
      <w:r>
        <w:t>（2）《四川省主体功能区规划》（川府发〔2013〕16号）；</w:t>
      </w:r>
    </w:p>
    <w:p>
      <w:pPr>
        <w:pStyle w:val="214"/>
        <w:ind w:firstLine="480"/>
      </w:pPr>
      <w:r>
        <w:t>（3）《四川省生态功能区划》（2010年8月出版）；</w:t>
      </w:r>
    </w:p>
    <w:p>
      <w:pPr>
        <w:pStyle w:val="214"/>
        <w:ind w:firstLine="480"/>
      </w:pPr>
      <w:r>
        <w:t>（4）《四川省大气污染防治行动计划实施细则》（川办函〔2017〕102号）；</w:t>
      </w:r>
    </w:p>
    <w:p>
      <w:pPr>
        <w:pStyle w:val="214"/>
        <w:ind w:firstLine="480"/>
      </w:pPr>
      <w:r>
        <w:t>（5）《四川省野生植物保护条例》(四川省第十二届人民代表大会常务委员会公告第29号)；</w:t>
      </w:r>
    </w:p>
    <w:p>
      <w:pPr>
        <w:pStyle w:val="214"/>
        <w:ind w:firstLine="480"/>
      </w:pPr>
      <w:r>
        <w:t>（6）《四川省环境保护局关于依法加强环境影响评价管理防范环境风险的通知》（川环发〔2006〕1号）；</w:t>
      </w:r>
    </w:p>
    <w:p>
      <w:pPr>
        <w:pStyle w:val="214"/>
        <w:ind w:firstLine="480"/>
      </w:pPr>
      <w:r>
        <w:t>（7）《关于石油天然气钻井及配套设施用地有关问题的通知》（川国土资发〔2012〕105号）；</w:t>
      </w:r>
    </w:p>
    <w:p>
      <w:pPr>
        <w:pStyle w:val="214"/>
        <w:ind w:firstLine="480"/>
      </w:pPr>
      <w:r>
        <w:t>（8）《四川省人民政府关于公布四川省重点保护野生植物名录的通知》(川府函〔2016〕27号)；</w:t>
      </w:r>
    </w:p>
    <w:p>
      <w:pPr>
        <w:pStyle w:val="214"/>
        <w:ind w:firstLine="480"/>
      </w:pPr>
      <w:r>
        <w:t>（9）《关于印发&lt;四川省灰霾污染防治实施方案&gt;的通知》（川环发〔2013〕78号）；</w:t>
      </w:r>
    </w:p>
    <w:p>
      <w:pPr>
        <w:pStyle w:val="214"/>
        <w:ind w:firstLine="480"/>
      </w:pPr>
      <w:r>
        <w:t>（10）《四川省人民政府关于印发《四川省生态保护红线方案》的通知》（川府发〔2018〕24号）</w:t>
      </w:r>
      <w:r>
        <w:rPr>
          <w:rFonts w:hint="eastAsia"/>
        </w:rPr>
        <w:t>；</w:t>
      </w:r>
    </w:p>
    <w:p>
      <w:pPr>
        <w:pStyle w:val="214"/>
        <w:ind w:firstLine="480"/>
      </w:pPr>
      <w:r>
        <w:rPr>
          <w:rFonts w:hint="eastAsia"/>
        </w:rPr>
        <w:t>（1</w:t>
      </w:r>
      <w:r>
        <w:t>1</w:t>
      </w:r>
      <w:r>
        <w:rPr>
          <w:rFonts w:hint="eastAsia"/>
        </w:rPr>
        <w:t>）</w:t>
      </w:r>
      <w:r>
        <w:t>《四川省长江经济带发展负面清单实施细则（试行）》（川长江办〔2019〕8号）。</w:t>
      </w:r>
    </w:p>
    <w:p>
      <w:pPr>
        <w:pStyle w:val="5"/>
        <w:rPr>
          <w:rFonts w:cs="Times New Roman"/>
        </w:rPr>
      </w:pPr>
      <w:bookmarkStart w:id="18" w:name="_Toc39651914"/>
      <w:r>
        <w:rPr>
          <w:rFonts w:cs="Times New Roman"/>
        </w:rPr>
        <w:t xml:space="preserve"> </w:t>
      </w:r>
      <w:bookmarkStart w:id="19" w:name="_Toc96680598"/>
      <w:r>
        <w:rPr>
          <w:rFonts w:cs="Times New Roman"/>
        </w:rPr>
        <w:t>环境影响评价技术规范</w:t>
      </w:r>
      <w:bookmarkEnd w:id="18"/>
      <w:bookmarkEnd w:id="19"/>
    </w:p>
    <w:p>
      <w:pPr>
        <w:ind w:firstLine="480"/>
        <w:rPr>
          <w:rFonts w:cs="Times New Roman"/>
        </w:rPr>
      </w:pPr>
      <w:r>
        <w:rPr>
          <w:rFonts w:cs="Times New Roman"/>
        </w:rPr>
        <w:t xml:space="preserve">（1）《建设项目环境影响评价技术导则 总纲》(HJ2.1-2016)； </w:t>
      </w:r>
    </w:p>
    <w:p>
      <w:pPr>
        <w:ind w:firstLine="480"/>
        <w:rPr>
          <w:rFonts w:cs="Times New Roman"/>
        </w:rPr>
      </w:pPr>
      <w:r>
        <w:rPr>
          <w:rFonts w:cs="Times New Roman"/>
        </w:rPr>
        <w:t>（2）《环境影响评价技术导则 地表水环境》（HJ2.3-2018）；</w:t>
      </w:r>
    </w:p>
    <w:p>
      <w:pPr>
        <w:ind w:firstLine="480"/>
        <w:rPr>
          <w:rFonts w:cs="Times New Roman"/>
        </w:rPr>
      </w:pPr>
      <w:r>
        <w:rPr>
          <w:rFonts w:cs="Times New Roman"/>
        </w:rPr>
        <w:t>（3）《环境影响评价技术导则 大气环境》（HJ2.2-2018）；</w:t>
      </w:r>
    </w:p>
    <w:p>
      <w:pPr>
        <w:ind w:firstLine="480"/>
        <w:rPr>
          <w:rFonts w:cs="Times New Roman"/>
        </w:rPr>
      </w:pPr>
      <w:r>
        <w:rPr>
          <w:rFonts w:cs="Times New Roman"/>
        </w:rPr>
        <w:t>（4）《环境影响评价技术导则 声环境》(HJ2.4-2009)；</w:t>
      </w:r>
    </w:p>
    <w:p>
      <w:pPr>
        <w:ind w:firstLine="480"/>
        <w:rPr>
          <w:rFonts w:cs="Times New Roman"/>
        </w:rPr>
      </w:pPr>
      <w:r>
        <w:rPr>
          <w:rFonts w:cs="Times New Roman"/>
        </w:rPr>
        <w:t>（5）《环境影响评价技术导则 地下水环境》(HJ610-2016)；</w:t>
      </w:r>
    </w:p>
    <w:p>
      <w:pPr>
        <w:ind w:firstLine="480"/>
        <w:rPr>
          <w:rFonts w:cs="Times New Roman"/>
        </w:rPr>
      </w:pPr>
      <w:r>
        <w:rPr>
          <w:rFonts w:cs="Times New Roman"/>
        </w:rPr>
        <w:t>（6）《环境影响评价技术导则 生态影响》(HJ19-2011)；</w:t>
      </w:r>
    </w:p>
    <w:p>
      <w:pPr>
        <w:ind w:firstLine="480"/>
        <w:rPr>
          <w:rFonts w:cs="Times New Roman"/>
        </w:rPr>
      </w:pPr>
      <w:r>
        <w:rPr>
          <w:rFonts w:cs="Times New Roman"/>
        </w:rPr>
        <w:t>（7）《建设项目环境风险评价技术导则》（HJ169-2018）；</w:t>
      </w:r>
    </w:p>
    <w:p>
      <w:pPr>
        <w:ind w:firstLine="480"/>
        <w:rPr>
          <w:rFonts w:cs="Times New Roman"/>
        </w:rPr>
      </w:pPr>
      <w:r>
        <w:rPr>
          <w:rFonts w:cs="Times New Roman"/>
        </w:rPr>
        <w:t>（8）《环境影响评价技术导则陆地石油天然气开发建设项目》（HJ/T349-2007）；</w:t>
      </w:r>
    </w:p>
    <w:p>
      <w:pPr>
        <w:ind w:firstLine="480"/>
        <w:rPr>
          <w:rFonts w:cs="Times New Roman"/>
        </w:rPr>
      </w:pPr>
      <w:r>
        <w:rPr>
          <w:rFonts w:cs="Times New Roman"/>
        </w:rPr>
        <w:t>（9）《生产项目土地复垦验收规程》（TD/T 1044-2014）。</w:t>
      </w:r>
    </w:p>
    <w:p>
      <w:pPr>
        <w:pStyle w:val="5"/>
        <w:rPr>
          <w:rFonts w:cs="Times New Roman"/>
        </w:rPr>
      </w:pPr>
      <w:r>
        <w:rPr>
          <w:rFonts w:cs="Times New Roman"/>
        </w:rPr>
        <w:t xml:space="preserve"> </w:t>
      </w:r>
      <w:bookmarkStart w:id="20" w:name="_Toc96680599"/>
      <w:r>
        <w:rPr>
          <w:rFonts w:cs="Times New Roman"/>
        </w:rPr>
        <w:t>石油天然气行业技术规范</w:t>
      </w:r>
      <w:bookmarkEnd w:id="20"/>
    </w:p>
    <w:p>
      <w:pPr>
        <w:pStyle w:val="226"/>
        <w:numPr>
          <w:ilvl w:val="0"/>
          <w:numId w:val="4"/>
        </w:numPr>
        <w:ind w:left="0" w:firstLine="480" w:firstLineChars="200"/>
        <w:rPr>
          <w:color w:val="auto"/>
        </w:rPr>
      </w:pPr>
      <w:r>
        <w:rPr>
          <w:color w:val="auto"/>
        </w:rPr>
        <w:t>《石油天然气工程设计防火规范》（GB 50183-2015）；</w:t>
      </w:r>
    </w:p>
    <w:p>
      <w:pPr>
        <w:pStyle w:val="226"/>
        <w:numPr>
          <w:ilvl w:val="0"/>
          <w:numId w:val="4"/>
        </w:numPr>
        <w:ind w:left="0" w:firstLine="480" w:firstLineChars="200"/>
        <w:rPr>
          <w:color w:val="auto"/>
        </w:rPr>
      </w:pPr>
      <w:r>
        <w:rPr>
          <w:color w:val="auto"/>
        </w:rPr>
        <w:t>《石油天然气安全规程》（AQ 2012-2007）；</w:t>
      </w:r>
    </w:p>
    <w:p>
      <w:pPr>
        <w:pStyle w:val="226"/>
        <w:numPr>
          <w:ilvl w:val="0"/>
          <w:numId w:val="4"/>
        </w:numPr>
        <w:ind w:left="0" w:firstLine="480" w:firstLineChars="200"/>
        <w:rPr>
          <w:color w:val="auto"/>
        </w:rPr>
      </w:pPr>
      <w:r>
        <w:rPr>
          <w:color w:val="auto"/>
          <w:szCs w:val="24"/>
        </w:rPr>
        <w:t>《石油天然气工业健康、安全与环境管理体系指南》（SY/T6276-2014）</w:t>
      </w:r>
      <w:r>
        <w:rPr>
          <w:color w:val="auto"/>
        </w:rPr>
        <w:t>；</w:t>
      </w:r>
    </w:p>
    <w:p>
      <w:pPr>
        <w:pStyle w:val="226"/>
        <w:numPr>
          <w:ilvl w:val="0"/>
          <w:numId w:val="4"/>
        </w:numPr>
        <w:ind w:left="0" w:firstLine="480" w:firstLineChars="200"/>
        <w:rPr>
          <w:color w:val="auto"/>
        </w:rPr>
      </w:pPr>
      <w:r>
        <w:rPr>
          <w:color w:val="auto"/>
        </w:rPr>
        <w:t>《输气管道工程设计规范》（GB 50251-2015）；</w:t>
      </w:r>
    </w:p>
    <w:p>
      <w:pPr>
        <w:pStyle w:val="226"/>
        <w:numPr>
          <w:ilvl w:val="0"/>
          <w:numId w:val="4"/>
        </w:numPr>
        <w:ind w:left="0" w:firstLine="480" w:firstLineChars="200"/>
        <w:rPr>
          <w:color w:val="auto"/>
        </w:rPr>
      </w:pPr>
      <w:r>
        <w:rPr>
          <w:color w:val="auto"/>
        </w:rPr>
        <w:t>《油气管道线路标识设置技术规范》（SY/T 6064-2017）；</w:t>
      </w:r>
    </w:p>
    <w:p>
      <w:pPr>
        <w:pStyle w:val="226"/>
        <w:numPr>
          <w:ilvl w:val="0"/>
          <w:numId w:val="4"/>
        </w:numPr>
        <w:ind w:left="0" w:firstLine="480" w:firstLineChars="200"/>
        <w:rPr>
          <w:color w:val="auto"/>
        </w:rPr>
      </w:pPr>
      <w:r>
        <w:rPr>
          <w:color w:val="auto"/>
        </w:rPr>
        <w:t>《气田集输设计规范》（GB 50349-2015）；</w:t>
      </w:r>
    </w:p>
    <w:p>
      <w:pPr>
        <w:pStyle w:val="226"/>
        <w:numPr>
          <w:ilvl w:val="0"/>
          <w:numId w:val="4"/>
        </w:numPr>
        <w:ind w:left="0" w:firstLine="480" w:firstLineChars="200"/>
        <w:rPr>
          <w:color w:val="auto"/>
        </w:rPr>
      </w:pPr>
      <w:r>
        <w:rPr>
          <w:color w:val="auto"/>
        </w:rPr>
        <w:t>《石油天然气钻井、开发、储运防火防爆安全生产技术规程》（SY5225-2019）；</w:t>
      </w:r>
    </w:p>
    <w:p>
      <w:pPr>
        <w:pStyle w:val="226"/>
        <w:numPr>
          <w:ilvl w:val="0"/>
          <w:numId w:val="4"/>
        </w:numPr>
        <w:ind w:left="0" w:firstLine="480" w:firstLineChars="200"/>
        <w:rPr>
          <w:color w:val="auto"/>
        </w:rPr>
      </w:pPr>
      <w:r>
        <w:rPr>
          <w:color w:val="auto"/>
        </w:rPr>
        <w:t>《土地复垦方案编制规程 第5部分：石油天然气(含煤层气)项》（TD/T 1031.5-2011）；</w:t>
      </w:r>
    </w:p>
    <w:p>
      <w:pPr>
        <w:pStyle w:val="226"/>
        <w:numPr>
          <w:ilvl w:val="0"/>
          <w:numId w:val="4"/>
        </w:numPr>
        <w:ind w:left="0" w:firstLine="480" w:firstLineChars="200"/>
        <w:rPr>
          <w:color w:val="auto"/>
        </w:rPr>
      </w:pPr>
      <w:r>
        <w:rPr>
          <w:color w:val="auto"/>
        </w:rPr>
        <w:t>《陆上石油天然气集输环境保护推荐作法》（SY/T7294-2016）。</w:t>
      </w:r>
    </w:p>
    <w:p>
      <w:pPr>
        <w:pStyle w:val="5"/>
        <w:rPr>
          <w:rFonts w:cs="Times New Roman"/>
        </w:rPr>
      </w:pPr>
      <w:r>
        <w:rPr>
          <w:rFonts w:hint="eastAsia" w:cs="Times New Roman"/>
        </w:rPr>
        <w:t xml:space="preserve"> </w:t>
      </w:r>
      <w:bookmarkStart w:id="21" w:name="_Toc96680600"/>
      <w:r>
        <w:rPr>
          <w:rFonts w:cs="Times New Roman"/>
        </w:rPr>
        <w:t>相关标准</w:t>
      </w:r>
      <w:bookmarkEnd w:id="21"/>
    </w:p>
    <w:p>
      <w:pPr>
        <w:ind w:firstLine="480"/>
        <w:rPr>
          <w:rFonts w:cs="Times New Roman"/>
        </w:rPr>
      </w:pPr>
      <w:r>
        <w:rPr>
          <w:rFonts w:cs="Times New Roman"/>
        </w:rPr>
        <w:t>（1）《环境空气质量标准》（GB 3095-2012）；</w:t>
      </w:r>
    </w:p>
    <w:p>
      <w:pPr>
        <w:ind w:firstLine="480"/>
        <w:rPr>
          <w:rFonts w:cs="Times New Roman"/>
        </w:rPr>
      </w:pPr>
      <w:r>
        <w:rPr>
          <w:rFonts w:cs="Times New Roman"/>
        </w:rPr>
        <w:t>（2）《地表水环境质量标准》（GB 3838-2002）；</w:t>
      </w:r>
    </w:p>
    <w:p>
      <w:pPr>
        <w:ind w:firstLine="480"/>
        <w:rPr>
          <w:rFonts w:cs="Times New Roman"/>
        </w:rPr>
      </w:pPr>
      <w:r>
        <w:rPr>
          <w:rFonts w:cs="Times New Roman"/>
        </w:rPr>
        <w:t>（3）《地下水质量标准》（GB/T 14848-2017）；</w:t>
      </w:r>
    </w:p>
    <w:p>
      <w:pPr>
        <w:ind w:firstLine="480"/>
        <w:rPr>
          <w:rFonts w:cs="Times New Roman"/>
        </w:rPr>
      </w:pPr>
      <w:r>
        <w:rPr>
          <w:rFonts w:cs="Times New Roman"/>
        </w:rPr>
        <w:t xml:space="preserve">（4）《声环境质量标准》（GB 3096-2008）； </w:t>
      </w:r>
    </w:p>
    <w:p>
      <w:pPr>
        <w:ind w:firstLine="480"/>
        <w:rPr>
          <w:rFonts w:cs="Times New Roman"/>
        </w:rPr>
      </w:pPr>
      <w:r>
        <w:rPr>
          <w:rFonts w:cs="Times New Roman"/>
        </w:rPr>
        <w:t>（5）《土壤环境质量建设用地土壤污染风险管控标准（试行）》(GB 36600-2018)；</w:t>
      </w:r>
    </w:p>
    <w:p>
      <w:pPr>
        <w:ind w:firstLine="480"/>
        <w:rPr>
          <w:rFonts w:cs="Times New Roman"/>
        </w:rPr>
      </w:pPr>
      <w:r>
        <w:rPr>
          <w:rFonts w:cs="Times New Roman"/>
        </w:rPr>
        <w:t>（6）《土壤环境质量农用地土壤污染风险管控标准(试行)》(GB 15618-2018)；</w:t>
      </w:r>
    </w:p>
    <w:p>
      <w:pPr>
        <w:ind w:firstLine="480"/>
        <w:rPr>
          <w:rFonts w:cs="Times New Roman"/>
        </w:rPr>
      </w:pPr>
      <w:r>
        <w:rPr>
          <w:rFonts w:cs="Times New Roman"/>
        </w:rPr>
        <w:t>（7）《大气污染物综合排放标准》(GB 16297-1996)；</w:t>
      </w:r>
    </w:p>
    <w:p>
      <w:pPr>
        <w:ind w:firstLine="480"/>
        <w:rPr>
          <w:rFonts w:cs="Times New Roman"/>
        </w:rPr>
      </w:pPr>
      <w:r>
        <w:rPr>
          <w:rFonts w:cs="Times New Roman"/>
        </w:rPr>
        <w:t>（8）《土地复垦质量控制标准》（TD/T 1036-2013）；</w:t>
      </w:r>
    </w:p>
    <w:p>
      <w:pPr>
        <w:ind w:firstLine="480"/>
        <w:rPr>
          <w:rFonts w:cs="Times New Roman"/>
        </w:rPr>
      </w:pPr>
      <w:r>
        <w:rPr>
          <w:rFonts w:cs="Times New Roman"/>
        </w:rPr>
        <w:t>（9）《工业企业厂界环境噪声排放标准》（GB 12348-2008）；</w:t>
      </w:r>
    </w:p>
    <w:p>
      <w:pPr>
        <w:ind w:firstLine="480"/>
        <w:rPr>
          <w:rFonts w:cs="Times New Roman"/>
        </w:rPr>
      </w:pPr>
      <w:r>
        <w:rPr>
          <w:rFonts w:cs="Times New Roman"/>
        </w:rPr>
        <w:t>（10）《一般工业固体废物贮存和填埋污染控制标准》（GB 18599-2020）；</w:t>
      </w:r>
    </w:p>
    <w:p>
      <w:pPr>
        <w:ind w:firstLine="480"/>
        <w:rPr>
          <w:rFonts w:cs="Times New Roman"/>
        </w:rPr>
      </w:pPr>
      <w:r>
        <w:rPr>
          <w:rFonts w:cs="Times New Roman"/>
        </w:rPr>
        <w:t>（11）《危险废物贮存污染控制标准》（GB 18597-2001）；</w:t>
      </w:r>
    </w:p>
    <w:p>
      <w:pPr>
        <w:ind w:firstLine="480"/>
        <w:rPr>
          <w:rFonts w:cs="Times New Roman"/>
        </w:rPr>
      </w:pPr>
      <w:r>
        <w:rPr>
          <w:rFonts w:cs="Times New Roman"/>
        </w:rPr>
        <w:t>（12）《土壤侵蚀分类分级标准》（SL 190-2007）；</w:t>
      </w:r>
    </w:p>
    <w:p>
      <w:pPr>
        <w:ind w:firstLine="480"/>
        <w:rPr>
          <w:rFonts w:cs="Times New Roman"/>
        </w:rPr>
      </w:pPr>
      <w:r>
        <w:rPr>
          <w:rFonts w:cs="Times New Roman"/>
        </w:rPr>
        <w:t>（13）《生产建设项目水土流失防治标准》（GB 50434-2018）；</w:t>
      </w:r>
    </w:p>
    <w:p>
      <w:pPr>
        <w:ind w:firstLine="480"/>
        <w:rPr>
          <w:rFonts w:cs="Times New Roman"/>
        </w:rPr>
      </w:pPr>
      <w:r>
        <w:rPr>
          <w:rFonts w:cs="Times New Roman"/>
        </w:rPr>
        <w:t>（14）《陆上石油天然气开采工业大气污染物排放标准》（GB 39728-2020）。</w:t>
      </w:r>
    </w:p>
    <w:p>
      <w:pPr>
        <w:pStyle w:val="226"/>
        <w:numPr>
          <w:ilvl w:val="0"/>
          <w:numId w:val="0"/>
        </w:numPr>
        <w:ind w:left="480"/>
        <w:rPr>
          <w:color w:val="auto"/>
        </w:rPr>
      </w:pPr>
      <w:r>
        <w:rPr>
          <w:rFonts w:hint="eastAsia"/>
          <w:color w:val="auto"/>
        </w:rPr>
        <w:t>（15）</w:t>
      </w:r>
      <w:r>
        <w:rPr>
          <w:color w:val="auto"/>
        </w:rPr>
        <w:t>《四川省施工场地扬尘排放标准》（DB512682-2020）。</w:t>
      </w:r>
    </w:p>
    <w:p>
      <w:pPr>
        <w:pStyle w:val="5"/>
        <w:rPr>
          <w:rFonts w:cs="Times New Roman"/>
        </w:rPr>
      </w:pPr>
      <w:r>
        <w:rPr>
          <w:rFonts w:cs="Times New Roman"/>
        </w:rPr>
        <w:t xml:space="preserve"> </w:t>
      </w:r>
      <w:bookmarkStart w:id="22" w:name="_Toc96680601"/>
      <w:r>
        <w:rPr>
          <w:rFonts w:cs="Times New Roman"/>
        </w:rPr>
        <w:t>有关规划资料</w:t>
      </w:r>
      <w:bookmarkEnd w:id="22"/>
    </w:p>
    <w:p>
      <w:pPr>
        <w:ind w:firstLine="480"/>
        <w:rPr>
          <w:rFonts w:cs="Times New Roman"/>
        </w:rPr>
      </w:pPr>
      <w:r>
        <w:rPr>
          <w:rFonts w:cs="Times New Roman"/>
        </w:rPr>
        <w:t>（1）《全国国土规划纲要（2016-2030年）》（国发〔2017〕3号）；</w:t>
      </w:r>
    </w:p>
    <w:p>
      <w:pPr>
        <w:ind w:firstLine="480"/>
        <w:rPr>
          <w:rFonts w:cs="Times New Roman"/>
        </w:rPr>
      </w:pPr>
      <w:r>
        <w:rPr>
          <w:rFonts w:cs="Times New Roman"/>
        </w:rPr>
        <w:t>（2）《全国生态保护“十三五”规划纲要》（环生态〔2016〕151号）；</w:t>
      </w:r>
    </w:p>
    <w:p>
      <w:pPr>
        <w:ind w:firstLine="480"/>
        <w:rPr>
          <w:rFonts w:cs="Times New Roman"/>
        </w:rPr>
      </w:pPr>
      <w:r>
        <w:rPr>
          <w:rFonts w:cs="Times New Roman"/>
        </w:rPr>
        <w:t>（3）</w:t>
      </w:r>
      <w:r>
        <w:rPr>
          <w:rFonts w:cs="Times New Roman"/>
          <w:bCs/>
        </w:rPr>
        <w:t>《全国地下水污染防治规划（2011-2020年）》（环发〔2011〕128号）；</w:t>
      </w:r>
    </w:p>
    <w:p>
      <w:pPr>
        <w:ind w:firstLine="480"/>
        <w:rPr>
          <w:rFonts w:cs="Times New Roman"/>
          <w:bCs/>
        </w:rPr>
      </w:pPr>
      <w:r>
        <w:rPr>
          <w:rFonts w:cs="Times New Roman"/>
          <w:bCs/>
        </w:rPr>
        <w:t>（4）</w:t>
      </w:r>
      <w:r>
        <w:rPr>
          <w:rFonts w:cs="Times New Roman"/>
        </w:rPr>
        <w:t>《“十三五”国家战略性新兴产业发展规划》（国发〔2016〕67号）；</w:t>
      </w:r>
    </w:p>
    <w:p>
      <w:pPr>
        <w:ind w:firstLine="480"/>
        <w:rPr>
          <w:rFonts w:cs="Times New Roman"/>
        </w:rPr>
      </w:pPr>
      <w:r>
        <w:rPr>
          <w:rFonts w:cs="Times New Roman"/>
        </w:rPr>
        <w:t>（5）《</w:t>
      </w:r>
      <w:r>
        <w:rPr>
          <w:rFonts w:cs="Times New Roman"/>
          <w:bCs/>
        </w:rPr>
        <w:t>工业绿色发展规划（2016-2020年）</w:t>
      </w:r>
      <w:r>
        <w:rPr>
          <w:rFonts w:cs="Times New Roman"/>
        </w:rPr>
        <w:t>》（工信部规〔2016〕225号）</w:t>
      </w:r>
      <w:r>
        <w:rPr>
          <w:rFonts w:cs="Times New Roman"/>
          <w:bCs/>
        </w:rPr>
        <w:t>；</w:t>
      </w:r>
    </w:p>
    <w:p>
      <w:pPr>
        <w:ind w:firstLine="480"/>
        <w:rPr>
          <w:rFonts w:cs="Times New Roman"/>
        </w:rPr>
      </w:pPr>
      <w:r>
        <w:rPr>
          <w:rFonts w:cs="Times New Roman"/>
        </w:rPr>
        <w:t>（6）《西部大开发“十三五”规划》（国函〔2017〕1号）；</w:t>
      </w:r>
    </w:p>
    <w:p>
      <w:pPr>
        <w:ind w:firstLine="480"/>
        <w:rPr>
          <w:rFonts w:cs="Times New Roman"/>
          <w:bCs/>
        </w:rPr>
      </w:pPr>
      <w:r>
        <w:rPr>
          <w:rFonts w:cs="Times New Roman"/>
          <w:bCs/>
        </w:rPr>
        <w:t>（7）</w:t>
      </w:r>
      <w:r>
        <w:rPr>
          <w:rFonts w:cs="Times New Roman"/>
        </w:rPr>
        <w:t>《全国主体功能区规划》（国发〔2010〕46号）；</w:t>
      </w:r>
    </w:p>
    <w:p>
      <w:pPr>
        <w:ind w:firstLine="480"/>
        <w:rPr>
          <w:rFonts w:cs="Times New Roman"/>
        </w:rPr>
      </w:pPr>
      <w:r>
        <w:rPr>
          <w:rFonts w:cs="Times New Roman"/>
        </w:rPr>
        <w:t>（8）《天然气发展十三五规划》（发改能源〔2016〕2743号）；</w:t>
      </w:r>
    </w:p>
    <w:p>
      <w:pPr>
        <w:ind w:firstLine="480"/>
        <w:rPr>
          <w:rFonts w:cs="Times New Roman"/>
        </w:rPr>
      </w:pPr>
      <w:r>
        <w:rPr>
          <w:rFonts w:cs="Times New Roman"/>
        </w:rPr>
        <w:t>（9）《长江经济带生态环境保护规划》（环规财〔2017〕88号）；</w:t>
      </w:r>
    </w:p>
    <w:p>
      <w:pPr>
        <w:ind w:firstLine="480"/>
        <w:rPr>
          <w:rFonts w:cs="Times New Roman"/>
        </w:rPr>
      </w:pPr>
      <w:r>
        <w:rPr>
          <w:rFonts w:cs="Times New Roman"/>
        </w:rPr>
        <w:t>（10）《国土资源部关于四川省矿产资源总体规划（2016-2020年）的复函》（国土资函〔2017〕340号）</w:t>
      </w:r>
      <w:r>
        <w:rPr>
          <w:rFonts w:hint="eastAsia" w:cs="Times New Roman"/>
        </w:rPr>
        <w:t>。</w:t>
      </w:r>
    </w:p>
    <w:p>
      <w:pPr>
        <w:pStyle w:val="214"/>
        <w:ind w:firstLine="480"/>
      </w:pPr>
      <w:r>
        <w:rPr>
          <w:rFonts w:hint="eastAsia"/>
        </w:rPr>
        <w:t>（11）</w:t>
      </w:r>
      <w:r>
        <w:t>《四川省人民政府办公厅关于印发四川省“十三五”生态保护与建设规划的通知》（川办发〔2017〕33号）；</w:t>
      </w:r>
    </w:p>
    <w:p>
      <w:pPr>
        <w:pStyle w:val="214"/>
        <w:ind w:firstLine="480"/>
      </w:pPr>
      <w:r>
        <w:rPr>
          <w:rFonts w:hint="eastAsia"/>
        </w:rPr>
        <w:t>（12）</w:t>
      </w:r>
      <w:r>
        <w:t>《巴中市人民政府关于印发巴中市“十三五”环境保护规划的通知》（巴府发〔2017〕7号）；</w:t>
      </w:r>
    </w:p>
    <w:p>
      <w:pPr>
        <w:pStyle w:val="214"/>
        <w:ind w:firstLine="480"/>
      </w:pPr>
      <w:r>
        <w:rPr>
          <w:rFonts w:hint="eastAsia"/>
        </w:rPr>
        <w:t>（13）</w:t>
      </w:r>
      <w:r>
        <w:t>《巴中市城市总体规划(2011-2030)》；</w:t>
      </w:r>
    </w:p>
    <w:p>
      <w:pPr>
        <w:pStyle w:val="214"/>
        <w:ind w:firstLine="480"/>
      </w:pPr>
      <w:r>
        <w:rPr>
          <w:rFonts w:hint="eastAsia"/>
        </w:rPr>
        <w:t>（14）</w:t>
      </w:r>
      <w:r>
        <w:t>《通江县城市总体规划(2011-2030)》；</w:t>
      </w:r>
    </w:p>
    <w:p>
      <w:pPr>
        <w:pStyle w:val="214"/>
        <w:ind w:firstLine="480"/>
      </w:pPr>
      <w:r>
        <w:rPr>
          <w:rFonts w:hint="eastAsia"/>
        </w:rPr>
        <w:t>（15）</w:t>
      </w:r>
      <w:r>
        <w:t>《通江县水土保持规划（2015-2030年）》。</w:t>
      </w:r>
    </w:p>
    <w:p>
      <w:pPr>
        <w:pStyle w:val="5"/>
      </w:pPr>
      <w:bookmarkStart w:id="23" w:name="_Toc89009583"/>
      <w:r>
        <w:rPr>
          <w:rFonts w:hint="eastAsia"/>
        </w:rPr>
        <w:t xml:space="preserve"> </w:t>
      </w:r>
      <w:bookmarkStart w:id="24" w:name="_Toc96680602"/>
      <w:r>
        <w:t>其它相关资料</w:t>
      </w:r>
      <w:bookmarkEnd w:id="23"/>
      <w:bookmarkEnd w:id="24"/>
    </w:p>
    <w:p>
      <w:pPr>
        <w:ind w:firstLine="480"/>
        <w:rPr>
          <w:rFonts w:cs="Times New Roman"/>
        </w:rPr>
      </w:pPr>
      <w:r>
        <w:rPr>
          <w:rFonts w:cs="Times New Roman"/>
        </w:rPr>
        <w:t>（1）环境影响评价委托书；</w:t>
      </w:r>
    </w:p>
    <w:p>
      <w:pPr>
        <w:pStyle w:val="214"/>
        <w:ind w:firstLine="480"/>
      </w:pPr>
      <w:r>
        <w:rPr>
          <w:rFonts w:hint="eastAsia"/>
        </w:rPr>
        <w:t>（2）《河巴线涪阳镇活水沟村滑坡治理项目可行性研究报告》；</w:t>
      </w:r>
    </w:p>
    <w:p>
      <w:pPr>
        <w:pStyle w:val="214"/>
        <w:ind w:firstLine="480"/>
      </w:pPr>
      <w:r>
        <w:rPr>
          <w:rFonts w:hint="eastAsia"/>
        </w:rPr>
        <w:t>（3）《</w:t>
      </w:r>
      <w:r>
        <w:t>河巴线涪阳镇活水沟村山体滑坡引发管道断裂应急抢险工程（正式路由）方案设计</w:t>
      </w:r>
      <w:r>
        <w:rPr>
          <w:rFonts w:hint="eastAsia"/>
        </w:rPr>
        <w:t>》。</w:t>
      </w:r>
    </w:p>
    <w:bookmarkEnd w:id="13"/>
    <w:bookmarkEnd w:id="14"/>
    <w:p>
      <w:pPr>
        <w:pStyle w:val="4"/>
        <w:rPr>
          <w:rFonts w:cs="Times New Roman"/>
        </w:rPr>
      </w:pPr>
      <w:bookmarkStart w:id="25" w:name="_Toc57710983"/>
      <w:r>
        <w:rPr>
          <w:rFonts w:cs="Times New Roman"/>
        </w:rPr>
        <w:t xml:space="preserve"> </w:t>
      </w:r>
      <w:bookmarkStart w:id="26" w:name="_Toc96680603"/>
      <w:r>
        <w:rPr>
          <w:rFonts w:cs="Times New Roman"/>
        </w:rPr>
        <w:t>评价时段</w:t>
      </w:r>
      <w:bookmarkEnd w:id="25"/>
      <w:r>
        <w:rPr>
          <w:rFonts w:cs="Times New Roman"/>
        </w:rPr>
        <w:t>、内容和重点</w:t>
      </w:r>
      <w:bookmarkEnd w:id="26"/>
    </w:p>
    <w:p>
      <w:pPr>
        <w:ind w:right="-120" w:rightChars="-50" w:firstLine="464"/>
        <w:rPr>
          <w:rFonts w:cs="Times New Roman"/>
          <w:spacing w:val="-4"/>
        </w:rPr>
      </w:pPr>
      <w:bookmarkStart w:id="27" w:name="_Toc57710985"/>
      <w:r>
        <w:rPr>
          <w:rFonts w:cs="Times New Roman"/>
          <w:spacing w:val="-4"/>
        </w:rPr>
        <w:t>根据工程特点，本项目环境影响评价时段为施工期、运营期</w:t>
      </w:r>
      <w:r>
        <w:rPr>
          <w:rFonts w:hint="eastAsia" w:cs="Times New Roman"/>
          <w:spacing w:val="-4"/>
        </w:rPr>
        <w:t>两</w:t>
      </w:r>
      <w:r>
        <w:rPr>
          <w:rFonts w:cs="Times New Roman"/>
          <w:spacing w:val="-4"/>
        </w:rPr>
        <w:t>个时段。</w:t>
      </w:r>
    </w:p>
    <w:p>
      <w:pPr>
        <w:pStyle w:val="15"/>
        <w:spacing w:after="0"/>
        <w:ind w:firstLine="480"/>
        <w:rPr>
          <w:rFonts w:cs="Times New Roman"/>
          <w:szCs w:val="24"/>
        </w:rPr>
      </w:pPr>
      <w:r>
        <w:rPr>
          <w:rFonts w:cs="Times New Roman"/>
          <w:szCs w:val="24"/>
        </w:rPr>
        <w:t>评价工作内容：区域自然环境概况调查、建设项目概况、工程分析、环境质量现状调查与评价、环境影响预测与评价、环境风险评价、环境保护措施论证分析、污染物排放总量控制分析、环境影响经济损益分析、HSSE管理体系与环境监控、环境可行性论证与分析、评价结论及建议。</w:t>
      </w:r>
    </w:p>
    <w:p>
      <w:pPr>
        <w:ind w:firstLine="480"/>
        <w:rPr>
          <w:rFonts w:cs="Times New Roman"/>
        </w:rPr>
      </w:pPr>
      <w:r>
        <w:rPr>
          <w:rFonts w:cs="Times New Roman"/>
        </w:rPr>
        <w:t>本工程评价重点如下：</w:t>
      </w:r>
    </w:p>
    <w:p>
      <w:pPr>
        <w:ind w:firstLine="480"/>
        <w:rPr>
          <w:rFonts w:cs="Times New Roman"/>
        </w:rPr>
      </w:pPr>
      <w:r>
        <w:rPr>
          <w:rFonts w:cs="Times New Roman"/>
        </w:rPr>
        <w:t>（1）分析管道线路选址选线的合理性。</w:t>
      </w:r>
    </w:p>
    <w:p>
      <w:pPr>
        <w:ind w:firstLine="480"/>
        <w:rPr>
          <w:rFonts w:cs="Times New Roman"/>
        </w:rPr>
      </w:pPr>
      <w:r>
        <w:rPr>
          <w:rFonts w:cs="Times New Roman"/>
        </w:rPr>
        <w:t>（2）根据本工程特点和工程沿线的环境概况，在工程分析的基础上，重点评价工程施工过程中对周边生态环境的影响，评价运行期工程沿线环境风险。</w:t>
      </w:r>
    </w:p>
    <w:p>
      <w:pPr>
        <w:ind w:firstLine="480"/>
        <w:rPr>
          <w:rFonts w:cs="Times New Roman"/>
        </w:rPr>
      </w:pPr>
      <w:r>
        <w:rPr>
          <w:rFonts w:cs="Times New Roman"/>
        </w:rPr>
        <w:t>（3）营运期重点分析项目事故风险和项目管道沿线对植被、动植物以及自然保护地、水源地的影响。</w:t>
      </w:r>
    </w:p>
    <w:p>
      <w:pPr>
        <w:ind w:firstLine="480"/>
        <w:rPr>
          <w:rFonts w:cs="Times New Roman"/>
        </w:rPr>
      </w:pPr>
      <w:r>
        <w:rPr>
          <w:rFonts w:cs="Times New Roman"/>
        </w:rPr>
        <w:t>（4）提出预防或者减轻不良环境影响的对策和措施。</w:t>
      </w:r>
    </w:p>
    <w:p>
      <w:pPr>
        <w:pStyle w:val="4"/>
        <w:rPr>
          <w:rFonts w:cs="Times New Roman"/>
        </w:rPr>
      </w:pPr>
      <w:r>
        <w:rPr>
          <w:rFonts w:cs="Times New Roman"/>
        </w:rPr>
        <w:t xml:space="preserve"> </w:t>
      </w:r>
      <w:bookmarkStart w:id="28" w:name="_Toc96680604"/>
      <w:r>
        <w:rPr>
          <w:rFonts w:cs="Times New Roman"/>
        </w:rPr>
        <w:t>环境功能区划与评价标准</w:t>
      </w:r>
      <w:bookmarkEnd w:id="27"/>
      <w:bookmarkEnd w:id="28"/>
    </w:p>
    <w:p>
      <w:pPr>
        <w:pStyle w:val="5"/>
        <w:rPr>
          <w:rFonts w:cs="Times New Roman"/>
        </w:rPr>
      </w:pPr>
      <w:r>
        <w:rPr>
          <w:rFonts w:cs="Times New Roman"/>
        </w:rPr>
        <w:t xml:space="preserve"> </w:t>
      </w:r>
      <w:bookmarkStart w:id="29" w:name="_Toc96680605"/>
      <w:r>
        <w:rPr>
          <w:rFonts w:cs="Times New Roman"/>
        </w:rPr>
        <w:t>环境功能区划</w:t>
      </w:r>
      <w:bookmarkEnd w:id="29"/>
    </w:p>
    <w:p>
      <w:pPr>
        <w:pStyle w:val="6"/>
        <w:rPr>
          <w:rFonts w:cs="Times New Roman"/>
        </w:rPr>
      </w:pPr>
      <w:r>
        <w:rPr>
          <w:rFonts w:cs="Times New Roman"/>
        </w:rPr>
        <w:t xml:space="preserve"> 大气环境功能区划</w:t>
      </w:r>
    </w:p>
    <w:p>
      <w:pPr>
        <w:ind w:firstLine="480"/>
        <w:rPr>
          <w:rFonts w:cs="Times New Roman"/>
        </w:rPr>
      </w:pPr>
      <w:bookmarkStart w:id="30" w:name="_Hlk58175090"/>
      <w:r>
        <w:rPr>
          <w:rStyle w:val="119"/>
          <w:rFonts w:hint="default" w:ascii="Times New Roman" w:hAnsi="Times New Roman" w:cs="Times New Roman"/>
          <w:color w:val="auto"/>
        </w:rPr>
        <w:t>根据《环境空气质量标准》（</w:t>
      </w:r>
      <w:r>
        <w:rPr>
          <w:rStyle w:val="120"/>
          <w:rFonts w:ascii="Times New Roman" w:hAnsi="Times New Roman" w:cs="Times New Roman"/>
          <w:color w:val="auto"/>
        </w:rPr>
        <w:t>GB3095-2012</w:t>
      </w:r>
      <w:r>
        <w:rPr>
          <w:rStyle w:val="119"/>
          <w:rFonts w:hint="default" w:ascii="Times New Roman" w:hAnsi="Times New Roman" w:cs="Times New Roman"/>
          <w:color w:val="auto"/>
        </w:rPr>
        <w:t>）中环境空气功能区分类，一类区为自然保护区、风景名胜区和其他需要特殊保护的区域，二类区域为居住区、商业交通居民混合区、文化区、工业区和农村地区。本项目建设地位于为农村地区，为二类区，环境空气质量适用二级浓度限值。</w:t>
      </w:r>
    </w:p>
    <w:bookmarkEnd w:id="30"/>
    <w:p>
      <w:pPr>
        <w:pStyle w:val="6"/>
        <w:rPr>
          <w:rFonts w:cs="Times New Roman"/>
        </w:rPr>
      </w:pPr>
      <w:r>
        <w:rPr>
          <w:rFonts w:cs="Times New Roman"/>
        </w:rPr>
        <w:t xml:space="preserve"> 水环境功能区划</w:t>
      </w:r>
    </w:p>
    <w:p>
      <w:pPr>
        <w:spacing w:line="460" w:lineRule="exact"/>
        <w:ind w:firstLine="482"/>
        <w:rPr>
          <w:rFonts w:cs="Times New Roman"/>
        </w:rPr>
      </w:pPr>
      <w:bookmarkStart w:id="31" w:name="_Hlk58175107"/>
      <w:r>
        <w:rPr>
          <w:rFonts w:cs="Times New Roman"/>
          <w:b/>
          <w:bCs/>
        </w:rPr>
        <w:t>地表水：</w:t>
      </w:r>
      <w:r>
        <w:rPr>
          <w:rFonts w:cs="Times New Roman"/>
        </w:rPr>
        <w:t>根据《四川省地面水水域环境功能划类管理规定》</w:t>
      </w:r>
      <w:r>
        <w:rPr>
          <w:rFonts w:hint="eastAsia" w:cs="Times New Roman"/>
        </w:rPr>
        <w:t>，</w:t>
      </w:r>
      <w:r>
        <w:rPr>
          <w:rFonts w:cs="Times New Roman"/>
        </w:rPr>
        <w:t>本项目周边最近水域</w:t>
      </w:r>
      <w:r>
        <w:rPr>
          <w:rFonts w:hint="eastAsia" w:cs="Times New Roman"/>
        </w:rPr>
        <w:t>为</w:t>
      </w:r>
      <w:r>
        <w:rPr>
          <w:rFonts w:cs="Times New Roman"/>
        </w:rPr>
        <w:t>东南侧450m</w:t>
      </w:r>
      <w:r>
        <w:rPr>
          <w:rFonts w:hint="eastAsia" w:cs="Times New Roman"/>
        </w:rPr>
        <w:t>的</w:t>
      </w:r>
      <w:r>
        <w:rPr>
          <w:rFonts w:cs="Times New Roman"/>
        </w:rPr>
        <w:t>小通江水环境功能属</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cs="Times New Roman"/>
        </w:rPr>
        <w:t>类水域。</w:t>
      </w:r>
    </w:p>
    <w:p>
      <w:pPr>
        <w:spacing w:line="460" w:lineRule="exact"/>
        <w:ind w:firstLine="482"/>
        <w:rPr>
          <w:rFonts w:cs="Times New Roman"/>
          <w:kern w:val="0"/>
          <w:szCs w:val="24"/>
        </w:rPr>
      </w:pPr>
      <w:r>
        <w:rPr>
          <w:rFonts w:cs="Times New Roman"/>
          <w:b/>
          <w:bCs/>
          <w:kern w:val="0"/>
          <w:szCs w:val="24"/>
        </w:rPr>
        <w:t>地下水：</w:t>
      </w:r>
      <w:r>
        <w:rPr>
          <w:rFonts w:cs="Times New Roman"/>
          <w:kern w:val="0"/>
          <w:szCs w:val="24"/>
        </w:rPr>
        <w:t>评价区域地下水主要用于乡镇散居农户生活饮用水水源及工、农业用水。根据《地下水质量标准》（GB/T 14848-2017）中地下水的分类要求，本项目区域地下水为</w:t>
      </w:r>
      <w:r>
        <w:rPr>
          <w:rFonts w:cs="Times New Roman"/>
        </w:rPr>
        <w:t>III</w:t>
      </w:r>
      <w:r>
        <w:rPr>
          <w:rFonts w:cs="Times New Roman"/>
          <w:kern w:val="0"/>
          <w:szCs w:val="24"/>
        </w:rPr>
        <w:t>类。</w:t>
      </w:r>
    </w:p>
    <w:bookmarkEnd w:id="31"/>
    <w:p>
      <w:pPr>
        <w:pStyle w:val="6"/>
        <w:rPr>
          <w:rFonts w:cs="Times New Roman"/>
        </w:rPr>
      </w:pPr>
      <w:r>
        <w:rPr>
          <w:rFonts w:cs="Times New Roman"/>
        </w:rPr>
        <w:t xml:space="preserve"> 声环境功能区划</w:t>
      </w:r>
    </w:p>
    <w:p>
      <w:pPr>
        <w:ind w:firstLine="480"/>
        <w:rPr>
          <w:rFonts w:cs="Times New Roman"/>
          <w:kern w:val="0"/>
          <w:szCs w:val="24"/>
        </w:rPr>
      </w:pPr>
      <w:r>
        <w:rPr>
          <w:rFonts w:cs="Times New Roman"/>
          <w:kern w:val="0"/>
          <w:szCs w:val="24"/>
        </w:rPr>
        <w:t>本项目工程建设区域周边主要有散户居民，属乡村区域环境，根据《声环境质量标准》（GB3096-2008）</w:t>
      </w:r>
      <w:r>
        <w:rPr>
          <w:rFonts w:cs="Times New Roman"/>
          <w:szCs w:val="24"/>
        </w:rPr>
        <w:t>中对声环境功能区划的规定，</w:t>
      </w:r>
      <w:r>
        <w:rPr>
          <w:rFonts w:hint="eastAsia" w:cs="Times New Roman"/>
          <w:szCs w:val="24"/>
        </w:rPr>
        <w:t>本项目集输管线周边沿线属于</w:t>
      </w:r>
      <w:r>
        <w:rPr>
          <w:rFonts w:cs="Times New Roman"/>
          <w:szCs w:val="24"/>
        </w:rPr>
        <w:t>2</w:t>
      </w:r>
      <w:r>
        <w:rPr>
          <w:rFonts w:hint="eastAsia" w:cs="Times New Roman"/>
          <w:szCs w:val="24"/>
        </w:rPr>
        <w:t>类声环境功能区</w:t>
      </w:r>
      <w:r>
        <w:rPr>
          <w:rFonts w:cs="Times New Roman"/>
          <w:kern w:val="0"/>
          <w:szCs w:val="24"/>
        </w:rPr>
        <w:t>。</w:t>
      </w:r>
    </w:p>
    <w:p>
      <w:pPr>
        <w:pStyle w:val="6"/>
        <w:rPr>
          <w:rFonts w:cs="Times New Roman"/>
        </w:rPr>
      </w:pPr>
      <w:r>
        <w:rPr>
          <w:rFonts w:cs="Times New Roman"/>
        </w:rPr>
        <w:t xml:space="preserve"> 生态功能区划</w:t>
      </w:r>
    </w:p>
    <w:p>
      <w:pPr>
        <w:spacing w:line="40" w:lineRule="exact"/>
        <w:ind w:firstLine="482"/>
        <w:rPr>
          <w:rFonts w:cs="Times New Roman"/>
          <w:b/>
          <w:kern w:val="0"/>
          <w:szCs w:val="24"/>
        </w:rPr>
      </w:pPr>
    </w:p>
    <w:p>
      <w:pPr>
        <w:ind w:firstLine="480"/>
        <w:rPr>
          <w:rFonts w:cs="Times New Roman"/>
        </w:rPr>
      </w:pPr>
      <w:r>
        <w:rPr>
          <w:rFonts w:cs="Times New Roman"/>
        </w:rPr>
        <w:t>根据《四川省生态功能区划》，项目区域位于盆北深丘农林业与土壤保持生态功能区（I-2-1）。</w:t>
      </w:r>
    </w:p>
    <w:p>
      <w:pPr>
        <w:ind w:firstLine="480"/>
        <w:rPr>
          <w:rFonts w:cs="Times New Roman"/>
        </w:rPr>
      </w:pPr>
      <w:r>
        <w:rPr>
          <w:rFonts w:cs="Times New Roman"/>
        </w:rPr>
        <w:t>根据《巴中市生态功能区划》，项目区域位于巴中中部低山土壤保持生态功能区（</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cs="Times New Roman"/>
        </w:rPr>
        <w:t>-1-2）、涪江-诺江低山生物多样性生态功能区（</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cs="Times New Roman"/>
        </w:rPr>
        <w:t>-1-3）。</w:t>
      </w:r>
    </w:p>
    <w:p>
      <w:pPr>
        <w:pStyle w:val="5"/>
        <w:rPr>
          <w:rFonts w:cs="Times New Roman"/>
        </w:rPr>
      </w:pPr>
      <w:r>
        <w:rPr>
          <w:rFonts w:hint="eastAsia" w:cs="Times New Roman"/>
        </w:rPr>
        <w:t xml:space="preserve"> </w:t>
      </w:r>
      <w:bookmarkStart w:id="32" w:name="_Toc96680606"/>
      <w:r>
        <w:rPr>
          <w:rFonts w:cs="Times New Roman"/>
        </w:rPr>
        <w:t>评价标准</w:t>
      </w:r>
      <w:bookmarkEnd w:id="32"/>
    </w:p>
    <w:p>
      <w:pPr>
        <w:pStyle w:val="6"/>
        <w:rPr>
          <w:rFonts w:cs="Times New Roman"/>
        </w:rPr>
      </w:pPr>
      <w:r>
        <w:rPr>
          <w:rFonts w:cs="Times New Roman"/>
        </w:rPr>
        <w:t xml:space="preserve"> 环境质量标准</w:t>
      </w:r>
    </w:p>
    <w:p>
      <w:pPr>
        <w:ind w:firstLine="482"/>
        <w:rPr>
          <w:rFonts w:cs="Times New Roman"/>
          <w:b/>
        </w:rPr>
      </w:pPr>
      <w:r>
        <w:rPr>
          <w:rFonts w:cs="Times New Roman"/>
          <w:b/>
        </w:rPr>
        <w:t>1、环境空气</w:t>
      </w:r>
    </w:p>
    <w:p>
      <w:pPr>
        <w:ind w:firstLine="480"/>
        <w:rPr>
          <w:rFonts w:cs="Times New Roman"/>
        </w:rPr>
      </w:pPr>
      <w:r>
        <w:rPr>
          <w:rStyle w:val="119"/>
          <w:rFonts w:hint="default" w:ascii="Times New Roman" w:hAnsi="Times New Roman" w:cs="Times New Roman"/>
          <w:color w:val="auto"/>
        </w:rPr>
        <w:t>本项目区域</w:t>
      </w:r>
      <w:r>
        <w:rPr>
          <w:rFonts w:cs="Times New Roman"/>
        </w:rPr>
        <w:t>环境空气执行《环境空气质量标准》（GB 3095-2012）二级标准。详见下表。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环境空气质量标准</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01"/>
        <w:gridCol w:w="971"/>
        <w:gridCol w:w="1456"/>
        <w:gridCol w:w="2180"/>
        <w:gridCol w:w="1311"/>
        <w:gridCol w:w="11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81" w:type="pct"/>
            <w:vMerge w:val="restart"/>
            <w:tcBorders>
              <w:top w:val="single" w:color="auto" w:sz="12" w:space="0"/>
              <w:left w:val="nil"/>
            </w:tcBorders>
          </w:tcPr>
          <w:p>
            <w:pPr>
              <w:pStyle w:val="242"/>
              <w:rPr>
                <w:b/>
                <w:bCs/>
                <w:szCs w:val="21"/>
              </w:rPr>
            </w:pPr>
            <w:r>
              <w:rPr>
                <w:b/>
                <w:bCs/>
                <w:szCs w:val="21"/>
              </w:rPr>
              <w:t>污染物</w:t>
            </w:r>
          </w:p>
          <w:p>
            <w:pPr>
              <w:pStyle w:val="242"/>
              <w:rPr>
                <w:b/>
                <w:bCs/>
                <w:szCs w:val="21"/>
              </w:rPr>
            </w:pPr>
            <w:r>
              <w:rPr>
                <w:b/>
                <w:bCs/>
                <w:szCs w:val="21"/>
              </w:rPr>
              <w:t>项目</w:t>
            </w:r>
          </w:p>
        </w:tc>
        <w:tc>
          <w:tcPr>
            <w:tcW w:w="3472" w:type="pct"/>
            <w:gridSpan w:val="4"/>
            <w:tcBorders>
              <w:top w:val="single" w:color="auto" w:sz="12" w:space="0"/>
            </w:tcBorders>
          </w:tcPr>
          <w:p>
            <w:pPr>
              <w:pStyle w:val="242"/>
              <w:rPr>
                <w:b/>
                <w:bCs/>
                <w:szCs w:val="21"/>
              </w:rPr>
            </w:pPr>
            <w:r>
              <w:rPr>
                <w:b/>
                <w:bCs/>
                <w:szCs w:val="21"/>
              </w:rPr>
              <w:t>浓度限值</w:t>
            </w:r>
          </w:p>
        </w:tc>
        <w:tc>
          <w:tcPr>
            <w:tcW w:w="647" w:type="pct"/>
            <w:vMerge w:val="restart"/>
            <w:tcBorders>
              <w:top w:val="single" w:color="auto" w:sz="12" w:space="0"/>
            </w:tcBorders>
          </w:tcPr>
          <w:p>
            <w:pPr>
              <w:pStyle w:val="242"/>
              <w:rPr>
                <w:b/>
                <w:bCs/>
                <w:szCs w:val="21"/>
              </w:rPr>
            </w:pPr>
            <w:r>
              <w:rPr>
                <w:b/>
                <w:bCs/>
                <w:szCs w:val="21"/>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81" w:type="pct"/>
            <w:vMerge w:val="continue"/>
            <w:tcBorders>
              <w:top w:val="single" w:color="auto" w:sz="12" w:space="0"/>
              <w:left w:val="nil"/>
            </w:tcBorders>
          </w:tcPr>
          <w:p>
            <w:pPr>
              <w:pStyle w:val="242"/>
              <w:rPr>
                <w:szCs w:val="21"/>
              </w:rPr>
            </w:pPr>
          </w:p>
        </w:tc>
        <w:tc>
          <w:tcPr>
            <w:tcW w:w="570" w:type="pct"/>
            <w:tcBorders>
              <w:top w:val="single" w:color="auto" w:sz="12" w:space="0"/>
            </w:tcBorders>
          </w:tcPr>
          <w:p>
            <w:pPr>
              <w:pStyle w:val="242"/>
              <w:rPr>
                <w:b/>
                <w:bCs/>
                <w:szCs w:val="21"/>
              </w:rPr>
            </w:pPr>
            <w:r>
              <w:rPr>
                <w:b/>
                <w:bCs/>
                <w:szCs w:val="21"/>
              </w:rPr>
              <w:t>年平均</w:t>
            </w:r>
          </w:p>
        </w:tc>
        <w:tc>
          <w:tcPr>
            <w:tcW w:w="854" w:type="pct"/>
            <w:tcBorders>
              <w:top w:val="single" w:color="auto" w:sz="12" w:space="0"/>
            </w:tcBorders>
          </w:tcPr>
          <w:p>
            <w:pPr>
              <w:pStyle w:val="242"/>
              <w:rPr>
                <w:b/>
                <w:bCs/>
                <w:szCs w:val="21"/>
              </w:rPr>
            </w:pPr>
            <w:r>
              <w:rPr>
                <w:b/>
                <w:bCs/>
                <w:szCs w:val="21"/>
              </w:rPr>
              <w:t>24小时平均</w:t>
            </w:r>
          </w:p>
        </w:tc>
        <w:tc>
          <w:tcPr>
            <w:tcW w:w="1279" w:type="pct"/>
            <w:tcBorders>
              <w:top w:val="single" w:color="auto" w:sz="12" w:space="0"/>
            </w:tcBorders>
          </w:tcPr>
          <w:p>
            <w:pPr>
              <w:pStyle w:val="242"/>
              <w:rPr>
                <w:b/>
                <w:bCs/>
                <w:szCs w:val="21"/>
              </w:rPr>
            </w:pPr>
            <w:r>
              <w:rPr>
                <w:b/>
                <w:bCs/>
                <w:szCs w:val="21"/>
              </w:rPr>
              <w:t>日最大8小时平均</w:t>
            </w:r>
          </w:p>
        </w:tc>
        <w:tc>
          <w:tcPr>
            <w:tcW w:w="769" w:type="pct"/>
            <w:tcBorders>
              <w:top w:val="single" w:color="auto" w:sz="12" w:space="0"/>
            </w:tcBorders>
          </w:tcPr>
          <w:p>
            <w:pPr>
              <w:pStyle w:val="242"/>
              <w:rPr>
                <w:b/>
                <w:bCs/>
                <w:szCs w:val="21"/>
              </w:rPr>
            </w:pPr>
            <w:r>
              <w:rPr>
                <w:b/>
                <w:bCs/>
                <w:szCs w:val="21"/>
              </w:rPr>
              <w:t>1小时平均</w:t>
            </w:r>
          </w:p>
        </w:tc>
        <w:tc>
          <w:tcPr>
            <w:tcW w:w="647" w:type="pct"/>
            <w:vMerge w:val="continue"/>
            <w:tcBorders>
              <w:top w:val="single" w:color="auto" w:sz="12" w:space="0"/>
            </w:tcBorders>
          </w:tcPr>
          <w:p>
            <w:pPr>
              <w:pStyle w:val="242"/>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1" w:type="pct"/>
            <w:tcBorders>
              <w:left w:val="nil"/>
            </w:tcBorders>
          </w:tcPr>
          <w:p>
            <w:pPr>
              <w:pStyle w:val="242"/>
              <w:rPr>
                <w:szCs w:val="21"/>
              </w:rPr>
            </w:pPr>
            <w:r>
              <w:rPr>
                <w:szCs w:val="21"/>
              </w:rPr>
              <w:t>SO</w:t>
            </w:r>
            <w:r>
              <w:rPr>
                <w:szCs w:val="21"/>
                <w:vertAlign w:val="subscript"/>
              </w:rPr>
              <w:t>2</w:t>
            </w:r>
          </w:p>
        </w:tc>
        <w:tc>
          <w:tcPr>
            <w:tcW w:w="570" w:type="pct"/>
          </w:tcPr>
          <w:p>
            <w:pPr>
              <w:pStyle w:val="242"/>
              <w:rPr>
                <w:szCs w:val="21"/>
              </w:rPr>
            </w:pPr>
            <w:r>
              <w:rPr>
                <w:szCs w:val="21"/>
              </w:rPr>
              <w:t>60</w:t>
            </w:r>
          </w:p>
        </w:tc>
        <w:tc>
          <w:tcPr>
            <w:tcW w:w="854" w:type="pct"/>
          </w:tcPr>
          <w:p>
            <w:pPr>
              <w:pStyle w:val="242"/>
              <w:rPr>
                <w:szCs w:val="21"/>
              </w:rPr>
            </w:pPr>
            <w:r>
              <w:rPr>
                <w:szCs w:val="21"/>
              </w:rPr>
              <w:t>150</w:t>
            </w:r>
          </w:p>
        </w:tc>
        <w:tc>
          <w:tcPr>
            <w:tcW w:w="1279" w:type="pct"/>
          </w:tcPr>
          <w:p>
            <w:pPr>
              <w:pStyle w:val="242"/>
              <w:rPr>
                <w:szCs w:val="21"/>
              </w:rPr>
            </w:pPr>
            <w:r>
              <w:rPr>
                <w:szCs w:val="21"/>
              </w:rPr>
              <w:t>—</w:t>
            </w:r>
          </w:p>
        </w:tc>
        <w:tc>
          <w:tcPr>
            <w:tcW w:w="769" w:type="pct"/>
          </w:tcPr>
          <w:p>
            <w:pPr>
              <w:pStyle w:val="242"/>
              <w:rPr>
                <w:szCs w:val="21"/>
              </w:rPr>
            </w:pPr>
            <w:r>
              <w:rPr>
                <w:szCs w:val="21"/>
              </w:rPr>
              <w:t>500</w:t>
            </w:r>
          </w:p>
        </w:tc>
        <w:tc>
          <w:tcPr>
            <w:tcW w:w="647" w:type="pct"/>
          </w:tcPr>
          <w:p>
            <w:pPr>
              <w:pStyle w:val="242"/>
              <w:rPr>
                <w:szCs w:val="21"/>
              </w:rPr>
            </w:pPr>
            <w:r>
              <w:rPr>
                <w:szCs w:val="21"/>
              </w:rPr>
              <w:t>µg/m</w:t>
            </w:r>
            <w:r>
              <w:rPr>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1" w:type="pct"/>
            <w:tcBorders>
              <w:left w:val="nil"/>
            </w:tcBorders>
          </w:tcPr>
          <w:p>
            <w:pPr>
              <w:pStyle w:val="242"/>
              <w:rPr>
                <w:szCs w:val="21"/>
              </w:rPr>
            </w:pPr>
            <w:r>
              <w:rPr>
                <w:szCs w:val="21"/>
              </w:rPr>
              <w:t>NO</w:t>
            </w:r>
            <w:r>
              <w:rPr>
                <w:szCs w:val="21"/>
                <w:vertAlign w:val="subscript"/>
              </w:rPr>
              <w:t>2</w:t>
            </w:r>
          </w:p>
        </w:tc>
        <w:tc>
          <w:tcPr>
            <w:tcW w:w="570" w:type="pct"/>
          </w:tcPr>
          <w:p>
            <w:pPr>
              <w:pStyle w:val="242"/>
              <w:rPr>
                <w:szCs w:val="21"/>
              </w:rPr>
            </w:pPr>
            <w:r>
              <w:rPr>
                <w:szCs w:val="21"/>
              </w:rPr>
              <w:t>40</w:t>
            </w:r>
          </w:p>
        </w:tc>
        <w:tc>
          <w:tcPr>
            <w:tcW w:w="854" w:type="pct"/>
          </w:tcPr>
          <w:p>
            <w:pPr>
              <w:pStyle w:val="242"/>
              <w:rPr>
                <w:szCs w:val="21"/>
              </w:rPr>
            </w:pPr>
            <w:r>
              <w:rPr>
                <w:szCs w:val="21"/>
              </w:rPr>
              <w:t>80</w:t>
            </w:r>
          </w:p>
        </w:tc>
        <w:tc>
          <w:tcPr>
            <w:tcW w:w="1279" w:type="pct"/>
          </w:tcPr>
          <w:p>
            <w:pPr>
              <w:pStyle w:val="242"/>
              <w:rPr>
                <w:szCs w:val="21"/>
              </w:rPr>
            </w:pPr>
            <w:r>
              <w:rPr>
                <w:szCs w:val="21"/>
              </w:rPr>
              <w:t>—</w:t>
            </w:r>
          </w:p>
        </w:tc>
        <w:tc>
          <w:tcPr>
            <w:tcW w:w="769" w:type="pct"/>
          </w:tcPr>
          <w:p>
            <w:pPr>
              <w:pStyle w:val="242"/>
              <w:rPr>
                <w:szCs w:val="21"/>
              </w:rPr>
            </w:pPr>
            <w:r>
              <w:rPr>
                <w:szCs w:val="21"/>
              </w:rPr>
              <w:t>200</w:t>
            </w:r>
          </w:p>
        </w:tc>
        <w:tc>
          <w:tcPr>
            <w:tcW w:w="647" w:type="pct"/>
          </w:tcPr>
          <w:p>
            <w:pPr>
              <w:pStyle w:val="242"/>
              <w:rPr>
                <w:szCs w:val="21"/>
              </w:rPr>
            </w:pPr>
            <w:r>
              <w:rPr>
                <w:szCs w:val="21"/>
              </w:rPr>
              <w:t>µg/m</w:t>
            </w:r>
            <w:r>
              <w:rPr>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1" w:type="pct"/>
            <w:tcBorders>
              <w:left w:val="nil"/>
            </w:tcBorders>
          </w:tcPr>
          <w:p>
            <w:pPr>
              <w:pStyle w:val="242"/>
              <w:rPr>
                <w:szCs w:val="21"/>
              </w:rPr>
            </w:pPr>
            <w:r>
              <w:rPr>
                <w:szCs w:val="21"/>
              </w:rPr>
              <w:t>CO</w:t>
            </w:r>
          </w:p>
        </w:tc>
        <w:tc>
          <w:tcPr>
            <w:tcW w:w="570" w:type="pct"/>
          </w:tcPr>
          <w:p>
            <w:pPr>
              <w:pStyle w:val="242"/>
              <w:rPr>
                <w:szCs w:val="21"/>
              </w:rPr>
            </w:pPr>
            <w:r>
              <w:rPr>
                <w:szCs w:val="21"/>
              </w:rPr>
              <w:t>—</w:t>
            </w:r>
          </w:p>
        </w:tc>
        <w:tc>
          <w:tcPr>
            <w:tcW w:w="854" w:type="pct"/>
          </w:tcPr>
          <w:p>
            <w:pPr>
              <w:pStyle w:val="242"/>
              <w:rPr>
                <w:szCs w:val="21"/>
              </w:rPr>
            </w:pPr>
            <w:r>
              <w:rPr>
                <w:szCs w:val="21"/>
              </w:rPr>
              <w:t>4</w:t>
            </w:r>
          </w:p>
        </w:tc>
        <w:tc>
          <w:tcPr>
            <w:tcW w:w="1279" w:type="pct"/>
          </w:tcPr>
          <w:p>
            <w:pPr>
              <w:pStyle w:val="242"/>
              <w:rPr>
                <w:szCs w:val="21"/>
              </w:rPr>
            </w:pPr>
            <w:r>
              <w:rPr>
                <w:szCs w:val="21"/>
              </w:rPr>
              <w:t>—</w:t>
            </w:r>
          </w:p>
        </w:tc>
        <w:tc>
          <w:tcPr>
            <w:tcW w:w="769" w:type="pct"/>
          </w:tcPr>
          <w:p>
            <w:pPr>
              <w:pStyle w:val="242"/>
              <w:rPr>
                <w:szCs w:val="21"/>
              </w:rPr>
            </w:pPr>
            <w:r>
              <w:rPr>
                <w:szCs w:val="21"/>
              </w:rPr>
              <w:t>10</w:t>
            </w:r>
          </w:p>
        </w:tc>
        <w:tc>
          <w:tcPr>
            <w:tcW w:w="647" w:type="pct"/>
          </w:tcPr>
          <w:p>
            <w:pPr>
              <w:pStyle w:val="242"/>
              <w:rPr>
                <w:szCs w:val="21"/>
              </w:rPr>
            </w:pPr>
            <w:r>
              <w:rPr>
                <w:szCs w:val="21"/>
              </w:rPr>
              <w:t>mg/m</w:t>
            </w:r>
            <w:r>
              <w:rPr>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1" w:type="pct"/>
            <w:tcBorders>
              <w:left w:val="nil"/>
            </w:tcBorders>
          </w:tcPr>
          <w:p>
            <w:pPr>
              <w:pStyle w:val="242"/>
              <w:rPr>
                <w:szCs w:val="21"/>
              </w:rPr>
            </w:pPr>
            <w:r>
              <w:rPr>
                <w:szCs w:val="21"/>
              </w:rPr>
              <w:t>O</w:t>
            </w:r>
            <w:r>
              <w:rPr>
                <w:szCs w:val="21"/>
                <w:vertAlign w:val="subscript"/>
              </w:rPr>
              <w:t>3</w:t>
            </w:r>
          </w:p>
        </w:tc>
        <w:tc>
          <w:tcPr>
            <w:tcW w:w="570" w:type="pct"/>
          </w:tcPr>
          <w:p>
            <w:pPr>
              <w:pStyle w:val="242"/>
              <w:rPr>
                <w:szCs w:val="21"/>
              </w:rPr>
            </w:pPr>
            <w:r>
              <w:rPr>
                <w:szCs w:val="21"/>
              </w:rPr>
              <w:t>—</w:t>
            </w:r>
          </w:p>
        </w:tc>
        <w:tc>
          <w:tcPr>
            <w:tcW w:w="854" w:type="pct"/>
          </w:tcPr>
          <w:p>
            <w:pPr>
              <w:pStyle w:val="242"/>
              <w:rPr>
                <w:szCs w:val="21"/>
              </w:rPr>
            </w:pPr>
            <w:r>
              <w:rPr>
                <w:szCs w:val="21"/>
              </w:rPr>
              <w:t>—</w:t>
            </w:r>
          </w:p>
        </w:tc>
        <w:tc>
          <w:tcPr>
            <w:tcW w:w="1279" w:type="pct"/>
          </w:tcPr>
          <w:p>
            <w:pPr>
              <w:pStyle w:val="242"/>
              <w:rPr>
                <w:szCs w:val="21"/>
              </w:rPr>
            </w:pPr>
            <w:r>
              <w:rPr>
                <w:szCs w:val="21"/>
              </w:rPr>
              <w:t>160</w:t>
            </w:r>
          </w:p>
        </w:tc>
        <w:tc>
          <w:tcPr>
            <w:tcW w:w="769" w:type="pct"/>
          </w:tcPr>
          <w:p>
            <w:pPr>
              <w:pStyle w:val="242"/>
              <w:rPr>
                <w:szCs w:val="21"/>
              </w:rPr>
            </w:pPr>
            <w:r>
              <w:rPr>
                <w:szCs w:val="21"/>
              </w:rPr>
              <w:t>200</w:t>
            </w:r>
          </w:p>
        </w:tc>
        <w:tc>
          <w:tcPr>
            <w:tcW w:w="647" w:type="pct"/>
          </w:tcPr>
          <w:p>
            <w:pPr>
              <w:pStyle w:val="242"/>
              <w:rPr>
                <w:szCs w:val="21"/>
              </w:rPr>
            </w:pPr>
            <w:r>
              <w:rPr>
                <w:szCs w:val="21"/>
              </w:rPr>
              <w:t>µg/m</w:t>
            </w:r>
            <w:r>
              <w:rPr>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1" w:type="pct"/>
            <w:tcBorders>
              <w:left w:val="nil"/>
            </w:tcBorders>
          </w:tcPr>
          <w:p>
            <w:pPr>
              <w:pStyle w:val="242"/>
              <w:rPr>
                <w:szCs w:val="21"/>
              </w:rPr>
            </w:pPr>
            <w:r>
              <w:rPr>
                <w:szCs w:val="21"/>
              </w:rPr>
              <w:t>PM</w:t>
            </w:r>
            <w:r>
              <w:rPr>
                <w:szCs w:val="21"/>
                <w:vertAlign w:val="subscript"/>
              </w:rPr>
              <w:t>10</w:t>
            </w:r>
          </w:p>
        </w:tc>
        <w:tc>
          <w:tcPr>
            <w:tcW w:w="570" w:type="pct"/>
          </w:tcPr>
          <w:p>
            <w:pPr>
              <w:pStyle w:val="242"/>
              <w:rPr>
                <w:szCs w:val="21"/>
              </w:rPr>
            </w:pPr>
            <w:r>
              <w:rPr>
                <w:szCs w:val="21"/>
              </w:rPr>
              <w:t>70</w:t>
            </w:r>
          </w:p>
        </w:tc>
        <w:tc>
          <w:tcPr>
            <w:tcW w:w="854" w:type="pct"/>
          </w:tcPr>
          <w:p>
            <w:pPr>
              <w:pStyle w:val="242"/>
              <w:rPr>
                <w:szCs w:val="21"/>
              </w:rPr>
            </w:pPr>
            <w:r>
              <w:rPr>
                <w:szCs w:val="21"/>
              </w:rPr>
              <w:t>150</w:t>
            </w:r>
          </w:p>
        </w:tc>
        <w:tc>
          <w:tcPr>
            <w:tcW w:w="1279" w:type="pct"/>
          </w:tcPr>
          <w:p>
            <w:pPr>
              <w:pStyle w:val="242"/>
              <w:rPr>
                <w:szCs w:val="21"/>
              </w:rPr>
            </w:pPr>
            <w:r>
              <w:rPr>
                <w:szCs w:val="21"/>
              </w:rPr>
              <w:t>—</w:t>
            </w:r>
          </w:p>
        </w:tc>
        <w:tc>
          <w:tcPr>
            <w:tcW w:w="769" w:type="pct"/>
          </w:tcPr>
          <w:p>
            <w:pPr>
              <w:pStyle w:val="242"/>
              <w:rPr>
                <w:szCs w:val="21"/>
              </w:rPr>
            </w:pPr>
            <w:r>
              <w:rPr>
                <w:szCs w:val="21"/>
              </w:rPr>
              <w:t>—</w:t>
            </w:r>
          </w:p>
        </w:tc>
        <w:tc>
          <w:tcPr>
            <w:tcW w:w="647" w:type="pct"/>
          </w:tcPr>
          <w:p>
            <w:pPr>
              <w:pStyle w:val="242"/>
              <w:rPr>
                <w:szCs w:val="21"/>
              </w:rPr>
            </w:pPr>
            <w:r>
              <w:rPr>
                <w:szCs w:val="21"/>
              </w:rPr>
              <w:t>µg/m</w:t>
            </w:r>
            <w:r>
              <w:rPr>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81" w:type="pct"/>
            <w:tcBorders>
              <w:left w:val="nil"/>
            </w:tcBorders>
          </w:tcPr>
          <w:p>
            <w:pPr>
              <w:pStyle w:val="242"/>
              <w:rPr>
                <w:szCs w:val="21"/>
              </w:rPr>
            </w:pPr>
            <w:r>
              <w:rPr>
                <w:szCs w:val="21"/>
              </w:rPr>
              <w:t>PM</w:t>
            </w:r>
            <w:r>
              <w:rPr>
                <w:szCs w:val="21"/>
                <w:vertAlign w:val="subscript"/>
              </w:rPr>
              <w:t>2.5</w:t>
            </w:r>
          </w:p>
        </w:tc>
        <w:tc>
          <w:tcPr>
            <w:tcW w:w="570" w:type="pct"/>
          </w:tcPr>
          <w:p>
            <w:pPr>
              <w:pStyle w:val="242"/>
              <w:rPr>
                <w:szCs w:val="21"/>
              </w:rPr>
            </w:pPr>
            <w:r>
              <w:rPr>
                <w:szCs w:val="21"/>
              </w:rPr>
              <w:t>35</w:t>
            </w:r>
          </w:p>
        </w:tc>
        <w:tc>
          <w:tcPr>
            <w:tcW w:w="854" w:type="pct"/>
          </w:tcPr>
          <w:p>
            <w:pPr>
              <w:pStyle w:val="242"/>
              <w:rPr>
                <w:szCs w:val="21"/>
              </w:rPr>
            </w:pPr>
            <w:r>
              <w:rPr>
                <w:szCs w:val="21"/>
              </w:rPr>
              <w:t>75</w:t>
            </w:r>
          </w:p>
        </w:tc>
        <w:tc>
          <w:tcPr>
            <w:tcW w:w="1279" w:type="pct"/>
          </w:tcPr>
          <w:p>
            <w:pPr>
              <w:pStyle w:val="242"/>
              <w:rPr>
                <w:szCs w:val="21"/>
              </w:rPr>
            </w:pPr>
            <w:r>
              <w:rPr>
                <w:szCs w:val="21"/>
              </w:rPr>
              <w:t>—</w:t>
            </w:r>
          </w:p>
        </w:tc>
        <w:tc>
          <w:tcPr>
            <w:tcW w:w="769" w:type="pct"/>
          </w:tcPr>
          <w:p>
            <w:pPr>
              <w:pStyle w:val="242"/>
              <w:rPr>
                <w:szCs w:val="21"/>
              </w:rPr>
            </w:pPr>
            <w:r>
              <w:rPr>
                <w:szCs w:val="21"/>
              </w:rPr>
              <w:t>—</w:t>
            </w:r>
          </w:p>
        </w:tc>
        <w:tc>
          <w:tcPr>
            <w:tcW w:w="647" w:type="pct"/>
          </w:tcPr>
          <w:p>
            <w:pPr>
              <w:pStyle w:val="242"/>
              <w:rPr>
                <w:szCs w:val="21"/>
              </w:rPr>
            </w:pPr>
            <w:r>
              <w:rPr>
                <w:szCs w:val="21"/>
              </w:rPr>
              <w:t>µg/m</w:t>
            </w:r>
            <w:r>
              <w:rPr>
                <w:szCs w:val="21"/>
                <w:vertAlign w:val="superscript"/>
              </w:rPr>
              <w:t>3</w:t>
            </w:r>
          </w:p>
        </w:tc>
      </w:tr>
    </w:tbl>
    <w:p>
      <w:pPr>
        <w:spacing w:before="163" w:beforeLines="50"/>
        <w:ind w:firstLine="482"/>
        <w:rPr>
          <w:rFonts w:cs="Times New Roman"/>
          <w:b/>
        </w:rPr>
      </w:pPr>
      <w:r>
        <w:rPr>
          <w:rFonts w:cs="Times New Roman"/>
          <w:b/>
        </w:rPr>
        <w:t>2、地表水环境</w:t>
      </w:r>
    </w:p>
    <w:p>
      <w:pPr>
        <w:ind w:firstLine="480"/>
      </w:pPr>
      <w:r>
        <w:rPr>
          <w:rFonts w:hint="eastAsia" w:cs="Times New Roman"/>
        </w:rPr>
        <w:t>本项目附近小通江</w:t>
      </w:r>
      <w:r>
        <w:rPr>
          <w:rFonts w:cs="Times New Roman"/>
        </w:rPr>
        <w:t>执行《地表水环境质量标准》（GB3838-2002）</w:t>
      </w:r>
      <w:r>
        <w:rPr>
          <w:rFonts w:cs="Times New Roman"/>
        </w:rPr>
        <w:fldChar w:fldCharType="begin"/>
      </w:r>
      <w:r>
        <w:rPr>
          <w:rFonts w:cs="Times New Roman"/>
        </w:rPr>
        <w:instrText xml:space="preserve"> = 2 \* ROMAN </w:instrText>
      </w:r>
      <w:r>
        <w:rPr>
          <w:rFonts w:cs="Times New Roman"/>
        </w:rPr>
        <w:fldChar w:fldCharType="separate"/>
      </w:r>
      <w:r>
        <w:rPr>
          <w:rFonts w:cs="Times New Roman"/>
        </w:rPr>
        <w:t>II</w:t>
      </w:r>
      <w:r>
        <w:rPr>
          <w:rFonts w:cs="Times New Roman"/>
        </w:rPr>
        <w:fldChar w:fldCharType="end"/>
      </w:r>
      <w:r>
        <w:rPr>
          <w:rFonts w:cs="Times New Roman"/>
        </w:rPr>
        <w:t>类水域标准，详见下表。</w:t>
      </w:r>
    </w:p>
    <w:p>
      <w:pPr>
        <w:pStyle w:val="73"/>
        <w:rPr>
          <w:rFonts w:cs="Times New Roman"/>
          <w:b w:val="0"/>
          <w:sz w:val="21"/>
          <w:szCs w:val="21"/>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sz w:val="21"/>
          <w:szCs w:val="21"/>
        </w:rPr>
        <w:t xml:space="preserve">  地表水环境质量标准(单位：mg/L  pH无量纲)</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992"/>
        <w:gridCol w:w="992"/>
        <w:gridCol w:w="851"/>
        <w:gridCol w:w="964"/>
        <w:gridCol w:w="1065"/>
        <w:gridCol w:w="1089"/>
        <w:gridCol w:w="1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12" w:space="0"/>
              <w:left w:val="nil"/>
            </w:tcBorders>
            <w:vAlign w:val="center"/>
          </w:tcPr>
          <w:p>
            <w:pPr>
              <w:spacing w:line="320" w:lineRule="exact"/>
              <w:ind w:firstLine="0" w:firstLineChars="0"/>
              <w:jc w:val="center"/>
              <w:rPr>
                <w:rFonts w:cs="Times New Roman"/>
                <w:b/>
                <w:sz w:val="21"/>
              </w:rPr>
            </w:pPr>
            <w:r>
              <w:rPr>
                <w:rFonts w:cs="Times New Roman"/>
                <w:b/>
                <w:sz w:val="21"/>
              </w:rPr>
              <w:t>污染物</w:t>
            </w:r>
          </w:p>
        </w:tc>
        <w:tc>
          <w:tcPr>
            <w:tcW w:w="992"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sz w:val="21"/>
              </w:rPr>
              <w:t>pH</w:t>
            </w:r>
          </w:p>
        </w:tc>
        <w:tc>
          <w:tcPr>
            <w:tcW w:w="992"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sz w:val="21"/>
              </w:rPr>
              <w:t>COD</w:t>
            </w:r>
            <w:r>
              <w:rPr>
                <w:rFonts w:cs="Times New Roman"/>
                <w:sz w:val="21"/>
                <w:vertAlign w:val="subscript"/>
              </w:rPr>
              <w:t>Cr</w:t>
            </w:r>
          </w:p>
        </w:tc>
        <w:tc>
          <w:tcPr>
            <w:tcW w:w="851"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sz w:val="21"/>
              </w:rPr>
              <w:t>氨氮</w:t>
            </w:r>
          </w:p>
        </w:tc>
        <w:tc>
          <w:tcPr>
            <w:tcW w:w="964"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sz w:val="21"/>
              </w:rPr>
              <w:t>挥发酚</w:t>
            </w:r>
          </w:p>
        </w:tc>
        <w:tc>
          <w:tcPr>
            <w:tcW w:w="1065"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sz w:val="21"/>
              </w:rPr>
              <w:t>石油类</w:t>
            </w:r>
          </w:p>
        </w:tc>
        <w:tc>
          <w:tcPr>
            <w:tcW w:w="1089"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sz w:val="21"/>
              </w:rPr>
              <w:t>氯化物</w:t>
            </w:r>
          </w:p>
        </w:tc>
        <w:tc>
          <w:tcPr>
            <w:tcW w:w="1043"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sz w:val="21"/>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Borders>
              <w:left w:val="nil"/>
            </w:tcBorders>
            <w:vAlign w:val="center"/>
          </w:tcPr>
          <w:p>
            <w:pPr>
              <w:spacing w:line="320" w:lineRule="exact"/>
              <w:ind w:firstLine="0" w:firstLineChars="0"/>
              <w:jc w:val="center"/>
              <w:rPr>
                <w:rFonts w:cs="Times New Roman"/>
                <w:b/>
                <w:sz w:val="21"/>
              </w:rPr>
            </w:pPr>
            <w:r>
              <w:rPr>
                <w:rFonts w:cs="Times New Roman"/>
                <w:b/>
              </w:rPr>
              <w:fldChar w:fldCharType="begin"/>
            </w:r>
            <w:r>
              <w:rPr>
                <w:rFonts w:cs="Times New Roman"/>
                <w:b/>
              </w:rPr>
              <w:instrText xml:space="preserve"> = 2 \* ROMAN </w:instrText>
            </w:r>
            <w:r>
              <w:rPr>
                <w:rFonts w:cs="Times New Roman"/>
                <w:b/>
              </w:rPr>
              <w:fldChar w:fldCharType="separate"/>
            </w:r>
            <w:r>
              <w:rPr>
                <w:rFonts w:cs="Times New Roman"/>
                <w:b/>
              </w:rPr>
              <w:t>II</w:t>
            </w:r>
            <w:r>
              <w:rPr>
                <w:rFonts w:cs="Times New Roman"/>
                <w:b/>
              </w:rPr>
              <w:fldChar w:fldCharType="end"/>
            </w:r>
            <w:r>
              <w:rPr>
                <w:rFonts w:cs="Times New Roman"/>
                <w:b/>
                <w:sz w:val="21"/>
              </w:rPr>
              <w:t>类标准值</w:t>
            </w:r>
          </w:p>
        </w:tc>
        <w:tc>
          <w:tcPr>
            <w:tcW w:w="992" w:type="dxa"/>
            <w:vAlign w:val="center"/>
          </w:tcPr>
          <w:p>
            <w:pPr>
              <w:spacing w:line="320" w:lineRule="exact"/>
              <w:ind w:firstLine="0" w:firstLineChars="0"/>
              <w:jc w:val="center"/>
              <w:rPr>
                <w:rFonts w:cs="Times New Roman"/>
                <w:b/>
                <w:sz w:val="21"/>
              </w:rPr>
            </w:pPr>
            <w:r>
              <w:rPr>
                <w:rFonts w:cs="Times New Roman"/>
                <w:sz w:val="21"/>
              </w:rPr>
              <w:t>6～9</w:t>
            </w:r>
          </w:p>
        </w:tc>
        <w:tc>
          <w:tcPr>
            <w:tcW w:w="992" w:type="dxa"/>
            <w:vAlign w:val="center"/>
          </w:tcPr>
          <w:p>
            <w:pPr>
              <w:spacing w:line="320" w:lineRule="exact"/>
              <w:ind w:firstLine="0" w:firstLineChars="0"/>
              <w:jc w:val="center"/>
              <w:rPr>
                <w:rFonts w:cs="Times New Roman"/>
                <w:b/>
                <w:sz w:val="21"/>
              </w:rPr>
            </w:pPr>
            <w:r>
              <w:rPr>
                <w:rFonts w:cs="Times New Roman"/>
                <w:sz w:val="21"/>
              </w:rPr>
              <w:t>≤</w:t>
            </w:r>
            <w:r>
              <w:rPr>
                <w:rFonts w:hint="eastAsia" w:cs="Times New Roman"/>
                <w:sz w:val="21"/>
              </w:rPr>
              <w:t>15</w:t>
            </w:r>
          </w:p>
        </w:tc>
        <w:tc>
          <w:tcPr>
            <w:tcW w:w="851" w:type="dxa"/>
            <w:vAlign w:val="center"/>
          </w:tcPr>
          <w:p>
            <w:pPr>
              <w:spacing w:line="320" w:lineRule="exact"/>
              <w:ind w:firstLine="0" w:firstLineChars="0"/>
              <w:jc w:val="center"/>
              <w:rPr>
                <w:rFonts w:cs="Times New Roman"/>
                <w:b/>
                <w:sz w:val="21"/>
              </w:rPr>
            </w:pPr>
            <w:r>
              <w:rPr>
                <w:rFonts w:cs="Times New Roman"/>
                <w:sz w:val="21"/>
              </w:rPr>
              <w:t>≤</w:t>
            </w:r>
            <w:r>
              <w:rPr>
                <w:rFonts w:hint="eastAsia" w:cs="Times New Roman"/>
                <w:sz w:val="21"/>
              </w:rPr>
              <w:t>0.5</w:t>
            </w:r>
          </w:p>
        </w:tc>
        <w:tc>
          <w:tcPr>
            <w:tcW w:w="964" w:type="dxa"/>
            <w:vAlign w:val="center"/>
          </w:tcPr>
          <w:p>
            <w:pPr>
              <w:spacing w:line="320" w:lineRule="exact"/>
              <w:ind w:firstLine="0" w:firstLineChars="0"/>
              <w:jc w:val="center"/>
              <w:rPr>
                <w:rFonts w:cs="Times New Roman"/>
                <w:b/>
                <w:sz w:val="21"/>
              </w:rPr>
            </w:pPr>
            <w:r>
              <w:rPr>
                <w:rFonts w:cs="Times New Roman"/>
                <w:sz w:val="21"/>
              </w:rPr>
              <w:t>≤0.00</w:t>
            </w:r>
            <w:r>
              <w:rPr>
                <w:rFonts w:hint="eastAsia" w:cs="Times New Roman"/>
                <w:sz w:val="21"/>
              </w:rPr>
              <w:t>2</w:t>
            </w:r>
          </w:p>
        </w:tc>
        <w:tc>
          <w:tcPr>
            <w:tcW w:w="1065" w:type="dxa"/>
            <w:vAlign w:val="center"/>
          </w:tcPr>
          <w:p>
            <w:pPr>
              <w:spacing w:line="320" w:lineRule="exact"/>
              <w:ind w:firstLine="0" w:firstLineChars="0"/>
              <w:jc w:val="center"/>
              <w:rPr>
                <w:rFonts w:cs="Times New Roman"/>
                <w:b/>
                <w:sz w:val="21"/>
              </w:rPr>
            </w:pPr>
            <w:r>
              <w:rPr>
                <w:rFonts w:cs="Times New Roman"/>
                <w:sz w:val="21"/>
              </w:rPr>
              <w:t>≤0.05</w:t>
            </w:r>
          </w:p>
        </w:tc>
        <w:tc>
          <w:tcPr>
            <w:tcW w:w="1089" w:type="dxa"/>
            <w:vAlign w:val="center"/>
          </w:tcPr>
          <w:p>
            <w:pPr>
              <w:spacing w:line="320" w:lineRule="exact"/>
              <w:ind w:firstLine="0" w:firstLineChars="0"/>
              <w:jc w:val="center"/>
              <w:rPr>
                <w:rFonts w:cs="Times New Roman"/>
                <w:b/>
                <w:sz w:val="21"/>
              </w:rPr>
            </w:pPr>
            <w:r>
              <w:rPr>
                <w:rFonts w:cs="Times New Roman"/>
                <w:sz w:val="21"/>
              </w:rPr>
              <w:t>≤250</w:t>
            </w:r>
          </w:p>
        </w:tc>
        <w:tc>
          <w:tcPr>
            <w:tcW w:w="1043" w:type="dxa"/>
            <w:vAlign w:val="center"/>
          </w:tcPr>
          <w:p>
            <w:pPr>
              <w:spacing w:line="320" w:lineRule="exact"/>
              <w:ind w:firstLine="0" w:firstLineChars="0"/>
              <w:jc w:val="center"/>
              <w:rPr>
                <w:rFonts w:cs="Times New Roman"/>
                <w:b/>
                <w:sz w:val="21"/>
              </w:rPr>
            </w:pPr>
            <w:r>
              <w:rPr>
                <w:rFonts w:cs="Times New Roman"/>
                <w:sz w:val="21"/>
              </w:rPr>
              <w:t>≤0.</w:t>
            </w:r>
            <w:r>
              <w:rPr>
                <w:rFonts w:hint="eastAsia" w:cs="Times New Roman"/>
                <w:sz w:val="21"/>
              </w:rPr>
              <w:t>1</w:t>
            </w:r>
          </w:p>
        </w:tc>
      </w:tr>
    </w:tbl>
    <w:p>
      <w:pPr>
        <w:spacing w:before="163" w:beforeLines="50"/>
        <w:ind w:firstLine="482"/>
        <w:rPr>
          <w:rFonts w:cs="Times New Roman"/>
          <w:b/>
        </w:rPr>
      </w:pPr>
      <w:r>
        <w:rPr>
          <w:rFonts w:cs="Times New Roman"/>
          <w:b/>
        </w:rPr>
        <w:t>3、地下水环境</w:t>
      </w:r>
    </w:p>
    <w:p>
      <w:pPr>
        <w:ind w:firstLine="480"/>
        <w:rPr>
          <w:rFonts w:cs="Times New Roman"/>
        </w:rPr>
      </w:pPr>
      <w:r>
        <w:rPr>
          <w:rFonts w:cs="Times New Roman"/>
        </w:rPr>
        <w:t>地下水环境执行《地下水质量标准》（GB/T 14848-2017）中III类标准，石油类参照执行《地表水环境质量标准》( GB 3838-2002)表1中III类标准，详见</w:t>
      </w:r>
      <w:r>
        <w:rPr>
          <w:rFonts w:hint="eastAsia" w:cs="Times New Roman"/>
        </w:rPr>
        <w:t>下表</w:t>
      </w:r>
      <w:r>
        <w:rPr>
          <w:rFonts w:cs="Times New Roman"/>
        </w:rPr>
        <w:t>。</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3</w:t>
      </w:r>
      <w:r>
        <w:rPr>
          <w:rFonts w:cs="Times New Roman"/>
        </w:rPr>
        <w:fldChar w:fldCharType="end"/>
      </w:r>
      <w:r>
        <w:rPr>
          <w:rFonts w:cs="Times New Roman"/>
        </w:rPr>
        <w:t xml:space="preserve">  地下水质量标准限值（单位：mg/L   pH无量纲）</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033"/>
        <w:gridCol w:w="1398"/>
        <w:gridCol w:w="931"/>
        <w:gridCol w:w="2036"/>
        <w:gridCol w:w="1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13" w:type="pct"/>
            <w:tcBorders>
              <w:top w:val="single" w:color="auto" w:sz="12" w:space="0"/>
              <w:left w:val="nil"/>
            </w:tcBorders>
            <w:vAlign w:val="center"/>
          </w:tcPr>
          <w:p>
            <w:pPr>
              <w:pStyle w:val="63"/>
              <w:spacing w:line="300" w:lineRule="exact"/>
              <w:rPr>
                <w:rFonts w:cs="Times New Roman"/>
                <w:b/>
                <w:szCs w:val="21"/>
              </w:rPr>
            </w:pPr>
            <w:r>
              <w:rPr>
                <w:rFonts w:cs="Times New Roman"/>
                <w:b/>
                <w:szCs w:val="21"/>
              </w:rPr>
              <w:t>序号</w:t>
            </w:r>
          </w:p>
        </w:tc>
        <w:tc>
          <w:tcPr>
            <w:tcW w:w="1193" w:type="pct"/>
            <w:tcBorders>
              <w:top w:val="single" w:color="auto" w:sz="12" w:space="0"/>
            </w:tcBorders>
            <w:vAlign w:val="center"/>
          </w:tcPr>
          <w:p>
            <w:pPr>
              <w:pStyle w:val="63"/>
              <w:spacing w:line="300" w:lineRule="exact"/>
              <w:rPr>
                <w:rFonts w:cs="Times New Roman"/>
                <w:b/>
                <w:szCs w:val="21"/>
              </w:rPr>
            </w:pPr>
            <w:r>
              <w:rPr>
                <w:rFonts w:cs="Times New Roman"/>
                <w:b/>
                <w:szCs w:val="21"/>
              </w:rPr>
              <w:t>指标</w:t>
            </w:r>
          </w:p>
        </w:tc>
        <w:tc>
          <w:tcPr>
            <w:tcW w:w="820" w:type="pct"/>
            <w:tcBorders>
              <w:top w:val="single" w:color="auto" w:sz="12" w:space="0"/>
            </w:tcBorders>
            <w:vAlign w:val="center"/>
          </w:tcPr>
          <w:p>
            <w:pPr>
              <w:pStyle w:val="63"/>
              <w:spacing w:line="300" w:lineRule="exact"/>
              <w:rPr>
                <w:rFonts w:cs="Times New Roman"/>
                <w:b/>
                <w:szCs w:val="21"/>
              </w:rPr>
            </w:pPr>
            <w:r>
              <w:rPr>
                <w:rFonts w:cs="Times New Roman"/>
                <w:b/>
                <w:szCs w:val="21"/>
              </w:rPr>
              <w:t>标准值</w:t>
            </w:r>
          </w:p>
        </w:tc>
        <w:tc>
          <w:tcPr>
            <w:tcW w:w="546" w:type="pct"/>
            <w:tcBorders>
              <w:top w:val="single" w:color="auto" w:sz="12" w:space="0"/>
            </w:tcBorders>
            <w:vAlign w:val="center"/>
          </w:tcPr>
          <w:p>
            <w:pPr>
              <w:pStyle w:val="63"/>
              <w:spacing w:line="300" w:lineRule="exact"/>
              <w:rPr>
                <w:rFonts w:cs="Times New Roman"/>
                <w:b/>
                <w:szCs w:val="21"/>
              </w:rPr>
            </w:pPr>
            <w:r>
              <w:rPr>
                <w:rFonts w:cs="Times New Roman"/>
                <w:b/>
                <w:szCs w:val="21"/>
              </w:rPr>
              <w:t>序号</w:t>
            </w:r>
          </w:p>
        </w:tc>
        <w:tc>
          <w:tcPr>
            <w:tcW w:w="1194" w:type="pct"/>
            <w:tcBorders>
              <w:top w:val="single" w:color="auto" w:sz="12" w:space="0"/>
            </w:tcBorders>
            <w:vAlign w:val="center"/>
          </w:tcPr>
          <w:p>
            <w:pPr>
              <w:pStyle w:val="63"/>
              <w:spacing w:line="300" w:lineRule="exact"/>
              <w:rPr>
                <w:rFonts w:cs="Times New Roman"/>
                <w:b/>
                <w:szCs w:val="21"/>
              </w:rPr>
            </w:pPr>
            <w:r>
              <w:rPr>
                <w:rFonts w:cs="Times New Roman"/>
                <w:b/>
                <w:szCs w:val="21"/>
              </w:rPr>
              <w:t>指标</w:t>
            </w:r>
          </w:p>
        </w:tc>
        <w:tc>
          <w:tcPr>
            <w:tcW w:w="733" w:type="pct"/>
            <w:tcBorders>
              <w:top w:val="single" w:color="auto" w:sz="12" w:space="0"/>
            </w:tcBorders>
            <w:vAlign w:val="center"/>
          </w:tcPr>
          <w:p>
            <w:pPr>
              <w:pStyle w:val="63"/>
              <w:spacing w:line="300" w:lineRule="exact"/>
              <w:rPr>
                <w:rFonts w:cs="Times New Roman"/>
                <w:b/>
                <w:szCs w:val="21"/>
              </w:rPr>
            </w:pPr>
            <w:r>
              <w:rPr>
                <w:rFonts w:cs="Times New Roman"/>
                <w:b/>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1</w:t>
            </w:r>
          </w:p>
        </w:tc>
        <w:tc>
          <w:tcPr>
            <w:tcW w:w="1193" w:type="pct"/>
            <w:vAlign w:val="center"/>
          </w:tcPr>
          <w:p>
            <w:pPr>
              <w:pStyle w:val="63"/>
              <w:spacing w:line="300" w:lineRule="exact"/>
              <w:rPr>
                <w:rFonts w:cs="Times New Roman"/>
                <w:szCs w:val="21"/>
              </w:rPr>
            </w:pPr>
            <w:r>
              <w:rPr>
                <w:rFonts w:cs="Times New Roman"/>
                <w:szCs w:val="21"/>
              </w:rPr>
              <w:t>pH</w:t>
            </w:r>
          </w:p>
        </w:tc>
        <w:tc>
          <w:tcPr>
            <w:tcW w:w="820" w:type="pct"/>
            <w:vAlign w:val="center"/>
          </w:tcPr>
          <w:p>
            <w:pPr>
              <w:pStyle w:val="63"/>
              <w:spacing w:line="300" w:lineRule="exact"/>
              <w:rPr>
                <w:rFonts w:cs="Times New Roman"/>
                <w:szCs w:val="21"/>
              </w:rPr>
            </w:pPr>
            <w:r>
              <w:rPr>
                <w:rFonts w:cs="Times New Roman"/>
                <w:szCs w:val="21"/>
              </w:rPr>
              <w:t>6.5-8.5</w:t>
            </w:r>
          </w:p>
        </w:tc>
        <w:tc>
          <w:tcPr>
            <w:tcW w:w="546" w:type="pct"/>
            <w:vAlign w:val="center"/>
          </w:tcPr>
          <w:p>
            <w:pPr>
              <w:pStyle w:val="63"/>
              <w:spacing w:line="300" w:lineRule="exact"/>
              <w:rPr>
                <w:rFonts w:cs="Times New Roman"/>
                <w:szCs w:val="21"/>
              </w:rPr>
            </w:pPr>
            <w:r>
              <w:rPr>
                <w:rFonts w:cs="Times New Roman"/>
                <w:szCs w:val="21"/>
              </w:rPr>
              <w:t>14</w:t>
            </w:r>
          </w:p>
        </w:tc>
        <w:tc>
          <w:tcPr>
            <w:tcW w:w="1194" w:type="pct"/>
            <w:vAlign w:val="center"/>
          </w:tcPr>
          <w:p>
            <w:pPr>
              <w:pStyle w:val="63"/>
              <w:spacing w:line="300" w:lineRule="exact"/>
              <w:rPr>
                <w:rFonts w:cs="Times New Roman"/>
                <w:szCs w:val="21"/>
              </w:rPr>
            </w:pPr>
            <w:r>
              <w:rPr>
                <w:rFonts w:cs="Times New Roman"/>
                <w:szCs w:val="21"/>
              </w:rPr>
              <w:t>溶解性总固体</w:t>
            </w:r>
          </w:p>
        </w:tc>
        <w:tc>
          <w:tcPr>
            <w:tcW w:w="733" w:type="pct"/>
            <w:vAlign w:val="center"/>
          </w:tcPr>
          <w:p>
            <w:pPr>
              <w:pStyle w:val="63"/>
              <w:spacing w:line="300" w:lineRule="exact"/>
              <w:rPr>
                <w:rFonts w:cs="Times New Roman"/>
                <w:szCs w:val="21"/>
              </w:rPr>
            </w:pPr>
            <w:r>
              <w:rPr>
                <w:rFonts w:cs="Times New Roman"/>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2</w:t>
            </w:r>
          </w:p>
        </w:tc>
        <w:tc>
          <w:tcPr>
            <w:tcW w:w="1193" w:type="pct"/>
            <w:vAlign w:val="center"/>
          </w:tcPr>
          <w:p>
            <w:pPr>
              <w:pStyle w:val="63"/>
              <w:spacing w:line="300" w:lineRule="exact"/>
              <w:rPr>
                <w:rFonts w:cs="Times New Roman"/>
                <w:szCs w:val="21"/>
              </w:rPr>
            </w:pPr>
            <w:r>
              <w:rPr>
                <w:rFonts w:cs="Times New Roman"/>
                <w:szCs w:val="21"/>
              </w:rPr>
              <w:t>氨氮</w:t>
            </w:r>
          </w:p>
        </w:tc>
        <w:tc>
          <w:tcPr>
            <w:tcW w:w="820" w:type="pct"/>
            <w:vAlign w:val="center"/>
          </w:tcPr>
          <w:p>
            <w:pPr>
              <w:pStyle w:val="63"/>
              <w:spacing w:line="300" w:lineRule="exact"/>
              <w:rPr>
                <w:rFonts w:cs="Times New Roman"/>
                <w:szCs w:val="21"/>
              </w:rPr>
            </w:pPr>
            <w:r>
              <w:rPr>
                <w:rFonts w:cs="Times New Roman"/>
                <w:szCs w:val="21"/>
              </w:rPr>
              <w:t>≤0.5</w:t>
            </w:r>
          </w:p>
        </w:tc>
        <w:tc>
          <w:tcPr>
            <w:tcW w:w="546" w:type="pct"/>
            <w:vAlign w:val="center"/>
          </w:tcPr>
          <w:p>
            <w:pPr>
              <w:pStyle w:val="63"/>
              <w:spacing w:line="300" w:lineRule="exact"/>
              <w:rPr>
                <w:rFonts w:cs="Times New Roman"/>
                <w:szCs w:val="21"/>
              </w:rPr>
            </w:pPr>
            <w:r>
              <w:rPr>
                <w:rFonts w:cs="Times New Roman"/>
                <w:szCs w:val="21"/>
              </w:rPr>
              <w:t>15</w:t>
            </w:r>
          </w:p>
        </w:tc>
        <w:tc>
          <w:tcPr>
            <w:tcW w:w="1194" w:type="pct"/>
            <w:vAlign w:val="center"/>
          </w:tcPr>
          <w:p>
            <w:pPr>
              <w:pStyle w:val="63"/>
              <w:spacing w:line="300" w:lineRule="exact"/>
              <w:rPr>
                <w:rFonts w:cs="Times New Roman"/>
                <w:szCs w:val="21"/>
              </w:rPr>
            </w:pPr>
            <w:r>
              <w:rPr>
                <w:rFonts w:cs="Times New Roman"/>
                <w:szCs w:val="21"/>
              </w:rPr>
              <w:t>耗氧量</w:t>
            </w:r>
          </w:p>
        </w:tc>
        <w:tc>
          <w:tcPr>
            <w:tcW w:w="733" w:type="pct"/>
            <w:vAlign w:val="center"/>
          </w:tcPr>
          <w:p>
            <w:pPr>
              <w:pStyle w:val="63"/>
              <w:spacing w:line="300" w:lineRule="exact"/>
              <w:rPr>
                <w:rFonts w:cs="Times New Roman"/>
                <w:szCs w:val="21"/>
              </w:rPr>
            </w:pPr>
            <w:r>
              <w:rPr>
                <w:rFonts w:cs="Times New Roman"/>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3</w:t>
            </w:r>
          </w:p>
        </w:tc>
        <w:tc>
          <w:tcPr>
            <w:tcW w:w="1193" w:type="pct"/>
            <w:vAlign w:val="center"/>
          </w:tcPr>
          <w:p>
            <w:pPr>
              <w:pStyle w:val="63"/>
              <w:spacing w:line="300" w:lineRule="exact"/>
              <w:rPr>
                <w:rFonts w:cs="Times New Roman"/>
                <w:szCs w:val="21"/>
              </w:rPr>
            </w:pPr>
            <w:r>
              <w:rPr>
                <w:rFonts w:cs="Times New Roman"/>
                <w:szCs w:val="21"/>
              </w:rPr>
              <w:t>硝酸盐</w:t>
            </w:r>
          </w:p>
        </w:tc>
        <w:tc>
          <w:tcPr>
            <w:tcW w:w="820" w:type="pct"/>
            <w:vAlign w:val="center"/>
          </w:tcPr>
          <w:p>
            <w:pPr>
              <w:pStyle w:val="63"/>
              <w:spacing w:line="300" w:lineRule="exact"/>
              <w:rPr>
                <w:rFonts w:cs="Times New Roman"/>
                <w:szCs w:val="21"/>
              </w:rPr>
            </w:pPr>
            <w:r>
              <w:rPr>
                <w:rFonts w:cs="Times New Roman"/>
                <w:szCs w:val="21"/>
              </w:rPr>
              <w:t>≤20</w:t>
            </w:r>
          </w:p>
        </w:tc>
        <w:tc>
          <w:tcPr>
            <w:tcW w:w="546" w:type="pct"/>
            <w:vAlign w:val="center"/>
          </w:tcPr>
          <w:p>
            <w:pPr>
              <w:pStyle w:val="63"/>
              <w:spacing w:line="300" w:lineRule="exact"/>
              <w:rPr>
                <w:rFonts w:cs="Times New Roman"/>
                <w:szCs w:val="21"/>
              </w:rPr>
            </w:pPr>
            <w:r>
              <w:rPr>
                <w:rFonts w:cs="Times New Roman"/>
                <w:szCs w:val="21"/>
              </w:rPr>
              <w:t>16</w:t>
            </w:r>
          </w:p>
        </w:tc>
        <w:tc>
          <w:tcPr>
            <w:tcW w:w="1194" w:type="pct"/>
            <w:vAlign w:val="center"/>
          </w:tcPr>
          <w:p>
            <w:pPr>
              <w:pStyle w:val="63"/>
              <w:spacing w:line="300" w:lineRule="exact"/>
              <w:rPr>
                <w:rFonts w:cs="Times New Roman"/>
                <w:szCs w:val="21"/>
              </w:rPr>
            </w:pPr>
            <w:r>
              <w:rPr>
                <w:rFonts w:cs="Times New Roman"/>
                <w:szCs w:val="21"/>
              </w:rPr>
              <w:t>氯化物</w:t>
            </w:r>
          </w:p>
        </w:tc>
        <w:tc>
          <w:tcPr>
            <w:tcW w:w="733" w:type="pct"/>
            <w:vAlign w:val="center"/>
          </w:tcPr>
          <w:p>
            <w:pPr>
              <w:pStyle w:val="63"/>
              <w:spacing w:line="300" w:lineRule="exact"/>
              <w:rPr>
                <w:rFonts w:cs="Times New Roman"/>
                <w:szCs w:val="21"/>
              </w:rPr>
            </w:pPr>
            <w:r>
              <w:rPr>
                <w:rFonts w:cs="Times New Roman"/>
                <w:szCs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4</w:t>
            </w:r>
          </w:p>
        </w:tc>
        <w:tc>
          <w:tcPr>
            <w:tcW w:w="1193" w:type="pct"/>
            <w:vAlign w:val="center"/>
          </w:tcPr>
          <w:p>
            <w:pPr>
              <w:pStyle w:val="63"/>
              <w:spacing w:line="300" w:lineRule="exact"/>
              <w:rPr>
                <w:rFonts w:cs="Times New Roman"/>
                <w:szCs w:val="21"/>
              </w:rPr>
            </w:pPr>
            <w:r>
              <w:rPr>
                <w:rFonts w:cs="Times New Roman"/>
                <w:szCs w:val="21"/>
              </w:rPr>
              <w:t>亚硝酸盐</w:t>
            </w:r>
          </w:p>
        </w:tc>
        <w:tc>
          <w:tcPr>
            <w:tcW w:w="820" w:type="pct"/>
            <w:vAlign w:val="center"/>
          </w:tcPr>
          <w:p>
            <w:pPr>
              <w:pStyle w:val="63"/>
              <w:spacing w:line="300" w:lineRule="exact"/>
              <w:rPr>
                <w:rFonts w:cs="Times New Roman"/>
                <w:szCs w:val="21"/>
              </w:rPr>
            </w:pPr>
            <w:r>
              <w:rPr>
                <w:rFonts w:cs="Times New Roman"/>
                <w:szCs w:val="21"/>
              </w:rPr>
              <w:t>≤1.0</w:t>
            </w:r>
          </w:p>
        </w:tc>
        <w:tc>
          <w:tcPr>
            <w:tcW w:w="546" w:type="pct"/>
            <w:vAlign w:val="center"/>
          </w:tcPr>
          <w:p>
            <w:pPr>
              <w:pStyle w:val="63"/>
              <w:spacing w:line="300" w:lineRule="exact"/>
              <w:rPr>
                <w:rFonts w:cs="Times New Roman"/>
                <w:szCs w:val="21"/>
              </w:rPr>
            </w:pPr>
            <w:r>
              <w:rPr>
                <w:rFonts w:cs="Times New Roman"/>
                <w:szCs w:val="21"/>
              </w:rPr>
              <w:t>17</w:t>
            </w:r>
          </w:p>
        </w:tc>
        <w:tc>
          <w:tcPr>
            <w:tcW w:w="1194" w:type="pct"/>
            <w:vAlign w:val="center"/>
          </w:tcPr>
          <w:p>
            <w:pPr>
              <w:pStyle w:val="63"/>
              <w:spacing w:line="300" w:lineRule="exact"/>
              <w:rPr>
                <w:rFonts w:cs="Times New Roman"/>
                <w:szCs w:val="21"/>
              </w:rPr>
            </w:pPr>
            <w:r>
              <w:rPr>
                <w:rFonts w:cs="Times New Roman"/>
                <w:szCs w:val="21"/>
              </w:rPr>
              <w:t>总大肠杆菌</w:t>
            </w:r>
          </w:p>
        </w:tc>
        <w:tc>
          <w:tcPr>
            <w:tcW w:w="733" w:type="pct"/>
            <w:vAlign w:val="center"/>
          </w:tcPr>
          <w:p>
            <w:pPr>
              <w:pStyle w:val="63"/>
              <w:spacing w:line="300" w:lineRule="exact"/>
              <w:rPr>
                <w:rFonts w:cs="Times New Roman"/>
                <w:szCs w:val="21"/>
              </w:rPr>
            </w:pPr>
            <w:r>
              <w:rPr>
                <w:rFonts w:cs="Times New Roman"/>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5</w:t>
            </w:r>
          </w:p>
        </w:tc>
        <w:tc>
          <w:tcPr>
            <w:tcW w:w="1193" w:type="pct"/>
            <w:vAlign w:val="center"/>
          </w:tcPr>
          <w:p>
            <w:pPr>
              <w:pStyle w:val="63"/>
              <w:spacing w:line="300" w:lineRule="exact"/>
              <w:rPr>
                <w:rFonts w:cs="Times New Roman"/>
                <w:szCs w:val="21"/>
              </w:rPr>
            </w:pPr>
            <w:r>
              <w:rPr>
                <w:rFonts w:cs="Times New Roman"/>
                <w:szCs w:val="21"/>
              </w:rPr>
              <w:t>挥发性酚</w:t>
            </w:r>
          </w:p>
        </w:tc>
        <w:tc>
          <w:tcPr>
            <w:tcW w:w="820" w:type="pct"/>
            <w:vAlign w:val="center"/>
          </w:tcPr>
          <w:p>
            <w:pPr>
              <w:pStyle w:val="63"/>
              <w:spacing w:line="300" w:lineRule="exact"/>
              <w:rPr>
                <w:rFonts w:cs="Times New Roman"/>
                <w:szCs w:val="21"/>
              </w:rPr>
            </w:pPr>
            <w:r>
              <w:rPr>
                <w:rFonts w:cs="Times New Roman"/>
                <w:szCs w:val="21"/>
              </w:rPr>
              <w:t>≤0.002</w:t>
            </w:r>
          </w:p>
        </w:tc>
        <w:tc>
          <w:tcPr>
            <w:tcW w:w="546" w:type="pct"/>
            <w:vAlign w:val="center"/>
          </w:tcPr>
          <w:p>
            <w:pPr>
              <w:pStyle w:val="63"/>
              <w:spacing w:line="300" w:lineRule="exact"/>
              <w:rPr>
                <w:rFonts w:cs="Times New Roman"/>
                <w:szCs w:val="21"/>
              </w:rPr>
            </w:pPr>
            <w:r>
              <w:rPr>
                <w:rFonts w:cs="Times New Roman"/>
                <w:szCs w:val="21"/>
              </w:rPr>
              <w:t>18</w:t>
            </w:r>
          </w:p>
        </w:tc>
        <w:tc>
          <w:tcPr>
            <w:tcW w:w="1194" w:type="pct"/>
            <w:vAlign w:val="center"/>
          </w:tcPr>
          <w:p>
            <w:pPr>
              <w:pStyle w:val="63"/>
              <w:spacing w:line="300" w:lineRule="exact"/>
              <w:rPr>
                <w:rFonts w:cs="Times New Roman"/>
                <w:szCs w:val="21"/>
              </w:rPr>
            </w:pPr>
            <w:r>
              <w:rPr>
                <w:rFonts w:cs="Times New Roman"/>
                <w:szCs w:val="21"/>
              </w:rPr>
              <w:t>细菌总数</w:t>
            </w:r>
          </w:p>
        </w:tc>
        <w:tc>
          <w:tcPr>
            <w:tcW w:w="733" w:type="pct"/>
            <w:vAlign w:val="center"/>
          </w:tcPr>
          <w:p>
            <w:pPr>
              <w:pStyle w:val="63"/>
              <w:spacing w:line="300" w:lineRule="exact"/>
              <w:rPr>
                <w:rFonts w:cs="Times New Roman"/>
                <w:szCs w:val="21"/>
              </w:rPr>
            </w:pPr>
            <w:r>
              <w:rPr>
                <w:rFonts w:cs="Times New Roman"/>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6</w:t>
            </w:r>
          </w:p>
        </w:tc>
        <w:tc>
          <w:tcPr>
            <w:tcW w:w="1193" w:type="pct"/>
            <w:vAlign w:val="center"/>
          </w:tcPr>
          <w:p>
            <w:pPr>
              <w:pStyle w:val="63"/>
              <w:spacing w:line="300" w:lineRule="exact"/>
              <w:rPr>
                <w:rFonts w:cs="Times New Roman"/>
                <w:szCs w:val="21"/>
              </w:rPr>
            </w:pPr>
            <w:r>
              <w:rPr>
                <w:rFonts w:cs="Times New Roman"/>
                <w:szCs w:val="21"/>
              </w:rPr>
              <w:t>氰化物</w:t>
            </w:r>
          </w:p>
        </w:tc>
        <w:tc>
          <w:tcPr>
            <w:tcW w:w="820" w:type="pct"/>
            <w:vAlign w:val="center"/>
          </w:tcPr>
          <w:p>
            <w:pPr>
              <w:pStyle w:val="63"/>
              <w:spacing w:line="300" w:lineRule="exact"/>
              <w:rPr>
                <w:rFonts w:cs="Times New Roman"/>
                <w:szCs w:val="21"/>
              </w:rPr>
            </w:pPr>
            <w:r>
              <w:rPr>
                <w:rFonts w:cs="Times New Roman"/>
                <w:szCs w:val="21"/>
              </w:rPr>
              <w:t>≤0.05</w:t>
            </w:r>
          </w:p>
        </w:tc>
        <w:tc>
          <w:tcPr>
            <w:tcW w:w="546" w:type="pct"/>
            <w:vAlign w:val="center"/>
          </w:tcPr>
          <w:p>
            <w:pPr>
              <w:pStyle w:val="63"/>
              <w:spacing w:line="300" w:lineRule="exact"/>
              <w:rPr>
                <w:rFonts w:cs="Times New Roman"/>
                <w:szCs w:val="21"/>
              </w:rPr>
            </w:pPr>
            <w:r>
              <w:rPr>
                <w:rFonts w:cs="Times New Roman"/>
                <w:szCs w:val="21"/>
              </w:rPr>
              <w:t>19</w:t>
            </w:r>
          </w:p>
        </w:tc>
        <w:tc>
          <w:tcPr>
            <w:tcW w:w="1194" w:type="pct"/>
            <w:vAlign w:val="center"/>
          </w:tcPr>
          <w:p>
            <w:pPr>
              <w:pStyle w:val="63"/>
              <w:spacing w:line="300" w:lineRule="exact"/>
              <w:rPr>
                <w:rFonts w:cs="Times New Roman"/>
                <w:szCs w:val="21"/>
              </w:rPr>
            </w:pPr>
            <w:r>
              <w:rPr>
                <w:rFonts w:cs="Times New Roman"/>
                <w:szCs w:val="21"/>
              </w:rPr>
              <w:t>石油类</w:t>
            </w:r>
          </w:p>
        </w:tc>
        <w:tc>
          <w:tcPr>
            <w:tcW w:w="733" w:type="pct"/>
            <w:vAlign w:val="center"/>
          </w:tcPr>
          <w:p>
            <w:pPr>
              <w:pStyle w:val="63"/>
              <w:spacing w:line="300" w:lineRule="exact"/>
              <w:rPr>
                <w:rFonts w:cs="Times New Roman"/>
                <w:szCs w:val="21"/>
              </w:rPr>
            </w:pPr>
            <w:r>
              <w:rPr>
                <w:rFonts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7</w:t>
            </w:r>
          </w:p>
        </w:tc>
        <w:tc>
          <w:tcPr>
            <w:tcW w:w="1193" w:type="pct"/>
            <w:vAlign w:val="center"/>
          </w:tcPr>
          <w:p>
            <w:pPr>
              <w:pStyle w:val="63"/>
              <w:spacing w:line="300" w:lineRule="exact"/>
              <w:rPr>
                <w:rFonts w:cs="Times New Roman"/>
                <w:szCs w:val="21"/>
              </w:rPr>
            </w:pPr>
            <w:r>
              <w:rPr>
                <w:rFonts w:cs="Times New Roman"/>
                <w:szCs w:val="21"/>
              </w:rPr>
              <w:t>砷</w:t>
            </w:r>
          </w:p>
        </w:tc>
        <w:tc>
          <w:tcPr>
            <w:tcW w:w="820" w:type="pct"/>
            <w:vAlign w:val="center"/>
          </w:tcPr>
          <w:p>
            <w:pPr>
              <w:pStyle w:val="63"/>
              <w:spacing w:line="300" w:lineRule="exact"/>
              <w:rPr>
                <w:rFonts w:cs="Times New Roman"/>
                <w:szCs w:val="21"/>
              </w:rPr>
            </w:pPr>
            <w:r>
              <w:rPr>
                <w:rFonts w:cs="Times New Roman"/>
                <w:szCs w:val="21"/>
              </w:rPr>
              <w:t>≤0.01</w:t>
            </w:r>
          </w:p>
        </w:tc>
        <w:tc>
          <w:tcPr>
            <w:tcW w:w="546" w:type="pct"/>
            <w:vAlign w:val="center"/>
          </w:tcPr>
          <w:p>
            <w:pPr>
              <w:pStyle w:val="63"/>
              <w:spacing w:line="300" w:lineRule="exact"/>
              <w:rPr>
                <w:rFonts w:cs="Times New Roman"/>
                <w:szCs w:val="21"/>
              </w:rPr>
            </w:pPr>
            <w:r>
              <w:rPr>
                <w:rFonts w:cs="Times New Roman"/>
                <w:szCs w:val="21"/>
              </w:rPr>
              <w:t>20</w:t>
            </w:r>
          </w:p>
        </w:tc>
        <w:tc>
          <w:tcPr>
            <w:tcW w:w="1194" w:type="pct"/>
            <w:vAlign w:val="center"/>
          </w:tcPr>
          <w:p>
            <w:pPr>
              <w:pStyle w:val="63"/>
              <w:spacing w:line="300" w:lineRule="exact"/>
              <w:rPr>
                <w:rFonts w:cs="Times New Roman"/>
                <w:szCs w:val="21"/>
              </w:rPr>
            </w:pPr>
            <w:r>
              <w:rPr>
                <w:rFonts w:cs="Times New Roman"/>
                <w:szCs w:val="21"/>
              </w:rPr>
              <w:t>铬（六价）</w:t>
            </w:r>
          </w:p>
        </w:tc>
        <w:tc>
          <w:tcPr>
            <w:tcW w:w="733" w:type="pct"/>
            <w:vAlign w:val="center"/>
          </w:tcPr>
          <w:p>
            <w:pPr>
              <w:pStyle w:val="63"/>
              <w:spacing w:line="300" w:lineRule="exact"/>
              <w:rPr>
                <w:rFonts w:cs="Times New Roman"/>
                <w:szCs w:val="21"/>
              </w:rPr>
            </w:pPr>
            <w:r>
              <w:rPr>
                <w:rFonts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8</w:t>
            </w:r>
          </w:p>
        </w:tc>
        <w:tc>
          <w:tcPr>
            <w:tcW w:w="1193" w:type="pct"/>
            <w:vAlign w:val="center"/>
          </w:tcPr>
          <w:p>
            <w:pPr>
              <w:pStyle w:val="63"/>
              <w:spacing w:line="300" w:lineRule="exact"/>
              <w:rPr>
                <w:rFonts w:cs="Times New Roman"/>
                <w:szCs w:val="21"/>
              </w:rPr>
            </w:pPr>
            <w:r>
              <w:rPr>
                <w:rFonts w:cs="Times New Roman"/>
                <w:szCs w:val="21"/>
              </w:rPr>
              <w:t>汞</w:t>
            </w:r>
          </w:p>
        </w:tc>
        <w:tc>
          <w:tcPr>
            <w:tcW w:w="820" w:type="pct"/>
            <w:vAlign w:val="center"/>
          </w:tcPr>
          <w:p>
            <w:pPr>
              <w:pStyle w:val="63"/>
              <w:spacing w:line="300" w:lineRule="exact"/>
              <w:rPr>
                <w:rFonts w:cs="Times New Roman"/>
                <w:szCs w:val="21"/>
              </w:rPr>
            </w:pPr>
            <w:r>
              <w:rPr>
                <w:rFonts w:cs="Times New Roman"/>
                <w:szCs w:val="21"/>
              </w:rPr>
              <w:t>≤0.001</w:t>
            </w:r>
          </w:p>
        </w:tc>
        <w:tc>
          <w:tcPr>
            <w:tcW w:w="546" w:type="pct"/>
            <w:vAlign w:val="center"/>
          </w:tcPr>
          <w:p>
            <w:pPr>
              <w:pStyle w:val="63"/>
              <w:spacing w:line="300" w:lineRule="exact"/>
              <w:rPr>
                <w:rFonts w:cs="Times New Roman"/>
                <w:szCs w:val="21"/>
              </w:rPr>
            </w:pPr>
            <w:r>
              <w:rPr>
                <w:rFonts w:cs="Times New Roman"/>
                <w:szCs w:val="21"/>
              </w:rPr>
              <w:t>21</w:t>
            </w:r>
          </w:p>
        </w:tc>
        <w:tc>
          <w:tcPr>
            <w:tcW w:w="1194" w:type="pct"/>
            <w:vAlign w:val="center"/>
          </w:tcPr>
          <w:p>
            <w:pPr>
              <w:pStyle w:val="63"/>
              <w:spacing w:line="300" w:lineRule="exact"/>
              <w:rPr>
                <w:rFonts w:cs="Times New Roman"/>
                <w:szCs w:val="21"/>
              </w:rPr>
            </w:pPr>
            <w:r>
              <w:rPr>
                <w:rFonts w:cs="Times New Roman"/>
                <w:szCs w:val="21"/>
              </w:rPr>
              <w:t>硫酸盐</w:t>
            </w:r>
          </w:p>
        </w:tc>
        <w:tc>
          <w:tcPr>
            <w:tcW w:w="733" w:type="pct"/>
            <w:vAlign w:val="center"/>
          </w:tcPr>
          <w:p>
            <w:pPr>
              <w:pStyle w:val="63"/>
              <w:spacing w:line="300" w:lineRule="exact"/>
              <w:rPr>
                <w:rFonts w:cs="Times New Roman"/>
                <w:szCs w:val="21"/>
              </w:rPr>
            </w:pPr>
            <w:r>
              <w:rPr>
                <w:rFonts w:cs="Times New Roman"/>
                <w:szCs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9</w:t>
            </w:r>
          </w:p>
        </w:tc>
        <w:tc>
          <w:tcPr>
            <w:tcW w:w="1193" w:type="pct"/>
            <w:vAlign w:val="center"/>
          </w:tcPr>
          <w:p>
            <w:pPr>
              <w:pStyle w:val="63"/>
              <w:spacing w:line="300" w:lineRule="exact"/>
              <w:rPr>
                <w:rFonts w:cs="Times New Roman"/>
                <w:szCs w:val="21"/>
              </w:rPr>
            </w:pPr>
            <w:r>
              <w:rPr>
                <w:rFonts w:cs="Times New Roman"/>
                <w:szCs w:val="21"/>
              </w:rPr>
              <w:t>总硬度</w:t>
            </w:r>
          </w:p>
        </w:tc>
        <w:tc>
          <w:tcPr>
            <w:tcW w:w="820" w:type="pct"/>
            <w:vAlign w:val="center"/>
          </w:tcPr>
          <w:p>
            <w:pPr>
              <w:pStyle w:val="63"/>
              <w:spacing w:line="300" w:lineRule="exact"/>
              <w:rPr>
                <w:rFonts w:cs="Times New Roman"/>
                <w:szCs w:val="21"/>
              </w:rPr>
            </w:pPr>
            <w:r>
              <w:rPr>
                <w:rFonts w:cs="Times New Roman"/>
                <w:szCs w:val="21"/>
              </w:rPr>
              <w:t>≤450</w:t>
            </w:r>
          </w:p>
        </w:tc>
        <w:tc>
          <w:tcPr>
            <w:tcW w:w="546" w:type="pct"/>
            <w:vAlign w:val="center"/>
          </w:tcPr>
          <w:p>
            <w:pPr>
              <w:pStyle w:val="63"/>
              <w:spacing w:line="300" w:lineRule="exact"/>
              <w:rPr>
                <w:rFonts w:cs="Times New Roman"/>
                <w:szCs w:val="21"/>
              </w:rPr>
            </w:pPr>
            <w:r>
              <w:rPr>
                <w:rFonts w:cs="Times New Roman"/>
                <w:szCs w:val="21"/>
              </w:rPr>
              <w:t>22</w:t>
            </w:r>
          </w:p>
        </w:tc>
        <w:tc>
          <w:tcPr>
            <w:tcW w:w="1194" w:type="pct"/>
            <w:vAlign w:val="center"/>
          </w:tcPr>
          <w:p>
            <w:pPr>
              <w:pStyle w:val="63"/>
              <w:spacing w:line="300" w:lineRule="exact"/>
              <w:rPr>
                <w:rFonts w:cs="Times New Roman"/>
                <w:szCs w:val="21"/>
              </w:rPr>
            </w:pPr>
            <w:r>
              <w:rPr>
                <w:rFonts w:cs="Times New Roman"/>
                <w:szCs w:val="21"/>
              </w:rPr>
              <w:t>钠</w:t>
            </w:r>
          </w:p>
        </w:tc>
        <w:tc>
          <w:tcPr>
            <w:tcW w:w="733" w:type="pct"/>
            <w:vAlign w:val="center"/>
          </w:tcPr>
          <w:p>
            <w:pPr>
              <w:pStyle w:val="63"/>
              <w:spacing w:line="300" w:lineRule="exact"/>
              <w:rPr>
                <w:rFonts w:cs="Times New Roman"/>
                <w:szCs w:val="21"/>
              </w:rPr>
            </w:pPr>
            <w:r>
              <w:rPr>
                <w:rFonts w:cs="Times New Roman"/>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11</w:t>
            </w:r>
          </w:p>
        </w:tc>
        <w:tc>
          <w:tcPr>
            <w:tcW w:w="1193" w:type="pct"/>
            <w:vAlign w:val="center"/>
          </w:tcPr>
          <w:p>
            <w:pPr>
              <w:pStyle w:val="63"/>
              <w:spacing w:line="300" w:lineRule="exact"/>
              <w:rPr>
                <w:rFonts w:cs="Times New Roman"/>
                <w:szCs w:val="21"/>
              </w:rPr>
            </w:pPr>
            <w:r>
              <w:rPr>
                <w:rFonts w:cs="Times New Roman"/>
                <w:szCs w:val="21"/>
              </w:rPr>
              <w:t>铅</w:t>
            </w:r>
          </w:p>
        </w:tc>
        <w:tc>
          <w:tcPr>
            <w:tcW w:w="820" w:type="pct"/>
            <w:vAlign w:val="center"/>
          </w:tcPr>
          <w:p>
            <w:pPr>
              <w:pStyle w:val="63"/>
              <w:spacing w:line="300" w:lineRule="exact"/>
              <w:rPr>
                <w:rFonts w:cs="Times New Roman"/>
                <w:szCs w:val="21"/>
              </w:rPr>
            </w:pPr>
            <w:r>
              <w:rPr>
                <w:rFonts w:cs="Times New Roman"/>
                <w:szCs w:val="21"/>
              </w:rPr>
              <w:t>≤0.01</w:t>
            </w:r>
          </w:p>
        </w:tc>
        <w:tc>
          <w:tcPr>
            <w:tcW w:w="546" w:type="pct"/>
            <w:vAlign w:val="center"/>
          </w:tcPr>
          <w:p>
            <w:pPr>
              <w:pStyle w:val="63"/>
              <w:spacing w:line="300" w:lineRule="exact"/>
              <w:rPr>
                <w:rFonts w:cs="Times New Roman"/>
                <w:szCs w:val="21"/>
              </w:rPr>
            </w:pPr>
            <w:r>
              <w:rPr>
                <w:rFonts w:cs="Times New Roman"/>
                <w:szCs w:val="21"/>
              </w:rPr>
              <w:t>23</w:t>
            </w:r>
          </w:p>
        </w:tc>
        <w:tc>
          <w:tcPr>
            <w:tcW w:w="1194" w:type="pct"/>
            <w:vAlign w:val="center"/>
          </w:tcPr>
          <w:p>
            <w:pPr>
              <w:pStyle w:val="63"/>
              <w:spacing w:line="300" w:lineRule="exact"/>
              <w:rPr>
                <w:rFonts w:cs="Times New Roman"/>
                <w:szCs w:val="21"/>
              </w:rPr>
            </w:pPr>
            <w:r>
              <w:rPr>
                <w:rFonts w:cs="Times New Roman"/>
                <w:szCs w:val="21"/>
              </w:rPr>
              <w:t>硫化物</w:t>
            </w:r>
          </w:p>
        </w:tc>
        <w:tc>
          <w:tcPr>
            <w:tcW w:w="733" w:type="pct"/>
            <w:vAlign w:val="center"/>
          </w:tcPr>
          <w:p>
            <w:pPr>
              <w:pStyle w:val="63"/>
              <w:spacing w:line="300" w:lineRule="exact"/>
              <w:rPr>
                <w:rFonts w:cs="Times New Roman"/>
                <w:szCs w:val="21"/>
              </w:rPr>
            </w:pPr>
            <w:r>
              <w:rPr>
                <w:rFonts w:cs="Times New Roman"/>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12</w:t>
            </w:r>
          </w:p>
        </w:tc>
        <w:tc>
          <w:tcPr>
            <w:tcW w:w="1193" w:type="pct"/>
            <w:vAlign w:val="center"/>
          </w:tcPr>
          <w:p>
            <w:pPr>
              <w:pStyle w:val="63"/>
              <w:spacing w:line="300" w:lineRule="exact"/>
              <w:rPr>
                <w:rFonts w:cs="Times New Roman"/>
                <w:szCs w:val="21"/>
              </w:rPr>
            </w:pPr>
            <w:r>
              <w:rPr>
                <w:rFonts w:cs="Times New Roman"/>
                <w:szCs w:val="21"/>
              </w:rPr>
              <w:t>氟化物</w:t>
            </w:r>
          </w:p>
        </w:tc>
        <w:tc>
          <w:tcPr>
            <w:tcW w:w="820" w:type="pct"/>
            <w:vAlign w:val="center"/>
          </w:tcPr>
          <w:p>
            <w:pPr>
              <w:pStyle w:val="63"/>
              <w:spacing w:line="300" w:lineRule="exact"/>
              <w:rPr>
                <w:rFonts w:cs="Times New Roman"/>
                <w:szCs w:val="21"/>
              </w:rPr>
            </w:pPr>
            <w:r>
              <w:rPr>
                <w:rFonts w:cs="Times New Roman"/>
                <w:szCs w:val="21"/>
              </w:rPr>
              <w:t>≤1.0</w:t>
            </w:r>
          </w:p>
        </w:tc>
        <w:tc>
          <w:tcPr>
            <w:tcW w:w="546" w:type="pct"/>
            <w:vAlign w:val="center"/>
          </w:tcPr>
          <w:p>
            <w:pPr>
              <w:pStyle w:val="63"/>
              <w:spacing w:line="300" w:lineRule="exact"/>
              <w:rPr>
                <w:rFonts w:cs="Times New Roman"/>
                <w:szCs w:val="21"/>
              </w:rPr>
            </w:pPr>
            <w:r>
              <w:rPr>
                <w:rFonts w:cs="Times New Roman"/>
                <w:szCs w:val="21"/>
              </w:rPr>
              <w:t>24</w:t>
            </w:r>
          </w:p>
        </w:tc>
        <w:tc>
          <w:tcPr>
            <w:tcW w:w="1194" w:type="pct"/>
            <w:vAlign w:val="center"/>
          </w:tcPr>
          <w:p>
            <w:pPr>
              <w:pStyle w:val="63"/>
              <w:spacing w:line="300" w:lineRule="exact"/>
              <w:rPr>
                <w:rFonts w:cs="Times New Roman"/>
                <w:szCs w:val="21"/>
              </w:rPr>
            </w:pPr>
            <w:r>
              <w:rPr>
                <w:rFonts w:cs="Times New Roman"/>
                <w:szCs w:val="21"/>
              </w:rPr>
              <w:t>铁</w:t>
            </w:r>
          </w:p>
        </w:tc>
        <w:tc>
          <w:tcPr>
            <w:tcW w:w="733" w:type="pct"/>
            <w:vAlign w:val="center"/>
          </w:tcPr>
          <w:p>
            <w:pPr>
              <w:pStyle w:val="63"/>
              <w:spacing w:line="300" w:lineRule="exact"/>
              <w:rPr>
                <w:rFonts w:cs="Times New Roman"/>
                <w:szCs w:val="21"/>
              </w:rP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3" w:type="pct"/>
            <w:tcBorders>
              <w:left w:val="nil"/>
            </w:tcBorders>
            <w:vAlign w:val="center"/>
          </w:tcPr>
          <w:p>
            <w:pPr>
              <w:pStyle w:val="63"/>
              <w:spacing w:line="300" w:lineRule="exact"/>
              <w:rPr>
                <w:rFonts w:cs="Times New Roman"/>
                <w:szCs w:val="21"/>
              </w:rPr>
            </w:pPr>
            <w:r>
              <w:rPr>
                <w:rFonts w:cs="Times New Roman"/>
                <w:szCs w:val="21"/>
              </w:rPr>
              <w:t>13</w:t>
            </w:r>
          </w:p>
        </w:tc>
        <w:tc>
          <w:tcPr>
            <w:tcW w:w="1193" w:type="pct"/>
            <w:vAlign w:val="center"/>
          </w:tcPr>
          <w:p>
            <w:pPr>
              <w:pStyle w:val="63"/>
              <w:spacing w:line="300" w:lineRule="exact"/>
              <w:rPr>
                <w:rFonts w:cs="Times New Roman"/>
                <w:szCs w:val="21"/>
              </w:rPr>
            </w:pPr>
            <w:r>
              <w:rPr>
                <w:rFonts w:cs="Times New Roman"/>
                <w:szCs w:val="21"/>
              </w:rPr>
              <w:t>镉</w:t>
            </w:r>
          </w:p>
        </w:tc>
        <w:tc>
          <w:tcPr>
            <w:tcW w:w="820" w:type="pct"/>
            <w:vAlign w:val="center"/>
          </w:tcPr>
          <w:p>
            <w:pPr>
              <w:pStyle w:val="63"/>
              <w:spacing w:line="300" w:lineRule="exact"/>
              <w:rPr>
                <w:rFonts w:cs="Times New Roman"/>
                <w:szCs w:val="21"/>
              </w:rPr>
            </w:pPr>
            <w:r>
              <w:rPr>
                <w:rFonts w:cs="Times New Roman"/>
                <w:szCs w:val="21"/>
              </w:rPr>
              <w:t>≤0.005</w:t>
            </w:r>
          </w:p>
        </w:tc>
        <w:tc>
          <w:tcPr>
            <w:tcW w:w="546" w:type="pct"/>
            <w:vAlign w:val="center"/>
          </w:tcPr>
          <w:p>
            <w:pPr>
              <w:pStyle w:val="63"/>
              <w:spacing w:line="300" w:lineRule="exact"/>
              <w:rPr>
                <w:rFonts w:cs="Times New Roman"/>
                <w:szCs w:val="21"/>
              </w:rPr>
            </w:pPr>
            <w:r>
              <w:rPr>
                <w:rFonts w:cs="Times New Roman"/>
                <w:szCs w:val="21"/>
              </w:rPr>
              <w:t>25</w:t>
            </w:r>
          </w:p>
        </w:tc>
        <w:tc>
          <w:tcPr>
            <w:tcW w:w="1194" w:type="pct"/>
            <w:vAlign w:val="center"/>
          </w:tcPr>
          <w:p>
            <w:pPr>
              <w:pStyle w:val="63"/>
              <w:spacing w:line="300" w:lineRule="exact"/>
              <w:rPr>
                <w:rFonts w:cs="Times New Roman"/>
                <w:szCs w:val="21"/>
              </w:rPr>
            </w:pPr>
            <w:r>
              <w:rPr>
                <w:rFonts w:cs="Times New Roman"/>
                <w:szCs w:val="21"/>
              </w:rPr>
              <w:t>锰</w:t>
            </w:r>
          </w:p>
        </w:tc>
        <w:tc>
          <w:tcPr>
            <w:tcW w:w="733" w:type="pct"/>
            <w:vAlign w:val="center"/>
          </w:tcPr>
          <w:p>
            <w:pPr>
              <w:pStyle w:val="63"/>
              <w:spacing w:line="300" w:lineRule="exact"/>
              <w:rPr>
                <w:rFonts w:cs="Times New Roman"/>
                <w:szCs w:val="21"/>
              </w:rPr>
            </w:pPr>
            <w:r>
              <w:rPr>
                <w:rFonts w:cs="Times New Roman"/>
                <w:szCs w:val="21"/>
              </w:rPr>
              <w:t>≤0.1</w:t>
            </w:r>
          </w:p>
        </w:tc>
      </w:tr>
    </w:tbl>
    <w:p>
      <w:pPr>
        <w:spacing w:before="163" w:beforeLines="50"/>
        <w:ind w:firstLine="482"/>
        <w:rPr>
          <w:rFonts w:cs="Times New Roman"/>
          <w:b/>
        </w:rPr>
      </w:pPr>
      <w:r>
        <w:rPr>
          <w:rFonts w:cs="Times New Roman"/>
          <w:b/>
        </w:rPr>
        <w:t>4、声环境</w:t>
      </w:r>
    </w:p>
    <w:p>
      <w:pPr>
        <w:ind w:firstLine="480"/>
        <w:rPr>
          <w:rFonts w:cs="Times New Roman"/>
        </w:rPr>
      </w:pPr>
      <w:r>
        <w:rPr>
          <w:rFonts w:cs="Times New Roman"/>
          <w:kern w:val="0"/>
          <w:szCs w:val="24"/>
        </w:rPr>
        <w:t>本项目</w:t>
      </w:r>
      <w:r>
        <w:rPr>
          <w:rFonts w:hint="eastAsia" w:cs="Times New Roman"/>
          <w:kern w:val="0"/>
          <w:szCs w:val="24"/>
        </w:rPr>
        <w:t>管道沿线及周边为农村</w:t>
      </w:r>
      <w:r>
        <w:rPr>
          <w:rFonts w:cs="Times New Roman"/>
          <w:kern w:val="0"/>
          <w:szCs w:val="24"/>
        </w:rPr>
        <w:t>环境</w:t>
      </w:r>
      <w:r>
        <w:rPr>
          <w:rFonts w:hint="eastAsia" w:cs="Times New Roman"/>
          <w:kern w:val="0"/>
          <w:szCs w:val="24"/>
        </w:rPr>
        <w:t>，</w:t>
      </w:r>
      <w:r>
        <w:rPr>
          <w:rFonts w:cs="Times New Roman"/>
          <w:kern w:val="0"/>
          <w:szCs w:val="24"/>
        </w:rPr>
        <w:t>属于2类声环境功能区</w:t>
      </w:r>
      <w:r>
        <w:rPr>
          <w:rFonts w:hint="eastAsia" w:cs="Times New Roman"/>
          <w:kern w:val="0"/>
          <w:szCs w:val="24"/>
        </w:rPr>
        <w:t>，</w:t>
      </w:r>
      <w:r>
        <w:rPr>
          <w:rFonts w:cs="Times New Roman"/>
        </w:rPr>
        <w:t>声环境质量执行《声环境质量标准》（GB 3096-2008）中的2类标准</w:t>
      </w:r>
      <w:r>
        <w:rPr>
          <w:rFonts w:cs="Times New Roman"/>
          <w:kern w:val="0"/>
          <w:szCs w:val="24"/>
        </w:rPr>
        <w:t>。</w:t>
      </w:r>
      <w:r>
        <w:rPr>
          <w:rFonts w:cs="Times New Roman"/>
        </w:rPr>
        <w:t>详见</w:t>
      </w:r>
      <w:r>
        <w:rPr>
          <w:rFonts w:hint="eastAsia" w:cs="Times New Roman"/>
        </w:rPr>
        <w:t>下表</w:t>
      </w:r>
      <w:r>
        <w:rPr>
          <w:rFonts w:cs="Times New Roman"/>
        </w:rPr>
        <w:t>。</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4</w:t>
      </w:r>
      <w:r>
        <w:rPr>
          <w:rFonts w:cs="Times New Roman"/>
        </w:rPr>
        <w:fldChar w:fldCharType="end"/>
      </w:r>
      <w:r>
        <w:rPr>
          <w:rFonts w:cs="Times New Roman"/>
        </w:rPr>
        <w:t xml:space="preserve">  《声环境质量标准》标准限值(单位：</w:t>
      </w:r>
      <w:r>
        <w:rPr>
          <w:rFonts w:cs="Times New Roman"/>
          <w:bCs/>
        </w:rPr>
        <w:t>dB（A）</w:t>
      </w:r>
      <w:r>
        <w:rPr>
          <w:rFonts w:cs="Times New Roman"/>
        </w:rPr>
        <w:t xml:space="preserve">) </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701"/>
        <w:gridCol w:w="3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327" w:type="pct"/>
            <w:vMerge w:val="restart"/>
            <w:tcBorders>
              <w:top w:val="single" w:color="auto" w:sz="12" w:space="0"/>
              <w:left w:val="nil"/>
              <w:bottom w:val="single" w:color="auto" w:sz="4" w:space="0"/>
              <w:right w:val="single" w:color="auto" w:sz="4" w:space="0"/>
            </w:tcBorders>
            <w:vAlign w:val="center"/>
          </w:tcPr>
          <w:p>
            <w:pPr>
              <w:pStyle w:val="63"/>
              <w:rPr>
                <w:rFonts w:cs="Times New Roman"/>
                <w:b/>
                <w:bCs/>
              </w:rPr>
            </w:pPr>
            <w:r>
              <w:rPr>
                <w:rFonts w:cs="Times New Roman"/>
                <w:b/>
                <w:bCs/>
              </w:rPr>
              <w:t>类别指标</w:t>
            </w:r>
          </w:p>
        </w:tc>
        <w:tc>
          <w:tcPr>
            <w:tcW w:w="3673" w:type="pct"/>
            <w:gridSpan w:val="2"/>
            <w:tcBorders>
              <w:top w:val="single" w:color="auto" w:sz="12" w:space="0"/>
              <w:left w:val="single" w:color="auto" w:sz="4" w:space="0"/>
              <w:bottom w:val="single" w:color="auto" w:sz="4" w:space="0"/>
              <w:right w:val="nil"/>
            </w:tcBorders>
            <w:vAlign w:val="center"/>
          </w:tcPr>
          <w:p>
            <w:pPr>
              <w:pStyle w:val="63"/>
              <w:rPr>
                <w:rFonts w:cs="Times New Roman"/>
                <w:b/>
                <w:bCs/>
              </w:rPr>
            </w:pPr>
            <w:r>
              <w:rPr>
                <w:rFonts w:cs="Times New Roman"/>
                <w:b/>
                <w:bCs/>
              </w:rPr>
              <w:t xml:space="preserve">标准值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0" w:type="auto"/>
            <w:vMerge w:val="continue"/>
            <w:tcBorders>
              <w:top w:val="single" w:color="auto" w:sz="12" w:space="0"/>
              <w:left w:val="nil"/>
              <w:bottom w:val="single" w:color="auto" w:sz="4" w:space="0"/>
              <w:right w:val="single" w:color="auto" w:sz="4" w:space="0"/>
            </w:tcBorders>
            <w:vAlign w:val="center"/>
          </w:tcPr>
          <w:p>
            <w:pPr>
              <w:pStyle w:val="63"/>
              <w:rPr>
                <w:rFonts w:cs="Times New Roman"/>
                <w:b/>
                <w:bCs/>
              </w:rPr>
            </w:pPr>
          </w:p>
        </w:tc>
        <w:tc>
          <w:tcPr>
            <w:tcW w:w="1585" w:type="pct"/>
            <w:tcBorders>
              <w:top w:val="single" w:color="auto" w:sz="4" w:space="0"/>
              <w:left w:val="single" w:color="auto" w:sz="4" w:space="0"/>
              <w:bottom w:val="single" w:color="auto" w:sz="4" w:space="0"/>
              <w:right w:val="single" w:color="auto" w:sz="4" w:space="0"/>
            </w:tcBorders>
            <w:vAlign w:val="center"/>
          </w:tcPr>
          <w:p>
            <w:pPr>
              <w:pStyle w:val="63"/>
              <w:rPr>
                <w:rFonts w:cs="Times New Roman"/>
                <w:b/>
                <w:bCs/>
              </w:rPr>
            </w:pPr>
            <w:r>
              <w:rPr>
                <w:rFonts w:cs="Times New Roman"/>
                <w:b/>
                <w:bCs/>
              </w:rPr>
              <w:t>昼间</w:t>
            </w:r>
          </w:p>
        </w:tc>
        <w:tc>
          <w:tcPr>
            <w:tcW w:w="2089" w:type="pct"/>
            <w:tcBorders>
              <w:top w:val="single" w:color="auto" w:sz="4" w:space="0"/>
              <w:left w:val="single" w:color="auto" w:sz="4" w:space="0"/>
              <w:bottom w:val="single" w:color="auto" w:sz="4" w:space="0"/>
              <w:right w:val="nil"/>
            </w:tcBorders>
            <w:vAlign w:val="center"/>
          </w:tcPr>
          <w:p>
            <w:pPr>
              <w:pStyle w:val="63"/>
              <w:rPr>
                <w:rFonts w:cs="Times New Roman"/>
                <w:b/>
                <w:bCs/>
              </w:rPr>
            </w:pPr>
            <w:r>
              <w:rPr>
                <w:rFonts w:cs="Times New Roman"/>
                <w:b/>
                <w:bCs/>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pct"/>
            <w:tcBorders>
              <w:top w:val="single" w:color="auto" w:sz="4" w:space="0"/>
              <w:left w:val="nil"/>
              <w:bottom w:val="single" w:color="auto" w:sz="4" w:space="0"/>
              <w:right w:val="single" w:color="auto" w:sz="4" w:space="0"/>
            </w:tcBorders>
            <w:vAlign w:val="center"/>
          </w:tcPr>
          <w:p>
            <w:pPr>
              <w:pStyle w:val="63"/>
              <w:rPr>
                <w:rFonts w:cs="Times New Roman"/>
              </w:rPr>
            </w:pPr>
            <w:r>
              <w:rPr>
                <w:rFonts w:cs="Times New Roman"/>
              </w:rPr>
              <w:t>2类标准</w:t>
            </w:r>
          </w:p>
        </w:tc>
        <w:tc>
          <w:tcPr>
            <w:tcW w:w="1585" w:type="pct"/>
            <w:tcBorders>
              <w:top w:val="single" w:color="auto" w:sz="4" w:space="0"/>
              <w:left w:val="single" w:color="auto" w:sz="4" w:space="0"/>
              <w:bottom w:val="single" w:color="auto" w:sz="4" w:space="0"/>
              <w:right w:val="single" w:color="auto" w:sz="4" w:space="0"/>
            </w:tcBorders>
            <w:vAlign w:val="center"/>
          </w:tcPr>
          <w:p>
            <w:pPr>
              <w:pStyle w:val="63"/>
              <w:rPr>
                <w:rFonts w:cs="Times New Roman"/>
              </w:rPr>
            </w:pPr>
            <w:r>
              <w:rPr>
                <w:rFonts w:cs="Times New Roman"/>
              </w:rPr>
              <w:t>60</w:t>
            </w:r>
          </w:p>
        </w:tc>
        <w:tc>
          <w:tcPr>
            <w:tcW w:w="2089" w:type="pct"/>
            <w:tcBorders>
              <w:top w:val="single" w:color="auto" w:sz="4" w:space="0"/>
              <w:left w:val="single" w:color="auto" w:sz="4" w:space="0"/>
              <w:bottom w:val="single" w:color="auto" w:sz="4" w:space="0"/>
              <w:right w:val="nil"/>
            </w:tcBorders>
            <w:vAlign w:val="center"/>
          </w:tcPr>
          <w:p>
            <w:pPr>
              <w:pStyle w:val="63"/>
              <w:rPr>
                <w:rFonts w:cs="Times New Roman"/>
              </w:rPr>
            </w:pPr>
            <w:r>
              <w:rPr>
                <w:rFonts w:cs="Times New Roman"/>
              </w:rPr>
              <w:t>50</w:t>
            </w:r>
          </w:p>
        </w:tc>
      </w:tr>
    </w:tbl>
    <w:p>
      <w:pPr>
        <w:pStyle w:val="53"/>
        <w:spacing w:before="163" w:beforeLines="50"/>
        <w:ind w:firstLine="482"/>
        <w:rPr>
          <w:rFonts w:cs="Times New Roman"/>
        </w:rPr>
      </w:pPr>
      <w:r>
        <w:rPr>
          <w:rFonts w:cs="Times New Roman"/>
        </w:rPr>
        <w:t>5、生态环境</w:t>
      </w:r>
    </w:p>
    <w:p>
      <w:pPr>
        <w:ind w:firstLine="480"/>
        <w:rPr>
          <w:rFonts w:cs="Times New Roman"/>
        </w:rPr>
      </w:pPr>
      <w:r>
        <w:rPr>
          <w:rFonts w:cs="Times New Roman"/>
        </w:rPr>
        <w:t>生态环境按照相关技术导则、规范要求作为评价准则，土壤侵蚀标准执行《土壤侵蚀分类分级标准》（SL 190-2007），水土流失影响评价依据《生产建设项目水土流失防治标准》（GB 50434-2018）</w:t>
      </w:r>
      <w:r>
        <w:rPr>
          <w:rFonts w:hint="eastAsia" w:cs="Times New Roman"/>
        </w:rPr>
        <w:t>，</w:t>
      </w:r>
      <w:r>
        <w:rPr>
          <w:rFonts w:cs="Times New Roman"/>
        </w:rPr>
        <w:t>确保生态系统的完整性，生态功能不降低。</w:t>
      </w:r>
    </w:p>
    <w:p>
      <w:pPr>
        <w:pStyle w:val="6"/>
        <w:rPr>
          <w:rFonts w:cs="Times New Roman"/>
        </w:rPr>
      </w:pPr>
      <w:r>
        <w:rPr>
          <w:rFonts w:cs="Times New Roman"/>
        </w:rPr>
        <w:t xml:space="preserve"> 污染物排放标准</w:t>
      </w:r>
    </w:p>
    <w:p>
      <w:pPr>
        <w:ind w:firstLine="482"/>
        <w:rPr>
          <w:rFonts w:cs="Times New Roman"/>
          <w:b/>
        </w:rPr>
      </w:pPr>
      <w:r>
        <w:rPr>
          <w:rFonts w:cs="Times New Roman"/>
          <w:b/>
        </w:rPr>
        <w:t>1、废气</w:t>
      </w:r>
    </w:p>
    <w:p>
      <w:pPr>
        <w:ind w:firstLine="464"/>
        <w:rPr>
          <w:rFonts w:cs="Times New Roman"/>
        </w:rPr>
      </w:pPr>
      <w:r>
        <w:rPr>
          <w:rFonts w:cs="Times New Roman"/>
          <w:spacing w:val="-4"/>
        </w:rPr>
        <w:t>本项目施工期废气（扬尘除外）执行《大气污染物综合排放标准》(GB 16297-1996)中的相关标准，TSP执行《四川省施工场地扬尘排放标准》（DB51/2682-2020）中</w:t>
      </w:r>
      <w:r>
        <w:rPr>
          <w:rFonts w:hint="eastAsia" w:cs="Times New Roman"/>
          <w:spacing w:val="-4"/>
        </w:rPr>
        <w:t>巴中市</w:t>
      </w:r>
      <w:r>
        <w:rPr>
          <w:rFonts w:cs="Times New Roman"/>
          <w:spacing w:val="-4"/>
        </w:rPr>
        <w:t>的排放限值。</w:t>
      </w:r>
    </w:p>
    <w:p>
      <w:pPr>
        <w:pStyle w:val="73"/>
        <w:rPr>
          <w:rFonts w:cs="Times New Roman"/>
          <w:lang w:val="zh-C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5</w:t>
      </w:r>
      <w:r>
        <w:rPr>
          <w:rFonts w:cs="Times New Roman"/>
        </w:rPr>
        <w:fldChar w:fldCharType="end"/>
      </w:r>
      <w:r>
        <w:rPr>
          <w:rFonts w:cs="Times New Roman"/>
        </w:rPr>
        <w:t xml:space="preserve">  </w:t>
      </w:r>
      <w:r>
        <w:rPr>
          <w:rFonts w:cs="Times New Roman"/>
          <w:lang w:val="zh-CN"/>
        </w:rPr>
        <w:t>大气污染物排放标准</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66"/>
        <w:gridCol w:w="894"/>
        <w:gridCol w:w="1418"/>
        <w:gridCol w:w="1133"/>
        <w:gridCol w:w="1703"/>
        <w:gridCol w:w="24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blHeader/>
          <w:jc w:val="center"/>
        </w:trPr>
        <w:tc>
          <w:tcPr>
            <w:tcW w:w="514" w:type="pct"/>
            <w:vMerge w:val="restart"/>
            <w:vAlign w:val="center"/>
          </w:tcPr>
          <w:p>
            <w:pPr>
              <w:pStyle w:val="63"/>
              <w:rPr>
                <w:rFonts w:cs="Times New Roman"/>
                <w:b/>
              </w:rPr>
            </w:pPr>
            <w:r>
              <w:rPr>
                <w:rFonts w:cs="Times New Roman"/>
                <w:b/>
              </w:rPr>
              <w:t>时段</w:t>
            </w:r>
          </w:p>
        </w:tc>
        <w:tc>
          <w:tcPr>
            <w:tcW w:w="531" w:type="pct"/>
            <w:vMerge w:val="restart"/>
            <w:vAlign w:val="center"/>
          </w:tcPr>
          <w:p>
            <w:pPr>
              <w:pStyle w:val="63"/>
              <w:rPr>
                <w:rFonts w:cs="Times New Roman"/>
                <w:b/>
              </w:rPr>
            </w:pPr>
            <w:r>
              <w:rPr>
                <w:rFonts w:cs="Times New Roman"/>
                <w:b/>
              </w:rPr>
              <w:t>污染物</w:t>
            </w:r>
          </w:p>
        </w:tc>
        <w:tc>
          <w:tcPr>
            <w:tcW w:w="842" w:type="pct"/>
            <w:vMerge w:val="restart"/>
            <w:vAlign w:val="center"/>
          </w:tcPr>
          <w:p>
            <w:pPr>
              <w:pStyle w:val="63"/>
              <w:rPr>
                <w:rFonts w:cs="Times New Roman"/>
                <w:b/>
              </w:rPr>
            </w:pPr>
            <w:r>
              <w:rPr>
                <w:rFonts w:cs="Times New Roman"/>
                <w:b/>
              </w:rPr>
              <w:t>最高允许浓度（mg/m</w:t>
            </w:r>
            <w:r>
              <w:rPr>
                <w:rFonts w:cs="Times New Roman"/>
                <w:b/>
                <w:vertAlign w:val="superscript"/>
              </w:rPr>
              <w:t>3</w:t>
            </w:r>
            <w:r>
              <w:rPr>
                <w:rFonts w:cs="Times New Roman"/>
                <w:b/>
              </w:rPr>
              <w:t>）</w:t>
            </w:r>
          </w:p>
        </w:tc>
        <w:tc>
          <w:tcPr>
            <w:tcW w:w="1684" w:type="pct"/>
            <w:gridSpan w:val="2"/>
            <w:vAlign w:val="center"/>
          </w:tcPr>
          <w:p>
            <w:pPr>
              <w:pStyle w:val="63"/>
              <w:rPr>
                <w:rFonts w:cs="Times New Roman"/>
                <w:b/>
              </w:rPr>
            </w:pPr>
            <w:r>
              <w:rPr>
                <w:rFonts w:cs="Times New Roman"/>
                <w:b/>
              </w:rPr>
              <w:t>无组织排放监控浓度限值</w:t>
            </w:r>
          </w:p>
        </w:tc>
        <w:tc>
          <w:tcPr>
            <w:tcW w:w="1429" w:type="pct"/>
            <w:vMerge w:val="restart"/>
            <w:vAlign w:val="center"/>
          </w:tcPr>
          <w:p>
            <w:pPr>
              <w:pStyle w:val="63"/>
              <w:rPr>
                <w:rFonts w:cs="Times New Roman"/>
                <w:b/>
              </w:rPr>
            </w:pPr>
            <w:r>
              <w:rPr>
                <w:rFonts w:cs="Times New Roman"/>
                <w:b/>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blHeader/>
          <w:jc w:val="center"/>
        </w:trPr>
        <w:tc>
          <w:tcPr>
            <w:tcW w:w="514" w:type="pct"/>
            <w:vMerge w:val="continue"/>
            <w:vAlign w:val="center"/>
          </w:tcPr>
          <w:p>
            <w:pPr>
              <w:pStyle w:val="63"/>
              <w:rPr>
                <w:rFonts w:cs="Times New Roman"/>
                <w:b/>
              </w:rPr>
            </w:pPr>
          </w:p>
        </w:tc>
        <w:tc>
          <w:tcPr>
            <w:tcW w:w="531" w:type="pct"/>
            <w:vMerge w:val="continue"/>
            <w:vAlign w:val="center"/>
          </w:tcPr>
          <w:p>
            <w:pPr>
              <w:pStyle w:val="63"/>
              <w:rPr>
                <w:rFonts w:cs="Times New Roman"/>
                <w:b/>
              </w:rPr>
            </w:pPr>
          </w:p>
        </w:tc>
        <w:tc>
          <w:tcPr>
            <w:tcW w:w="842" w:type="pct"/>
            <w:vMerge w:val="continue"/>
            <w:vAlign w:val="center"/>
          </w:tcPr>
          <w:p>
            <w:pPr>
              <w:pStyle w:val="63"/>
              <w:rPr>
                <w:rFonts w:cs="Times New Roman"/>
                <w:b/>
              </w:rPr>
            </w:pPr>
          </w:p>
        </w:tc>
        <w:tc>
          <w:tcPr>
            <w:tcW w:w="673" w:type="pct"/>
            <w:vAlign w:val="center"/>
          </w:tcPr>
          <w:p>
            <w:pPr>
              <w:pStyle w:val="63"/>
              <w:rPr>
                <w:rFonts w:cs="Times New Roman"/>
                <w:b/>
              </w:rPr>
            </w:pPr>
            <w:r>
              <w:rPr>
                <w:rFonts w:cs="Times New Roman"/>
                <w:b/>
              </w:rPr>
              <w:t>监控点</w:t>
            </w:r>
          </w:p>
        </w:tc>
        <w:tc>
          <w:tcPr>
            <w:tcW w:w="1011" w:type="pct"/>
            <w:vAlign w:val="center"/>
          </w:tcPr>
          <w:p>
            <w:pPr>
              <w:pStyle w:val="63"/>
              <w:rPr>
                <w:rFonts w:cs="Times New Roman"/>
                <w:b/>
              </w:rPr>
            </w:pPr>
            <w:r>
              <w:rPr>
                <w:rFonts w:cs="Times New Roman"/>
                <w:b/>
              </w:rPr>
              <w:t>浓度（mg/m</w:t>
            </w:r>
            <w:r>
              <w:rPr>
                <w:rFonts w:cs="Times New Roman"/>
                <w:b/>
                <w:vertAlign w:val="superscript"/>
              </w:rPr>
              <w:t>3</w:t>
            </w:r>
            <w:r>
              <w:rPr>
                <w:rFonts w:cs="Times New Roman"/>
                <w:b/>
              </w:rPr>
              <w:t>）</w:t>
            </w:r>
          </w:p>
        </w:tc>
        <w:tc>
          <w:tcPr>
            <w:tcW w:w="1429" w:type="pct"/>
            <w:vMerge w:val="continue"/>
            <w:vAlign w:val="center"/>
          </w:tcPr>
          <w:p>
            <w:pPr>
              <w:pStyle w:val="63"/>
              <w:rPr>
                <w:rFonts w:cs="Times New Roman"/>
                <w:b/>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514" w:type="pct"/>
            <w:vMerge w:val="restart"/>
            <w:vAlign w:val="center"/>
          </w:tcPr>
          <w:p>
            <w:pPr>
              <w:pStyle w:val="63"/>
              <w:rPr>
                <w:rFonts w:cs="Times New Roman"/>
              </w:rPr>
            </w:pPr>
            <w:r>
              <w:rPr>
                <w:rFonts w:cs="Times New Roman"/>
              </w:rPr>
              <w:t>施工期</w:t>
            </w:r>
          </w:p>
        </w:tc>
        <w:tc>
          <w:tcPr>
            <w:tcW w:w="531" w:type="pct"/>
            <w:vAlign w:val="center"/>
          </w:tcPr>
          <w:p>
            <w:pPr>
              <w:pStyle w:val="63"/>
              <w:rPr>
                <w:rFonts w:cs="Times New Roman"/>
              </w:rPr>
            </w:pPr>
            <w:r>
              <w:rPr>
                <w:rFonts w:cs="Times New Roman"/>
              </w:rPr>
              <w:t>NO</w:t>
            </w:r>
            <w:r>
              <w:rPr>
                <w:rFonts w:cs="Times New Roman"/>
                <w:vertAlign w:val="subscript"/>
              </w:rPr>
              <w:t>X</w:t>
            </w:r>
          </w:p>
        </w:tc>
        <w:tc>
          <w:tcPr>
            <w:tcW w:w="842" w:type="pct"/>
            <w:vAlign w:val="center"/>
          </w:tcPr>
          <w:p>
            <w:pPr>
              <w:pStyle w:val="63"/>
              <w:rPr>
                <w:rFonts w:cs="Times New Roman"/>
              </w:rPr>
            </w:pPr>
            <w:r>
              <w:rPr>
                <w:rFonts w:cs="Times New Roman"/>
              </w:rPr>
              <w:t>240</w:t>
            </w:r>
          </w:p>
        </w:tc>
        <w:tc>
          <w:tcPr>
            <w:tcW w:w="673" w:type="pct"/>
            <w:vMerge w:val="restart"/>
            <w:vAlign w:val="center"/>
          </w:tcPr>
          <w:p>
            <w:pPr>
              <w:pStyle w:val="63"/>
              <w:rPr>
                <w:rFonts w:cs="Times New Roman"/>
              </w:rPr>
            </w:pPr>
            <w:r>
              <w:rPr>
                <w:rFonts w:cs="Times New Roman"/>
              </w:rPr>
              <w:t>界外浓度最高点</w:t>
            </w:r>
          </w:p>
        </w:tc>
        <w:tc>
          <w:tcPr>
            <w:tcW w:w="1011" w:type="pct"/>
            <w:vAlign w:val="center"/>
          </w:tcPr>
          <w:p>
            <w:pPr>
              <w:pStyle w:val="63"/>
              <w:rPr>
                <w:rFonts w:cs="Times New Roman"/>
              </w:rPr>
            </w:pPr>
            <w:r>
              <w:rPr>
                <w:rFonts w:cs="Times New Roman"/>
              </w:rPr>
              <w:t>0.12</w:t>
            </w:r>
          </w:p>
        </w:tc>
        <w:tc>
          <w:tcPr>
            <w:tcW w:w="1429" w:type="pct"/>
            <w:vMerge w:val="restart"/>
            <w:vAlign w:val="center"/>
          </w:tcPr>
          <w:p>
            <w:pPr>
              <w:pStyle w:val="63"/>
              <w:rPr>
                <w:rFonts w:cs="Times New Roman"/>
              </w:rPr>
            </w:pPr>
            <w:r>
              <w:rPr>
                <w:rFonts w:cs="Times New Roman"/>
              </w:rPr>
              <w:t>《大气污染物综合排放标准》(GB 16297-1996)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514" w:type="pct"/>
            <w:vMerge w:val="continue"/>
            <w:vAlign w:val="center"/>
          </w:tcPr>
          <w:p>
            <w:pPr>
              <w:pStyle w:val="63"/>
              <w:rPr>
                <w:rFonts w:cs="Times New Roman"/>
              </w:rPr>
            </w:pPr>
          </w:p>
        </w:tc>
        <w:tc>
          <w:tcPr>
            <w:tcW w:w="531" w:type="pct"/>
            <w:vAlign w:val="center"/>
          </w:tcPr>
          <w:p>
            <w:pPr>
              <w:pStyle w:val="63"/>
              <w:rPr>
                <w:rFonts w:cs="Times New Roman"/>
              </w:rPr>
            </w:pPr>
            <w:r>
              <w:rPr>
                <w:rFonts w:cs="Times New Roman"/>
              </w:rPr>
              <w:t>SO</w:t>
            </w:r>
            <w:r>
              <w:rPr>
                <w:rFonts w:cs="Times New Roman"/>
                <w:vertAlign w:val="subscript"/>
              </w:rPr>
              <w:t>2</w:t>
            </w:r>
          </w:p>
        </w:tc>
        <w:tc>
          <w:tcPr>
            <w:tcW w:w="842" w:type="pct"/>
            <w:vAlign w:val="center"/>
          </w:tcPr>
          <w:p>
            <w:pPr>
              <w:pStyle w:val="63"/>
              <w:rPr>
                <w:rFonts w:cs="Times New Roman"/>
              </w:rPr>
            </w:pPr>
            <w:r>
              <w:rPr>
                <w:rFonts w:cs="Times New Roman"/>
              </w:rPr>
              <w:t>550</w:t>
            </w:r>
          </w:p>
        </w:tc>
        <w:tc>
          <w:tcPr>
            <w:tcW w:w="673" w:type="pct"/>
            <w:vMerge w:val="continue"/>
            <w:vAlign w:val="center"/>
          </w:tcPr>
          <w:p>
            <w:pPr>
              <w:pStyle w:val="63"/>
              <w:rPr>
                <w:rFonts w:cs="Times New Roman"/>
              </w:rPr>
            </w:pPr>
          </w:p>
        </w:tc>
        <w:tc>
          <w:tcPr>
            <w:tcW w:w="1011" w:type="pct"/>
            <w:vAlign w:val="center"/>
          </w:tcPr>
          <w:p>
            <w:pPr>
              <w:pStyle w:val="63"/>
              <w:rPr>
                <w:rFonts w:cs="Times New Roman"/>
              </w:rPr>
            </w:pPr>
            <w:r>
              <w:rPr>
                <w:rFonts w:cs="Times New Roman"/>
              </w:rPr>
              <w:t>0.4</w:t>
            </w:r>
          </w:p>
        </w:tc>
        <w:tc>
          <w:tcPr>
            <w:tcW w:w="1429" w:type="pct"/>
            <w:vMerge w:val="continue"/>
            <w:vAlign w:val="center"/>
          </w:tcPr>
          <w:p>
            <w:pPr>
              <w:pStyle w:val="63"/>
              <w:rPr>
                <w:rFonts w:cs="Times New Roman"/>
              </w:rPr>
            </w:pPr>
          </w:p>
        </w:tc>
      </w:tr>
    </w:tbl>
    <w:p>
      <w:pPr>
        <w:pStyle w:val="73"/>
        <w:spacing w:before="163" w:beforeLines="50"/>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6</w:t>
      </w:r>
      <w:r>
        <w:rPr>
          <w:rFonts w:cs="Times New Roman"/>
        </w:rPr>
        <w:fldChar w:fldCharType="end"/>
      </w:r>
      <w:r>
        <w:rPr>
          <w:rFonts w:cs="Times New Roman"/>
        </w:rPr>
        <w:t xml:space="preserve">  四川省施工场地扬尘排放标准      单位：µg/m</w:t>
      </w:r>
      <w:r>
        <w:rPr>
          <w:rFonts w:cs="Times New Roman"/>
          <w:vertAlign w:val="superscript"/>
        </w:rPr>
        <w:t>3</w:t>
      </w:r>
    </w:p>
    <w:tbl>
      <w:tblPr>
        <w:tblStyle w:val="2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76"/>
        <w:gridCol w:w="709"/>
        <w:gridCol w:w="3260"/>
        <w:gridCol w:w="1701"/>
        <w:gridCol w:w="1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76" w:type="dxa"/>
            <w:tcBorders>
              <w:top w:val="single" w:color="auto" w:sz="12" w:space="0"/>
              <w:left w:val="nil"/>
            </w:tcBorders>
            <w:vAlign w:val="center"/>
          </w:tcPr>
          <w:p>
            <w:pPr>
              <w:pStyle w:val="63"/>
              <w:rPr>
                <w:rFonts w:cs="Times New Roman"/>
                <w:b/>
                <w:bCs/>
              </w:rPr>
            </w:pPr>
            <w:r>
              <w:rPr>
                <w:rFonts w:cs="Times New Roman"/>
                <w:b/>
                <w:bCs/>
              </w:rPr>
              <w:t>监测项目</w:t>
            </w:r>
          </w:p>
        </w:tc>
        <w:tc>
          <w:tcPr>
            <w:tcW w:w="709" w:type="dxa"/>
            <w:tcBorders>
              <w:top w:val="single" w:color="auto" w:sz="12" w:space="0"/>
            </w:tcBorders>
            <w:vAlign w:val="center"/>
          </w:tcPr>
          <w:p>
            <w:pPr>
              <w:pStyle w:val="63"/>
              <w:rPr>
                <w:rFonts w:cs="Times New Roman"/>
                <w:b/>
                <w:bCs/>
              </w:rPr>
            </w:pPr>
            <w:r>
              <w:rPr>
                <w:rFonts w:cs="Times New Roman"/>
                <w:b/>
                <w:bCs/>
              </w:rPr>
              <w:t>区域</w:t>
            </w:r>
          </w:p>
        </w:tc>
        <w:tc>
          <w:tcPr>
            <w:tcW w:w="3260" w:type="dxa"/>
            <w:tcBorders>
              <w:top w:val="single" w:color="auto" w:sz="12" w:space="0"/>
            </w:tcBorders>
            <w:vAlign w:val="center"/>
          </w:tcPr>
          <w:p>
            <w:pPr>
              <w:pStyle w:val="63"/>
              <w:rPr>
                <w:rFonts w:cs="Times New Roman"/>
                <w:b/>
                <w:bCs/>
              </w:rPr>
            </w:pPr>
            <w:r>
              <w:rPr>
                <w:rFonts w:cs="Times New Roman"/>
                <w:b/>
                <w:bCs/>
              </w:rPr>
              <w:t>施工阶段</w:t>
            </w:r>
          </w:p>
        </w:tc>
        <w:tc>
          <w:tcPr>
            <w:tcW w:w="1701" w:type="dxa"/>
            <w:tcBorders>
              <w:top w:val="single" w:color="auto" w:sz="12" w:space="0"/>
            </w:tcBorders>
            <w:vAlign w:val="center"/>
          </w:tcPr>
          <w:p>
            <w:pPr>
              <w:pStyle w:val="63"/>
              <w:rPr>
                <w:rFonts w:cs="Times New Roman"/>
                <w:b/>
                <w:bCs/>
              </w:rPr>
            </w:pPr>
            <w:r>
              <w:rPr>
                <w:rFonts w:cs="Times New Roman"/>
                <w:b/>
                <w:bCs/>
              </w:rPr>
              <w:t>监测点排放限值</w:t>
            </w:r>
          </w:p>
        </w:tc>
        <w:tc>
          <w:tcPr>
            <w:tcW w:w="1360" w:type="dxa"/>
            <w:tcBorders>
              <w:top w:val="single" w:color="auto" w:sz="12" w:space="0"/>
            </w:tcBorders>
            <w:vAlign w:val="center"/>
          </w:tcPr>
          <w:p>
            <w:pPr>
              <w:pStyle w:val="63"/>
              <w:rPr>
                <w:rFonts w:cs="Times New Roman"/>
                <w:b/>
                <w:bCs/>
              </w:rPr>
            </w:pPr>
            <w:r>
              <w:rPr>
                <w:rFonts w:cs="Times New Roman"/>
                <w:b/>
                <w:bCs/>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76" w:type="dxa"/>
            <w:vMerge w:val="restart"/>
            <w:tcBorders>
              <w:left w:val="nil"/>
            </w:tcBorders>
            <w:vAlign w:val="center"/>
          </w:tcPr>
          <w:p>
            <w:pPr>
              <w:pStyle w:val="63"/>
              <w:rPr>
                <w:rFonts w:cs="Times New Roman"/>
              </w:rPr>
            </w:pPr>
            <w:r>
              <w:rPr>
                <w:rFonts w:cs="Times New Roman"/>
              </w:rPr>
              <w:t>总悬浮颗粒物（TSP）</w:t>
            </w:r>
          </w:p>
        </w:tc>
        <w:tc>
          <w:tcPr>
            <w:tcW w:w="709" w:type="dxa"/>
            <w:vMerge w:val="restart"/>
            <w:vAlign w:val="center"/>
          </w:tcPr>
          <w:p>
            <w:pPr>
              <w:pStyle w:val="63"/>
              <w:rPr>
                <w:rFonts w:cs="Times New Roman"/>
              </w:rPr>
            </w:pPr>
            <w:r>
              <w:rPr>
                <w:rFonts w:cs="Times New Roman"/>
              </w:rPr>
              <w:t>巴中市</w:t>
            </w:r>
          </w:p>
        </w:tc>
        <w:tc>
          <w:tcPr>
            <w:tcW w:w="3260" w:type="dxa"/>
            <w:vAlign w:val="center"/>
          </w:tcPr>
          <w:p>
            <w:pPr>
              <w:pStyle w:val="63"/>
              <w:rPr>
                <w:rFonts w:cs="Times New Roman"/>
              </w:rPr>
            </w:pPr>
            <w:r>
              <w:rPr>
                <w:rFonts w:cs="Times New Roman"/>
              </w:rPr>
              <w:t>拆除工程/土方开挖/土方回填阶段</w:t>
            </w:r>
          </w:p>
        </w:tc>
        <w:tc>
          <w:tcPr>
            <w:tcW w:w="1701" w:type="dxa"/>
            <w:vAlign w:val="center"/>
          </w:tcPr>
          <w:p>
            <w:pPr>
              <w:pStyle w:val="63"/>
              <w:rPr>
                <w:rFonts w:cs="Times New Roman"/>
              </w:rPr>
            </w:pPr>
            <w:r>
              <w:rPr>
                <w:rFonts w:cs="Times New Roman"/>
              </w:rPr>
              <w:t>600</w:t>
            </w:r>
          </w:p>
        </w:tc>
        <w:tc>
          <w:tcPr>
            <w:tcW w:w="1360" w:type="dxa"/>
            <w:vMerge w:val="restart"/>
            <w:vAlign w:val="center"/>
          </w:tcPr>
          <w:p>
            <w:pPr>
              <w:pStyle w:val="63"/>
              <w:rPr>
                <w:rFonts w:cs="Times New Roman"/>
              </w:rPr>
            </w:pPr>
            <w:r>
              <w:rPr>
                <w:rFonts w:cs="Times New Roman"/>
              </w:rPr>
              <w:t>自监测起持续15分钟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76" w:type="dxa"/>
            <w:vMerge w:val="continue"/>
            <w:tcBorders>
              <w:left w:val="nil"/>
            </w:tcBorders>
            <w:vAlign w:val="center"/>
          </w:tcPr>
          <w:p>
            <w:pPr>
              <w:pStyle w:val="63"/>
              <w:rPr>
                <w:rFonts w:cs="Times New Roman"/>
              </w:rPr>
            </w:pPr>
          </w:p>
        </w:tc>
        <w:tc>
          <w:tcPr>
            <w:tcW w:w="709" w:type="dxa"/>
            <w:vMerge w:val="continue"/>
            <w:vAlign w:val="center"/>
          </w:tcPr>
          <w:p>
            <w:pPr>
              <w:pStyle w:val="63"/>
              <w:rPr>
                <w:rFonts w:cs="Times New Roman"/>
              </w:rPr>
            </w:pPr>
          </w:p>
        </w:tc>
        <w:tc>
          <w:tcPr>
            <w:tcW w:w="3260" w:type="dxa"/>
            <w:vAlign w:val="center"/>
          </w:tcPr>
          <w:p>
            <w:pPr>
              <w:pStyle w:val="63"/>
              <w:rPr>
                <w:rFonts w:cs="Times New Roman"/>
              </w:rPr>
            </w:pPr>
            <w:r>
              <w:rPr>
                <w:rFonts w:cs="Times New Roman"/>
              </w:rPr>
              <w:t>其他工程阶段</w:t>
            </w:r>
          </w:p>
        </w:tc>
        <w:tc>
          <w:tcPr>
            <w:tcW w:w="1701" w:type="dxa"/>
            <w:vAlign w:val="center"/>
          </w:tcPr>
          <w:p>
            <w:pPr>
              <w:pStyle w:val="63"/>
              <w:rPr>
                <w:rFonts w:cs="Times New Roman"/>
              </w:rPr>
            </w:pPr>
            <w:r>
              <w:rPr>
                <w:rFonts w:cs="Times New Roman"/>
              </w:rPr>
              <w:t>250</w:t>
            </w:r>
          </w:p>
        </w:tc>
        <w:tc>
          <w:tcPr>
            <w:tcW w:w="1360" w:type="dxa"/>
            <w:vMerge w:val="continue"/>
            <w:vAlign w:val="center"/>
          </w:tcPr>
          <w:p>
            <w:pPr>
              <w:pStyle w:val="63"/>
              <w:rPr>
                <w:rFonts w:cs="Times New Roman"/>
              </w:rPr>
            </w:pPr>
          </w:p>
        </w:tc>
      </w:tr>
    </w:tbl>
    <w:p>
      <w:pPr>
        <w:spacing w:before="163" w:beforeLines="50"/>
        <w:ind w:firstLine="482"/>
        <w:rPr>
          <w:rFonts w:cs="Times New Roman"/>
          <w:b/>
        </w:rPr>
      </w:pPr>
      <w:r>
        <w:rPr>
          <w:rFonts w:cs="Times New Roman"/>
          <w:b/>
        </w:rPr>
        <w:t>2、废水</w:t>
      </w:r>
    </w:p>
    <w:p>
      <w:pPr>
        <w:ind w:firstLine="480"/>
        <w:rPr>
          <w:rFonts w:cs="Times New Roman"/>
        </w:rPr>
      </w:pPr>
      <w:r>
        <w:rPr>
          <w:rFonts w:cs="Times New Roman"/>
        </w:rPr>
        <w:t>本项目生活污水</w:t>
      </w:r>
      <w:r>
        <w:rPr>
          <w:rFonts w:hint="eastAsia" w:cs="Times New Roman"/>
        </w:rPr>
        <w:t>依托当地居民设施农用处理，</w:t>
      </w:r>
      <w:r>
        <w:rPr>
          <w:rFonts w:cs="Times New Roman"/>
        </w:rPr>
        <w:t>试压废水经</w:t>
      </w:r>
      <w:r>
        <w:rPr>
          <w:rFonts w:hint="eastAsia" w:cs="Times New Roman"/>
        </w:rPr>
        <w:t>沉淀池沉淀后回用施工场地洒水降尘</w:t>
      </w:r>
      <w:r>
        <w:rPr>
          <w:rFonts w:cs="Times New Roman"/>
        </w:rPr>
        <w:t>。</w:t>
      </w:r>
    </w:p>
    <w:p>
      <w:pPr>
        <w:ind w:firstLine="482"/>
        <w:rPr>
          <w:rFonts w:cs="Times New Roman"/>
          <w:b/>
        </w:rPr>
      </w:pPr>
      <w:r>
        <w:rPr>
          <w:rFonts w:cs="Times New Roman"/>
          <w:b/>
        </w:rPr>
        <w:t>3、噪声</w:t>
      </w:r>
    </w:p>
    <w:p>
      <w:pPr>
        <w:ind w:firstLine="480"/>
      </w:pPr>
      <w:r>
        <w:rPr>
          <w:rFonts w:cs="Times New Roman"/>
          <w:snapToGrid w:val="0"/>
        </w:rPr>
        <w:t>本项目施工期噪声执行《建筑施工场界环境噪声排放标准》（GB12523-2011）</w:t>
      </w:r>
      <w:r>
        <w:rPr>
          <w:rFonts w:cs="Times New Roman"/>
        </w:rPr>
        <w:t>，运营期</w:t>
      </w:r>
      <w:r>
        <w:rPr>
          <w:rFonts w:hint="eastAsia" w:cs="Times New Roman"/>
        </w:rPr>
        <w:t>埋地天然气管线几乎不产生噪声</w:t>
      </w:r>
      <w:r>
        <w:rPr>
          <w:rFonts w:cs="Times New Roman"/>
          <w:kern w:val="0"/>
          <w:szCs w:val="24"/>
        </w:rPr>
        <w:t>。</w:t>
      </w:r>
    </w:p>
    <w:p>
      <w:pPr>
        <w:pStyle w:val="73"/>
        <w:rPr>
          <w:rFonts w:cs="Times New Roman"/>
          <w:bCs/>
          <w:szCs w:val="21"/>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7</w:t>
      </w:r>
      <w:r>
        <w:rPr>
          <w:rFonts w:cs="Times New Roman"/>
        </w:rPr>
        <w:fldChar w:fldCharType="end"/>
      </w:r>
      <w:r>
        <w:rPr>
          <w:rFonts w:cs="Times New Roman"/>
        </w:rPr>
        <w:t xml:space="preserve">  噪声污染物排放标准</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3782"/>
        <w:gridCol w:w="1311"/>
        <w:gridCol w:w="1348"/>
        <w:gridCol w:w="12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3" w:type="pct"/>
            <w:vMerge w:val="restart"/>
            <w:tcBorders>
              <w:top w:val="single" w:color="auto" w:sz="12" w:space="0"/>
              <w:left w:val="nil"/>
            </w:tcBorders>
            <w:vAlign w:val="center"/>
          </w:tcPr>
          <w:p>
            <w:pPr>
              <w:pStyle w:val="63"/>
              <w:rPr>
                <w:rFonts w:cs="Times New Roman"/>
                <w:b/>
              </w:rPr>
            </w:pPr>
            <w:r>
              <w:rPr>
                <w:rFonts w:cs="Times New Roman"/>
                <w:b/>
              </w:rPr>
              <w:t>时段</w:t>
            </w:r>
          </w:p>
        </w:tc>
        <w:tc>
          <w:tcPr>
            <w:tcW w:w="2219" w:type="pct"/>
            <w:vMerge w:val="restart"/>
            <w:tcBorders>
              <w:top w:val="single" w:color="auto" w:sz="12" w:space="0"/>
            </w:tcBorders>
            <w:vAlign w:val="center"/>
          </w:tcPr>
          <w:p>
            <w:pPr>
              <w:pStyle w:val="63"/>
              <w:rPr>
                <w:rFonts w:cs="Times New Roman"/>
                <w:b/>
              </w:rPr>
            </w:pPr>
            <w:r>
              <w:rPr>
                <w:rFonts w:cs="Times New Roman"/>
                <w:b/>
              </w:rPr>
              <w:t>标准名称及级（类）别</w:t>
            </w:r>
          </w:p>
        </w:tc>
        <w:tc>
          <w:tcPr>
            <w:tcW w:w="2268" w:type="pct"/>
            <w:gridSpan w:val="3"/>
            <w:tcBorders>
              <w:top w:val="single" w:color="auto" w:sz="12" w:space="0"/>
            </w:tcBorders>
            <w:vAlign w:val="center"/>
          </w:tcPr>
          <w:p>
            <w:pPr>
              <w:pStyle w:val="63"/>
              <w:rPr>
                <w:rFonts w:cs="Times New Roman"/>
                <w:b/>
              </w:rPr>
            </w:pPr>
            <w:r>
              <w:rPr>
                <w:rFonts w:cs="Times New Roman"/>
                <w:b/>
              </w:rPr>
              <w:t>标准值（单位：dB（A））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513" w:type="pct"/>
            <w:vMerge w:val="continue"/>
            <w:tcBorders>
              <w:left w:val="nil"/>
            </w:tcBorders>
            <w:vAlign w:val="center"/>
          </w:tcPr>
          <w:p>
            <w:pPr>
              <w:pStyle w:val="63"/>
              <w:rPr>
                <w:rFonts w:cs="Times New Roman"/>
                <w:b/>
              </w:rPr>
            </w:pPr>
          </w:p>
        </w:tc>
        <w:tc>
          <w:tcPr>
            <w:tcW w:w="2219" w:type="pct"/>
            <w:vMerge w:val="continue"/>
            <w:vAlign w:val="center"/>
          </w:tcPr>
          <w:p>
            <w:pPr>
              <w:pStyle w:val="63"/>
              <w:rPr>
                <w:rFonts w:cs="Times New Roman"/>
                <w:b/>
              </w:rPr>
            </w:pPr>
          </w:p>
        </w:tc>
        <w:tc>
          <w:tcPr>
            <w:tcW w:w="1560" w:type="pct"/>
            <w:gridSpan w:val="2"/>
            <w:vAlign w:val="center"/>
          </w:tcPr>
          <w:p>
            <w:pPr>
              <w:pStyle w:val="63"/>
              <w:rPr>
                <w:rFonts w:cs="Times New Roman"/>
                <w:b/>
              </w:rPr>
            </w:pPr>
            <w:r>
              <w:rPr>
                <w:rFonts w:cs="Times New Roman"/>
                <w:b/>
              </w:rPr>
              <w:t>单位</w:t>
            </w:r>
          </w:p>
        </w:tc>
        <w:tc>
          <w:tcPr>
            <w:tcW w:w="708" w:type="pct"/>
            <w:vAlign w:val="center"/>
          </w:tcPr>
          <w:p>
            <w:pPr>
              <w:pStyle w:val="63"/>
              <w:rPr>
                <w:rFonts w:cs="Times New Roman"/>
                <w:b/>
              </w:rPr>
            </w:pPr>
            <w:r>
              <w:rPr>
                <w:rFonts w:cs="Times New Roman"/>
                <w:b/>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3" w:type="pct"/>
            <w:vMerge w:val="restart"/>
            <w:tcBorders>
              <w:left w:val="nil"/>
            </w:tcBorders>
            <w:vAlign w:val="center"/>
          </w:tcPr>
          <w:p>
            <w:pPr>
              <w:pStyle w:val="63"/>
              <w:rPr>
                <w:rFonts w:cs="Times New Roman"/>
                <w:snapToGrid w:val="0"/>
              </w:rPr>
            </w:pPr>
            <w:r>
              <w:rPr>
                <w:rFonts w:cs="Times New Roman"/>
                <w:snapToGrid w:val="0"/>
              </w:rPr>
              <w:t>施工期</w:t>
            </w:r>
          </w:p>
        </w:tc>
        <w:tc>
          <w:tcPr>
            <w:tcW w:w="2219" w:type="pct"/>
            <w:vMerge w:val="restart"/>
            <w:vAlign w:val="center"/>
          </w:tcPr>
          <w:p>
            <w:pPr>
              <w:pStyle w:val="63"/>
              <w:rPr>
                <w:rFonts w:cs="Times New Roman"/>
              </w:rPr>
            </w:pPr>
            <w:r>
              <w:rPr>
                <w:rFonts w:cs="Times New Roman"/>
                <w:snapToGrid w:val="0"/>
              </w:rPr>
              <w:t>《建筑施工场界环境噪声排放标准》（GB 12523-2011）</w:t>
            </w:r>
          </w:p>
        </w:tc>
        <w:tc>
          <w:tcPr>
            <w:tcW w:w="769" w:type="pct"/>
            <w:vMerge w:val="restart"/>
            <w:vAlign w:val="center"/>
          </w:tcPr>
          <w:p>
            <w:pPr>
              <w:pStyle w:val="63"/>
              <w:rPr>
                <w:rFonts w:cs="Times New Roman"/>
              </w:rPr>
            </w:pPr>
            <w:r>
              <w:rPr>
                <w:rFonts w:hint="eastAsia" w:cs="Times New Roman"/>
              </w:rPr>
              <w:t>施工红线</w:t>
            </w:r>
            <w:r>
              <w:rPr>
                <w:rFonts w:cs="Times New Roman"/>
              </w:rPr>
              <w:t>边界外</w:t>
            </w:r>
          </w:p>
        </w:tc>
        <w:tc>
          <w:tcPr>
            <w:tcW w:w="791" w:type="pct"/>
            <w:vAlign w:val="center"/>
          </w:tcPr>
          <w:p>
            <w:pPr>
              <w:pStyle w:val="63"/>
              <w:rPr>
                <w:rFonts w:cs="Times New Roman"/>
              </w:rPr>
            </w:pPr>
            <w:r>
              <w:rPr>
                <w:rFonts w:cs="Times New Roman"/>
              </w:rPr>
              <w:t>昼间</w:t>
            </w:r>
          </w:p>
        </w:tc>
        <w:tc>
          <w:tcPr>
            <w:tcW w:w="708" w:type="pct"/>
            <w:vAlign w:val="center"/>
          </w:tcPr>
          <w:p>
            <w:pPr>
              <w:pStyle w:val="63"/>
              <w:rPr>
                <w:rFonts w:cs="Times New Roman"/>
              </w:rPr>
            </w:pPr>
            <w:r>
              <w:rPr>
                <w:rFonts w:cs="Times New Roma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3" w:type="pct"/>
            <w:vMerge w:val="continue"/>
            <w:tcBorders>
              <w:left w:val="nil"/>
            </w:tcBorders>
            <w:vAlign w:val="center"/>
          </w:tcPr>
          <w:p>
            <w:pPr>
              <w:pStyle w:val="63"/>
              <w:rPr>
                <w:rFonts w:cs="Times New Roman"/>
              </w:rPr>
            </w:pPr>
          </w:p>
        </w:tc>
        <w:tc>
          <w:tcPr>
            <w:tcW w:w="2219" w:type="pct"/>
            <w:vMerge w:val="continue"/>
            <w:vAlign w:val="center"/>
          </w:tcPr>
          <w:p>
            <w:pPr>
              <w:pStyle w:val="63"/>
              <w:rPr>
                <w:rFonts w:cs="Times New Roman"/>
              </w:rPr>
            </w:pPr>
          </w:p>
        </w:tc>
        <w:tc>
          <w:tcPr>
            <w:tcW w:w="769" w:type="pct"/>
            <w:vMerge w:val="continue"/>
            <w:vAlign w:val="center"/>
          </w:tcPr>
          <w:p>
            <w:pPr>
              <w:pStyle w:val="63"/>
              <w:rPr>
                <w:rFonts w:cs="Times New Roman"/>
              </w:rPr>
            </w:pPr>
          </w:p>
        </w:tc>
        <w:tc>
          <w:tcPr>
            <w:tcW w:w="791" w:type="pct"/>
            <w:vAlign w:val="center"/>
          </w:tcPr>
          <w:p>
            <w:pPr>
              <w:pStyle w:val="63"/>
              <w:rPr>
                <w:rFonts w:cs="Times New Roman"/>
              </w:rPr>
            </w:pPr>
            <w:r>
              <w:rPr>
                <w:rFonts w:cs="Times New Roman"/>
              </w:rPr>
              <w:t>夜间</w:t>
            </w:r>
          </w:p>
        </w:tc>
        <w:tc>
          <w:tcPr>
            <w:tcW w:w="708" w:type="pct"/>
            <w:vAlign w:val="center"/>
          </w:tcPr>
          <w:p>
            <w:pPr>
              <w:pStyle w:val="63"/>
              <w:rPr>
                <w:rFonts w:cs="Times New Roman"/>
              </w:rPr>
            </w:pPr>
            <w:r>
              <w:rPr>
                <w:rFonts w:cs="Times New Roman"/>
              </w:rPr>
              <w:t>55</w:t>
            </w:r>
          </w:p>
        </w:tc>
      </w:tr>
    </w:tbl>
    <w:p>
      <w:pPr>
        <w:spacing w:before="163" w:beforeLines="50"/>
        <w:ind w:firstLine="482"/>
        <w:rPr>
          <w:rFonts w:cs="Times New Roman"/>
          <w:b/>
        </w:rPr>
      </w:pPr>
      <w:r>
        <w:rPr>
          <w:rFonts w:cs="Times New Roman"/>
          <w:b/>
        </w:rPr>
        <w:t>4、固体废物</w:t>
      </w:r>
    </w:p>
    <w:p>
      <w:pPr>
        <w:pStyle w:val="214"/>
        <w:ind w:firstLine="480"/>
      </w:pPr>
      <w:r>
        <w:t>本项目产生的固体废物按照《中华人民共和国固体废物污染环境防治法》《一般工业固体废物贮存和填埋污染控制标准》（GB 18599-2020）、《危险废物贮存污染控制标准》（GB 18597-2001）等的有关要求，妥善处理，不得形成二次污染。</w:t>
      </w:r>
    </w:p>
    <w:p>
      <w:pPr>
        <w:pStyle w:val="4"/>
      </w:pPr>
      <w:r>
        <w:rPr>
          <w:rFonts w:hint="eastAsia"/>
        </w:rPr>
        <w:t xml:space="preserve"> </w:t>
      </w:r>
      <w:bookmarkStart w:id="33" w:name="_Toc96680607"/>
      <w:r>
        <w:rPr>
          <w:rFonts w:hint="eastAsia"/>
        </w:rPr>
        <w:t>产业政策及其他相关政策符合性分析</w:t>
      </w:r>
      <w:bookmarkEnd w:id="33"/>
    </w:p>
    <w:p>
      <w:pPr>
        <w:pStyle w:val="5"/>
        <w:rPr>
          <w:rFonts w:cs="Times New Roman"/>
        </w:rPr>
      </w:pPr>
      <w:r>
        <w:rPr>
          <w:rFonts w:cs="Times New Roman"/>
        </w:rPr>
        <w:t xml:space="preserve"> </w:t>
      </w:r>
      <w:bookmarkStart w:id="34" w:name="_Toc96680608"/>
      <w:r>
        <w:rPr>
          <w:rFonts w:cs="Times New Roman"/>
        </w:rPr>
        <w:t>产业政策符合性分析</w:t>
      </w:r>
      <w:bookmarkEnd w:id="34"/>
    </w:p>
    <w:p>
      <w:pPr>
        <w:pStyle w:val="214"/>
        <w:ind w:firstLine="480"/>
      </w:pPr>
      <w:r>
        <w:t>本项目为天然气管线项目，根据《产业结构调整指导目录（2019年本）》，本项目属于第一类“鼓励类”第七条“石油、天然气，第三款“原油、天然气、液化天然气、成品油的储运和管道输送设施、网络和液化天然气加注设施建设”，属于鼓励类行业，本项目符合产业政策。</w:t>
      </w:r>
    </w:p>
    <w:p>
      <w:pPr>
        <w:pStyle w:val="5"/>
        <w:rPr>
          <w:rFonts w:cs="Times New Roman"/>
        </w:rPr>
      </w:pPr>
      <w:bookmarkStart w:id="35" w:name="_Toc89009591"/>
      <w:r>
        <w:rPr>
          <w:rFonts w:hint="eastAsia" w:cs="Times New Roman"/>
        </w:rPr>
        <w:t xml:space="preserve"> </w:t>
      </w:r>
      <w:bookmarkStart w:id="36" w:name="_Toc96680609"/>
      <w:r>
        <w:rPr>
          <w:rFonts w:cs="Times New Roman"/>
        </w:rPr>
        <w:t>规划及相关政策符合性分析</w:t>
      </w:r>
      <w:bookmarkEnd w:id="35"/>
      <w:bookmarkEnd w:id="36"/>
    </w:p>
    <w:p>
      <w:pPr>
        <w:pStyle w:val="6"/>
      </w:pPr>
      <w:r>
        <w:rPr>
          <w:rFonts w:hint="eastAsia"/>
        </w:rPr>
        <w:t xml:space="preserve"> 城镇总体规划的相容性分析</w:t>
      </w:r>
    </w:p>
    <w:p>
      <w:pPr>
        <w:pStyle w:val="214"/>
        <w:ind w:firstLine="480"/>
      </w:pPr>
      <w:r>
        <w:rPr>
          <w:rFonts w:hint="eastAsia"/>
        </w:rPr>
        <w:t>根据通江自然资源和规划局出具的《关于&lt;关于请求审核“河巴线涪阳镇活水沟村山体滑坡引发管道断裂应急抢险工程”管道改建路由的报告&gt;的复函》（通自然资规函</w:t>
      </w:r>
      <w:r>
        <w:rPr>
          <w:rFonts w:hint="eastAsia" w:ascii="宋体" w:hAnsi="宋体"/>
        </w:rPr>
        <w:t>〔</w:t>
      </w:r>
      <w:r>
        <w:rPr>
          <w:rFonts w:hint="eastAsia"/>
        </w:rPr>
        <w:t>2021</w:t>
      </w:r>
      <w:r>
        <w:rPr>
          <w:rFonts w:hint="eastAsia" w:ascii="宋体" w:hAnsi="宋体"/>
        </w:rPr>
        <w:t>〕</w:t>
      </w:r>
      <w:r>
        <w:rPr>
          <w:rFonts w:hint="eastAsia"/>
        </w:rPr>
        <w:t>383号）（见附件3），项目不影响城乡规划实施。因此本项目建设</w:t>
      </w:r>
      <w:r>
        <w:rPr>
          <w:rFonts w:hint="eastAsia"/>
          <w:b/>
          <w:u w:val="single"/>
        </w:rPr>
        <w:t>符合当地规划要求</w:t>
      </w:r>
      <w:r>
        <w:rPr>
          <w:rFonts w:hint="eastAsia"/>
        </w:rPr>
        <w:t>。</w:t>
      </w:r>
    </w:p>
    <w:p>
      <w:pPr>
        <w:pStyle w:val="6"/>
        <w:jc w:val="both"/>
        <w:rPr>
          <w:rFonts w:cs="Times New Roman"/>
        </w:rPr>
      </w:pPr>
      <w:r>
        <w:rPr>
          <w:rFonts w:hint="eastAsia" w:cs="Times New Roman"/>
        </w:rPr>
        <w:t xml:space="preserve"> </w:t>
      </w:r>
      <w:r>
        <w:rPr>
          <w:rFonts w:cs="Times New Roman"/>
        </w:rPr>
        <w:t>规划符合性分析</w:t>
      </w:r>
    </w:p>
    <w:p>
      <w:pPr>
        <w:pStyle w:val="53"/>
        <w:ind w:firstLine="482"/>
        <w:outlineLvl w:val="5"/>
        <w:rPr>
          <w:rFonts w:cs="Times New Roman"/>
        </w:rPr>
      </w:pPr>
      <w:r>
        <w:rPr>
          <w:rFonts w:cs="Times New Roman"/>
        </w:rPr>
        <w:t>（1）与能源发展规划符合性分析</w:t>
      </w:r>
    </w:p>
    <w:p>
      <w:pPr>
        <w:pStyle w:val="53"/>
        <w:ind w:firstLine="482"/>
        <w:outlineLvl w:val="6"/>
        <w:rPr>
          <w:rFonts w:cs="Times New Roman"/>
        </w:rPr>
      </w:pPr>
      <w:r>
        <w:rPr>
          <w:rFonts w:hint="eastAsia" w:ascii="宋体" w:hAnsi="宋体"/>
        </w:rPr>
        <w:t>①</w:t>
      </w:r>
      <w:r>
        <w:rPr>
          <w:rFonts w:cs="Times New Roman"/>
        </w:rPr>
        <w:t>与《能源发展战略行动计划（2014-2020年）》符合性分析</w:t>
      </w:r>
    </w:p>
    <w:p>
      <w:pPr>
        <w:ind w:firstLine="480"/>
      </w:pPr>
      <w:r>
        <w:t>根据</w:t>
      </w:r>
      <w:r>
        <w:rPr>
          <w:rFonts w:hint="eastAsia"/>
        </w:rPr>
        <w:t>国务院办公厅</w:t>
      </w:r>
      <w:r>
        <w:t>201</w:t>
      </w:r>
      <w:r>
        <w:rPr>
          <w:rFonts w:hint="eastAsia"/>
        </w:rPr>
        <w:t>4</w:t>
      </w:r>
      <w:r>
        <w:t>年印发的《</w:t>
      </w:r>
      <w:r>
        <w:rPr>
          <w:rFonts w:hint="eastAsia"/>
        </w:rPr>
        <w:t>国务院办公厅关于印发能源发展战略行动计划（2014-2020年）的通知</w:t>
      </w:r>
      <w:r>
        <w:t>》（国办发〔2014〕31号）：</w:t>
      </w:r>
      <w:r>
        <w:rPr>
          <w:rFonts w:hint="eastAsia"/>
        </w:rPr>
        <w:t>“</w:t>
      </w:r>
      <w:r>
        <w:t>加快天然气管网和储气设施建设。</w:t>
      </w:r>
      <w:r>
        <w:rPr>
          <w:rFonts w:hint="eastAsia"/>
        </w:rPr>
        <w:t>按照西气东输、北气南下、海气登陆的供气格局，加快天然气管道及储气设施建设，形成进口通道、主要生产区和消费区相连接的全国天然气主干管网。到2020年，天然气主干管道里程达到12万公里以上。”</w:t>
      </w:r>
    </w:p>
    <w:p>
      <w:pPr>
        <w:ind w:firstLine="480"/>
      </w:pPr>
      <w:r>
        <w:t>本项目属于天然气管</w:t>
      </w:r>
      <w:r>
        <w:rPr>
          <w:rFonts w:hint="eastAsia"/>
        </w:rPr>
        <w:t>道</w:t>
      </w:r>
      <w:r>
        <w:t>建设，符合《</w:t>
      </w:r>
      <w:r>
        <w:rPr>
          <w:rFonts w:hint="eastAsia"/>
        </w:rPr>
        <w:t>国务院办公厅关于印发能源发展战略行动计划（2014-2020年）的通知</w:t>
      </w:r>
      <w:r>
        <w:t>》（国办发〔2014〕31号）要求。</w:t>
      </w:r>
    </w:p>
    <w:p>
      <w:pPr>
        <w:pStyle w:val="53"/>
        <w:ind w:firstLine="482"/>
        <w:outlineLvl w:val="6"/>
        <w:rPr>
          <w:rFonts w:ascii="宋体" w:hAnsi="宋体"/>
        </w:rPr>
      </w:pPr>
      <w:r>
        <w:rPr>
          <w:rFonts w:hint="eastAsia" w:ascii="宋体" w:hAnsi="宋体"/>
        </w:rPr>
        <w:t>②</w:t>
      </w:r>
      <w:r>
        <w:rPr>
          <w:rFonts w:ascii="宋体" w:hAnsi="宋体"/>
        </w:rPr>
        <w:t>与《天然气发展</w:t>
      </w:r>
      <w:r>
        <w:rPr>
          <w:rFonts w:hint="eastAsia" w:ascii="宋体" w:hAnsi="宋体"/>
        </w:rPr>
        <w:t>“</w:t>
      </w:r>
      <w:r>
        <w:rPr>
          <w:rFonts w:ascii="宋体" w:hAnsi="宋体"/>
        </w:rPr>
        <w:t>十三五”规划》符合性分析</w:t>
      </w:r>
    </w:p>
    <w:p>
      <w:pPr>
        <w:ind w:firstLine="480"/>
        <w:rPr>
          <w:rFonts w:cs="Times New Roman"/>
        </w:rPr>
      </w:pPr>
      <w:r>
        <w:rPr>
          <w:rFonts w:cs="Times New Roman"/>
        </w:rPr>
        <w:t>根据国家发展改革委2016年印发的《国家发展改革委关于印发石油天然气发展“十三五”规划的通知》（发改能源〔2016〕2743号）重点任务：</w:t>
      </w:r>
      <w:r>
        <w:rPr>
          <w:rFonts w:hint="eastAsia" w:cs="Times New Roman"/>
        </w:rPr>
        <w:t>“</w:t>
      </w:r>
      <w:r>
        <w:rPr>
          <w:rFonts w:cs="Times New Roman"/>
        </w:rPr>
        <w:t>进一步完善主要消费区域干线管道、省内输配气管网系统，加强省际联络线建设，提高管道网络化程度，加快城镇燃气管网建设。建设地下储气库、煤层气、页岩气、煤制气配套外输管道。强化主干管道互联互通，逐步形成联系畅通、运行灵活、安全可靠的主干管网系统。</w:t>
      </w:r>
      <w:r>
        <w:rPr>
          <w:rFonts w:hint="eastAsia" w:cs="Times New Roman"/>
        </w:rPr>
        <w:t>”</w:t>
      </w:r>
    </w:p>
    <w:p>
      <w:pPr>
        <w:ind w:firstLine="480"/>
        <w:rPr>
          <w:rFonts w:cs="Times New Roman"/>
        </w:rPr>
      </w:pPr>
      <w:r>
        <w:rPr>
          <w:rFonts w:cs="Times New Roman"/>
        </w:rPr>
        <w:t>本工程属于天然气管道建设项目，符合完善省内输配气管网系统的要求。因此，本工程的建设符合《国家发展改革委关于印发石油天然气发展“十三五”规划的通知》（发改能源〔2016〕2743号）要求。</w:t>
      </w:r>
    </w:p>
    <w:p>
      <w:pPr>
        <w:ind w:firstLine="482"/>
        <w:rPr>
          <w:rFonts w:cs="Times New Roman"/>
          <w:b/>
        </w:rPr>
      </w:pPr>
    </w:p>
    <w:p>
      <w:pPr>
        <w:pStyle w:val="53"/>
        <w:ind w:firstLine="482"/>
        <w:outlineLvl w:val="6"/>
        <w:rPr>
          <w:rFonts w:ascii="宋体" w:hAnsi="宋体"/>
        </w:rPr>
      </w:pPr>
      <w:r>
        <w:rPr>
          <w:rFonts w:hint="eastAsia" w:ascii="宋体" w:hAnsi="宋体"/>
        </w:rPr>
        <w:t>③</w:t>
      </w:r>
      <w:r>
        <w:rPr>
          <w:rFonts w:ascii="宋体" w:hAnsi="宋体"/>
        </w:rPr>
        <w:t>与《四川省“十三五”能源发展规划》符合性分析</w:t>
      </w:r>
    </w:p>
    <w:p>
      <w:pPr>
        <w:ind w:firstLine="480"/>
      </w:pPr>
      <w:r>
        <w:t>根据四川省人民政府于2017年印发的《四川省“十三五”能源发展规划》（川府发〔201</w:t>
      </w:r>
      <w:r>
        <w:rPr>
          <w:rFonts w:hint="eastAsia"/>
        </w:rPr>
        <w:t>7</w:t>
      </w:r>
      <w:r>
        <w:t>〕12 号）要求</w:t>
      </w:r>
      <w:r>
        <w:rPr>
          <w:rFonts w:hint="eastAsia"/>
        </w:rPr>
        <w:t>：“</w:t>
      </w:r>
      <w:r>
        <w:t>完善油气输配管网设施。加快省内天然气输送管网建设</w:t>
      </w:r>
      <w:r>
        <w:rPr>
          <w:rFonts w:hint="eastAsia"/>
        </w:rPr>
        <w:t>……</w:t>
      </w:r>
      <w:r>
        <w:t>在加快省内天然气主干管网建设的同时,延伸和完善天然气支线网络建设,提高天然气输送能力。</w:t>
      </w:r>
      <w:r>
        <w:rPr>
          <w:rFonts w:hint="eastAsia"/>
        </w:rPr>
        <w:t>”</w:t>
      </w:r>
    </w:p>
    <w:p>
      <w:pPr>
        <w:ind w:firstLine="480"/>
        <w:rPr>
          <w:rFonts w:cs="Times New Roman"/>
        </w:rPr>
      </w:pPr>
      <w:r>
        <w:rPr>
          <w:rFonts w:cs="Times New Roman"/>
        </w:rPr>
        <w:t>本项目属于</w:t>
      </w:r>
      <w:r>
        <w:t>天然气输送管</w:t>
      </w:r>
      <w:r>
        <w:rPr>
          <w:rFonts w:hint="eastAsia"/>
        </w:rPr>
        <w:t>道建设项目</w:t>
      </w:r>
      <w:r>
        <w:rPr>
          <w:rFonts w:cs="Times New Roman"/>
        </w:rPr>
        <w:t>，符合《四川省“十三五”能源发展规划》要求。</w:t>
      </w:r>
    </w:p>
    <w:p>
      <w:pPr>
        <w:pStyle w:val="53"/>
        <w:ind w:firstLine="482"/>
        <w:outlineLvl w:val="6"/>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与《四川省矿产资源总体规划（2016-2020年）》符合性分析</w:t>
      </w:r>
    </w:p>
    <w:p>
      <w:pPr>
        <w:ind w:firstLine="480"/>
      </w:pPr>
      <w:r>
        <w:rPr>
          <w:rFonts w:hint="eastAsia"/>
        </w:rPr>
        <w:t>《四川省矿产资源总体规划（2016-2020年）》于2017年经国土资源部审批后由四川省国土资源厅会同省发改委、财政厅、环保厅、商务厅、经信委联合发布实施，本项目与之符合性分析见下表。</w:t>
      </w:r>
    </w:p>
    <w:p>
      <w:pPr>
        <w:pStyle w:val="250"/>
        <w:ind w:firstLine="48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本项目与《四川省矿产资源总体规划（2016-2020年）》符合性分析</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91"/>
        <w:gridCol w:w="2471"/>
        <w:gridCol w:w="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987" w:type="pct"/>
            <w:tcBorders>
              <w:top w:val="single" w:color="auto" w:sz="12" w:space="0"/>
              <w:left w:val="nil"/>
            </w:tcBorders>
          </w:tcPr>
          <w:p>
            <w:pPr>
              <w:pStyle w:val="63"/>
              <w:rPr>
                <w:b/>
              </w:rPr>
            </w:pPr>
            <w:r>
              <w:rPr>
                <w:rFonts w:hint="eastAsia"/>
                <w:b/>
              </w:rPr>
              <w:t>文件内容</w:t>
            </w:r>
          </w:p>
        </w:tc>
        <w:tc>
          <w:tcPr>
            <w:tcW w:w="1450" w:type="pct"/>
            <w:tcBorders>
              <w:top w:val="single" w:color="auto" w:sz="12" w:space="0"/>
            </w:tcBorders>
          </w:tcPr>
          <w:p>
            <w:pPr>
              <w:pStyle w:val="63"/>
              <w:rPr>
                <w:b/>
              </w:rPr>
            </w:pPr>
            <w:r>
              <w:rPr>
                <w:rFonts w:hint="eastAsia"/>
                <w:b/>
              </w:rPr>
              <w:t>本项目</w:t>
            </w:r>
            <w:r>
              <w:rPr>
                <w:b/>
              </w:rPr>
              <w:t>情况</w:t>
            </w:r>
          </w:p>
        </w:tc>
        <w:tc>
          <w:tcPr>
            <w:tcW w:w="563" w:type="pct"/>
            <w:tcBorders>
              <w:top w:val="single" w:color="auto" w:sz="12" w:space="0"/>
            </w:tcBorders>
          </w:tcPr>
          <w:p>
            <w:pPr>
              <w:pStyle w:val="63"/>
              <w:rPr>
                <w:b/>
              </w:rPr>
            </w:pPr>
            <w:r>
              <w:rPr>
                <w:rFonts w:hint="eastAsia"/>
                <w:b/>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7" w:type="pct"/>
            <w:tcBorders>
              <w:left w:val="nil"/>
            </w:tcBorders>
          </w:tcPr>
          <w:p>
            <w:pPr>
              <w:pStyle w:val="63"/>
              <w:jc w:val="left"/>
              <w:rPr>
                <w:b/>
              </w:rPr>
            </w:pPr>
            <w:r>
              <w:rPr>
                <w:rFonts w:hint="eastAsia"/>
                <w:b/>
              </w:rPr>
              <w:t>第二章 第三节 主要目标</w:t>
            </w:r>
          </w:p>
          <w:p>
            <w:pPr>
              <w:pStyle w:val="63"/>
              <w:jc w:val="left"/>
            </w:pPr>
            <w:r>
              <w:rPr>
                <w:rFonts w:hint="eastAsia"/>
              </w:rPr>
              <w:t>——矿产资源供应保持安全稳定。建设8个国家级能源资源基地和10个省级能源资源基地，落实8个国家级规划矿区，划定7个省级规划矿区，天然气、铁、锂、稀土、磷、石墨等战略性矿产安全供应能力得到巩固。</w:t>
            </w:r>
          </w:p>
        </w:tc>
        <w:tc>
          <w:tcPr>
            <w:tcW w:w="1450" w:type="pct"/>
            <w:vAlign w:val="center"/>
          </w:tcPr>
          <w:p>
            <w:pPr>
              <w:pStyle w:val="63"/>
            </w:pPr>
            <w:r>
              <w:rPr>
                <w:rFonts w:hint="eastAsia"/>
              </w:rPr>
              <w:t>本项目</w:t>
            </w:r>
            <w:r>
              <w:t>为</w:t>
            </w:r>
            <w:r>
              <w:rPr>
                <w:rFonts w:hint="eastAsia"/>
              </w:rPr>
              <w:t>天然气</w:t>
            </w:r>
            <w:r>
              <w:t>管道隐患治理项目,</w:t>
            </w:r>
            <w:r>
              <w:rPr>
                <w:rFonts w:hint="eastAsia"/>
              </w:rPr>
              <w:t>本项目建设</w:t>
            </w:r>
            <w:r>
              <w:t>有利于天然气供应</w:t>
            </w:r>
          </w:p>
        </w:tc>
        <w:tc>
          <w:tcPr>
            <w:tcW w:w="563" w:type="pct"/>
            <w:vAlign w:val="center"/>
          </w:tcPr>
          <w:p>
            <w:pPr>
              <w:pStyle w:val="6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7" w:type="pct"/>
            <w:tcBorders>
              <w:left w:val="nil"/>
            </w:tcBorders>
          </w:tcPr>
          <w:p>
            <w:pPr>
              <w:pStyle w:val="63"/>
              <w:jc w:val="left"/>
              <w:rPr>
                <w:b/>
              </w:rPr>
            </w:pPr>
            <w:r>
              <w:rPr>
                <w:rFonts w:hint="eastAsia"/>
                <w:b/>
              </w:rPr>
              <w:t>第四章 第二节 优化</w:t>
            </w:r>
            <w:r>
              <w:rPr>
                <w:b/>
              </w:rPr>
              <w:t>勘查开发</w:t>
            </w:r>
            <w:r>
              <w:rPr>
                <w:rFonts w:hint="eastAsia"/>
                <w:b/>
              </w:rPr>
              <w:t>区域</w:t>
            </w:r>
            <w:r>
              <w:rPr>
                <w:b/>
              </w:rPr>
              <w:t>布局</w:t>
            </w:r>
          </w:p>
          <w:p>
            <w:pPr>
              <w:pStyle w:val="63"/>
              <w:jc w:val="left"/>
            </w:pPr>
            <w:r>
              <w:rPr>
                <w:rFonts w:hint="eastAsia"/>
              </w:rPr>
              <w:t>川</w:t>
            </w:r>
            <w:r>
              <w:t>东北能源建材矿产</w:t>
            </w:r>
            <w:r>
              <w:rPr>
                <w:rFonts w:hint="eastAsia"/>
              </w:rPr>
              <w:t>资源</w:t>
            </w:r>
            <w:r>
              <w:t>发展区</w:t>
            </w:r>
            <w:r>
              <w:rPr>
                <w:rFonts w:hint="eastAsia"/>
              </w:rPr>
              <w:t>。</w:t>
            </w:r>
            <w:r>
              <w:t>包括</w:t>
            </w:r>
            <w:r>
              <w:rPr>
                <w:rFonts w:hint="eastAsia"/>
              </w:rPr>
              <w:t>南充</w:t>
            </w:r>
            <w:r>
              <w:t>、达州、广安、巴中、广元</w:t>
            </w:r>
            <w:r>
              <w:rPr>
                <w:rFonts w:hint="eastAsia"/>
              </w:rPr>
              <w:t>5市</w:t>
            </w:r>
            <w:r>
              <w:t>。加强</w:t>
            </w:r>
            <w:r>
              <w:rPr>
                <w:rFonts w:hint="eastAsia"/>
              </w:rPr>
              <w:t>天然气</w:t>
            </w:r>
            <w:r>
              <w:t>基地和石墨</w:t>
            </w:r>
            <w:r>
              <w:rPr>
                <w:rFonts w:hint="eastAsia"/>
              </w:rPr>
              <w:t>基地</w:t>
            </w:r>
            <w:r>
              <w:t>建设，促进天然气产业和石墨烯产业发展</w:t>
            </w:r>
            <w:r>
              <w:rPr>
                <w:rFonts w:hint="eastAsia"/>
              </w:rPr>
              <w:t>。</w:t>
            </w:r>
          </w:p>
        </w:tc>
        <w:tc>
          <w:tcPr>
            <w:tcW w:w="1450" w:type="pct"/>
            <w:vAlign w:val="center"/>
          </w:tcPr>
          <w:p>
            <w:pPr>
              <w:pStyle w:val="63"/>
            </w:pPr>
            <w:r>
              <w:rPr>
                <w:rFonts w:hint="eastAsia"/>
              </w:rPr>
              <w:t>本项目</w:t>
            </w:r>
            <w:r>
              <w:t>为位于巴中市的河坝气田</w:t>
            </w:r>
            <w:r>
              <w:rPr>
                <w:rFonts w:hint="eastAsia"/>
              </w:rPr>
              <w:t>，本项目的</w:t>
            </w:r>
            <w:r>
              <w:t>建设有利于区块天然气</w:t>
            </w:r>
            <w:r>
              <w:rPr>
                <w:rFonts w:hint="eastAsia"/>
              </w:rPr>
              <w:t>产业</w:t>
            </w:r>
            <w:r>
              <w:t>的发展</w:t>
            </w:r>
          </w:p>
        </w:tc>
        <w:tc>
          <w:tcPr>
            <w:tcW w:w="563" w:type="pct"/>
            <w:vAlign w:val="center"/>
          </w:tcPr>
          <w:p>
            <w:pPr>
              <w:pStyle w:val="63"/>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7" w:type="pct"/>
            <w:tcBorders>
              <w:left w:val="nil"/>
            </w:tcBorders>
          </w:tcPr>
          <w:p>
            <w:pPr>
              <w:pStyle w:val="63"/>
              <w:jc w:val="left"/>
              <w:rPr>
                <w:b/>
              </w:rPr>
            </w:pPr>
            <w:r>
              <w:rPr>
                <w:rFonts w:hint="eastAsia"/>
                <w:b/>
              </w:rPr>
              <w:t>第五章 第一节 确保</w:t>
            </w:r>
            <w:r>
              <w:rPr>
                <w:b/>
              </w:rPr>
              <w:t>矿产资源有效供给</w:t>
            </w:r>
          </w:p>
          <w:p>
            <w:pPr>
              <w:pStyle w:val="63"/>
              <w:jc w:val="left"/>
            </w:pPr>
            <w:r>
              <w:rPr>
                <w:rFonts w:hint="eastAsia"/>
              </w:rPr>
              <w:t>能源</w:t>
            </w:r>
            <w:r>
              <w:t>矿产。加大</w:t>
            </w:r>
            <w:r>
              <w:rPr>
                <w:rFonts w:hint="eastAsia"/>
              </w:rPr>
              <w:t>天然气</w:t>
            </w:r>
            <w:r>
              <w:t>、页岩气</w:t>
            </w:r>
            <w:r>
              <w:rPr>
                <w:rFonts w:hint="eastAsia"/>
              </w:rPr>
              <w:t>……等</w:t>
            </w:r>
            <w:r>
              <w:t>勘查开发力度，力争获得重大突破，增强供应基础并加快供应，优化</w:t>
            </w:r>
            <w:r>
              <w:rPr>
                <w:rFonts w:hint="eastAsia"/>
              </w:rPr>
              <w:t>能源</w:t>
            </w:r>
            <w:r>
              <w:t>开发利用结构，减轻</w:t>
            </w:r>
            <w:r>
              <w:rPr>
                <w:rFonts w:hint="eastAsia"/>
              </w:rPr>
              <w:t>对</w:t>
            </w:r>
            <w:r>
              <w:t>环境的</w:t>
            </w:r>
            <w:r>
              <w:rPr>
                <w:rFonts w:hint="eastAsia"/>
              </w:rPr>
              <w:t>负面</w:t>
            </w:r>
            <w:r>
              <w:t>影响</w:t>
            </w:r>
            <w:r>
              <w:rPr>
                <w:rFonts w:hint="eastAsia"/>
              </w:rPr>
              <w:t>……</w:t>
            </w:r>
          </w:p>
        </w:tc>
        <w:tc>
          <w:tcPr>
            <w:tcW w:w="1450" w:type="pct"/>
            <w:vAlign w:val="center"/>
          </w:tcPr>
          <w:p>
            <w:pPr>
              <w:pStyle w:val="63"/>
            </w:pPr>
            <w:r>
              <w:rPr>
                <w:rFonts w:hint="eastAsia"/>
              </w:rPr>
              <w:t>本项目</w:t>
            </w:r>
            <w:r>
              <w:t>为</w:t>
            </w:r>
            <w:r>
              <w:rPr>
                <w:rFonts w:hint="eastAsia"/>
              </w:rPr>
              <w:t>天然气</w:t>
            </w:r>
            <w:r>
              <w:t>管道隐患治理项目,</w:t>
            </w:r>
            <w:r>
              <w:rPr>
                <w:rFonts w:hint="eastAsia"/>
              </w:rPr>
              <w:t>本项目</w:t>
            </w:r>
            <w:r>
              <w:t>的</w:t>
            </w:r>
            <w:r>
              <w:rPr>
                <w:rFonts w:hint="eastAsia"/>
              </w:rPr>
              <w:t>建设</w:t>
            </w:r>
            <w:r>
              <w:t>有益于</w:t>
            </w:r>
            <w:r>
              <w:rPr>
                <w:rFonts w:hint="eastAsia"/>
              </w:rPr>
              <w:t>增强</w:t>
            </w:r>
            <w:r>
              <w:t>当地天然气</w:t>
            </w:r>
            <w:r>
              <w:rPr>
                <w:rFonts w:hint="eastAsia"/>
              </w:rPr>
              <w:t>供应</w:t>
            </w:r>
          </w:p>
        </w:tc>
        <w:tc>
          <w:tcPr>
            <w:tcW w:w="563" w:type="pct"/>
            <w:vAlign w:val="center"/>
          </w:tcPr>
          <w:p>
            <w:pPr>
              <w:pStyle w:val="63"/>
            </w:pPr>
            <w:r>
              <w:rPr>
                <w:rFonts w:hint="eastAsia"/>
              </w:rPr>
              <w:t>符合</w:t>
            </w:r>
          </w:p>
        </w:tc>
      </w:tr>
    </w:tbl>
    <w:p>
      <w:pPr>
        <w:pStyle w:val="214"/>
        <w:ind w:firstLine="480"/>
      </w:pPr>
      <w:r>
        <w:rPr>
          <w:rFonts w:hint="eastAsia"/>
        </w:rPr>
        <w:t>2017年5月，四川省国土勘测规划研究院及四川省煤田地质工程勘察设计研究院编制完成了《四川省矿产资源总体规划（2016-2020年）环境影响报告书》，2017年7月原国家环境保护部以“环审〔2017〕102号”出具了《关于&lt;四川省矿产资源总体规划（2016-2020年）环境影响报告书&gt;的审查意见》。本项目与之符合性分析见下表。</w:t>
      </w:r>
    </w:p>
    <w:p>
      <w:pPr>
        <w:pStyle w:val="250"/>
        <w:ind w:firstLine="48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本项目与《四川省矿产资源总体规划（2016-2020年）环境影响报告书》及审查意见符合性分析</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3401"/>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475" w:type="pct"/>
            <w:tcBorders>
              <w:top w:val="single" w:color="auto" w:sz="12" w:space="0"/>
              <w:left w:val="nil"/>
            </w:tcBorders>
          </w:tcPr>
          <w:p>
            <w:pPr>
              <w:pStyle w:val="242"/>
              <w:rPr>
                <w:b/>
              </w:rPr>
            </w:pPr>
            <w:r>
              <w:rPr>
                <w:rFonts w:hint="eastAsia"/>
                <w:b/>
              </w:rPr>
              <w:t>文件内容</w:t>
            </w:r>
          </w:p>
        </w:tc>
        <w:tc>
          <w:tcPr>
            <w:tcW w:w="1995" w:type="pct"/>
            <w:tcBorders>
              <w:top w:val="single" w:color="auto" w:sz="12" w:space="0"/>
            </w:tcBorders>
          </w:tcPr>
          <w:p>
            <w:pPr>
              <w:pStyle w:val="242"/>
              <w:rPr>
                <w:b/>
              </w:rPr>
            </w:pPr>
            <w:r>
              <w:rPr>
                <w:rFonts w:hint="eastAsia"/>
                <w:b/>
              </w:rPr>
              <w:t>本项目</w:t>
            </w:r>
            <w:r>
              <w:rPr>
                <w:b/>
              </w:rPr>
              <w:t>情况</w:t>
            </w:r>
          </w:p>
        </w:tc>
        <w:tc>
          <w:tcPr>
            <w:tcW w:w="529" w:type="pct"/>
            <w:tcBorders>
              <w:top w:val="single" w:color="auto" w:sz="12" w:space="0"/>
            </w:tcBorders>
          </w:tcPr>
          <w:p>
            <w:pPr>
              <w:pStyle w:val="242"/>
              <w:rPr>
                <w:b/>
              </w:rPr>
            </w:pPr>
            <w:r>
              <w:rPr>
                <w:rFonts w:hint="eastAsia"/>
                <w:b/>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5" w:type="pct"/>
            <w:tcBorders>
              <w:left w:val="nil"/>
            </w:tcBorders>
          </w:tcPr>
          <w:p>
            <w:pPr>
              <w:pStyle w:val="242"/>
              <w:jc w:val="both"/>
            </w:pPr>
            <w:r>
              <w:rPr>
                <w:rFonts w:hint="eastAsia"/>
                <w:b/>
                <w:bCs/>
              </w:rPr>
              <w:t>严格保护生态空间，引导优化《规划》空间布局。</w:t>
            </w:r>
            <w:r>
              <w:rPr>
                <w:rFonts w:hint="eastAsia"/>
              </w:rPr>
              <w:t>将自然保护区、饮用水水源保护区、风景名胜区等环境敏感区及四川省生态保护红线作为保障和维护区域生态安全的底线，依法实施强制性保护。与生态保护红线存在空间冲突的勘查区、开采区、规划矿区及其他可能的矿产资源开发活动，有关重叠区域应予以避让或不纳入《规划》。</w:t>
            </w:r>
          </w:p>
        </w:tc>
        <w:tc>
          <w:tcPr>
            <w:tcW w:w="1995" w:type="pct"/>
            <w:vAlign w:val="center"/>
          </w:tcPr>
          <w:p>
            <w:pPr>
              <w:pStyle w:val="242"/>
              <w:jc w:val="both"/>
            </w:pPr>
            <w:r>
              <w:rPr>
                <w:rFonts w:hint="eastAsia"/>
              </w:rPr>
              <w:t>本项目建设内容不在四川省生态保护红线范围之内，符合《关于印发四川省生态保护红线方案的通知》（川府发〔</w:t>
            </w:r>
            <w:r>
              <w:t>2018</w:t>
            </w:r>
            <w:r>
              <w:rPr>
                <w:rFonts w:hint="eastAsia"/>
              </w:rPr>
              <w:t>〕</w:t>
            </w:r>
            <w:r>
              <w:t>24</w:t>
            </w:r>
            <w:r>
              <w:rPr>
                <w:rFonts w:hint="eastAsia"/>
              </w:rPr>
              <w:t>号）的相关要求。同时，本项目占地不涉及自然保护区、森林公园、风景名胜区、地质公园、饮用水水源保护区、湿地公园、水产种质资源保护区等各类自然保护地。</w:t>
            </w:r>
          </w:p>
        </w:tc>
        <w:tc>
          <w:tcPr>
            <w:tcW w:w="529" w:type="pct"/>
            <w:vAlign w:val="center"/>
          </w:tcPr>
          <w:p>
            <w:pPr>
              <w:pStyle w:val="242"/>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5" w:type="pct"/>
            <w:tcBorders>
              <w:left w:val="nil"/>
            </w:tcBorders>
          </w:tcPr>
          <w:p>
            <w:pPr>
              <w:pStyle w:val="242"/>
              <w:jc w:val="both"/>
              <w:rPr>
                <w:b/>
                <w:bCs/>
              </w:rPr>
            </w:pPr>
            <w:r>
              <w:rPr>
                <w:rFonts w:hint="eastAsia"/>
                <w:b/>
                <w:bCs/>
              </w:rPr>
              <w:t>加强环境保护监测和预警。</w:t>
            </w:r>
          </w:p>
          <w:p>
            <w:pPr>
              <w:pStyle w:val="242"/>
              <w:jc w:val="both"/>
              <w:rPr>
                <w:b/>
                <w:bCs/>
              </w:rPr>
            </w:pPr>
            <w:r>
              <w:rPr>
                <w:rFonts w:hint="eastAsia"/>
              </w:rPr>
              <w:t>结合自然保护区、饮用水水源保护区、重点生态功能区保护要求和土壤污染防治目标等，推进重点矿区建立完善地表水、地下水、土壤等环境要素的长期监测监控体系。适时组织开展重点开采区的生态恢复效果评估，针对地表水环境及土壤环境累积影响、地下水环境质量下降、生态退化等建立预警机制。</w:t>
            </w:r>
          </w:p>
        </w:tc>
        <w:tc>
          <w:tcPr>
            <w:tcW w:w="1995" w:type="pct"/>
            <w:vAlign w:val="center"/>
          </w:tcPr>
          <w:p>
            <w:pPr>
              <w:pStyle w:val="242"/>
              <w:jc w:val="both"/>
            </w:pPr>
            <w:r>
              <w:rPr>
                <w:rFonts w:hint="eastAsia"/>
              </w:rPr>
              <w:t>根据</w:t>
            </w:r>
            <w:r>
              <w:t>本项目</w:t>
            </w:r>
            <w:r>
              <w:rPr>
                <w:rFonts w:hint="eastAsia"/>
              </w:rPr>
              <w:t>特点</w:t>
            </w:r>
            <w:r>
              <w:t>，</w:t>
            </w:r>
            <w:r>
              <w:rPr>
                <w:rFonts w:hint="eastAsia"/>
              </w:rPr>
              <w:t>按照要求，制定了相应的噪声及</w:t>
            </w:r>
            <w:r>
              <w:t>生态</w:t>
            </w:r>
            <w:r>
              <w:rPr>
                <w:rFonts w:hint="eastAsia"/>
              </w:rPr>
              <w:t>跟踪监测计划，并要求按照本</w:t>
            </w:r>
            <w:r>
              <w:t>次</w:t>
            </w:r>
            <w:r>
              <w:rPr>
                <w:rFonts w:hint="eastAsia"/>
              </w:rPr>
              <w:t>风险影响评价要求制定了相应的环境风险应急预案。</w:t>
            </w:r>
          </w:p>
        </w:tc>
        <w:tc>
          <w:tcPr>
            <w:tcW w:w="529" w:type="pct"/>
            <w:vAlign w:val="center"/>
          </w:tcPr>
          <w:p>
            <w:pPr>
              <w:pStyle w:val="242"/>
            </w:pPr>
            <w:r>
              <w:rPr>
                <w:rFonts w:hint="eastAsia"/>
              </w:rPr>
              <w:t>符合</w:t>
            </w:r>
          </w:p>
        </w:tc>
      </w:tr>
    </w:tbl>
    <w:p>
      <w:pPr>
        <w:ind w:firstLine="480"/>
      </w:pPr>
      <w:r>
        <w:rPr>
          <w:rFonts w:hint="eastAsia"/>
        </w:rPr>
        <w:t>综上所述，本项目建设与《四川省矿产资源总体规划（2016-2020年）》及其规划环评相符合。</w:t>
      </w:r>
    </w:p>
    <w:p>
      <w:pPr>
        <w:pStyle w:val="53"/>
        <w:ind w:firstLine="482"/>
        <w:outlineLvl w:val="5"/>
        <w:rPr>
          <w:rFonts w:cs="Times New Roman"/>
        </w:rPr>
      </w:pPr>
      <w:r>
        <w:rPr>
          <w:rFonts w:cs="Times New Roman"/>
        </w:rPr>
        <w:t>（2）与</w:t>
      </w:r>
      <w:r>
        <w:rPr>
          <w:rFonts w:hint="eastAsia"/>
        </w:rPr>
        <w:t>环境保护相关规划</w:t>
      </w:r>
      <w:r>
        <w:rPr>
          <w:rFonts w:cs="Times New Roman"/>
        </w:rPr>
        <w:t>符合性分析</w:t>
      </w:r>
    </w:p>
    <w:p>
      <w:pPr>
        <w:pStyle w:val="2"/>
        <w:spacing w:line="360" w:lineRule="auto"/>
        <w:ind w:left="0" w:leftChars="0" w:firstLine="482" w:firstLineChars="200"/>
        <w:outlineLvl w:val="6"/>
        <w:rPr>
          <w:b/>
          <w:bCs/>
          <w:sz w:val="32"/>
          <w:szCs w:val="32"/>
          <w:highlight w:val="yellow"/>
        </w:rPr>
      </w:pPr>
      <w:r>
        <w:rPr>
          <w:rFonts w:hint="eastAsia" w:ascii="宋体" w:hAnsi="宋体"/>
          <w:b/>
          <w:sz w:val="24"/>
        </w:rPr>
        <w:t>①</w:t>
      </w:r>
      <w:r>
        <w:rPr>
          <w:rFonts w:hint="eastAsia"/>
          <w:b/>
          <w:sz w:val="24"/>
        </w:rPr>
        <w:t>与《生态保护“十三五”规划纲要》符合性分析</w:t>
      </w:r>
    </w:p>
    <w:p>
      <w:pPr>
        <w:pStyle w:val="214"/>
        <w:ind w:firstLine="480"/>
      </w:pPr>
      <w:r>
        <w:rPr>
          <w:rFonts w:hint="eastAsia"/>
        </w:rPr>
        <w:t>根据《生态保护“十三五”规划纲要》：到2020年，基本建立生态保护红线制度。推动将生态保护红线作为建立国土空间规划体系的基础。</w:t>
      </w:r>
    </w:p>
    <w:p>
      <w:pPr>
        <w:pStyle w:val="214"/>
        <w:ind w:firstLine="480"/>
        <w:rPr>
          <w:b/>
          <w:bCs/>
          <w:szCs w:val="32"/>
          <w:highlight w:val="yellow"/>
        </w:rPr>
      </w:pPr>
      <w:r>
        <w:rPr>
          <w:rFonts w:hint="eastAsia"/>
        </w:rPr>
        <w:t>本项目选线已避让生态红线，与《生态保护“十三五”规划纲要》总体协调。</w:t>
      </w:r>
    </w:p>
    <w:p>
      <w:pPr>
        <w:pStyle w:val="2"/>
        <w:spacing w:line="360" w:lineRule="auto"/>
        <w:ind w:left="0" w:leftChars="0" w:firstLine="466" w:firstLineChars="200"/>
        <w:outlineLvl w:val="6"/>
        <w:rPr>
          <w:rFonts w:ascii="宋体" w:hAnsi="宋体"/>
          <w:b/>
          <w:spacing w:val="-4"/>
          <w:sz w:val="24"/>
        </w:rPr>
      </w:pPr>
      <w:r>
        <w:rPr>
          <w:rFonts w:ascii="宋体" w:hAnsi="宋体"/>
          <w:b/>
          <w:spacing w:val="-4"/>
          <w:sz w:val="24"/>
        </w:rPr>
        <w:fldChar w:fldCharType="begin"/>
      </w:r>
      <w:r>
        <w:rPr>
          <w:rFonts w:ascii="宋体" w:hAnsi="宋体"/>
          <w:b/>
          <w:spacing w:val="-4"/>
          <w:sz w:val="24"/>
        </w:rPr>
        <w:instrText xml:space="preserve"> </w:instrText>
      </w:r>
      <w:r>
        <w:rPr>
          <w:rFonts w:hint="eastAsia" w:ascii="宋体" w:hAnsi="宋体"/>
          <w:b/>
          <w:spacing w:val="-4"/>
          <w:sz w:val="24"/>
        </w:rPr>
        <w:instrText xml:space="preserve">= 2 \* GB3</w:instrText>
      </w:r>
      <w:r>
        <w:rPr>
          <w:rFonts w:ascii="宋体" w:hAnsi="宋体"/>
          <w:b/>
          <w:spacing w:val="-4"/>
          <w:sz w:val="24"/>
        </w:rPr>
        <w:instrText xml:space="preserve"> </w:instrText>
      </w:r>
      <w:r>
        <w:rPr>
          <w:rFonts w:ascii="宋体" w:hAnsi="宋体"/>
          <w:b/>
          <w:spacing w:val="-4"/>
          <w:sz w:val="24"/>
        </w:rPr>
        <w:fldChar w:fldCharType="separate"/>
      </w:r>
      <w:r>
        <w:rPr>
          <w:rFonts w:hint="eastAsia" w:ascii="宋体" w:hAnsi="宋体"/>
          <w:b/>
          <w:spacing w:val="-4"/>
          <w:sz w:val="24"/>
        </w:rPr>
        <w:t>②</w:t>
      </w:r>
      <w:r>
        <w:rPr>
          <w:rFonts w:ascii="宋体" w:hAnsi="宋体"/>
          <w:b/>
          <w:spacing w:val="-4"/>
          <w:sz w:val="24"/>
        </w:rPr>
        <w:fldChar w:fldCharType="end"/>
      </w:r>
      <w:r>
        <w:rPr>
          <w:rFonts w:hint="eastAsia" w:ascii="宋体" w:hAnsi="宋体"/>
          <w:b/>
          <w:spacing w:val="-4"/>
          <w:sz w:val="24"/>
        </w:rPr>
        <w:t>与《长江经济带生态环境保护规划》（环规财〔2017〕88号）符合性分析</w:t>
      </w:r>
    </w:p>
    <w:p>
      <w:pPr>
        <w:ind w:firstLine="480"/>
      </w:pPr>
      <w:r>
        <w:rPr>
          <w:rFonts w:ascii="宋体" w:hAnsi="宋体"/>
        </w:rPr>
        <w:t>本项目与《长江保护修复攻坚战行动计划》（环水体〔</w:t>
      </w:r>
      <w:r>
        <w:t>2018</w:t>
      </w:r>
      <w:r>
        <w:rPr>
          <w:rFonts w:ascii="宋体" w:hAnsi="宋体"/>
        </w:rPr>
        <w:t>〕</w:t>
      </w:r>
      <w:r>
        <w:t>181</w:t>
      </w:r>
      <w:r>
        <w:rPr>
          <w:rFonts w:ascii="宋体" w:hAnsi="宋体"/>
        </w:rPr>
        <w:t>号）符合性分析见下表。</w:t>
      </w:r>
    </w:p>
    <w:p>
      <w:pPr>
        <w:pStyle w:val="73"/>
        <w:ind w:firstLine="480"/>
        <w:rPr>
          <w:kern w:val="2"/>
          <w:szCs w:val="22"/>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w:t>
      </w:r>
      <w:r>
        <w:rPr>
          <w:rFonts w:ascii="楷体" w:hAnsi="楷体"/>
        </w:rPr>
        <w:t>本项目与《长江保护修复攻坚战行动计划》符合性分析</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636"/>
        <w:gridCol w:w="1984"/>
        <w:gridCol w:w="9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trPr>
        <w:tc>
          <w:tcPr>
            <w:tcW w:w="3307" w:type="pct"/>
            <w:tcBorders>
              <w:top w:val="single" w:color="auto" w:sz="12" w:space="0"/>
              <w:left w:val="nil"/>
              <w:bottom w:val="single" w:color="auto" w:sz="2" w:space="0"/>
              <w:right w:val="single" w:color="auto" w:sz="2" w:space="0"/>
            </w:tcBorders>
          </w:tcPr>
          <w:p>
            <w:pPr>
              <w:pStyle w:val="63"/>
              <w:rPr>
                <w:b/>
              </w:rPr>
            </w:pPr>
            <w:r>
              <w:rPr>
                <w:b/>
              </w:rPr>
              <w:t>文件内容</w:t>
            </w:r>
          </w:p>
        </w:tc>
        <w:tc>
          <w:tcPr>
            <w:tcW w:w="1164" w:type="pct"/>
            <w:tcBorders>
              <w:top w:val="single" w:color="auto" w:sz="12" w:space="0"/>
              <w:left w:val="single" w:color="auto" w:sz="2" w:space="0"/>
              <w:bottom w:val="single" w:color="auto" w:sz="2" w:space="0"/>
              <w:right w:val="single" w:color="auto" w:sz="2" w:space="0"/>
            </w:tcBorders>
          </w:tcPr>
          <w:p>
            <w:pPr>
              <w:pStyle w:val="63"/>
              <w:rPr>
                <w:b/>
              </w:rPr>
            </w:pPr>
            <w:r>
              <w:rPr>
                <w:b/>
              </w:rPr>
              <w:t>本项目情况</w:t>
            </w:r>
          </w:p>
        </w:tc>
        <w:tc>
          <w:tcPr>
            <w:tcW w:w="529" w:type="pct"/>
            <w:tcBorders>
              <w:top w:val="single" w:color="auto" w:sz="12" w:space="0"/>
              <w:left w:val="single" w:color="auto" w:sz="2" w:space="0"/>
              <w:bottom w:val="single" w:color="auto" w:sz="2" w:space="0"/>
              <w:right w:val="nil"/>
            </w:tcBorders>
          </w:tcPr>
          <w:p>
            <w:pPr>
              <w:pStyle w:val="63"/>
              <w:rPr>
                <w:b/>
              </w:rPr>
            </w:pPr>
            <w:r>
              <w:rPr>
                <w:b/>
              </w:rPr>
              <w:t>符合性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73" w:hRule="atLeast"/>
        </w:trPr>
        <w:tc>
          <w:tcPr>
            <w:tcW w:w="3307" w:type="pct"/>
            <w:tcBorders>
              <w:top w:val="single" w:color="auto" w:sz="2" w:space="0"/>
              <w:left w:val="nil"/>
              <w:bottom w:val="single" w:color="auto" w:sz="2" w:space="0"/>
              <w:right w:val="single" w:color="auto" w:sz="2" w:space="0"/>
            </w:tcBorders>
          </w:tcPr>
          <w:p>
            <w:pPr>
              <w:pStyle w:val="63"/>
              <w:jc w:val="left"/>
              <w:rPr>
                <w:b/>
              </w:rPr>
            </w:pPr>
            <w:r>
              <w:rPr>
                <w:b/>
              </w:rPr>
              <w:t>一、总体要求</w:t>
            </w:r>
          </w:p>
          <w:p>
            <w:pPr>
              <w:pStyle w:val="63"/>
              <w:jc w:val="left"/>
            </w:pPr>
            <w:r>
              <w:t>（二）基本原则。</w:t>
            </w:r>
          </w:p>
          <w:p>
            <w:pPr>
              <w:pStyle w:val="63"/>
              <w:jc w:val="left"/>
            </w:pPr>
            <w:r>
              <w:t>——空间管控、严守红线。</w:t>
            </w:r>
          </w:p>
          <w:p>
            <w:pPr>
              <w:pStyle w:val="63"/>
              <w:jc w:val="left"/>
            </w:pPr>
            <w:r>
              <w:t>坚持山水林田湖草系统治理，强化“三线一单”（生态保护红线、环境质量底线、资源利用上线，生态环境准入清单）硬约束，健全生态环境空间管控体系……</w:t>
            </w:r>
          </w:p>
        </w:tc>
        <w:tc>
          <w:tcPr>
            <w:tcW w:w="1164" w:type="pct"/>
            <w:tcBorders>
              <w:top w:val="single" w:color="auto" w:sz="2" w:space="0"/>
              <w:left w:val="single" w:color="auto" w:sz="2" w:space="0"/>
              <w:bottom w:val="single" w:color="auto" w:sz="2" w:space="0"/>
              <w:right w:val="single" w:color="auto" w:sz="2" w:space="0"/>
            </w:tcBorders>
            <w:vAlign w:val="center"/>
          </w:tcPr>
          <w:p>
            <w:pPr>
              <w:pStyle w:val="63"/>
              <w:jc w:val="left"/>
            </w:pPr>
            <w:r>
              <w:t>本项目符合“三线一单”相关环保要求。</w:t>
            </w:r>
          </w:p>
        </w:tc>
        <w:tc>
          <w:tcPr>
            <w:tcW w:w="529" w:type="pct"/>
            <w:tcBorders>
              <w:top w:val="single" w:color="auto" w:sz="2" w:space="0"/>
              <w:left w:val="single" w:color="auto" w:sz="2" w:space="0"/>
              <w:bottom w:val="single" w:color="auto" w:sz="2" w:space="0"/>
              <w:right w:val="nil"/>
            </w:tcBorders>
            <w:vAlign w:val="center"/>
          </w:tcPr>
          <w:p>
            <w:pPr>
              <w:pStyle w:val="63"/>
            </w:pPr>
            <w: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307" w:type="pct"/>
            <w:tcBorders>
              <w:top w:val="single" w:color="auto" w:sz="2" w:space="0"/>
              <w:left w:val="nil"/>
              <w:bottom w:val="single" w:color="auto" w:sz="12" w:space="0"/>
              <w:right w:val="single" w:color="auto" w:sz="2" w:space="0"/>
            </w:tcBorders>
          </w:tcPr>
          <w:p>
            <w:pPr>
              <w:pStyle w:val="63"/>
              <w:jc w:val="left"/>
              <w:rPr>
                <w:b/>
              </w:rPr>
            </w:pPr>
            <w:r>
              <w:rPr>
                <w:b/>
              </w:rPr>
              <w:t>二、主要任务</w:t>
            </w:r>
          </w:p>
          <w:p>
            <w:pPr>
              <w:pStyle w:val="63"/>
              <w:jc w:val="left"/>
            </w:pPr>
            <w:r>
              <w:t>（三）加强工业污染治理，有效防范生态环境风险。</w:t>
            </w:r>
          </w:p>
          <w:p>
            <w:pPr>
              <w:pStyle w:val="63"/>
              <w:jc w:val="left"/>
            </w:pPr>
            <w:r>
              <w:t>优化产业结构布局。……长江干流及主要支流岸线1公里范围内不准新增化工园区，依法淘汰取缔违法违规工业园区。以长江干流、主要支流及重点湖库为重点，全面开展“散乱污”涉水企业综合整治，分类实施关停取缔、整合搬迁、提升改造等措施，依法淘汰涉及污染的落后产能……</w:t>
            </w:r>
          </w:p>
          <w:p>
            <w:pPr>
              <w:pStyle w:val="63"/>
              <w:jc w:val="left"/>
            </w:pPr>
            <w:r>
              <w:t>加强固体废物规范化管理。实施打击固体废物环境违法行为专项行动……</w:t>
            </w:r>
          </w:p>
          <w:p>
            <w:pPr>
              <w:pStyle w:val="63"/>
              <w:jc w:val="left"/>
            </w:pPr>
            <w:r>
              <w:t>（七）优化水资源配置，有效保障生态用水需求。</w:t>
            </w:r>
          </w:p>
          <w:p>
            <w:pPr>
              <w:pStyle w:val="63"/>
              <w:jc w:val="left"/>
              <w:rPr>
                <w:spacing w:val="-4"/>
              </w:rPr>
            </w:pPr>
            <w:r>
              <w:rPr>
                <w:spacing w:val="-4"/>
              </w:rPr>
              <w:t>实行水资源消耗总量和强度双控。严格用水总量指标管理……切实保障生态流量。2020年年底前，长江干流及主要支流主要控制节点生态基流占多年平均流量比例在15％左右。</w:t>
            </w:r>
          </w:p>
        </w:tc>
        <w:tc>
          <w:tcPr>
            <w:tcW w:w="1164" w:type="pct"/>
            <w:tcBorders>
              <w:top w:val="single" w:color="auto" w:sz="2" w:space="0"/>
              <w:left w:val="single" w:color="auto" w:sz="2" w:space="0"/>
              <w:bottom w:val="single" w:color="auto" w:sz="12" w:space="0"/>
              <w:right w:val="single" w:color="auto" w:sz="2" w:space="0"/>
            </w:tcBorders>
          </w:tcPr>
          <w:p>
            <w:pPr>
              <w:pStyle w:val="63"/>
              <w:jc w:val="both"/>
            </w:pPr>
            <w:r>
              <w:t>本项目属于天然气</w:t>
            </w:r>
            <w:r>
              <w:rPr>
                <w:rFonts w:hint="eastAsia"/>
              </w:rPr>
              <w:t>管线隐患</w:t>
            </w:r>
            <w:r>
              <w:t>治理项目，不属于化工项目。本项目废水处理措施满足环保要求，不属于“散乱污”涉水项目及涉及污染的落后产能项目。本项目固体废物都得到妥善处置。本项目用水量较小，不会挤占当地水资源。</w:t>
            </w:r>
          </w:p>
        </w:tc>
        <w:tc>
          <w:tcPr>
            <w:tcW w:w="529" w:type="pct"/>
            <w:tcBorders>
              <w:top w:val="single" w:color="auto" w:sz="2" w:space="0"/>
              <w:left w:val="single" w:color="auto" w:sz="2" w:space="0"/>
              <w:bottom w:val="single" w:color="auto" w:sz="12" w:space="0"/>
              <w:right w:val="nil"/>
            </w:tcBorders>
            <w:vAlign w:val="center"/>
          </w:tcPr>
          <w:p>
            <w:pPr>
              <w:pStyle w:val="63"/>
            </w:pPr>
            <w:r>
              <w:t>符合</w:t>
            </w:r>
          </w:p>
        </w:tc>
      </w:tr>
    </w:tbl>
    <w:p>
      <w:pPr>
        <w:ind w:firstLine="480"/>
        <w:rPr>
          <w:rFonts w:cs="Times New Roman"/>
        </w:rPr>
      </w:pPr>
      <w:r>
        <w:rPr>
          <w:rFonts w:ascii="宋体" w:hAnsi="宋体"/>
        </w:rPr>
        <w:t>经分析，项目符合《长江保护修复攻坚战行动计划》（环水体〔</w:t>
      </w:r>
      <w:r>
        <w:t>2018</w:t>
      </w:r>
      <w:r>
        <w:rPr>
          <w:rFonts w:ascii="宋体" w:hAnsi="宋体"/>
        </w:rPr>
        <w:t>〕</w:t>
      </w:r>
      <w:r>
        <w:t>181</w:t>
      </w:r>
      <w:r>
        <w:rPr>
          <w:rFonts w:ascii="宋体" w:hAnsi="宋体"/>
        </w:rPr>
        <w:t>号）要求。</w:t>
      </w:r>
    </w:p>
    <w:p>
      <w:pPr>
        <w:pStyle w:val="2"/>
        <w:spacing w:line="360" w:lineRule="auto"/>
        <w:ind w:left="0" w:leftChars="0" w:firstLine="466" w:firstLineChars="200"/>
        <w:outlineLvl w:val="6"/>
        <w:rPr>
          <w:rFonts w:ascii="宋体" w:hAnsi="宋体"/>
          <w:b/>
          <w:spacing w:val="-4"/>
          <w:sz w:val="24"/>
        </w:rPr>
      </w:pPr>
      <w:r>
        <w:rPr>
          <w:rFonts w:hint="eastAsia" w:ascii="宋体" w:hAnsi="宋体"/>
          <w:b/>
          <w:spacing w:val="-4"/>
          <w:sz w:val="24"/>
        </w:rPr>
        <w:t>③</w:t>
      </w:r>
      <w:r>
        <w:rPr>
          <w:rFonts w:ascii="宋体" w:hAnsi="宋体"/>
          <w:b/>
          <w:spacing w:val="-4"/>
          <w:sz w:val="24"/>
        </w:rPr>
        <w:t>与《中华人民共和国长江保护法》的符合性</w:t>
      </w:r>
    </w:p>
    <w:p>
      <w:pPr>
        <w:ind w:firstLine="480"/>
        <w:rPr>
          <w:rFonts w:cs="Times New Roman"/>
        </w:rPr>
      </w:pPr>
      <w:r>
        <w:rPr>
          <w:rFonts w:ascii="宋体" w:hAnsi="宋体"/>
        </w:rPr>
        <w:t>本项目与《中华人民共和国长江保护法》的符合性分析见下表。</w:t>
      </w:r>
    </w:p>
    <w:p>
      <w:pPr>
        <w:pStyle w:val="7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w:t>
      </w:r>
      <w:r>
        <w:rPr>
          <w:rFonts w:ascii="楷体" w:hAnsi="楷体"/>
        </w:rPr>
        <w:t>本项目与《中华人民共和国长江保护法》符合性分析</w:t>
      </w:r>
    </w:p>
    <w:tbl>
      <w:tblPr>
        <w:tblStyle w:val="35"/>
        <w:tblW w:w="5000" w:type="pct"/>
        <w:tblInd w:w="108"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4820"/>
        <w:gridCol w:w="2834"/>
        <w:gridCol w:w="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blHeader/>
        </w:trPr>
        <w:tc>
          <w:tcPr>
            <w:tcW w:w="2828" w:type="pct"/>
            <w:tcBorders>
              <w:top w:val="single" w:color="auto" w:sz="12" w:space="0"/>
              <w:left w:val="nil"/>
              <w:bottom w:val="single" w:color="auto" w:sz="4" w:space="0"/>
              <w:right w:val="single" w:color="auto" w:sz="2" w:space="0"/>
            </w:tcBorders>
            <w:vAlign w:val="center"/>
          </w:tcPr>
          <w:p>
            <w:pPr>
              <w:pStyle w:val="63"/>
              <w:rPr>
                <w:b/>
              </w:rPr>
            </w:pPr>
            <w:r>
              <w:rPr>
                <w:b/>
              </w:rPr>
              <w:t>文件内容</w:t>
            </w:r>
          </w:p>
        </w:tc>
        <w:tc>
          <w:tcPr>
            <w:tcW w:w="1663" w:type="pct"/>
            <w:tcBorders>
              <w:top w:val="single" w:color="auto" w:sz="12" w:space="0"/>
              <w:left w:val="single" w:color="auto" w:sz="2" w:space="0"/>
              <w:bottom w:val="single" w:color="auto" w:sz="4" w:space="0"/>
              <w:right w:val="single" w:color="auto" w:sz="2" w:space="0"/>
            </w:tcBorders>
            <w:vAlign w:val="center"/>
          </w:tcPr>
          <w:p>
            <w:pPr>
              <w:pStyle w:val="63"/>
              <w:rPr>
                <w:b/>
              </w:rPr>
            </w:pPr>
            <w:r>
              <w:rPr>
                <w:b/>
              </w:rPr>
              <w:t>本项目情况</w:t>
            </w:r>
          </w:p>
        </w:tc>
        <w:tc>
          <w:tcPr>
            <w:tcW w:w="509" w:type="pct"/>
            <w:tcBorders>
              <w:top w:val="single" w:color="auto" w:sz="12" w:space="0"/>
              <w:left w:val="single" w:color="auto" w:sz="2" w:space="0"/>
              <w:bottom w:val="single" w:color="auto" w:sz="4" w:space="0"/>
              <w:right w:val="nil"/>
            </w:tcBorders>
            <w:vAlign w:val="center"/>
          </w:tcPr>
          <w:p>
            <w:pPr>
              <w:pStyle w:val="63"/>
              <w:rPr>
                <w:b/>
              </w:rPr>
            </w:pPr>
            <w:r>
              <w:rPr>
                <w:b/>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751" w:hRule="atLeast"/>
        </w:trPr>
        <w:tc>
          <w:tcPr>
            <w:tcW w:w="2828" w:type="pct"/>
            <w:tcBorders>
              <w:top w:val="single" w:color="auto" w:sz="4" w:space="0"/>
              <w:left w:val="nil"/>
              <w:bottom w:val="single" w:color="auto" w:sz="4" w:space="0"/>
              <w:right w:val="single" w:color="auto" w:sz="2" w:space="0"/>
            </w:tcBorders>
            <w:vAlign w:val="center"/>
          </w:tcPr>
          <w:p>
            <w:pPr>
              <w:pStyle w:val="63"/>
              <w:jc w:val="left"/>
            </w:pPr>
            <w:r>
              <w:t>第二十二条</w:t>
            </w:r>
            <w:r>
              <w:rPr>
                <w:rFonts w:hint="eastAsia"/>
              </w:rPr>
              <w:t xml:space="preserve"> </w:t>
            </w:r>
            <w:r>
              <w:t>禁止在长江流域重点生态功能区布局对生态系统有严重影响的产业。</w:t>
            </w:r>
          </w:p>
        </w:tc>
        <w:tc>
          <w:tcPr>
            <w:tcW w:w="1663" w:type="pct"/>
            <w:tcBorders>
              <w:top w:val="single" w:color="auto" w:sz="4" w:space="0"/>
              <w:left w:val="single" w:color="auto" w:sz="2" w:space="0"/>
              <w:bottom w:val="single" w:color="auto" w:sz="4" w:space="0"/>
              <w:right w:val="single" w:color="auto" w:sz="2" w:space="0"/>
            </w:tcBorders>
            <w:vAlign w:val="center"/>
          </w:tcPr>
          <w:p>
            <w:pPr>
              <w:pStyle w:val="63"/>
              <w:jc w:val="left"/>
            </w:pPr>
            <w:r>
              <w:t>本项目占地面积较小，不属于对生态系统有严重影响的项目</w:t>
            </w:r>
          </w:p>
        </w:tc>
        <w:tc>
          <w:tcPr>
            <w:tcW w:w="509" w:type="pct"/>
            <w:tcBorders>
              <w:top w:val="single" w:color="auto" w:sz="4" w:space="0"/>
              <w:left w:val="single" w:color="auto" w:sz="2" w:space="0"/>
              <w:bottom w:val="single" w:color="auto" w:sz="4" w:space="0"/>
              <w:right w:val="nil"/>
            </w:tcBorders>
            <w:vAlign w:val="center"/>
          </w:tcPr>
          <w:p>
            <w:pPr>
              <w:pStyle w:val="6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828" w:type="pct"/>
            <w:tcBorders>
              <w:top w:val="single" w:color="auto" w:sz="4" w:space="0"/>
              <w:left w:val="nil"/>
              <w:bottom w:val="single" w:color="auto" w:sz="12" w:space="0"/>
              <w:right w:val="single" w:color="auto" w:sz="2" w:space="0"/>
            </w:tcBorders>
            <w:vAlign w:val="center"/>
          </w:tcPr>
          <w:p>
            <w:pPr>
              <w:pStyle w:val="63"/>
              <w:jc w:val="left"/>
            </w:pPr>
            <w:r>
              <w:t>第二十六条</w:t>
            </w:r>
            <w:r>
              <w:rPr>
                <w:rFonts w:hint="eastAsia"/>
              </w:rPr>
              <w:t xml:space="preserve"> </w:t>
            </w:r>
            <w:r>
              <w:t>禁止在长江干支流岸线一公里范围内新建、扩建化工园区和化工项目。</w:t>
            </w:r>
          </w:p>
          <w:p>
            <w:pPr>
              <w:pStyle w:val="63"/>
              <w:jc w:val="left"/>
            </w:pPr>
            <w:r>
              <w:t>禁止在长江干流岸线三公里范围内和重要支流岸线一公里范围内新建、改建、扩建尾矿库；但是以提升安全、生态环境保护水平为目的改建除外。</w:t>
            </w:r>
          </w:p>
        </w:tc>
        <w:tc>
          <w:tcPr>
            <w:tcW w:w="1663" w:type="pct"/>
            <w:tcBorders>
              <w:top w:val="single" w:color="auto" w:sz="4" w:space="0"/>
              <w:left w:val="single" w:color="auto" w:sz="2" w:space="0"/>
              <w:bottom w:val="single" w:color="auto" w:sz="12" w:space="0"/>
              <w:right w:val="single" w:color="auto" w:sz="2" w:space="0"/>
            </w:tcBorders>
            <w:vAlign w:val="center"/>
          </w:tcPr>
          <w:p>
            <w:pPr>
              <w:pStyle w:val="63"/>
              <w:jc w:val="left"/>
            </w:pPr>
            <w:r>
              <w:t>本项目属于天然气</w:t>
            </w:r>
            <w:r>
              <w:rPr>
                <w:rFonts w:hint="eastAsia"/>
              </w:rPr>
              <w:t>管线建设</w:t>
            </w:r>
            <w:r>
              <w:t>项目，不属于化工项目，也不涉及尾矿库的建设</w:t>
            </w:r>
          </w:p>
        </w:tc>
        <w:tc>
          <w:tcPr>
            <w:tcW w:w="509" w:type="pct"/>
            <w:tcBorders>
              <w:top w:val="single" w:color="auto" w:sz="4" w:space="0"/>
              <w:left w:val="single" w:color="auto" w:sz="2" w:space="0"/>
              <w:bottom w:val="single" w:color="auto" w:sz="12" w:space="0"/>
              <w:right w:val="nil"/>
            </w:tcBorders>
            <w:vAlign w:val="center"/>
          </w:tcPr>
          <w:p>
            <w:pPr>
              <w:pStyle w:val="63"/>
            </w:pPr>
            <w:r>
              <w:t>符合</w:t>
            </w:r>
          </w:p>
        </w:tc>
      </w:tr>
    </w:tbl>
    <w:p>
      <w:pPr>
        <w:ind w:firstLine="480"/>
        <w:rPr>
          <w:rFonts w:cs="Times New Roman"/>
        </w:rPr>
      </w:pPr>
      <w:r>
        <w:rPr>
          <w:rFonts w:ascii="宋体" w:hAnsi="宋体"/>
        </w:rPr>
        <w:t>经分析，项目符合《中华人民共和国长江保护法》要求。</w:t>
      </w:r>
    </w:p>
    <w:p>
      <w:pPr>
        <w:pStyle w:val="2"/>
        <w:spacing w:line="360" w:lineRule="auto"/>
        <w:ind w:left="0" w:leftChars="0" w:firstLine="466" w:firstLineChars="200"/>
        <w:outlineLvl w:val="6"/>
        <w:rPr>
          <w:rFonts w:ascii="宋体" w:hAnsi="宋体"/>
          <w:b/>
          <w:spacing w:val="-4"/>
          <w:sz w:val="24"/>
        </w:rPr>
      </w:pPr>
      <w:r>
        <w:rPr>
          <w:rFonts w:hint="eastAsia" w:ascii="宋体" w:hAnsi="宋体"/>
          <w:b/>
          <w:spacing w:val="-4"/>
          <w:sz w:val="24"/>
        </w:rPr>
        <w:t>④</w:t>
      </w:r>
      <w:r>
        <w:rPr>
          <w:rFonts w:ascii="宋体" w:hAnsi="宋体"/>
          <w:b/>
          <w:spacing w:val="-4"/>
          <w:sz w:val="24"/>
        </w:rPr>
        <w:t>与《四川省“十三五”环境保护规划》符合性分析</w:t>
      </w:r>
    </w:p>
    <w:p>
      <w:pPr>
        <w:ind w:firstLine="480"/>
        <w:rPr>
          <w:rFonts w:cs="Times New Roman"/>
          <w:szCs w:val="24"/>
        </w:rPr>
      </w:pPr>
      <w:r>
        <w:rPr>
          <w:rFonts w:ascii="宋体" w:hAnsi="宋体"/>
        </w:rPr>
        <w:t>根据四川省人民政府</w:t>
      </w:r>
      <w:r>
        <w:t>2017</w:t>
      </w:r>
      <w:r>
        <w:rPr>
          <w:rFonts w:ascii="宋体" w:hAnsi="宋体"/>
        </w:rPr>
        <w:t>年</w:t>
      </w:r>
      <w:r>
        <w:t>2</w:t>
      </w:r>
      <w:r>
        <w:rPr>
          <w:rFonts w:ascii="宋体" w:hAnsi="宋体"/>
        </w:rPr>
        <w:t>月</w:t>
      </w:r>
      <w:r>
        <w:t>28</w:t>
      </w:r>
      <w:r>
        <w:rPr>
          <w:rFonts w:ascii="宋体" w:hAnsi="宋体"/>
        </w:rPr>
        <w:t>日发布的《四川省</w:t>
      </w:r>
      <w:r>
        <w:t>“</w:t>
      </w:r>
      <w:r>
        <w:rPr>
          <w:rFonts w:ascii="宋体" w:hAnsi="宋体"/>
        </w:rPr>
        <w:t>十三五</w:t>
      </w:r>
      <w:r>
        <w:t>”</w:t>
      </w:r>
      <w:r>
        <w:rPr>
          <w:rFonts w:ascii="宋体" w:hAnsi="宋体"/>
        </w:rPr>
        <w:t>环境保护规划》：</w:t>
      </w:r>
      <w:r>
        <w:t>“</w:t>
      </w:r>
      <w:r>
        <w:rPr>
          <w:rFonts w:ascii="宋体" w:hAnsi="宋体"/>
        </w:rPr>
        <w:t xml:space="preserve">三、强化环境管控，推动绿色发展 </w:t>
      </w:r>
      <w:r>
        <w:t>(</w:t>
      </w:r>
      <w:r>
        <w:rPr>
          <w:rFonts w:ascii="宋体" w:hAnsi="宋体"/>
        </w:rPr>
        <w:t>一</w:t>
      </w:r>
      <w:r>
        <w:t>)</w:t>
      </w:r>
      <w:r>
        <w:rPr>
          <w:rFonts w:ascii="宋体" w:hAnsi="宋体"/>
        </w:rPr>
        <w:t>加强生态环境空间管控。增加增加绿色产品有效供给</w:t>
      </w:r>
      <w:r>
        <w:t>……</w:t>
      </w:r>
      <w:r>
        <w:rPr>
          <w:rFonts w:ascii="宋体" w:hAnsi="宋体"/>
        </w:rPr>
        <w:t>限制使用高耗能、高污染的产品和设备</w:t>
      </w:r>
      <w:r>
        <w:t>……</w:t>
      </w:r>
      <w:r>
        <w:rPr>
          <w:rFonts w:ascii="宋体" w:hAnsi="宋体"/>
        </w:rPr>
        <w:t>发展电动和天然气环卫、出租、公交车辆等。</w:t>
      </w:r>
      <w:r>
        <w:t>”“</w:t>
      </w:r>
      <w:r>
        <w:rPr>
          <w:rFonts w:ascii="宋体" w:hAnsi="宋体"/>
        </w:rPr>
        <w:t xml:space="preserve">四、实施三大战役，改善环境质量 </w:t>
      </w:r>
      <w:r>
        <w:t>(</w:t>
      </w:r>
      <w:r>
        <w:rPr>
          <w:rFonts w:ascii="宋体" w:hAnsi="宋体"/>
        </w:rPr>
        <w:t>一</w:t>
      </w:r>
      <w:r>
        <w:t>)</w:t>
      </w:r>
      <w:r>
        <w:rPr>
          <w:rFonts w:ascii="宋体" w:hAnsi="宋体"/>
        </w:rPr>
        <w:t>打好大气污染防治攻坚战。</w:t>
      </w:r>
      <w:r>
        <w:t>……</w:t>
      </w:r>
      <w:r>
        <w:rPr>
          <w:rFonts w:ascii="宋体" w:hAnsi="宋体"/>
        </w:rPr>
        <w:t>增加天然气等清洁能源供应</w:t>
      </w:r>
      <w:r>
        <w:t>……</w:t>
      </w:r>
      <w:r>
        <w:rPr>
          <w:rFonts w:ascii="宋体" w:hAnsi="宋体"/>
        </w:rPr>
        <w:t>专栏</w:t>
      </w:r>
      <w:r>
        <w:t xml:space="preserve">2 </w:t>
      </w:r>
      <w:r>
        <w:rPr>
          <w:rFonts w:ascii="宋体" w:hAnsi="宋体"/>
        </w:rPr>
        <w:t>大气污染综合防治重点任务：</w:t>
      </w:r>
      <w:r>
        <w:t>‘</w:t>
      </w:r>
      <w:r>
        <w:rPr>
          <w:rFonts w:ascii="宋体" w:hAnsi="宋体"/>
        </w:rPr>
        <w:t>气化全川</w:t>
      </w:r>
      <w:r>
        <w:t>’</w:t>
      </w:r>
      <w:r>
        <w:rPr>
          <w:rFonts w:ascii="宋体" w:hAnsi="宋体"/>
        </w:rPr>
        <w:t>。完善天然气输送管道、城镇燃气管道、储气库和调峰站等基础设施建设。</w:t>
      </w:r>
      <w:r>
        <w:t>”“</w:t>
      </w:r>
      <w:r>
        <w:rPr>
          <w:rFonts w:ascii="宋体" w:hAnsi="宋体"/>
        </w:rPr>
        <w:t>五、统筹城乡治理</w:t>
      </w:r>
      <w:r>
        <w:t>,</w:t>
      </w:r>
      <w:r>
        <w:rPr>
          <w:rFonts w:ascii="宋体" w:hAnsi="宋体"/>
        </w:rPr>
        <w:t>推进治污减排（五）强化移动源污染防治。</w:t>
      </w:r>
      <w:r>
        <w:t>……</w:t>
      </w:r>
      <w:r>
        <w:rPr>
          <w:rFonts w:ascii="宋体" w:hAnsi="宋体"/>
        </w:rPr>
        <w:t>鼓励使用液化天然气等清洁燃料</w:t>
      </w:r>
      <w:r>
        <w:t>……”</w:t>
      </w:r>
    </w:p>
    <w:p>
      <w:pPr>
        <w:ind w:firstLine="480"/>
      </w:pPr>
      <w:r>
        <w:rPr>
          <w:rFonts w:ascii="宋体" w:hAnsi="宋体"/>
        </w:rPr>
        <w:t>本项目为天然气</w:t>
      </w:r>
      <w:r>
        <w:rPr>
          <w:rFonts w:hint="eastAsia" w:ascii="宋体" w:hAnsi="宋体"/>
        </w:rPr>
        <w:t>管线建设</w:t>
      </w:r>
      <w:r>
        <w:rPr>
          <w:rFonts w:ascii="宋体" w:hAnsi="宋体"/>
        </w:rPr>
        <w:t>项目，天然气属于清洁能源，为规划鼓励使用的清洁燃料，符合规划要求。</w:t>
      </w:r>
    </w:p>
    <w:p>
      <w:pPr>
        <w:ind w:firstLine="480"/>
      </w:pPr>
      <w:r>
        <w:rPr>
          <w:rFonts w:ascii="宋体" w:hAnsi="宋体"/>
        </w:rPr>
        <w:t>综上，本项目符合《四川省</w:t>
      </w:r>
      <w:r>
        <w:t>“</w:t>
      </w:r>
      <w:r>
        <w:rPr>
          <w:rFonts w:ascii="宋体" w:hAnsi="宋体"/>
        </w:rPr>
        <w:t>十三五</w:t>
      </w:r>
      <w:r>
        <w:t>”</w:t>
      </w:r>
      <w:r>
        <w:rPr>
          <w:rFonts w:ascii="宋体" w:hAnsi="宋体"/>
        </w:rPr>
        <w:t>环境保护规划》。</w:t>
      </w:r>
    </w:p>
    <w:p>
      <w:pPr>
        <w:pStyle w:val="6"/>
      </w:pPr>
      <w:r>
        <w:rPr>
          <w:rFonts w:hint="eastAsia"/>
        </w:rPr>
        <w:t xml:space="preserve"> </w:t>
      </w:r>
      <w:r>
        <w:t>与其他环保政策及规定的符合性分析</w:t>
      </w:r>
    </w:p>
    <w:p>
      <w:pPr>
        <w:ind w:firstLine="482"/>
        <w:outlineLvl w:val="5"/>
        <w:rPr>
          <w:b/>
          <w:bCs/>
        </w:rPr>
      </w:pPr>
      <w:r>
        <w:rPr>
          <w:b/>
          <w:bCs/>
        </w:rPr>
        <w:t>（</w:t>
      </w:r>
      <w:r>
        <w:rPr>
          <w:rFonts w:hint="eastAsia"/>
          <w:b/>
          <w:bCs/>
        </w:rPr>
        <w:t>1</w:t>
      </w:r>
      <w:r>
        <w:rPr>
          <w:b/>
          <w:bCs/>
        </w:rPr>
        <w:t>）与“关于进一步加强石油天然气行业环境影响评价管理的通知”的符合性分析</w:t>
      </w:r>
    </w:p>
    <w:p>
      <w:pPr>
        <w:pStyle w:val="214"/>
        <w:ind w:firstLine="480"/>
      </w:pPr>
      <w:r>
        <w:t>中华人民共和国生态环境部于2019年12月13日发布了《关于进一步加强石油天然气行业环境影响评价管理的通知》（环办环评函</w:t>
      </w:r>
      <w:r>
        <w:rPr>
          <w:rFonts w:hint="eastAsia" w:ascii="宋体" w:hAnsi="宋体"/>
        </w:rPr>
        <w:t>﹝</w:t>
      </w:r>
      <w:r>
        <w:t>2019</w:t>
      </w:r>
      <w:r>
        <w:rPr>
          <w:rFonts w:hint="eastAsia" w:ascii="宋体" w:hAnsi="宋体"/>
        </w:rPr>
        <w:t>﹞</w:t>
      </w:r>
      <w:r>
        <w:t>910号），本项目与其符合性分析见下表。</w:t>
      </w:r>
    </w:p>
    <w:p>
      <w:pPr>
        <w:pStyle w:val="7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t xml:space="preserve">  与《关于进一步加强石油天然气行业环境影响评价管理的通知》符合性分析</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3543"/>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392" w:type="pct"/>
            <w:tcBorders>
              <w:top w:val="single" w:color="auto" w:sz="12" w:space="0"/>
              <w:left w:val="nil"/>
            </w:tcBorders>
            <w:vAlign w:val="center"/>
          </w:tcPr>
          <w:p>
            <w:pPr>
              <w:adjustRightInd w:val="0"/>
              <w:spacing w:after="120" w:line="240" w:lineRule="auto"/>
              <w:ind w:firstLine="0" w:firstLineChars="0"/>
              <w:jc w:val="center"/>
              <w:rPr>
                <w:b/>
                <w:sz w:val="21"/>
              </w:rPr>
            </w:pPr>
            <w:r>
              <w:rPr>
                <w:b/>
                <w:sz w:val="21"/>
              </w:rPr>
              <w:t>文件要求</w:t>
            </w:r>
          </w:p>
        </w:tc>
        <w:tc>
          <w:tcPr>
            <w:tcW w:w="2079" w:type="pct"/>
            <w:tcBorders>
              <w:top w:val="single" w:color="auto" w:sz="12" w:space="0"/>
            </w:tcBorders>
            <w:vAlign w:val="center"/>
          </w:tcPr>
          <w:p>
            <w:pPr>
              <w:adjustRightInd w:val="0"/>
              <w:spacing w:after="120" w:line="240" w:lineRule="auto"/>
              <w:ind w:firstLine="0" w:firstLineChars="0"/>
              <w:jc w:val="center"/>
              <w:rPr>
                <w:b/>
                <w:sz w:val="21"/>
              </w:rPr>
            </w:pPr>
            <w:r>
              <w:rPr>
                <w:b/>
                <w:sz w:val="21"/>
              </w:rPr>
              <w:t>项目情况</w:t>
            </w:r>
          </w:p>
        </w:tc>
        <w:tc>
          <w:tcPr>
            <w:tcW w:w="529" w:type="pct"/>
            <w:tcBorders>
              <w:top w:val="single" w:color="auto" w:sz="12" w:space="0"/>
            </w:tcBorders>
            <w:vAlign w:val="center"/>
          </w:tcPr>
          <w:p>
            <w:pPr>
              <w:adjustRightInd w:val="0"/>
              <w:spacing w:after="120" w:line="240" w:lineRule="auto"/>
              <w:ind w:firstLine="0" w:firstLineChars="0"/>
              <w:jc w:val="center"/>
              <w:rPr>
                <w:b/>
                <w:sz w:val="21"/>
              </w:rPr>
            </w:pPr>
            <w:r>
              <w:rPr>
                <w:b/>
                <w:sz w:val="21"/>
              </w:rPr>
              <w:t>符合</w:t>
            </w:r>
            <w:r>
              <w:rPr>
                <w:rFonts w:hint="eastAsia"/>
                <w:b/>
                <w:sz w:val="21"/>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92" w:type="pct"/>
            <w:tcBorders>
              <w:left w:val="nil"/>
            </w:tcBorders>
            <w:vAlign w:val="center"/>
          </w:tcPr>
          <w:p>
            <w:pPr>
              <w:adjustRightInd w:val="0"/>
              <w:spacing w:after="120" w:line="240" w:lineRule="auto"/>
              <w:ind w:firstLine="0" w:firstLineChars="0"/>
              <w:jc w:val="left"/>
              <w:rPr>
                <w:b/>
                <w:sz w:val="21"/>
              </w:rPr>
            </w:pPr>
            <w:r>
              <w:rPr>
                <w:sz w:val="21"/>
              </w:rPr>
              <w:t>（六）施工期应当尽量减少施工占地、缩短施工时间、选择合理施工方式、落实环境敏感区管控要求以及其他生态环境保护措施，降低生态环境影响。</w:t>
            </w:r>
          </w:p>
        </w:tc>
        <w:tc>
          <w:tcPr>
            <w:tcW w:w="2079" w:type="pct"/>
            <w:vAlign w:val="center"/>
          </w:tcPr>
          <w:p>
            <w:pPr>
              <w:adjustRightInd w:val="0"/>
              <w:spacing w:after="120" w:line="240" w:lineRule="auto"/>
              <w:ind w:firstLine="0" w:firstLineChars="0"/>
              <w:jc w:val="left"/>
              <w:rPr>
                <w:b/>
                <w:sz w:val="21"/>
              </w:rPr>
            </w:pPr>
            <w:r>
              <w:rPr>
                <w:sz w:val="21"/>
              </w:rPr>
              <w:t>本项目施工期已要求尽量减少施工占地、缩短施工时间、选择合理施工方式，避开环境敏感区，采取生态环境保护措施降低生态环境影响</w:t>
            </w:r>
          </w:p>
        </w:tc>
        <w:tc>
          <w:tcPr>
            <w:tcW w:w="529" w:type="pct"/>
            <w:vAlign w:val="center"/>
          </w:tcPr>
          <w:p>
            <w:pPr>
              <w:adjustRightInd w:val="0"/>
              <w:spacing w:after="120" w:line="240" w:lineRule="auto"/>
              <w:ind w:firstLine="0" w:firstLineChars="0"/>
              <w:jc w:val="center"/>
              <w:rPr>
                <w:b/>
                <w:sz w:val="21"/>
              </w:rPr>
            </w:pPr>
            <w:r>
              <w:rPr>
                <w:b/>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392" w:type="pct"/>
            <w:tcBorders>
              <w:left w:val="nil"/>
            </w:tcBorders>
            <w:vAlign w:val="center"/>
          </w:tcPr>
          <w:p>
            <w:pPr>
              <w:adjustRightInd w:val="0"/>
              <w:spacing w:after="120" w:line="240" w:lineRule="auto"/>
              <w:ind w:firstLine="0" w:firstLineChars="0"/>
              <w:jc w:val="left"/>
              <w:rPr>
                <w:sz w:val="21"/>
              </w:rPr>
            </w:pPr>
            <w:r>
              <w:rPr>
                <w:sz w:val="21"/>
              </w:rPr>
              <w:t>（八）油气企业应当加强风险防控，按规定编制突发环境事件应急预案，报所在地生态环境主管部门备案。</w:t>
            </w:r>
          </w:p>
        </w:tc>
        <w:tc>
          <w:tcPr>
            <w:tcW w:w="2079" w:type="pct"/>
            <w:vAlign w:val="center"/>
          </w:tcPr>
          <w:p>
            <w:pPr>
              <w:adjustRightInd w:val="0"/>
              <w:spacing w:after="120" w:line="240" w:lineRule="auto"/>
              <w:ind w:firstLine="0" w:firstLineChars="0"/>
              <w:jc w:val="left"/>
              <w:rPr>
                <w:rFonts w:cstheme="majorBidi"/>
                <w:sz w:val="21"/>
                <w:szCs w:val="20"/>
                <w:shd w:val="clear" w:color="auto" w:fill="FFFFFF"/>
              </w:rPr>
            </w:pPr>
            <w:r>
              <w:rPr>
                <w:rFonts w:cstheme="majorBidi"/>
                <w:sz w:val="21"/>
                <w:szCs w:val="20"/>
                <w:shd w:val="clear" w:color="auto" w:fill="FFFFFF"/>
              </w:rPr>
              <w:t>项目建设单位和运营单位编制突发环境事件应急预案，并报所在地生态环境主管部门备案</w:t>
            </w:r>
          </w:p>
        </w:tc>
        <w:tc>
          <w:tcPr>
            <w:tcW w:w="529" w:type="pct"/>
          </w:tcPr>
          <w:p>
            <w:pPr>
              <w:pStyle w:val="53"/>
              <w:ind w:firstLine="0" w:firstLineChars="0"/>
              <w:outlineLvl w:val="6"/>
              <w:rPr>
                <w:rFonts w:ascii="宋体" w:hAnsi="宋体"/>
              </w:rPr>
            </w:pPr>
            <w:r>
              <w:rPr>
                <w:b w:val="0"/>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92" w:type="pct"/>
            <w:tcBorders>
              <w:left w:val="nil"/>
            </w:tcBorders>
          </w:tcPr>
          <w:p>
            <w:pPr>
              <w:pStyle w:val="63"/>
              <w:jc w:val="left"/>
              <w:rPr>
                <w:rFonts w:ascii="宋体" w:hAnsi="宋体"/>
              </w:rPr>
            </w:pPr>
            <w:r>
              <w:rPr>
                <w:rFonts w:hint="eastAsia"/>
                <w:shd w:val="clear" w:color="auto" w:fill="FFFFFF"/>
              </w:rPr>
              <w:t>（十二）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2079" w:type="pct"/>
          </w:tcPr>
          <w:p>
            <w:pPr>
              <w:pStyle w:val="53"/>
              <w:spacing w:line="240" w:lineRule="auto"/>
              <w:ind w:firstLine="0" w:firstLineChars="0"/>
              <w:outlineLvl w:val="6"/>
              <w:rPr>
                <w:rFonts w:cstheme="majorBidi"/>
                <w:b w:val="0"/>
                <w:kern w:val="2"/>
                <w:sz w:val="21"/>
                <w:szCs w:val="20"/>
                <w:shd w:val="clear" w:color="auto" w:fill="FFFFFF"/>
                <w:lang w:val="en-US"/>
              </w:rPr>
            </w:pPr>
            <w:r>
              <w:rPr>
                <w:rFonts w:hint="eastAsia" w:cstheme="majorBidi"/>
                <w:b w:val="0"/>
                <w:kern w:val="2"/>
                <w:sz w:val="21"/>
                <w:szCs w:val="20"/>
                <w:shd w:val="clear" w:color="auto" w:fill="FFFFFF"/>
                <w:lang w:val="en-US"/>
              </w:rPr>
              <w:t>本项目集输管道已对环境敏感区进行了避让。本次环评已从穿越位置、穿越方式、施工场地设置、管线工艺设计、环境风险防范等方面进行深入论证，对环境风险进行了重点分析，选线已尽量远离居民</w:t>
            </w:r>
          </w:p>
        </w:tc>
        <w:tc>
          <w:tcPr>
            <w:tcW w:w="529" w:type="pct"/>
          </w:tcPr>
          <w:p>
            <w:pPr>
              <w:pStyle w:val="53"/>
              <w:ind w:firstLine="0" w:firstLineChars="0"/>
              <w:outlineLvl w:val="6"/>
              <w:rPr>
                <w:rFonts w:ascii="宋体" w:hAnsi="宋体"/>
              </w:rPr>
            </w:pPr>
            <w:r>
              <w:rPr>
                <w:b w:val="0"/>
                <w:sz w:val="21"/>
              </w:rPr>
              <w:t>符合</w:t>
            </w:r>
          </w:p>
        </w:tc>
      </w:tr>
    </w:tbl>
    <w:p>
      <w:pPr>
        <w:pStyle w:val="248"/>
        <w:ind w:firstLine="480"/>
      </w:pPr>
    </w:p>
    <w:p>
      <w:pPr>
        <w:ind w:firstLine="482"/>
        <w:outlineLvl w:val="5"/>
        <w:rPr>
          <w:b/>
          <w:bCs/>
        </w:rPr>
      </w:pPr>
      <w:r>
        <w:rPr>
          <w:b/>
          <w:bCs/>
        </w:rPr>
        <w:t>（</w:t>
      </w:r>
      <w:r>
        <w:rPr>
          <w:rFonts w:hint="eastAsia"/>
          <w:b/>
          <w:bCs/>
        </w:rPr>
        <w:t>2</w:t>
      </w:r>
      <w:r>
        <w:rPr>
          <w:b/>
          <w:bCs/>
        </w:rPr>
        <w:t>）与其他环保政策符合性分析</w:t>
      </w:r>
    </w:p>
    <w:p>
      <w:pPr>
        <w:pStyle w:val="248"/>
        <w:ind w:firstLine="480"/>
        <w:rPr>
          <w:rFonts w:ascii="宋体" w:hAnsi="宋体"/>
        </w:rPr>
      </w:pPr>
      <w:r>
        <w:t>本项目涉及行业和地方的一些油气开发和环境保护政策，包括《关于贯彻实施国家主体功能区环境政策的若干意见》（环发〔2015〕92号）、《大气污染防治行动计划》（国发〔2013〕37号）、《土壤污染防治行动计划》《水污染防治行动计划》《四川省饮用水水源保护管理条例》《基本农田保护条例》等，与其相关内容符合性分析如下。</w:t>
      </w:r>
    </w:p>
    <w:p>
      <w:pPr>
        <w:pStyle w:val="25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t xml:space="preserve">  与其他环保政策符合性分析</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853"/>
        <w:gridCol w:w="2713"/>
        <w:gridCol w:w="7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9" w:hRule="atLeast"/>
          <w:tblHeader/>
          <w:jc w:val="center"/>
        </w:trPr>
        <w:tc>
          <w:tcPr>
            <w:tcW w:w="2902" w:type="pct"/>
            <w:vAlign w:val="center"/>
          </w:tcPr>
          <w:p>
            <w:pPr>
              <w:pStyle w:val="63"/>
              <w:rPr>
                <w:b/>
              </w:rPr>
            </w:pPr>
            <w:r>
              <w:rPr>
                <w:b/>
              </w:rPr>
              <w:t>规划名称规划内容</w:t>
            </w:r>
          </w:p>
        </w:tc>
        <w:tc>
          <w:tcPr>
            <w:tcW w:w="1622" w:type="pct"/>
            <w:vAlign w:val="center"/>
          </w:tcPr>
          <w:p>
            <w:pPr>
              <w:pStyle w:val="63"/>
              <w:rPr>
                <w:b/>
              </w:rPr>
            </w:pPr>
            <w:r>
              <w:rPr>
                <w:b/>
              </w:rPr>
              <w:t>符合性分析</w:t>
            </w:r>
          </w:p>
        </w:tc>
        <w:tc>
          <w:tcPr>
            <w:tcW w:w="476" w:type="pct"/>
          </w:tcPr>
          <w:p>
            <w:pPr>
              <w:pStyle w:val="63"/>
              <w:rPr>
                <w:b/>
              </w:rPr>
            </w:pPr>
            <w:r>
              <w:rPr>
                <w:b/>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7" w:hRule="atLeast"/>
          <w:jc w:val="center"/>
        </w:trPr>
        <w:tc>
          <w:tcPr>
            <w:tcW w:w="2902" w:type="pct"/>
            <w:vAlign w:val="center"/>
          </w:tcPr>
          <w:p>
            <w:pPr>
              <w:pStyle w:val="63"/>
              <w:jc w:val="left"/>
            </w:pPr>
            <w:r>
              <w:t>1.《关于贯彻实施国家主体功能区环境政策的若干意见环发》〔2015〕92号</w:t>
            </w:r>
          </w:p>
          <w:p>
            <w:pPr>
              <w:pStyle w:val="63"/>
              <w:jc w:val="left"/>
            </w:pPr>
            <w:r>
              <w:t>重点开发区域环境政策：成渝、黔中、滇中、藏中南等区域需严控有色金属产业项目审批，积极推动有色金属采冶的环境健康风险评估。要重视饮用水安全及水污染产生的环境健康问题和矿产资源开发带来的人群健康风险问题。</w:t>
            </w:r>
          </w:p>
          <w:p>
            <w:pPr>
              <w:pStyle w:val="63"/>
              <w:jc w:val="left"/>
            </w:pPr>
            <w:r>
              <w:t>成渝、黔中、滇中、藏中南等区域要强化酸雨污染防治，加强流域水土流失和水污染防治，加强石漠化治理、高原湖泊保护、大江大河防护林建设，保护和增强藏中南地区生态系统多样性及适应气候变化能力，优化并合理布局水电开发，开展有色金属采冶的环境健康风险评估。</w:t>
            </w:r>
          </w:p>
        </w:tc>
        <w:tc>
          <w:tcPr>
            <w:tcW w:w="1622" w:type="pct"/>
            <w:vAlign w:val="center"/>
          </w:tcPr>
          <w:p>
            <w:pPr>
              <w:pStyle w:val="63"/>
              <w:jc w:val="left"/>
            </w:pPr>
            <w:r>
              <w:t>本项目为天然气管线隐患治理项目，项目的实施对水环境影响很小，对农村居民分散水井的水质影响小，不涉及重金属污染，施工期加强水土保持措施、生态防护措施和各项污染物治理措施，以减少水土流失和生态影响，符合政策要求。</w:t>
            </w:r>
          </w:p>
        </w:tc>
        <w:tc>
          <w:tcPr>
            <w:tcW w:w="476" w:type="pct"/>
            <w:vAlign w:val="center"/>
          </w:tcPr>
          <w:p>
            <w:pPr>
              <w:pStyle w:val="63"/>
            </w:pPr>
            <w: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2902" w:type="pct"/>
            <w:vAlign w:val="center"/>
          </w:tcPr>
          <w:p>
            <w:pPr>
              <w:pStyle w:val="63"/>
              <w:jc w:val="left"/>
            </w:pPr>
            <w:r>
              <w:t>2.《大气污染防治行动计划》（国发〔2013〕37号）</w:t>
            </w:r>
          </w:p>
          <w:p>
            <w:pPr>
              <w:pStyle w:val="63"/>
              <w:jc w:val="left"/>
            </w:pPr>
            <w:r>
              <w:t>加快清洁能源替代利用。加大天然气、煤制天然气、煤层气供应。到2015年，新增天然气干线管输能力1500亿立方米以上，覆盖京津冀、长三角、珠三角等区域。优化天然气使用方式，新增天然气应优先保障居民生活或用于替代燃煤；鼓励发展天然气分布式能源等高效利用项目，限制发展天然气化工项目；有序发展天然气调峰电站，原则上不再新建天然气发电项目。扩大城市高污染燃料禁燃区范围，逐步由城市建成区扩展到近郊。结合城中村、城乡结合部、棚户区改造，通过政策补偿和实施峰谷电价、季节性电价、阶梯电价、调峰电价等措施，逐步推行以天然气或电替代煤炭。</w:t>
            </w:r>
          </w:p>
        </w:tc>
        <w:tc>
          <w:tcPr>
            <w:tcW w:w="1622" w:type="pct"/>
            <w:vAlign w:val="center"/>
          </w:tcPr>
          <w:p>
            <w:pPr>
              <w:pStyle w:val="63"/>
              <w:jc w:val="left"/>
            </w:pPr>
            <w:r>
              <w:t>本项目实施有利于加大天然气供应，总体符合文件要求。</w:t>
            </w:r>
          </w:p>
        </w:tc>
        <w:tc>
          <w:tcPr>
            <w:tcW w:w="476" w:type="pct"/>
            <w:vAlign w:val="center"/>
          </w:tcPr>
          <w:p>
            <w:pPr>
              <w:pStyle w:val="63"/>
            </w:pPr>
            <w: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902" w:type="pct"/>
            <w:vAlign w:val="center"/>
          </w:tcPr>
          <w:p>
            <w:pPr>
              <w:pStyle w:val="63"/>
              <w:jc w:val="left"/>
            </w:pPr>
            <w:r>
              <w:t>3.《土壤污染防治行动计划》</w:t>
            </w:r>
          </w:p>
          <w:p>
            <w:pPr>
              <w:pStyle w:val="63"/>
              <w:jc w:val="left"/>
            </w:pPr>
            <w: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w:t>
            </w:r>
          </w:p>
        </w:tc>
        <w:tc>
          <w:tcPr>
            <w:tcW w:w="1622" w:type="pct"/>
            <w:vAlign w:val="center"/>
          </w:tcPr>
          <w:p>
            <w:pPr>
              <w:pStyle w:val="63"/>
              <w:jc w:val="left"/>
            </w:pPr>
            <w:r>
              <w:rPr>
                <w:rFonts w:hint="eastAsia"/>
              </w:rPr>
              <w:t>本项目固体废物均妥善处置,</w:t>
            </w:r>
            <w:r>
              <w:t>符合要求。</w:t>
            </w:r>
          </w:p>
        </w:tc>
        <w:tc>
          <w:tcPr>
            <w:tcW w:w="476" w:type="pct"/>
            <w:vAlign w:val="center"/>
          </w:tcPr>
          <w:p>
            <w:pPr>
              <w:pStyle w:val="63"/>
            </w:pPr>
            <w: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274" w:hRule="atLeast"/>
          <w:jc w:val="center"/>
        </w:trPr>
        <w:tc>
          <w:tcPr>
            <w:tcW w:w="2902" w:type="pct"/>
            <w:vAlign w:val="center"/>
          </w:tcPr>
          <w:p>
            <w:pPr>
              <w:pStyle w:val="63"/>
              <w:jc w:val="left"/>
            </w:pPr>
            <w:r>
              <w:t>4《水污染防治行动计划》</w:t>
            </w:r>
          </w:p>
          <w:p>
            <w:pPr>
              <w:pStyle w:val="63"/>
              <w:jc w:val="left"/>
            </w:pPr>
            <w:r>
              <w:t>防治地下水污染。石化生产存贮销售企业和工业园区、矿山开采区、垃圾填埋场等区域应进行必要的防渗处理。报废矿井、钻井、取水井应实施封井回填</w:t>
            </w:r>
          </w:p>
        </w:tc>
        <w:tc>
          <w:tcPr>
            <w:tcW w:w="1622" w:type="pct"/>
            <w:vAlign w:val="center"/>
          </w:tcPr>
          <w:p>
            <w:pPr>
              <w:pStyle w:val="63"/>
              <w:jc w:val="left"/>
            </w:pPr>
            <w:r>
              <w:t>本项目提出了地下水污染防治措施，不会对当地地下水产生污染影响。</w:t>
            </w:r>
          </w:p>
        </w:tc>
        <w:tc>
          <w:tcPr>
            <w:tcW w:w="476" w:type="pct"/>
            <w:vAlign w:val="center"/>
          </w:tcPr>
          <w:p>
            <w:pPr>
              <w:pStyle w:val="63"/>
            </w:pPr>
            <w: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7" w:hRule="atLeast"/>
          <w:jc w:val="center"/>
        </w:trPr>
        <w:tc>
          <w:tcPr>
            <w:tcW w:w="2902" w:type="pct"/>
            <w:vAlign w:val="center"/>
          </w:tcPr>
          <w:p>
            <w:pPr>
              <w:pStyle w:val="63"/>
              <w:jc w:val="left"/>
            </w:pPr>
            <w:r>
              <w:t>5.《基本农田保护条例》</w:t>
            </w:r>
          </w:p>
          <w:p>
            <w:pPr>
              <w:pStyle w:val="63"/>
              <w:jc w:val="left"/>
            </w:pPr>
            <w:r>
              <w:t>第十五条 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pPr>
              <w:pStyle w:val="63"/>
              <w:jc w:val="left"/>
            </w:pPr>
            <w:r>
              <w:t>第十六条 占用基本农田的单位应当按照县级以上地方人民政府的要求，将所占用基本农田耕作层的土壤用于新开垦耕地、劣质地或者其他耕地的土壤改良。</w:t>
            </w:r>
          </w:p>
        </w:tc>
        <w:tc>
          <w:tcPr>
            <w:tcW w:w="1622" w:type="pct"/>
            <w:vAlign w:val="center"/>
          </w:tcPr>
          <w:p>
            <w:pPr>
              <w:pStyle w:val="63"/>
              <w:jc w:val="left"/>
            </w:pPr>
            <w:r>
              <w:t>本项目临时占地涉及占用基本农田。本项目属于天然气管线隐患治理项目，属国家能源项目，无法避开基本农田的按要求办理临时用地手续。本项目施工期进行表土剥离和妥善保存，用于临时用地土地复垦。</w:t>
            </w:r>
          </w:p>
        </w:tc>
        <w:tc>
          <w:tcPr>
            <w:tcW w:w="476" w:type="pct"/>
            <w:vAlign w:val="center"/>
          </w:tcPr>
          <w:p>
            <w:pPr>
              <w:pStyle w:val="63"/>
            </w:pPr>
            <w:r>
              <w:t>符合</w:t>
            </w:r>
          </w:p>
        </w:tc>
      </w:tr>
    </w:tbl>
    <w:p>
      <w:pPr>
        <w:pStyle w:val="6"/>
        <w:spacing w:before="163" w:beforeLines="50"/>
      </w:pPr>
      <w:r>
        <w:rPr>
          <w:rFonts w:hint="eastAsia"/>
        </w:rPr>
        <w:t xml:space="preserve"> 与“三线一单”的符合性分析</w:t>
      </w:r>
    </w:p>
    <w:p>
      <w:pPr>
        <w:pStyle w:val="248"/>
        <w:ind w:firstLine="482"/>
        <w:outlineLvl w:val="5"/>
        <w:rPr>
          <w:b/>
        </w:rPr>
      </w:pPr>
      <w:r>
        <w:rPr>
          <w:b/>
        </w:rPr>
        <w:t>（</w:t>
      </w:r>
      <w:r>
        <w:rPr>
          <w:rFonts w:hint="eastAsia"/>
          <w:b/>
        </w:rPr>
        <w:t>1</w:t>
      </w:r>
      <w:r>
        <w:rPr>
          <w:b/>
        </w:rPr>
        <w:t>）与《巴中市人民政府关于落实“三线一单”生态环境分区管控的通知》符合性分析</w:t>
      </w:r>
    </w:p>
    <w:p>
      <w:pPr>
        <w:ind w:firstLine="480"/>
      </w:pPr>
      <w:r>
        <w:rPr>
          <w:bCs/>
        </w:rPr>
        <w:t>根据巴中市人民政府官网2021年6月30日公开发布的</w:t>
      </w:r>
      <w:r>
        <w:t>《巴中市人民政府关于落实“三线一单”生态环境分区管控的通知》，</w:t>
      </w:r>
      <w:bookmarkStart w:id="37" w:name="_Hlk87367580"/>
      <w:r>
        <w:t>本项目位于一般管控单元，与《巴中市人民政府关于落实“三线一单”生态环境分区管控的通知》</w:t>
      </w:r>
      <w:bookmarkEnd w:id="37"/>
      <w:r>
        <w:t>符合性分析见下表。</w:t>
      </w:r>
    </w:p>
    <w:p>
      <w:pPr>
        <w:pStyle w:val="25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r>
        <w:rPr>
          <w:rFonts w:hint="eastAsia"/>
        </w:rPr>
        <w:t xml:space="preserve"> </w:t>
      </w:r>
      <w:r>
        <w:t>与《巴中市人民政府关于落实“三线一单”生态环境分区管控的通知》符合性</w:t>
      </w:r>
    </w:p>
    <w:tbl>
      <w:tblPr>
        <w:tblStyle w:val="35"/>
        <w:tblW w:w="0" w:type="auto"/>
        <w:tblInd w:w="108"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34"/>
        <w:gridCol w:w="3686"/>
        <w:gridCol w:w="2693"/>
        <w:gridCol w:w="7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trPr>
        <w:tc>
          <w:tcPr>
            <w:tcW w:w="1134" w:type="dxa"/>
            <w:vAlign w:val="center"/>
          </w:tcPr>
          <w:p>
            <w:pPr>
              <w:pStyle w:val="63"/>
              <w:rPr>
                <w:b/>
                <w:bCs/>
              </w:rPr>
            </w:pPr>
            <w:r>
              <w:rPr>
                <w:b/>
              </w:rPr>
              <w:t>所属单元/行政区</w:t>
            </w:r>
          </w:p>
        </w:tc>
        <w:tc>
          <w:tcPr>
            <w:tcW w:w="3686" w:type="dxa"/>
            <w:vAlign w:val="center"/>
          </w:tcPr>
          <w:p>
            <w:pPr>
              <w:pStyle w:val="63"/>
              <w:rPr>
                <w:b/>
                <w:bCs/>
              </w:rPr>
            </w:pPr>
            <w:r>
              <w:rPr>
                <w:b/>
              </w:rPr>
              <w:t>管控要求</w:t>
            </w:r>
          </w:p>
        </w:tc>
        <w:tc>
          <w:tcPr>
            <w:tcW w:w="2693" w:type="dxa"/>
            <w:vAlign w:val="center"/>
          </w:tcPr>
          <w:p>
            <w:pPr>
              <w:pStyle w:val="63"/>
              <w:rPr>
                <w:b/>
                <w:bCs/>
              </w:rPr>
            </w:pPr>
            <w:r>
              <w:rPr>
                <w:b/>
                <w:bCs/>
              </w:rPr>
              <w:t>本项目</w:t>
            </w:r>
          </w:p>
        </w:tc>
        <w:tc>
          <w:tcPr>
            <w:tcW w:w="793" w:type="dxa"/>
            <w:vAlign w:val="center"/>
          </w:tcPr>
          <w:p>
            <w:pPr>
              <w:pStyle w:val="63"/>
              <w:rPr>
                <w:b/>
                <w:bCs/>
              </w:rPr>
            </w:pPr>
            <w:r>
              <w:rPr>
                <w:b/>
                <w:bCs/>
              </w:rPr>
              <w:t>符合性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134" w:type="dxa"/>
            <w:vAlign w:val="center"/>
          </w:tcPr>
          <w:p>
            <w:pPr>
              <w:pStyle w:val="63"/>
              <w:rPr>
                <w:bCs/>
              </w:rPr>
            </w:pPr>
            <w:r>
              <w:t>一般管控单元</w:t>
            </w:r>
          </w:p>
        </w:tc>
        <w:tc>
          <w:tcPr>
            <w:tcW w:w="3686" w:type="dxa"/>
            <w:vAlign w:val="center"/>
          </w:tcPr>
          <w:p>
            <w:pPr>
              <w:pStyle w:val="63"/>
              <w:jc w:val="left"/>
              <w:rPr>
                <w:bCs/>
              </w:rPr>
            </w:pPr>
            <w:r>
              <w:t>一般管控单元中，执行区域生态环境保护的基本要求，重点加强农业、生活等领域污染治理。</w:t>
            </w:r>
          </w:p>
        </w:tc>
        <w:tc>
          <w:tcPr>
            <w:tcW w:w="2693" w:type="dxa"/>
            <w:vAlign w:val="center"/>
          </w:tcPr>
          <w:p>
            <w:pPr>
              <w:pStyle w:val="63"/>
              <w:jc w:val="left"/>
              <w:rPr>
                <w:bCs/>
              </w:rPr>
            </w:pPr>
            <w:r>
              <w:rPr>
                <w:bCs/>
              </w:rPr>
              <w:t>本项目不违背一般管控单元要求</w:t>
            </w:r>
          </w:p>
        </w:tc>
        <w:tc>
          <w:tcPr>
            <w:tcW w:w="793" w:type="dxa"/>
            <w:vAlign w:val="center"/>
          </w:tcPr>
          <w:p>
            <w:pPr>
              <w:pStyle w:val="63"/>
              <w:rPr>
                <w:bCs/>
              </w:rPr>
            </w:pPr>
            <w:r>
              <w:rPr>
                <w:bCs/>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134" w:type="dxa"/>
            <w:vAlign w:val="center"/>
          </w:tcPr>
          <w:p>
            <w:pPr>
              <w:pStyle w:val="63"/>
              <w:rPr>
                <w:bCs/>
              </w:rPr>
            </w:pPr>
            <w:r>
              <w:t>通江县</w:t>
            </w:r>
          </w:p>
        </w:tc>
        <w:tc>
          <w:tcPr>
            <w:tcW w:w="3686" w:type="dxa"/>
            <w:vAlign w:val="center"/>
          </w:tcPr>
          <w:p>
            <w:pPr>
              <w:pStyle w:val="63"/>
              <w:jc w:val="left"/>
            </w:pPr>
            <w:r>
              <w:t>1.统筹生态环境保护与经济社会发展的关系，落实重点生态功能区的定位管控要求，加强生物多样性保护和天然林保护；</w:t>
            </w:r>
          </w:p>
          <w:p>
            <w:pPr>
              <w:pStyle w:val="63"/>
              <w:jc w:val="left"/>
            </w:pPr>
            <w:r>
              <w:t>2.推进流域水生态环境修复与治理，更加注重城乡生态环境保护基础设施建设与管理；</w:t>
            </w:r>
          </w:p>
          <w:p>
            <w:pPr>
              <w:pStyle w:val="63"/>
              <w:jc w:val="left"/>
            </w:pPr>
            <w:r>
              <w:t>3.进一步调整优化矿产资源开发利用，加强矿产、油气等资源开发项目和工矿废弃地的污染治理及生态修复；</w:t>
            </w:r>
          </w:p>
          <w:p>
            <w:pPr>
              <w:pStyle w:val="63"/>
              <w:jc w:val="left"/>
            </w:pPr>
            <w:r>
              <w:t>4.持续加强工业“三废”治理，严格环境准入条件，落实“两高”企业退出制度；</w:t>
            </w:r>
          </w:p>
          <w:p>
            <w:pPr>
              <w:pStyle w:val="63"/>
              <w:jc w:val="left"/>
            </w:pPr>
            <w:r>
              <w:t>5.强化水土流失防治，推进良好水体保护；</w:t>
            </w:r>
          </w:p>
          <w:p>
            <w:pPr>
              <w:pStyle w:val="63"/>
              <w:jc w:val="left"/>
              <w:rPr>
                <w:bCs/>
              </w:rPr>
            </w:pPr>
            <w:r>
              <w:t>6.注重水源涵养地保护。加强对诺水河、新场、铁溪等区域的生态环境重点管控，从严审批各类资源开发项目。</w:t>
            </w:r>
          </w:p>
        </w:tc>
        <w:tc>
          <w:tcPr>
            <w:tcW w:w="2693" w:type="dxa"/>
            <w:vAlign w:val="center"/>
          </w:tcPr>
          <w:p>
            <w:pPr>
              <w:pStyle w:val="63"/>
              <w:jc w:val="left"/>
            </w:pPr>
            <w:r>
              <w:rPr>
                <w:bCs/>
              </w:rPr>
              <w:t>1.采取严格的生态保护措施后，确保</w:t>
            </w:r>
            <w:r>
              <w:t>生态环境功能不降低；</w:t>
            </w:r>
          </w:p>
          <w:p>
            <w:pPr>
              <w:pStyle w:val="63"/>
              <w:jc w:val="left"/>
            </w:pPr>
            <w:r>
              <w:t>2.本项目为天然气管道隐患治理项目，本项目的建设有利于矿产资源开发利用，符合相关发展规划；</w:t>
            </w:r>
          </w:p>
          <w:p>
            <w:pPr>
              <w:pStyle w:val="63"/>
              <w:jc w:val="left"/>
            </w:pPr>
            <w:r>
              <w:t>3.本项目严格落实三废治理措施；做好水土保持防治工作。</w:t>
            </w:r>
          </w:p>
          <w:p>
            <w:pPr>
              <w:pStyle w:val="63"/>
              <w:jc w:val="left"/>
              <w:rPr>
                <w:bCs/>
              </w:rPr>
            </w:pPr>
          </w:p>
        </w:tc>
        <w:tc>
          <w:tcPr>
            <w:tcW w:w="793" w:type="dxa"/>
            <w:vAlign w:val="center"/>
          </w:tcPr>
          <w:p>
            <w:pPr>
              <w:pStyle w:val="63"/>
              <w:rPr>
                <w:bCs/>
              </w:rPr>
            </w:pPr>
            <w:r>
              <w:rPr>
                <w:bCs/>
              </w:rPr>
              <w:t>符合</w:t>
            </w:r>
          </w:p>
        </w:tc>
      </w:tr>
    </w:tbl>
    <w:p>
      <w:pPr>
        <w:pStyle w:val="248"/>
        <w:ind w:firstLine="480"/>
        <w:sectPr>
          <w:headerReference r:id="rId15" w:type="default"/>
          <w:pgSz w:w="11906" w:h="16838"/>
          <w:pgMar w:top="1440" w:right="1800" w:bottom="1440" w:left="1800" w:header="851" w:footer="794" w:gutter="0"/>
          <w:cols w:space="425" w:num="1"/>
          <w:docGrid w:type="lines" w:linePitch="326" w:charSpace="0"/>
        </w:sectPr>
      </w:pPr>
    </w:p>
    <w:p>
      <w:pPr>
        <w:pStyle w:val="56"/>
        <w:jc w:val="right"/>
      </w:pPr>
      <w:r>
        <mc:AlternateContent>
          <mc:Choice Requires="wps">
            <w:drawing>
              <wp:anchor distT="0" distB="0" distL="114300" distR="114300" simplePos="0" relativeHeight="251679744" behindDoc="0" locked="0" layoutInCell="1" allowOverlap="1">
                <wp:simplePos x="0" y="0"/>
                <wp:positionH relativeFrom="column">
                  <wp:posOffset>744220</wp:posOffset>
                </wp:positionH>
                <wp:positionV relativeFrom="paragraph">
                  <wp:posOffset>2273300</wp:posOffset>
                </wp:positionV>
                <wp:extent cx="760095" cy="353060"/>
                <wp:effectExtent l="0" t="0" r="20955" b="218440"/>
                <wp:wrapNone/>
                <wp:docPr id="37" name="圆角矩形标注 37"/>
                <wp:cNvGraphicFramePr/>
                <a:graphic xmlns:a="http://schemas.openxmlformats.org/drawingml/2006/main">
                  <a:graphicData uri="http://schemas.microsoft.com/office/word/2010/wordprocessingShape">
                    <wps:wsp>
                      <wps:cNvSpPr/>
                      <wps:spPr>
                        <a:xfrm>
                          <a:off x="0" y="0"/>
                          <a:ext cx="760095" cy="353060"/>
                        </a:xfrm>
                        <a:prstGeom prst="wedgeRoundRectCallout">
                          <a:avLst>
                            <a:gd name="adj1" fmla="val 33757"/>
                            <a:gd name="adj2" fmla="val 97323"/>
                            <a:gd name="adj3" fmla="val 16667"/>
                          </a:avLst>
                        </a:prstGeom>
                        <a:noFill/>
                        <a:ln>
                          <a:solidFill>
                            <a:srgbClr val="B30D9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color w:val="B30D93"/>
                                <w14:textOutline w14:w="9525" w14:cap="rnd" w14:cmpd="sng" w14:algn="ctr">
                                  <w14:solidFill>
                                    <w14:srgbClr w14:val="B30D93"/>
                                  </w14:solidFill>
                                  <w14:prstDash w14:val="solid"/>
                                  <w14:bevel/>
                                </w14:textOutline>
                              </w:rPr>
                            </w:pPr>
                            <w:r>
                              <w:rPr>
                                <w:rFonts w:hint="eastAsia"/>
                                <w:color w:val="B30D93"/>
                                <w14:textOutline w14:w="9525" w14:cap="rnd" w14:cmpd="sng" w14:algn="ctr">
                                  <w14:solidFill>
                                    <w14:srgbClr w14:val="B30D93"/>
                                  </w14:solidFill>
                                  <w14:prstDash w14:val="solid"/>
                                  <w14:bevel/>
                                </w14:textOutline>
                              </w:rPr>
                              <w:t>本项目</w:t>
                            </w:r>
                          </w:p>
                        </w:txbxContent>
                      </wps:txbx>
                      <wps:bodyPr rot="0" spcFirstLastPara="0" vertOverflow="overflow" horzOverflow="overflow" vert="horz" wrap="square" lIns="91440" tIns="1800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8.6pt;margin-top:179pt;height:27.8pt;width:59.85pt;z-index:251679744;v-text-anchor:middle;mso-width-relative:page;mso-height-relative:page;" filled="f" stroked="t" coordsize="21600,21600" o:gfxdata="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mSH1&#10;FdoAAAALAQAADwAAAAAAAAABACAAAAAiAAAAZHJzL2Rvd25yZXYueG1sUEsBAhQAFAAAAAgAh07i&#10;QLCDNEbLAgAAaQUAAA4AAAAAAAAAAQAgAAAAKQEAAGRycy9lMm9Eb2MueG1sUEsFBgAAAAAGAAYA&#10;WQEAAGYGAAAAAA==&#10;" adj="18092,31822,14400">
                <v:fill on="f" focussize="0,0"/>
                <v:stroke weight="1pt" color="#B30D93 [3204]" miterlimit="8" joinstyle="miter"/>
                <v:imagedata o:title=""/>
                <o:lock v:ext="edit" aspectratio="f"/>
                <v:textbox inset="2.54mm,0.5mm,2.54mm,1.27mm">
                  <w:txbxContent>
                    <w:p>
                      <w:pPr>
                        <w:ind w:firstLine="0" w:firstLineChars="0"/>
                        <w:rPr>
                          <w:color w:val="B30D93"/>
                          <w14:textOutline w14:w="9525" w14:cap="rnd" w14:cmpd="sng" w14:algn="ctr">
                            <w14:solidFill>
                              <w14:srgbClr w14:val="B30D93"/>
                            </w14:solidFill>
                            <w14:prstDash w14:val="solid"/>
                            <w14:bevel/>
                          </w14:textOutline>
                        </w:rPr>
                      </w:pPr>
                      <w:r>
                        <w:rPr>
                          <w:rFonts w:hint="eastAsia"/>
                          <w:color w:val="B30D93"/>
                          <w14:textOutline w14:w="9525" w14:cap="rnd" w14:cmpd="sng" w14:algn="ctr">
                            <w14:solidFill>
                              <w14:srgbClr w14:val="B30D93"/>
                            </w14:solidFill>
                            <w14:prstDash w14:val="solid"/>
                            <w14:bevel/>
                          </w14:textOutline>
                        </w:rPr>
                        <w:t>本项目</w:t>
                      </w:r>
                    </w:p>
                  </w:txbxContent>
                </v:textbox>
              </v:shape>
            </w:pict>
          </mc:Fallback>
        </mc:AlternateContent>
      </w:r>
      <w:r>
        <w:rPr>
          <w:highlight w:val="yellow"/>
        </w:rPr>
        <mc:AlternateContent>
          <mc:Choice Requires="wps">
            <w:drawing>
              <wp:anchor distT="45720" distB="45720" distL="114300" distR="114300" simplePos="0" relativeHeight="251678720" behindDoc="0" locked="0" layoutInCell="1" allowOverlap="1">
                <wp:simplePos x="0" y="0"/>
                <wp:positionH relativeFrom="column">
                  <wp:posOffset>0</wp:posOffset>
                </wp:positionH>
                <wp:positionV relativeFrom="paragraph">
                  <wp:posOffset>1362075</wp:posOffset>
                </wp:positionV>
                <wp:extent cx="1433195" cy="140462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3080" cy="1404620"/>
                        </a:xfrm>
                        <a:prstGeom prst="rect">
                          <a:avLst/>
                        </a:prstGeom>
                        <a:noFill/>
                        <a:ln w="9525">
                          <a:noFill/>
                          <a:miter lim="800000"/>
                        </a:ln>
                      </wps:spPr>
                      <wps:txbx>
                        <w:txbxContent>
                          <w:p>
                            <w:pPr>
                              <w:ind w:firstLine="482"/>
                              <w:rPr>
                                <w:b/>
                                <w:color w:val="FF0000"/>
                              </w:rPr>
                            </w:pPr>
                            <w:r>
                              <w:rPr>
                                <w:rFonts w:hint="eastAsia"/>
                                <w:b/>
                                <w:color w:val="FF0000"/>
                              </w:rPr>
                              <w:t>局部放大图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pt;margin-top:107.25pt;height:110.6pt;width:112.85pt;z-index:251678720;mso-width-relative:page;mso-height-relative:margin;mso-height-percent:200;" filled="f" stroked="f" coordsize="21600,21600" o:gfxdata="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x/DL3XAAAACAEAAA8AAAAAAAAAAQAgAAAAIgAAAGRycy9kb3ducmV2LnhtbFBLAQIUABQAAAAI&#10;AIdO4kCZ+FB0JwIAACwEAAAOAAAAAAAAAAEAIAAAACYBAABkcnMvZTJvRG9jLnhtbFBLBQYAAAAA&#10;BgAGAFkBAAC/BQAAAAA=&#10;">
                <v:fill on="f" focussize="0,0"/>
                <v:stroke on="f" miterlimit="8" joinstyle="miter"/>
                <v:imagedata o:title=""/>
                <o:lock v:ext="edit" aspectratio="f"/>
                <v:textbox style="mso-fit-shape-to-text:t;">
                  <w:txbxContent>
                    <w:p>
                      <w:pPr>
                        <w:ind w:firstLine="482"/>
                        <w:rPr>
                          <w:b/>
                          <w:color w:val="FF0000"/>
                        </w:rPr>
                      </w:pPr>
                      <w:r>
                        <w:rPr>
                          <w:rFonts w:hint="eastAsia"/>
                          <w:b/>
                          <w:color w:val="FF0000"/>
                        </w:rPr>
                        <w:t>局部放大图</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2675890</wp:posOffset>
                </wp:positionH>
                <wp:positionV relativeFrom="paragraph">
                  <wp:posOffset>2440940</wp:posOffset>
                </wp:positionV>
                <wp:extent cx="1979930" cy="746760"/>
                <wp:effectExtent l="38100" t="0" r="20955" b="73025"/>
                <wp:wrapNone/>
                <wp:docPr id="35" name="直接箭头连接符 35"/>
                <wp:cNvGraphicFramePr/>
                <a:graphic xmlns:a="http://schemas.openxmlformats.org/drawingml/2006/main">
                  <a:graphicData uri="http://schemas.microsoft.com/office/word/2010/wordprocessingShape">
                    <wps:wsp>
                      <wps:cNvCnPr/>
                      <wps:spPr>
                        <a:xfrm flipH="1">
                          <a:off x="0" y="0"/>
                          <a:ext cx="1979802" cy="7466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0.7pt;margin-top:192.2pt;height:58.8pt;width:155.9pt;z-index:251677696;mso-width-relative:page;mso-height-relative:page;" filled="f" stroked="t" coordsize="21600,21600" o:gfxdata="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xSBLZAAAACwEA&#10;AA8AAAAAAAAAAQAgAAAAIgAAAGRycy9kb3ducmV2LnhtbFBLAQIUABQAAAAIAIdO4kAvFWrwGQIA&#10;APMDAAAOAAAAAAAAAAEAIAAAACgBAABkcnMvZTJvRG9jLnhtbFBLBQYAAAAABgAGAFkBAACzBQAA&#10;AAA=&#10;">
                <v:fill on="f" focussize="0,0"/>
                <v:stroke weight="1.5pt" color="#4472C4 [3204]" miterlimit="8" joinstyle="miter" endarrow="block"/>
                <v:imagedata o:title=""/>
                <o:lock v:ext="edit" aspectratio="f"/>
              </v:shape>
            </w:pict>
          </mc:Fallback>
        </mc:AlternateContent>
      </w:r>
      <w:r>
        <w:drawing>
          <wp:anchor distT="0" distB="0" distL="114300" distR="114300" simplePos="0" relativeHeight="251676672" behindDoc="0" locked="0" layoutInCell="1" allowOverlap="1">
            <wp:simplePos x="0" y="0"/>
            <wp:positionH relativeFrom="column">
              <wp:posOffset>4661535</wp:posOffset>
            </wp:positionH>
            <wp:positionV relativeFrom="paragraph">
              <wp:posOffset>1958340</wp:posOffset>
            </wp:positionV>
            <wp:extent cx="570230" cy="754380"/>
            <wp:effectExtent l="19050" t="19050" r="20320" b="266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cstate="print">
                      <a:extLst>
                        <a:ext uri="{28A0092B-C50C-407E-A947-70E740481C1C}">
                          <a14:useLocalDpi xmlns:a14="http://schemas.microsoft.com/office/drawing/2010/main" val="0"/>
                        </a:ext>
                      </a:extLst>
                    </a:blip>
                    <a:srcRect l="15436" t="9090" r="15659" b="8441"/>
                    <a:stretch>
                      <a:fillRect/>
                    </a:stretch>
                  </pic:blipFill>
                  <pic:spPr>
                    <a:xfrm>
                      <a:off x="0" y="0"/>
                      <a:ext cx="570388" cy="754693"/>
                    </a:xfrm>
                    <a:prstGeom prst="rect">
                      <a:avLst/>
                    </a:prstGeom>
                    <a:ln w="12700">
                      <a:solidFill>
                        <a:schemeClr val="accent1"/>
                      </a:solidFill>
                    </a:ln>
                  </pic:spPr>
                </pic:pic>
              </a:graphicData>
            </a:graphic>
          </wp:anchor>
        </w:drawing>
      </w:r>
      <w:r>
        <w:drawing>
          <wp:inline distT="0" distB="0" distL="0" distR="0">
            <wp:extent cx="2531745" cy="3350260"/>
            <wp:effectExtent l="19050" t="19050" r="20955" b="215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rcRect l="15436" t="9090" r="15659" b="8441"/>
                    <a:stretch>
                      <a:fillRect/>
                    </a:stretch>
                  </pic:blipFill>
                  <pic:spPr>
                    <a:xfrm>
                      <a:off x="0" y="0"/>
                      <a:ext cx="2567802" cy="3397812"/>
                    </a:xfrm>
                    <a:prstGeom prst="rect">
                      <a:avLst/>
                    </a:prstGeom>
                    <a:ln w="19050">
                      <a:solidFill>
                        <a:schemeClr val="accent1"/>
                      </a:solidFill>
                    </a:ln>
                  </pic:spPr>
                </pic:pic>
              </a:graphicData>
            </a:graphic>
          </wp:inline>
        </w:drawing>
      </w:r>
      <w:r>
        <w:drawing>
          <wp:inline distT="0" distB="0" distL="0" distR="0">
            <wp:extent cx="6136640" cy="4598670"/>
            <wp:effectExtent l="19050" t="19050" r="16510" b="11430"/>
            <wp:docPr id="60535" name="图片 60535" descr="C:\Users\ADMINI~1\AppData\Local\Temp\ksohtml134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5" name="图片 60535" descr="C:\Users\ADMINI~1\AppData\Local\Temp\ksohtml13452\wps1.png"/>
                    <pic:cNvPicPr>
                      <a:picLocks noChangeAspect="1" noChangeArrowheads="1"/>
                    </pic:cNvPicPr>
                  </pic:nvPicPr>
                  <pic:blipFill>
                    <a:blip r:embed="rId42">
                      <a:extLst>
                        <a:ext uri="{28A0092B-C50C-407E-A947-70E740481C1C}">
                          <a14:useLocalDpi xmlns:a14="http://schemas.microsoft.com/office/drawing/2010/main" val="0"/>
                        </a:ext>
                      </a:extLst>
                    </a:blip>
                    <a:srcRect l="14645" t="9057" r="1131" b="2218"/>
                    <a:stretch>
                      <a:fillRect/>
                    </a:stretch>
                  </pic:blipFill>
                  <pic:spPr>
                    <a:xfrm>
                      <a:off x="0" y="0"/>
                      <a:ext cx="6149099" cy="4608128"/>
                    </a:xfrm>
                    <a:prstGeom prst="rect">
                      <a:avLst/>
                    </a:prstGeom>
                    <a:noFill/>
                    <a:ln w="19050" cap="flat" cmpd="sng" algn="ctr">
                      <a:solidFill>
                        <a:sysClr val="windowText" lastClr="000000"/>
                      </a:solidFill>
                      <a:prstDash val="solid"/>
                      <a:round/>
                      <a:headEnd type="none" w="med" len="med"/>
                      <a:tailEnd type="none" w="med" len="med"/>
                    </a:ln>
                  </pic:spPr>
                </pic:pic>
              </a:graphicData>
            </a:graphic>
          </wp:inline>
        </w:drawing>
      </w:r>
    </w:p>
    <w:p>
      <w:pPr>
        <w:pStyle w:val="73"/>
        <w:ind w:left="900" w:hanging="420"/>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 xml:space="preserve">  </w:t>
      </w:r>
      <w:r>
        <w:rPr>
          <w:rFonts w:hint="eastAsia"/>
        </w:rPr>
        <w:t>巴中市</w:t>
      </w:r>
      <w:r>
        <w:t>环境管控单元图</w:t>
      </w:r>
    </w:p>
    <w:p>
      <w:pPr>
        <w:pStyle w:val="248"/>
        <w:ind w:firstLine="480"/>
        <w:sectPr>
          <w:headerReference r:id="rId16" w:type="default"/>
          <w:pgSz w:w="16838" w:h="11906" w:orient="landscape"/>
          <w:pgMar w:top="1797" w:right="1440" w:bottom="1797" w:left="1440" w:header="851" w:footer="794" w:gutter="0"/>
          <w:cols w:space="425" w:num="1"/>
          <w:docGrid w:type="lines" w:linePitch="326" w:charSpace="0"/>
        </w:sectPr>
      </w:pPr>
    </w:p>
    <w:p>
      <w:pPr>
        <w:ind w:firstLine="480"/>
      </w:pPr>
      <w:r>
        <w:rPr>
          <w:rFonts w:hint="eastAsia"/>
        </w:rPr>
        <w:t>同时</w:t>
      </w:r>
      <w:r>
        <w:t>,</w:t>
      </w:r>
      <w:r>
        <w:rPr>
          <w:rFonts w:hint="eastAsia"/>
        </w:rPr>
        <w:t>结合四川政务</w:t>
      </w:r>
      <w:r>
        <w:t>服务网-四川省”三线一</w:t>
      </w:r>
      <w:r>
        <w:rPr>
          <w:rFonts w:hint="eastAsia"/>
        </w:rPr>
        <w:t>单</w:t>
      </w:r>
      <w:r>
        <w:t>”数据分析系统</w:t>
      </w:r>
      <w:r>
        <w:rPr>
          <w:rFonts w:hint="eastAsia"/>
        </w:rPr>
        <w:t>(网址</w:t>
      </w:r>
      <w:r>
        <w:t>：</w:t>
      </w:r>
      <w:r>
        <w:fldChar w:fldCharType="begin"/>
      </w:r>
      <w:r>
        <w:instrText xml:space="preserve"> HYPERLINK "http://103.203.219.138:8083/gis2/n_index.html" </w:instrText>
      </w:r>
      <w:r>
        <w:fldChar w:fldCharType="separate"/>
      </w:r>
      <w:r>
        <w:rPr>
          <w:rStyle w:val="41"/>
          <w:color w:val="auto"/>
        </w:rPr>
        <w:t>http://103.203.219.138:8083/gis2/n_index.html</w:t>
      </w:r>
      <w:r>
        <w:rPr>
          <w:rStyle w:val="41"/>
          <w:color w:val="auto"/>
        </w:rPr>
        <w:fldChar w:fldCharType="end"/>
      </w:r>
      <w:r>
        <w:rPr>
          <w:rFonts w:hint="eastAsia"/>
        </w:rPr>
        <w:t>)，</w:t>
      </w:r>
      <w:r>
        <w:t>本项目所在地为一般管控</w:t>
      </w:r>
      <w:r>
        <w:rPr>
          <w:rFonts w:hint="eastAsia"/>
        </w:rPr>
        <w:t>单元。</w:t>
      </w:r>
    </w:p>
    <w:p>
      <w:pPr>
        <w:pStyle w:val="56"/>
        <w:rPr>
          <w:rFonts w:ascii="宋体" w:hAnsi="宋体"/>
        </w:rPr>
      </w:pPr>
      <w:r>
        <mc:AlternateContent>
          <mc:Choice Requires="wps">
            <w:drawing>
              <wp:anchor distT="0" distB="0" distL="114300" distR="114300" simplePos="0" relativeHeight="251682816" behindDoc="0" locked="0" layoutInCell="1" allowOverlap="1">
                <wp:simplePos x="0" y="0"/>
                <wp:positionH relativeFrom="column">
                  <wp:posOffset>993140</wp:posOffset>
                </wp:positionH>
                <wp:positionV relativeFrom="paragraph">
                  <wp:posOffset>977265</wp:posOffset>
                </wp:positionV>
                <wp:extent cx="760095" cy="353060"/>
                <wp:effectExtent l="0" t="0" r="20955" b="218440"/>
                <wp:wrapNone/>
                <wp:docPr id="39" name="圆角矩形标注 39"/>
                <wp:cNvGraphicFramePr/>
                <a:graphic xmlns:a="http://schemas.openxmlformats.org/drawingml/2006/main">
                  <a:graphicData uri="http://schemas.microsoft.com/office/word/2010/wordprocessingShape">
                    <wps:wsp>
                      <wps:cNvSpPr/>
                      <wps:spPr>
                        <a:xfrm>
                          <a:off x="0" y="0"/>
                          <a:ext cx="760095" cy="353060"/>
                        </a:xfrm>
                        <a:prstGeom prst="wedgeRoundRectCallout">
                          <a:avLst>
                            <a:gd name="adj1" fmla="val 33757"/>
                            <a:gd name="adj2" fmla="val 97323"/>
                            <a:gd name="adj3" fmla="val 16667"/>
                          </a:avLst>
                        </a:prstGeom>
                        <a:noFill/>
                        <a:ln>
                          <a:solidFill>
                            <a:srgbClr val="B30D9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color w:val="B30D93"/>
                                <w14:textOutline w14:w="9525" w14:cap="rnd" w14:cmpd="sng" w14:algn="ctr">
                                  <w14:solidFill>
                                    <w14:srgbClr w14:val="B30D93"/>
                                  </w14:solidFill>
                                  <w14:prstDash w14:val="solid"/>
                                  <w14:bevel/>
                                </w14:textOutline>
                              </w:rPr>
                            </w:pPr>
                            <w:r>
                              <w:rPr>
                                <w:rFonts w:hint="eastAsia"/>
                                <w:color w:val="B30D93"/>
                                <w14:textOutline w14:w="9525" w14:cap="rnd" w14:cmpd="sng" w14:algn="ctr">
                                  <w14:solidFill>
                                    <w14:srgbClr w14:val="B30D93"/>
                                  </w14:solidFill>
                                  <w14:prstDash w14:val="solid"/>
                                  <w14:bevel/>
                                </w14:textOutline>
                              </w:rPr>
                              <w:t>本项目</w:t>
                            </w:r>
                          </w:p>
                        </w:txbxContent>
                      </wps:txbx>
                      <wps:bodyPr rot="0" spcFirstLastPara="0" vertOverflow="overflow" horzOverflow="overflow" vert="horz" wrap="square" lIns="91440" tIns="1800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8.2pt;margin-top:76.95pt;height:27.8pt;width:59.85pt;z-index:251682816;v-text-anchor:middle;mso-width-relative:page;mso-height-relative:page;" filled="f" stroked="t" coordsize="21600,21600" o:gfxdata="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uT/sl9kA&#10;AAALAQAADwAAAAAAAAABACAAAAAiAAAAZHJzL2Rvd25yZXYueG1sUEsBAhQAFAAAAAgAh07iQFi4&#10;bsPJAgAAaQUAAA4AAAAAAAAAAQAgAAAAKAEAAGRycy9lMm9Eb2MueG1sUEsFBgAAAAAGAAYAWQEA&#10;AGMGAAAAAA==&#10;" adj="18092,31822,14400">
                <v:fill on="f" focussize="0,0"/>
                <v:stroke weight="1pt" color="#B30D93 [3204]" miterlimit="8" joinstyle="miter"/>
                <v:imagedata o:title=""/>
                <o:lock v:ext="edit" aspectratio="f"/>
                <v:textbox inset="2.54mm,0.5mm,2.54mm,1.27mm">
                  <w:txbxContent>
                    <w:p>
                      <w:pPr>
                        <w:ind w:firstLine="0" w:firstLineChars="0"/>
                        <w:rPr>
                          <w:color w:val="B30D93"/>
                          <w14:textOutline w14:w="9525" w14:cap="rnd" w14:cmpd="sng" w14:algn="ctr">
                            <w14:solidFill>
                              <w14:srgbClr w14:val="B30D93"/>
                            </w14:solidFill>
                            <w14:prstDash w14:val="solid"/>
                            <w14:bevel/>
                          </w14:textOutline>
                        </w:rPr>
                      </w:pPr>
                      <w:r>
                        <w:rPr>
                          <w:rFonts w:hint="eastAsia"/>
                          <w:color w:val="B30D93"/>
                          <w14:textOutline w14:w="9525" w14:cap="rnd" w14:cmpd="sng" w14:algn="ctr">
                            <w14:solidFill>
                              <w14:srgbClr w14:val="B30D93"/>
                            </w14:solidFill>
                            <w14:prstDash w14:val="solid"/>
                            <w14:bevel/>
                          </w14:textOutline>
                        </w:rPr>
                        <w:t>本项目</w:t>
                      </w:r>
                    </w:p>
                  </w:txbxContent>
                </v:textbox>
              </v:shape>
            </w:pict>
          </mc:Fallback>
        </mc:AlternateContent>
      </w:r>
      <w:r>
        <w:drawing>
          <wp:anchor distT="0" distB="0" distL="114300" distR="114300" simplePos="0" relativeHeight="251681792" behindDoc="0" locked="0" layoutInCell="1" allowOverlap="1">
            <wp:simplePos x="0" y="0"/>
            <wp:positionH relativeFrom="column">
              <wp:posOffset>1418590</wp:posOffset>
            </wp:positionH>
            <wp:positionV relativeFrom="paragraph">
              <wp:posOffset>1363345</wp:posOffset>
            </wp:positionV>
            <wp:extent cx="1111885" cy="1108710"/>
            <wp:effectExtent l="0" t="0" r="0" b="0"/>
            <wp:wrapNone/>
            <wp:docPr id="38" name="图片 38" descr="C:\Users\ADMINI~1\AppData\Local\Temp\ksohtml\wps502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ksohtml\wps5025.tmp.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12108" cy="1108439"/>
                    </a:xfrm>
                    <a:prstGeom prst="rect">
                      <a:avLst/>
                    </a:prstGeom>
                    <a:noFill/>
                    <a:ln>
                      <a:noFill/>
                    </a:ln>
                  </pic:spPr>
                </pic:pic>
              </a:graphicData>
            </a:graphic>
          </wp:anchor>
        </w:drawing>
      </w:r>
      <w:r>
        <w:drawing>
          <wp:inline distT="0" distB="0" distL="0" distR="0">
            <wp:extent cx="5274310" cy="3813175"/>
            <wp:effectExtent l="19050" t="19050" r="21590"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4"/>
                    <a:stretch>
                      <a:fillRect/>
                    </a:stretch>
                  </pic:blipFill>
                  <pic:spPr>
                    <a:xfrm>
                      <a:off x="0" y="0"/>
                      <a:ext cx="5274310" cy="3813497"/>
                    </a:xfrm>
                    <a:prstGeom prst="rect">
                      <a:avLst/>
                    </a:prstGeom>
                    <a:ln w="15875">
                      <a:solidFill>
                        <a:schemeClr val="tx1"/>
                      </a:solidFill>
                    </a:ln>
                  </pic:spPr>
                </pic:pic>
              </a:graphicData>
            </a:graphic>
          </wp:inline>
        </w:drawing>
      </w:r>
    </w:p>
    <w:p>
      <w:pPr>
        <w:pStyle w:val="250"/>
      </w:pPr>
      <w:r>
        <w:t>图</w:t>
      </w:r>
      <w:r>
        <w:fldChar w:fldCharType="begin"/>
      </w:r>
      <w:r>
        <w:instrText xml:space="preserve"> STYLEREF 2 \s </w:instrText>
      </w:r>
      <w:r>
        <w:fldChar w:fldCharType="separate"/>
      </w:r>
      <w:r>
        <w:t>1.4</w:t>
      </w:r>
      <w:r>
        <w:fldChar w:fldCharType="end"/>
      </w:r>
      <w:r>
        <w:noBreakHyphen/>
      </w:r>
      <w:r>
        <w:fldChar w:fldCharType="begin"/>
      </w:r>
      <w:r>
        <w:instrText xml:space="preserve"> SEQ 图 \* ARABIC \s 2 </w:instrText>
      </w:r>
      <w:r>
        <w:fldChar w:fldCharType="separate"/>
      </w:r>
      <w:r>
        <w:t>2</w:t>
      </w:r>
      <w:r>
        <w:fldChar w:fldCharType="end"/>
      </w:r>
      <w:r>
        <w:t xml:space="preserve">  四川省”三线一</w:t>
      </w:r>
      <w:r>
        <w:rPr>
          <w:rFonts w:hint="eastAsia"/>
        </w:rPr>
        <w:t>单</w:t>
      </w:r>
      <w:r>
        <w:t>”数据分析系统</w:t>
      </w:r>
      <w:r>
        <w:rPr>
          <w:rFonts w:hint="eastAsia"/>
        </w:rPr>
        <w:t>中</w:t>
      </w:r>
      <w:r>
        <w:t>项目所在</w:t>
      </w:r>
      <w:r>
        <w:rPr>
          <w:rFonts w:hint="eastAsia"/>
        </w:rPr>
        <w:t>管控</w:t>
      </w:r>
      <w:r>
        <w:t>单元</w:t>
      </w:r>
      <w:r>
        <w:rPr>
          <w:rFonts w:hint="eastAsia"/>
        </w:rPr>
        <w:t>截图</w:t>
      </w:r>
    </w:p>
    <w:p>
      <w:pPr>
        <w:pStyle w:val="248"/>
        <w:ind w:firstLine="482"/>
        <w:outlineLvl w:val="5"/>
        <w:rPr>
          <w:b/>
        </w:rPr>
      </w:pPr>
      <w:r>
        <w:rPr>
          <w:b/>
        </w:rPr>
        <w:t>（</w:t>
      </w:r>
      <w:r>
        <w:rPr>
          <w:rFonts w:hint="eastAsia"/>
          <w:b/>
        </w:rPr>
        <w:t>2</w:t>
      </w:r>
      <w:r>
        <w:rPr>
          <w:b/>
        </w:rPr>
        <w:t>）与《四川省生态功能区划》符合性</w:t>
      </w:r>
    </w:p>
    <w:p>
      <w:pPr>
        <w:ind w:firstLine="480"/>
        <w:rPr>
          <w:rFonts w:cs="Times New Roman"/>
          <w:szCs w:val="24"/>
        </w:rPr>
      </w:pPr>
      <w:r>
        <w:rPr>
          <w:rFonts w:ascii="宋体" w:hAnsi="宋体"/>
        </w:rPr>
        <w:t>根据《四川省生态功能区划》，项目区域位于盆北深丘农林业与土壤保持生态功能区（</w:t>
      </w:r>
      <w:r>
        <w:t>I-2-1</w:t>
      </w:r>
      <w:r>
        <w:rPr>
          <w:rFonts w:ascii="宋体" w:hAnsi="宋体"/>
        </w:rPr>
        <w:t>）。本项目与生态功能区符合性分析见下表。</w:t>
      </w:r>
    </w:p>
    <w:p>
      <w:pPr>
        <w:pStyle w:val="222"/>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8</w:t>
      </w:r>
      <w:r>
        <w:fldChar w:fldCharType="end"/>
      </w:r>
      <w:r>
        <w:t xml:space="preserve"> 评价区域涉及四川省生态功能区划一览表</w:t>
      </w:r>
    </w:p>
    <w:tbl>
      <w:tblPr>
        <w:tblStyle w:val="35"/>
        <w:tblW w:w="5000" w:type="pct"/>
        <w:jc w:val="cente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803"/>
        <w:gridCol w:w="914"/>
        <w:gridCol w:w="1015"/>
        <w:gridCol w:w="1005"/>
        <w:gridCol w:w="2555"/>
        <w:gridCol w:w="1563"/>
        <w:gridCol w:w="565"/>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9" w:hRule="atLeast"/>
          <w:tblHeader/>
          <w:jc w:val="center"/>
        </w:trPr>
        <w:tc>
          <w:tcPr>
            <w:tcW w:w="477" w:type="pct"/>
            <w:tcBorders>
              <w:top w:val="single" w:color="auto" w:sz="12" w:space="0"/>
              <w:left w:val="nil"/>
              <w:bottom w:val="single" w:color="auto" w:sz="4" w:space="0"/>
              <w:right w:val="single" w:color="auto" w:sz="6" w:space="0"/>
            </w:tcBorders>
            <w:vAlign w:val="center"/>
          </w:tcPr>
          <w:p>
            <w:pPr>
              <w:pStyle w:val="63"/>
              <w:rPr>
                <w:b/>
              </w:rPr>
            </w:pPr>
            <w:r>
              <w:rPr>
                <w:b/>
              </w:rPr>
              <w:t>生态功能区</w:t>
            </w:r>
          </w:p>
        </w:tc>
        <w:tc>
          <w:tcPr>
            <w:tcW w:w="543" w:type="pct"/>
            <w:tcBorders>
              <w:top w:val="single" w:color="auto" w:sz="12" w:space="0"/>
              <w:left w:val="nil"/>
              <w:bottom w:val="single" w:color="auto" w:sz="4" w:space="0"/>
              <w:right w:val="single" w:color="auto" w:sz="6" w:space="0"/>
            </w:tcBorders>
            <w:vAlign w:val="center"/>
          </w:tcPr>
          <w:p>
            <w:pPr>
              <w:pStyle w:val="63"/>
              <w:rPr>
                <w:b/>
              </w:rPr>
            </w:pPr>
            <w:r>
              <w:rPr>
                <w:b/>
              </w:rPr>
              <w:t>主要生态问题</w:t>
            </w:r>
          </w:p>
        </w:tc>
        <w:tc>
          <w:tcPr>
            <w:tcW w:w="603" w:type="pct"/>
            <w:tcBorders>
              <w:top w:val="single" w:color="auto" w:sz="12" w:space="0"/>
              <w:left w:val="nil"/>
              <w:bottom w:val="single" w:color="auto" w:sz="4" w:space="0"/>
              <w:right w:val="single" w:color="auto" w:sz="6" w:space="0"/>
            </w:tcBorders>
            <w:vAlign w:val="center"/>
          </w:tcPr>
          <w:p>
            <w:pPr>
              <w:pStyle w:val="63"/>
              <w:rPr>
                <w:b/>
              </w:rPr>
            </w:pPr>
            <w:r>
              <w:rPr>
                <w:b/>
              </w:rPr>
              <w:t>生态环境敏感性</w:t>
            </w:r>
          </w:p>
        </w:tc>
        <w:tc>
          <w:tcPr>
            <w:tcW w:w="597" w:type="pct"/>
            <w:tcBorders>
              <w:top w:val="single" w:color="auto" w:sz="12" w:space="0"/>
              <w:left w:val="nil"/>
              <w:bottom w:val="single" w:color="auto" w:sz="4" w:space="0"/>
              <w:right w:val="single" w:color="auto" w:sz="6" w:space="0"/>
            </w:tcBorders>
          </w:tcPr>
          <w:p>
            <w:pPr>
              <w:pStyle w:val="63"/>
              <w:rPr>
                <w:b/>
              </w:rPr>
            </w:pPr>
            <w:r>
              <w:rPr>
                <w:b/>
              </w:rPr>
              <w:t>主要生态服务功能</w:t>
            </w:r>
          </w:p>
        </w:tc>
        <w:tc>
          <w:tcPr>
            <w:tcW w:w="1517" w:type="pct"/>
            <w:tcBorders>
              <w:top w:val="single" w:color="auto" w:sz="12" w:space="0"/>
              <w:left w:val="nil"/>
              <w:bottom w:val="single" w:color="auto" w:sz="4" w:space="0"/>
              <w:right w:val="nil"/>
            </w:tcBorders>
            <w:vAlign w:val="center"/>
          </w:tcPr>
          <w:p>
            <w:pPr>
              <w:pStyle w:val="63"/>
              <w:rPr>
                <w:b/>
              </w:rPr>
            </w:pPr>
            <w:r>
              <w:rPr>
                <w:b/>
              </w:rPr>
              <w:t>生态保护的主要方向</w:t>
            </w:r>
          </w:p>
        </w:tc>
        <w:tc>
          <w:tcPr>
            <w:tcW w:w="928" w:type="pct"/>
            <w:tcBorders>
              <w:top w:val="single" w:color="auto" w:sz="12" w:space="0"/>
              <w:left w:val="single" w:color="auto" w:sz="6" w:space="0"/>
              <w:bottom w:val="single" w:color="auto" w:sz="4" w:space="0"/>
              <w:right w:val="nil"/>
            </w:tcBorders>
            <w:vAlign w:val="center"/>
          </w:tcPr>
          <w:p>
            <w:pPr>
              <w:pStyle w:val="63"/>
              <w:rPr>
                <w:b/>
              </w:rPr>
            </w:pPr>
            <w:r>
              <w:rPr>
                <w:b/>
              </w:rPr>
              <w:t>本项目</w:t>
            </w:r>
          </w:p>
        </w:tc>
        <w:tc>
          <w:tcPr>
            <w:tcW w:w="335" w:type="pct"/>
            <w:tcBorders>
              <w:top w:val="single" w:color="auto" w:sz="12" w:space="0"/>
              <w:left w:val="single" w:color="auto" w:sz="6" w:space="0"/>
              <w:bottom w:val="single" w:color="auto" w:sz="4" w:space="0"/>
              <w:right w:val="nil"/>
            </w:tcBorders>
            <w:vAlign w:val="center"/>
          </w:tcPr>
          <w:p>
            <w:pPr>
              <w:pStyle w:val="63"/>
              <w:rPr>
                <w:b/>
              </w:rPr>
            </w:pPr>
            <w:r>
              <w:rPr>
                <w:b/>
              </w:rPr>
              <w:t>符合性</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77" w:type="pct"/>
            <w:tcBorders>
              <w:top w:val="single" w:color="auto" w:sz="6" w:space="0"/>
              <w:left w:val="nil"/>
              <w:bottom w:val="single" w:color="auto" w:sz="12" w:space="0"/>
              <w:right w:val="single" w:color="auto" w:sz="6" w:space="0"/>
            </w:tcBorders>
            <w:vAlign w:val="center"/>
          </w:tcPr>
          <w:p>
            <w:pPr>
              <w:pStyle w:val="63"/>
            </w:pPr>
            <w:r>
              <w:t>I-2-1盆北深丘农林业与土壤保持生态功能区</w:t>
            </w:r>
          </w:p>
        </w:tc>
        <w:tc>
          <w:tcPr>
            <w:tcW w:w="543" w:type="pct"/>
            <w:tcBorders>
              <w:top w:val="single" w:color="auto" w:sz="6" w:space="0"/>
              <w:left w:val="nil"/>
              <w:bottom w:val="single" w:color="auto" w:sz="12" w:space="0"/>
              <w:right w:val="single" w:color="auto" w:sz="6" w:space="0"/>
            </w:tcBorders>
            <w:vAlign w:val="center"/>
          </w:tcPr>
          <w:p>
            <w:pPr>
              <w:pStyle w:val="63"/>
            </w:pPr>
            <w:r>
              <w:t>水土流失较严重，滑</w:t>
            </w:r>
            <w:r>
              <w:rPr>
                <w:rFonts w:hint="eastAsia"/>
              </w:rPr>
              <w:t>坡</w:t>
            </w:r>
            <w:r>
              <w:t>崩塌中等发育</w:t>
            </w:r>
          </w:p>
        </w:tc>
        <w:tc>
          <w:tcPr>
            <w:tcW w:w="603" w:type="pct"/>
            <w:tcBorders>
              <w:top w:val="single" w:color="auto" w:sz="6" w:space="0"/>
              <w:left w:val="nil"/>
              <w:bottom w:val="single" w:color="auto" w:sz="12" w:space="0"/>
              <w:right w:val="single" w:color="auto" w:sz="6" w:space="0"/>
            </w:tcBorders>
            <w:vAlign w:val="center"/>
          </w:tcPr>
          <w:p>
            <w:pPr>
              <w:pStyle w:val="63"/>
            </w:pPr>
            <w:r>
              <w:t>土壤侵蚀高度敏感，野生动物生境中度敏感</w:t>
            </w:r>
          </w:p>
        </w:tc>
        <w:tc>
          <w:tcPr>
            <w:tcW w:w="597" w:type="pct"/>
            <w:tcBorders>
              <w:top w:val="single" w:color="auto" w:sz="6" w:space="0"/>
              <w:left w:val="nil"/>
              <w:bottom w:val="single" w:color="auto" w:sz="12" w:space="0"/>
              <w:right w:val="single" w:color="auto" w:sz="6" w:space="0"/>
            </w:tcBorders>
            <w:vAlign w:val="center"/>
          </w:tcPr>
          <w:p>
            <w:pPr>
              <w:pStyle w:val="63"/>
            </w:pPr>
            <w:r>
              <w:t>农林产品提供功能，土壤保持功能</w:t>
            </w:r>
          </w:p>
        </w:tc>
        <w:tc>
          <w:tcPr>
            <w:tcW w:w="1517" w:type="pct"/>
            <w:tcBorders>
              <w:top w:val="single" w:color="auto" w:sz="6" w:space="0"/>
              <w:left w:val="nil"/>
              <w:bottom w:val="single" w:color="auto" w:sz="12" w:space="0"/>
              <w:right w:val="nil"/>
            </w:tcBorders>
            <w:vAlign w:val="center"/>
          </w:tcPr>
          <w:p>
            <w:pPr>
              <w:pStyle w:val="63"/>
              <w:rPr>
                <w:spacing w:val="-8"/>
              </w:rPr>
            </w:pPr>
            <w:r>
              <w:rPr>
                <w:spacing w:val="-8"/>
              </w:rPr>
              <w:t>巩固长江上游防护林建设、天然林保护和退耕还林成果。发挥山区资源优势,建立商品林基地,保护野生生物资源,发展生态农业和中药材产业。建设以天然气为主的基础原料和能源化工基地。开发人文景观资源,发展旅游业及相关产业链。用地养地结合,加强水土保持建设。严禁无序开发矿产,水力、生物资源</w:t>
            </w:r>
          </w:p>
        </w:tc>
        <w:tc>
          <w:tcPr>
            <w:tcW w:w="928" w:type="pct"/>
            <w:tcBorders>
              <w:top w:val="single" w:color="auto" w:sz="6" w:space="0"/>
              <w:left w:val="single" w:color="auto" w:sz="6" w:space="0"/>
              <w:bottom w:val="single" w:color="auto" w:sz="12" w:space="0"/>
              <w:right w:val="nil"/>
            </w:tcBorders>
            <w:vAlign w:val="center"/>
          </w:tcPr>
          <w:p>
            <w:pPr>
              <w:pStyle w:val="63"/>
              <w:rPr>
                <w:spacing w:val="-6"/>
              </w:rPr>
            </w:pPr>
            <w:r>
              <w:rPr>
                <w:spacing w:val="-6"/>
              </w:rPr>
              <w:t>本项目属于天然气</w:t>
            </w:r>
            <w:r>
              <w:rPr>
                <w:rFonts w:hint="eastAsia"/>
                <w:spacing w:val="-6"/>
              </w:rPr>
              <w:t>管道建设</w:t>
            </w:r>
            <w:r>
              <w:rPr>
                <w:spacing w:val="-6"/>
              </w:rPr>
              <w:t>项目，建设过程采取严格的生态保护措施后,对当地生态影响较小</w:t>
            </w:r>
            <w:r>
              <w:rPr>
                <w:rFonts w:hint="eastAsia"/>
                <w:spacing w:val="-6"/>
              </w:rPr>
              <w:t>，施工</w:t>
            </w:r>
            <w:r>
              <w:rPr>
                <w:spacing w:val="-6"/>
              </w:rPr>
              <w:t>过程采取严格的水土保持措施</w:t>
            </w:r>
            <w:r>
              <w:rPr>
                <w:rFonts w:hint="eastAsia"/>
                <w:spacing w:val="-6"/>
              </w:rPr>
              <w:t>，本项目</w:t>
            </w:r>
            <w:r>
              <w:rPr>
                <w:spacing w:val="-6"/>
              </w:rPr>
              <w:t>建设不违背生态功能区保护要求</w:t>
            </w:r>
            <w:r>
              <w:rPr>
                <w:rFonts w:hint="eastAsia"/>
                <w:spacing w:val="-6"/>
              </w:rPr>
              <w:t>。</w:t>
            </w:r>
          </w:p>
        </w:tc>
        <w:tc>
          <w:tcPr>
            <w:tcW w:w="335" w:type="pct"/>
            <w:tcBorders>
              <w:top w:val="single" w:color="auto" w:sz="6" w:space="0"/>
              <w:left w:val="single" w:color="auto" w:sz="6" w:space="0"/>
              <w:bottom w:val="single" w:color="auto" w:sz="12" w:space="0"/>
              <w:right w:val="nil"/>
            </w:tcBorders>
            <w:vAlign w:val="center"/>
          </w:tcPr>
          <w:p>
            <w:pPr>
              <w:pStyle w:val="63"/>
            </w:pPr>
            <w:r>
              <w:t>符合</w:t>
            </w:r>
          </w:p>
        </w:tc>
      </w:tr>
    </w:tbl>
    <w:p>
      <w:pPr>
        <w:pStyle w:val="56"/>
        <w:rPr>
          <w:sz w:val="24"/>
          <w:szCs w:val="24"/>
        </w:rPr>
      </w:pPr>
      <w:r>
        <w:drawing>
          <wp:anchor distT="0" distB="0" distL="114300" distR="114300" simplePos="0" relativeHeight="251668480" behindDoc="0" locked="0" layoutInCell="1" allowOverlap="1">
            <wp:simplePos x="0" y="0"/>
            <wp:positionH relativeFrom="column">
              <wp:posOffset>3937635</wp:posOffset>
            </wp:positionH>
            <wp:positionV relativeFrom="paragraph">
              <wp:posOffset>727710</wp:posOffset>
            </wp:positionV>
            <wp:extent cx="696595" cy="746760"/>
            <wp:effectExtent l="0" t="0" r="8255" b="0"/>
            <wp:wrapNone/>
            <wp:docPr id="13" name="图片 13" descr="C:\Users\ADMINI~1\AppData\Local\Temp\ksohtml\wps7C6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sohtml\wps7C6A.tm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96595" cy="746760"/>
                    </a:xfrm>
                    <a:prstGeom prst="rect">
                      <a:avLst/>
                    </a:prstGeom>
                    <a:noFill/>
                    <a:ln>
                      <a:noFill/>
                    </a:ln>
                  </pic:spPr>
                </pic:pic>
              </a:graphicData>
            </a:graphic>
          </wp:anchor>
        </w:drawing>
      </w:r>
      <w:r>
        <w:drawing>
          <wp:inline distT="0" distB="0" distL="114300" distR="114300">
            <wp:extent cx="5222240" cy="4575175"/>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6"/>
                    <a:stretch>
                      <a:fillRect/>
                    </a:stretch>
                  </pic:blipFill>
                  <pic:spPr>
                    <a:xfrm>
                      <a:off x="0" y="0"/>
                      <a:ext cx="5240695" cy="4591635"/>
                    </a:xfrm>
                    <a:prstGeom prst="rect">
                      <a:avLst/>
                    </a:prstGeom>
                    <a:noFill/>
                    <a:ln>
                      <a:noFill/>
                    </a:ln>
                  </pic:spPr>
                </pic:pic>
              </a:graphicData>
            </a:graphic>
          </wp:inline>
        </w:drawing>
      </w:r>
    </w:p>
    <w:p>
      <w:pPr>
        <w:pStyle w:val="73"/>
        <w:ind w:left="720"/>
        <w:sectPr>
          <w:headerReference r:id="rId19" w:type="first"/>
          <w:footerReference r:id="rId21" w:type="first"/>
          <w:headerReference r:id="rId17" w:type="default"/>
          <w:headerReference r:id="rId18" w:type="even"/>
          <w:footerReference r:id="rId20" w:type="even"/>
          <w:pgSz w:w="11906" w:h="16838"/>
          <w:pgMar w:top="1440" w:right="1800" w:bottom="1440" w:left="1800" w:header="851" w:footer="794" w:gutter="0"/>
          <w:cols w:space="425" w:num="1"/>
          <w:docGrid w:type="lines" w:linePitch="326" w:charSpace="0"/>
        </w:sect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r>
        <w:t xml:space="preserve">  本项目涉及四川省生态功能区划图</w:t>
      </w:r>
    </w:p>
    <w:p>
      <w:pPr>
        <w:pStyle w:val="248"/>
        <w:ind w:firstLine="482"/>
        <w:outlineLvl w:val="5"/>
        <w:rPr>
          <w:b/>
        </w:rPr>
      </w:pPr>
      <w:r>
        <w:rPr>
          <w:b/>
        </w:rPr>
        <w:t>（</w:t>
      </w:r>
      <w:r>
        <w:rPr>
          <w:rFonts w:hint="eastAsia"/>
          <w:b/>
        </w:rPr>
        <w:t>3</w:t>
      </w:r>
      <w:r>
        <w:rPr>
          <w:b/>
        </w:rPr>
        <w:t>）与《巴中市生态功能区划》符合性分析</w:t>
      </w:r>
    </w:p>
    <w:p>
      <w:pPr>
        <w:pStyle w:val="248"/>
        <w:ind w:firstLine="480"/>
      </w:pPr>
      <w:r>
        <w:t>根据《巴中市生态功能区划》，项目区域位于</w:t>
      </w:r>
      <w:r>
        <w:rPr>
          <w:rFonts w:cs="Times New Roman"/>
        </w:rPr>
        <w:t>涪江-诺江低山生物多样性生态功能区（</w:t>
      </w:r>
      <w:r>
        <w:rPr>
          <w:rFonts w:hint="eastAsia" w:cs="宋体"/>
        </w:rPr>
        <w:t>Ⅱ</w:t>
      </w:r>
      <w:r>
        <w:rPr>
          <w:rFonts w:cs="Times New Roman"/>
        </w:rPr>
        <w:t>-1-3）</w:t>
      </w:r>
      <w:r>
        <w:t>。本项目与生态功能区符合性分析见下表。</w:t>
      </w:r>
    </w:p>
    <w:p>
      <w:pPr>
        <w:pStyle w:val="222"/>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9</w:t>
      </w:r>
      <w:r>
        <w:fldChar w:fldCharType="end"/>
      </w:r>
      <w:r>
        <w:t xml:space="preserve"> </w:t>
      </w:r>
      <w:r>
        <w:rPr>
          <w:rFonts w:ascii="楷体" w:hAnsi="楷体"/>
        </w:rPr>
        <w:t>评价区域涉及巴中市生态功能区划一览表</w:t>
      </w:r>
    </w:p>
    <w:tbl>
      <w:tblPr>
        <w:tblStyle w:val="35"/>
        <w:tblW w:w="5000" w:type="pct"/>
        <w:jc w:val="cente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98"/>
        <w:gridCol w:w="1045"/>
        <w:gridCol w:w="1155"/>
        <w:gridCol w:w="950"/>
        <w:gridCol w:w="8078"/>
        <w:gridCol w:w="1427"/>
        <w:gridCol w:w="661"/>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PrEx>
        <w:trPr>
          <w:trHeight w:val="369" w:hRule="atLeast"/>
          <w:tblHeader/>
          <w:jc w:val="center"/>
        </w:trPr>
        <w:tc>
          <w:tcPr>
            <w:tcW w:w="249" w:type="pct"/>
            <w:tcBorders>
              <w:top w:val="single" w:color="auto" w:sz="12" w:space="0"/>
              <w:left w:val="nil"/>
              <w:bottom w:val="single" w:color="auto" w:sz="4" w:space="0"/>
              <w:right w:val="single" w:color="auto" w:sz="6" w:space="0"/>
            </w:tcBorders>
            <w:vAlign w:val="center"/>
          </w:tcPr>
          <w:p>
            <w:pPr>
              <w:pStyle w:val="63"/>
              <w:rPr>
                <w:b/>
              </w:rPr>
            </w:pPr>
            <w:r>
              <w:rPr>
                <w:b/>
              </w:rPr>
              <w:t>生态功能区</w:t>
            </w:r>
          </w:p>
        </w:tc>
        <w:tc>
          <w:tcPr>
            <w:tcW w:w="373" w:type="pct"/>
            <w:tcBorders>
              <w:top w:val="single" w:color="auto" w:sz="12" w:space="0"/>
              <w:left w:val="nil"/>
              <w:bottom w:val="single" w:color="auto" w:sz="4" w:space="0"/>
              <w:right w:val="single" w:color="auto" w:sz="6" w:space="0"/>
            </w:tcBorders>
            <w:vAlign w:val="center"/>
          </w:tcPr>
          <w:p>
            <w:pPr>
              <w:pStyle w:val="63"/>
              <w:rPr>
                <w:b/>
              </w:rPr>
            </w:pPr>
            <w:r>
              <w:rPr>
                <w:b/>
              </w:rPr>
              <w:t>主要生态问题</w:t>
            </w:r>
          </w:p>
        </w:tc>
        <w:tc>
          <w:tcPr>
            <w:tcW w:w="412" w:type="pct"/>
            <w:tcBorders>
              <w:top w:val="single" w:color="auto" w:sz="12" w:space="0"/>
              <w:left w:val="nil"/>
              <w:bottom w:val="single" w:color="auto" w:sz="4" w:space="0"/>
              <w:right w:val="single" w:color="auto" w:sz="6" w:space="0"/>
            </w:tcBorders>
            <w:vAlign w:val="center"/>
          </w:tcPr>
          <w:p>
            <w:pPr>
              <w:pStyle w:val="63"/>
              <w:rPr>
                <w:b/>
              </w:rPr>
            </w:pPr>
            <w:r>
              <w:rPr>
                <w:b/>
              </w:rPr>
              <w:t>生态环境敏感性</w:t>
            </w:r>
          </w:p>
        </w:tc>
        <w:tc>
          <w:tcPr>
            <w:tcW w:w="339" w:type="pct"/>
            <w:tcBorders>
              <w:top w:val="single" w:color="auto" w:sz="12" w:space="0"/>
              <w:left w:val="nil"/>
              <w:bottom w:val="single" w:color="auto" w:sz="4" w:space="0"/>
              <w:right w:val="single" w:color="auto" w:sz="6" w:space="0"/>
            </w:tcBorders>
          </w:tcPr>
          <w:p>
            <w:pPr>
              <w:pStyle w:val="63"/>
              <w:rPr>
                <w:b/>
              </w:rPr>
            </w:pPr>
            <w:r>
              <w:rPr>
                <w:b/>
              </w:rPr>
              <w:t>生态服务功能</w:t>
            </w:r>
          </w:p>
        </w:tc>
        <w:tc>
          <w:tcPr>
            <w:tcW w:w="2882" w:type="pct"/>
            <w:tcBorders>
              <w:top w:val="single" w:color="auto" w:sz="12" w:space="0"/>
              <w:left w:val="nil"/>
              <w:bottom w:val="single" w:color="auto" w:sz="4" w:space="0"/>
              <w:right w:val="nil"/>
            </w:tcBorders>
            <w:vAlign w:val="center"/>
          </w:tcPr>
          <w:p>
            <w:pPr>
              <w:pStyle w:val="63"/>
              <w:rPr>
                <w:b/>
              </w:rPr>
            </w:pPr>
            <w:r>
              <w:rPr>
                <w:b/>
              </w:rPr>
              <w:t>生态功能保护与建设的方向和任务</w:t>
            </w:r>
          </w:p>
        </w:tc>
        <w:tc>
          <w:tcPr>
            <w:tcW w:w="509" w:type="pct"/>
            <w:tcBorders>
              <w:top w:val="single" w:color="auto" w:sz="12" w:space="0"/>
              <w:left w:val="single" w:color="auto" w:sz="6" w:space="0"/>
              <w:bottom w:val="single" w:color="auto" w:sz="4" w:space="0"/>
              <w:right w:val="nil"/>
            </w:tcBorders>
            <w:vAlign w:val="center"/>
          </w:tcPr>
          <w:p>
            <w:pPr>
              <w:pStyle w:val="63"/>
              <w:rPr>
                <w:b/>
              </w:rPr>
            </w:pPr>
            <w:r>
              <w:rPr>
                <w:b/>
              </w:rPr>
              <w:t>本项目</w:t>
            </w:r>
          </w:p>
        </w:tc>
        <w:tc>
          <w:tcPr>
            <w:tcW w:w="236" w:type="pct"/>
            <w:tcBorders>
              <w:top w:val="single" w:color="auto" w:sz="12" w:space="0"/>
              <w:left w:val="single" w:color="auto" w:sz="6" w:space="0"/>
              <w:bottom w:val="single" w:color="auto" w:sz="4" w:space="0"/>
              <w:right w:val="nil"/>
            </w:tcBorders>
            <w:vAlign w:val="center"/>
          </w:tcPr>
          <w:p>
            <w:pPr>
              <w:pStyle w:val="63"/>
              <w:rPr>
                <w:b/>
              </w:rPr>
            </w:pPr>
            <w:r>
              <w:rPr>
                <w:b/>
              </w:rPr>
              <w:t>符合性</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49" w:type="pct"/>
            <w:tcBorders>
              <w:top w:val="single" w:color="auto" w:sz="6" w:space="0"/>
              <w:left w:val="nil"/>
              <w:bottom w:val="single" w:color="auto" w:sz="6" w:space="0"/>
              <w:right w:val="single" w:color="auto" w:sz="6" w:space="0"/>
            </w:tcBorders>
            <w:vAlign w:val="center"/>
          </w:tcPr>
          <w:p>
            <w:pPr>
              <w:pStyle w:val="63"/>
              <w:rPr>
                <w:szCs w:val="18"/>
              </w:rPr>
            </w:pPr>
            <w:r>
              <w:rPr>
                <w:rFonts w:hint="eastAsia" w:cs="宋体"/>
                <w:szCs w:val="18"/>
              </w:rPr>
              <w:t>Ⅱ</w:t>
            </w:r>
            <w:r>
              <w:rPr>
                <w:rFonts w:cs="Times New Roman"/>
                <w:szCs w:val="18"/>
              </w:rPr>
              <w:t>-1-3涪江-诺江低山生物多样性生态功能区</w:t>
            </w:r>
          </w:p>
        </w:tc>
        <w:tc>
          <w:tcPr>
            <w:tcW w:w="373" w:type="pct"/>
            <w:tcBorders>
              <w:top w:val="single" w:color="auto" w:sz="6" w:space="0"/>
              <w:left w:val="nil"/>
              <w:bottom w:val="single" w:color="auto" w:sz="6" w:space="0"/>
              <w:right w:val="single" w:color="auto" w:sz="6" w:space="0"/>
            </w:tcBorders>
            <w:vAlign w:val="center"/>
          </w:tcPr>
          <w:p>
            <w:pPr>
              <w:pStyle w:val="63"/>
              <w:jc w:val="both"/>
              <w:rPr>
                <w:spacing w:val="-8"/>
                <w:kern w:val="0"/>
                <w:szCs w:val="18"/>
              </w:rPr>
            </w:pPr>
            <w:r>
              <w:rPr>
                <w:spacing w:val="-8"/>
                <w:kern w:val="0"/>
                <w:szCs w:val="18"/>
              </w:rPr>
              <w:t>本区坡耕地比重大，降雨量大且集中，水土流失严重。本区山势险要沟壑纵横，因此多洪灾。本区属米仓山-大巴山区，滑坡崩塌强烈发育，极易诱发泥石流、山体滑坡等自然灾害。</w:t>
            </w:r>
          </w:p>
        </w:tc>
        <w:tc>
          <w:tcPr>
            <w:tcW w:w="412" w:type="pct"/>
            <w:tcBorders>
              <w:top w:val="single" w:color="auto" w:sz="6" w:space="0"/>
              <w:left w:val="nil"/>
              <w:bottom w:val="single" w:color="auto" w:sz="6" w:space="0"/>
              <w:right w:val="single" w:color="auto" w:sz="6" w:space="0"/>
            </w:tcBorders>
            <w:vAlign w:val="center"/>
          </w:tcPr>
          <w:p>
            <w:pPr>
              <w:pStyle w:val="63"/>
              <w:rPr>
                <w:szCs w:val="18"/>
              </w:rPr>
            </w:pPr>
            <w:r>
              <w:rPr>
                <w:kern w:val="0"/>
                <w:szCs w:val="18"/>
              </w:rPr>
              <w:t>水土流失轻度敏感，石漠化轻度敏感；水环境污染高度敏感。</w:t>
            </w:r>
          </w:p>
          <w:p>
            <w:pPr>
              <w:pStyle w:val="63"/>
              <w:rPr>
                <w:kern w:val="0"/>
                <w:szCs w:val="18"/>
              </w:rPr>
            </w:pPr>
          </w:p>
        </w:tc>
        <w:tc>
          <w:tcPr>
            <w:tcW w:w="339" w:type="pct"/>
            <w:tcBorders>
              <w:top w:val="single" w:color="auto" w:sz="6" w:space="0"/>
              <w:left w:val="nil"/>
              <w:bottom w:val="single" w:color="auto" w:sz="6" w:space="0"/>
              <w:right w:val="single" w:color="auto" w:sz="6" w:space="0"/>
            </w:tcBorders>
            <w:vAlign w:val="center"/>
          </w:tcPr>
          <w:p>
            <w:pPr>
              <w:pStyle w:val="63"/>
              <w:jc w:val="left"/>
              <w:rPr>
                <w:kern w:val="0"/>
                <w:szCs w:val="18"/>
              </w:rPr>
            </w:pPr>
            <w:r>
              <w:rPr>
                <w:rFonts w:hint="eastAsia"/>
                <w:kern w:val="0"/>
                <w:szCs w:val="18"/>
              </w:rPr>
              <w:t>主要</w:t>
            </w:r>
            <w:r>
              <w:rPr>
                <w:kern w:val="0"/>
                <w:szCs w:val="18"/>
              </w:rPr>
              <w:t>服务功能：生物多样性</w:t>
            </w:r>
            <w:r>
              <w:rPr>
                <w:rFonts w:hint="eastAsia"/>
                <w:kern w:val="0"/>
                <w:szCs w:val="18"/>
              </w:rPr>
              <w:t>；次要</w:t>
            </w:r>
            <w:r>
              <w:rPr>
                <w:kern w:val="0"/>
                <w:szCs w:val="18"/>
              </w:rPr>
              <w:t>服务功能</w:t>
            </w:r>
            <w:r>
              <w:rPr>
                <w:rFonts w:hint="eastAsia"/>
                <w:kern w:val="0"/>
                <w:szCs w:val="18"/>
              </w:rPr>
              <w:t>：</w:t>
            </w:r>
            <w:r>
              <w:rPr>
                <w:kern w:val="0"/>
                <w:szCs w:val="18"/>
              </w:rPr>
              <w:t>水源涵养</w:t>
            </w:r>
            <w:r>
              <w:rPr>
                <w:rFonts w:hint="eastAsia"/>
                <w:kern w:val="0"/>
                <w:szCs w:val="18"/>
              </w:rPr>
              <w:t>、</w:t>
            </w:r>
            <w:r>
              <w:rPr>
                <w:kern w:val="0"/>
                <w:szCs w:val="18"/>
              </w:rPr>
              <w:t>土壤保持</w:t>
            </w:r>
            <w:r>
              <w:rPr>
                <w:rFonts w:hint="eastAsia"/>
                <w:kern w:val="0"/>
                <w:szCs w:val="18"/>
              </w:rPr>
              <w:t>；辅助</w:t>
            </w:r>
            <w:r>
              <w:rPr>
                <w:kern w:val="0"/>
                <w:szCs w:val="18"/>
              </w:rPr>
              <w:t>服务功能</w:t>
            </w:r>
            <w:r>
              <w:rPr>
                <w:rFonts w:hint="eastAsia"/>
                <w:kern w:val="0"/>
                <w:szCs w:val="18"/>
              </w:rPr>
              <w:t>：营养物质</w:t>
            </w:r>
            <w:r>
              <w:rPr>
                <w:kern w:val="0"/>
                <w:szCs w:val="18"/>
              </w:rPr>
              <w:t>保持</w:t>
            </w:r>
          </w:p>
        </w:tc>
        <w:tc>
          <w:tcPr>
            <w:tcW w:w="2882" w:type="pct"/>
            <w:tcBorders>
              <w:top w:val="single" w:color="auto" w:sz="6" w:space="0"/>
              <w:left w:val="nil"/>
              <w:bottom w:val="single" w:color="auto" w:sz="6" w:space="0"/>
              <w:right w:val="nil"/>
            </w:tcBorders>
            <w:vAlign w:val="center"/>
          </w:tcPr>
          <w:p>
            <w:pPr>
              <w:pStyle w:val="63"/>
              <w:jc w:val="left"/>
              <w:rPr>
                <w:spacing w:val="-6"/>
                <w:kern w:val="0"/>
                <w:szCs w:val="18"/>
              </w:rPr>
            </w:pPr>
            <w:r>
              <w:rPr>
                <w:spacing w:val="-6"/>
                <w:kern w:val="0"/>
                <w:szCs w:val="18"/>
              </w:rPr>
              <w:t>建立植被结构优化的中低山森林生态系统，强化其生物多样性保护功能是本区生态功能保护与建设的主导方向。重点任务如下：强化对山地森林生态系统的保护及生物多样性的保护，加大陡坡耕地的退耕还林还草和天然林保护力度，改造、优化森林植被结构，强化植被的水土保持和水源涵养功能。适度发展以自然生态资源为主的观光旅游。要防止资源开发、旅游开发及休闲娱乐活动对山体自然形态和植被的破坏。严格执行国家和地方的法规和有关规范标准；禁止有损生态系统的一切开发活动，包括建设污染型企业，侵占和开山取石采土，采矿等，并有计划有针对性地建立水源保护区。对一般保护区域，以生态保护为主，控制开发强度；禁止污染型工业企业的迁入。开展以滑坡为代表的地质灾害重点治理，严格控制地质灾害区的各类工程活动，加强工程、工矿建设废弃地、裸露石山的植被恢复；全面实施侵蚀劣地的植被恢复，防止土壤侵蚀加剧化，防止侵蚀山地的石漠化。区内资源以保护为主，可以适度开发利用，但须保持资源的持续利用。通过新型山地轮歇农业技术和中药资源保护技术的发展，以可持续的方式利用山区以黄连为主的、具有本区特色的中药资源和提高山地农业系统的中药生产力，加强和倡导当地生态农业的传统知识和实践，加强当地传统文化在生态农业和中药资源管理方面中的作用，以此来协调山地生计和中药资源保护的需要。在保护野生药用动植物资源的基础上，确保野生中药资源不被毁灭。在发展中除了考虑到对本区生物性的保护，还要确保不会对周边水源涵养区不造成影响；</w:t>
            </w:r>
            <w:r>
              <w:rPr>
                <w:rFonts w:hint="eastAsia"/>
                <w:spacing w:val="-6"/>
                <w:kern w:val="0"/>
                <w:szCs w:val="18"/>
              </w:rPr>
              <w:t>以及</w:t>
            </w:r>
            <w:r>
              <w:rPr>
                <w:spacing w:val="-6"/>
                <w:kern w:val="0"/>
                <w:szCs w:val="18"/>
              </w:rPr>
              <w:t>要注意保护森林林地，此区域为典型的高山农业，地方政府应因地制宜开发发展。</w:t>
            </w:r>
          </w:p>
        </w:tc>
        <w:tc>
          <w:tcPr>
            <w:tcW w:w="509" w:type="pct"/>
            <w:tcBorders>
              <w:top w:val="single" w:color="auto" w:sz="6" w:space="0"/>
              <w:left w:val="single" w:color="auto" w:sz="6" w:space="0"/>
              <w:bottom w:val="single" w:color="auto" w:sz="6" w:space="0"/>
              <w:right w:val="nil"/>
            </w:tcBorders>
            <w:vAlign w:val="center"/>
          </w:tcPr>
          <w:p>
            <w:pPr>
              <w:pStyle w:val="63"/>
              <w:jc w:val="left"/>
              <w:rPr>
                <w:kern w:val="0"/>
                <w:szCs w:val="18"/>
              </w:rPr>
            </w:pPr>
            <w:r>
              <w:rPr>
                <w:rFonts w:hint="eastAsia"/>
                <w:kern w:val="0"/>
                <w:szCs w:val="18"/>
              </w:rPr>
              <w:t>本项目</w:t>
            </w:r>
            <w:r>
              <w:rPr>
                <w:kern w:val="0"/>
              </w:rPr>
              <w:t>建设过程</w:t>
            </w:r>
            <w:r>
              <w:rPr>
                <w:rFonts w:hint="eastAsia"/>
                <w:kern w:val="0"/>
              </w:rPr>
              <w:t>采取</w:t>
            </w:r>
            <w:r>
              <w:rPr>
                <w:kern w:val="0"/>
              </w:rPr>
              <w:t>严格的生态保护</w:t>
            </w:r>
            <w:r>
              <w:rPr>
                <w:rFonts w:hint="eastAsia"/>
                <w:kern w:val="0"/>
              </w:rPr>
              <w:t>和</w:t>
            </w:r>
            <w:r>
              <w:rPr>
                <w:kern w:val="0"/>
              </w:rPr>
              <w:t>水土保持措施</w:t>
            </w:r>
            <w:r>
              <w:rPr>
                <w:rFonts w:hint="eastAsia"/>
                <w:kern w:val="0"/>
              </w:rPr>
              <w:t>后</w:t>
            </w:r>
            <w:r>
              <w:rPr>
                <w:kern w:val="0"/>
              </w:rPr>
              <w:t>,对当地生态影响较小,不违背生态功能区</w:t>
            </w:r>
            <w:r>
              <w:rPr>
                <w:rFonts w:hint="eastAsia"/>
                <w:kern w:val="0"/>
              </w:rPr>
              <w:t>保护要求</w:t>
            </w:r>
          </w:p>
        </w:tc>
        <w:tc>
          <w:tcPr>
            <w:tcW w:w="236" w:type="pct"/>
            <w:tcBorders>
              <w:top w:val="single" w:color="auto" w:sz="6" w:space="0"/>
              <w:left w:val="single" w:color="auto" w:sz="6" w:space="0"/>
              <w:bottom w:val="single" w:color="auto" w:sz="6" w:space="0"/>
              <w:right w:val="nil"/>
            </w:tcBorders>
            <w:vAlign w:val="center"/>
          </w:tcPr>
          <w:p>
            <w:pPr>
              <w:pStyle w:val="63"/>
              <w:rPr>
                <w:kern w:val="0"/>
                <w:szCs w:val="18"/>
              </w:rPr>
            </w:pPr>
            <w:r>
              <w:rPr>
                <w:rFonts w:hint="eastAsia"/>
                <w:kern w:val="0"/>
                <w:szCs w:val="18"/>
              </w:rPr>
              <w:t>符合</w:t>
            </w:r>
          </w:p>
        </w:tc>
      </w:tr>
    </w:tbl>
    <w:p>
      <w:pPr>
        <w:ind w:firstLine="480"/>
        <w:rPr>
          <w:rFonts w:cs="Times New Roman"/>
          <w:szCs w:val="24"/>
        </w:rPr>
        <w:sectPr>
          <w:headerReference r:id="rId22" w:type="default"/>
          <w:pgSz w:w="16838" w:h="11906" w:orient="landscape"/>
          <w:pgMar w:top="1797" w:right="1440" w:bottom="1797" w:left="1440" w:header="851" w:footer="794" w:gutter="0"/>
          <w:cols w:space="425" w:num="1"/>
          <w:docGrid w:type="lines" w:linePitch="326" w:charSpace="0"/>
        </w:sectPr>
      </w:pPr>
    </w:p>
    <w:p>
      <w:pPr>
        <w:pStyle w:val="56"/>
      </w:pPr>
      <w:r>
        <w:drawing>
          <wp:anchor distT="0" distB="0" distL="114300" distR="114300" simplePos="0" relativeHeight="251669504" behindDoc="0" locked="0" layoutInCell="1" allowOverlap="1">
            <wp:simplePos x="0" y="0"/>
            <wp:positionH relativeFrom="column">
              <wp:posOffset>2437130</wp:posOffset>
            </wp:positionH>
            <wp:positionV relativeFrom="paragraph">
              <wp:posOffset>2964180</wp:posOffset>
            </wp:positionV>
            <wp:extent cx="696595" cy="746760"/>
            <wp:effectExtent l="0" t="0" r="8255" b="0"/>
            <wp:wrapNone/>
            <wp:docPr id="17" name="图片 17" descr="C:\Users\ADMINI~1\AppData\Local\Temp\ksohtml\wps7C6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ksohtml\wps7C6A.tm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96595" cy="746760"/>
                    </a:xfrm>
                    <a:prstGeom prst="rect">
                      <a:avLst/>
                    </a:prstGeom>
                    <a:noFill/>
                    <a:ln>
                      <a:noFill/>
                    </a:ln>
                  </pic:spPr>
                </pic:pic>
              </a:graphicData>
            </a:graphic>
          </wp:anchor>
        </w:drawing>
      </w:r>
      <w:r>
        <w:drawing>
          <wp:inline distT="0" distB="0" distL="0" distR="0">
            <wp:extent cx="5264785" cy="7000240"/>
            <wp:effectExtent l="0" t="0" r="0" b="0"/>
            <wp:docPr id="16" name="图片 16" descr="C:\Users\ADMINI~1\AppData\Local\Temp\ksohtml\wpsBD0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ksohtml\wpsBD03.tm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64969" cy="7000240"/>
                    </a:xfrm>
                    <a:prstGeom prst="rect">
                      <a:avLst/>
                    </a:prstGeom>
                    <a:noFill/>
                    <a:ln>
                      <a:noFill/>
                    </a:ln>
                  </pic:spPr>
                </pic:pic>
              </a:graphicData>
            </a:graphic>
          </wp:inline>
        </w:drawing>
      </w:r>
    </w:p>
    <w:p>
      <w:pPr>
        <w:pStyle w:val="73"/>
        <w:ind w:left="720" w:firstLine="360"/>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4</w:t>
      </w:r>
      <w:r>
        <w:fldChar w:fldCharType="end"/>
      </w:r>
      <w:r>
        <w:t xml:space="preserve"> 本项目涉及</w:t>
      </w:r>
      <w:r>
        <w:rPr>
          <w:rFonts w:hint="eastAsia"/>
        </w:rPr>
        <w:t>巴中市</w:t>
      </w:r>
      <w:r>
        <w:t>生态功能区划</w:t>
      </w:r>
      <w:r>
        <w:rPr>
          <w:rFonts w:hint="eastAsia"/>
        </w:rPr>
        <w:t>图</w:t>
      </w:r>
    </w:p>
    <w:p>
      <w:pPr>
        <w:ind w:firstLine="482"/>
        <w:rPr>
          <w:rFonts w:cs="Times New Roman"/>
        </w:rPr>
      </w:pPr>
      <w:r>
        <w:rPr>
          <w:rFonts w:cs="Times New Roman"/>
          <w:b/>
          <w:bCs/>
        </w:rPr>
        <w:t>综上，本项目不涉及生态保护红线，符合</w:t>
      </w:r>
      <w:r>
        <w:rPr>
          <w:b/>
        </w:rPr>
        <w:t>巴中市“三线一单”生态环境分区管控要求，符合</w:t>
      </w:r>
      <w:r>
        <w:rPr>
          <w:rFonts w:ascii="宋体" w:hAnsi="宋体"/>
          <w:b/>
        </w:rPr>
        <w:t>《四川省生态功能区划》</w:t>
      </w:r>
      <w:r>
        <w:rPr>
          <w:b/>
        </w:rPr>
        <w:t>《巴中市生态功能区划》相关</w:t>
      </w:r>
      <w:r>
        <w:rPr>
          <w:rFonts w:cs="Times New Roman"/>
          <w:b/>
          <w:bCs/>
        </w:rPr>
        <w:t>要求。</w:t>
      </w:r>
    </w:p>
    <w:p>
      <w:pPr>
        <w:pStyle w:val="2"/>
        <w:ind w:left="900" w:hanging="420"/>
        <w:sectPr>
          <w:headerReference r:id="rId23" w:type="default"/>
          <w:pgSz w:w="11906" w:h="16838"/>
          <w:pgMar w:top="1440" w:right="1800" w:bottom="1440" w:left="1800" w:header="851" w:footer="794" w:gutter="0"/>
          <w:cols w:space="425" w:num="1"/>
          <w:docGrid w:type="lines" w:linePitch="326" w:charSpace="0"/>
        </w:sectPr>
      </w:pPr>
    </w:p>
    <w:p>
      <w:pPr>
        <w:pStyle w:val="4"/>
        <w:rPr>
          <w:rFonts w:cs="Times New Roman"/>
        </w:rPr>
      </w:pPr>
      <w:bookmarkStart w:id="38" w:name="_Toc57710986"/>
      <w:r>
        <w:rPr>
          <w:rFonts w:hint="eastAsia" w:cs="Times New Roman"/>
        </w:rPr>
        <w:t xml:space="preserve"> </w:t>
      </w:r>
      <w:bookmarkStart w:id="39" w:name="_Toc96680610"/>
      <w:r>
        <w:rPr>
          <w:rFonts w:cs="Times New Roman"/>
        </w:rPr>
        <w:t>环境影响因素识别和评价因子筛选</w:t>
      </w:r>
      <w:bookmarkEnd w:id="38"/>
      <w:bookmarkEnd w:id="39"/>
    </w:p>
    <w:p>
      <w:pPr>
        <w:pStyle w:val="5"/>
        <w:rPr>
          <w:rFonts w:cs="Times New Roman"/>
        </w:rPr>
      </w:pPr>
      <w:r>
        <w:rPr>
          <w:rFonts w:cs="Times New Roman"/>
        </w:rPr>
        <w:t xml:space="preserve"> </w:t>
      </w:r>
      <w:bookmarkStart w:id="40" w:name="_Toc96680611"/>
      <w:r>
        <w:rPr>
          <w:rFonts w:cs="Times New Roman"/>
        </w:rPr>
        <w:t>环境影响因素分析</w:t>
      </w:r>
      <w:bookmarkEnd w:id="40"/>
    </w:p>
    <w:p>
      <w:pPr>
        <w:ind w:firstLine="480"/>
        <w:rPr>
          <w:rFonts w:cs="Times New Roman"/>
        </w:rPr>
      </w:pPr>
      <w:bookmarkStart w:id="41" w:name="_Toc39651928"/>
      <w:bookmarkStart w:id="42" w:name="_Toc29808319"/>
      <w:r>
        <w:rPr>
          <w:rFonts w:cs="Times New Roman"/>
        </w:rPr>
        <w:t>本工程为生态影响型建设工程，主要就工程建设及运行对区域生态环境及其他环境要素所造成的影响进行识别。</w:t>
      </w:r>
    </w:p>
    <w:p>
      <w:pPr>
        <w:ind w:firstLine="482"/>
        <w:rPr>
          <w:rFonts w:cs="Times New Roman"/>
          <w:b/>
          <w:bCs/>
        </w:rPr>
      </w:pPr>
      <w:r>
        <w:rPr>
          <w:rFonts w:hint="eastAsia" w:cs="Times New Roman"/>
          <w:b/>
          <w:bCs/>
        </w:rPr>
        <w:t>（1）</w:t>
      </w:r>
      <w:r>
        <w:rPr>
          <w:rFonts w:cs="Times New Roman"/>
          <w:b/>
          <w:bCs/>
        </w:rPr>
        <w:t>生态环境影响</w:t>
      </w:r>
    </w:p>
    <w:p>
      <w:pPr>
        <w:ind w:firstLine="480"/>
      </w:pPr>
      <w:r>
        <w:t>本项目生态环境影响主要体现在施工期。工程施工期间对生态环境的影响主要是土石方工程开挖引起的自然地貌的改变和地表自然及人工植被的破坏，进而引起对土地利用的改变，生物量和生产力的变化，由此引发区域生态系统稳定性下降，致使生态环境的破坏；施工中临时道路、临时施工场地等将会占用耕地、林地及其它土地，导致农业、林业生态系统发生较大变化；穿越河流产生的弃土和施工行为对当地地表水环境容量产生影响；工程线路对沿线生态敏感目标的干扰、阻断影响和破坏。</w:t>
      </w:r>
    </w:p>
    <w:p>
      <w:pPr>
        <w:ind w:firstLine="480"/>
      </w:pPr>
      <w:r>
        <w:t>营运期不会带来新的生态影响，受施工期影响的生态环境按相应的环境保护措施，逐步恢复重建。</w:t>
      </w:r>
    </w:p>
    <w:p>
      <w:pPr>
        <w:ind w:firstLine="482"/>
        <w:rPr>
          <w:rFonts w:cs="Times New Roman"/>
          <w:b/>
          <w:bCs/>
        </w:rPr>
      </w:pPr>
      <w:r>
        <w:rPr>
          <w:rFonts w:hint="eastAsia" w:cs="Times New Roman"/>
          <w:b/>
          <w:bCs/>
        </w:rPr>
        <w:t>（2）</w:t>
      </w:r>
      <w:r>
        <w:rPr>
          <w:rFonts w:cs="Times New Roman"/>
          <w:b/>
          <w:bCs/>
        </w:rPr>
        <w:t>地表水环境影响</w:t>
      </w:r>
    </w:p>
    <w:p>
      <w:pPr>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1 \* GB3</w:instrText>
      </w:r>
      <w:r>
        <w:rPr>
          <w:rFonts w:cs="Times New Roman"/>
        </w:rPr>
        <w:instrText xml:space="preserve"> </w:instrText>
      </w:r>
      <w:r>
        <w:rPr>
          <w:rFonts w:cs="Times New Roman"/>
        </w:rPr>
        <w:fldChar w:fldCharType="separate"/>
      </w:r>
      <w:r>
        <w:rPr>
          <w:rFonts w:hint="eastAsia" w:cs="Times New Roman"/>
        </w:rPr>
        <w:t>①</w:t>
      </w:r>
      <w:r>
        <w:rPr>
          <w:rFonts w:cs="Times New Roman"/>
        </w:rPr>
        <w:fldChar w:fldCharType="end"/>
      </w:r>
      <w:r>
        <w:rPr>
          <w:rFonts w:cs="Times New Roman"/>
        </w:rPr>
        <w:t>清管试压排放水对地表水环境的影响；</w:t>
      </w:r>
    </w:p>
    <w:p>
      <w:pPr>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2 \* GB3</w:instrText>
      </w:r>
      <w:r>
        <w:rPr>
          <w:rFonts w:cs="Times New Roman"/>
        </w:rPr>
        <w:instrText xml:space="preserve"> </w:instrText>
      </w:r>
      <w:r>
        <w:rPr>
          <w:rFonts w:cs="Times New Roman"/>
        </w:rPr>
        <w:fldChar w:fldCharType="separate"/>
      </w:r>
      <w:r>
        <w:rPr>
          <w:rFonts w:hint="eastAsia" w:cs="Times New Roman"/>
        </w:rPr>
        <w:t>②</w:t>
      </w:r>
      <w:r>
        <w:rPr>
          <w:rFonts w:cs="Times New Roman"/>
        </w:rPr>
        <w:fldChar w:fldCharType="end"/>
      </w:r>
      <w:r>
        <w:rPr>
          <w:rFonts w:cs="Times New Roman"/>
        </w:rPr>
        <w:t>施工人员产生的生活污水排放对地表水环境的影响；</w:t>
      </w:r>
    </w:p>
    <w:p>
      <w:pPr>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3 \* GB3</w:instrText>
      </w:r>
      <w:r>
        <w:rPr>
          <w:rFonts w:cs="Times New Roman"/>
        </w:rPr>
        <w:instrText xml:space="preserve"> </w:instrText>
      </w:r>
      <w:r>
        <w:rPr>
          <w:rFonts w:cs="Times New Roman"/>
        </w:rPr>
        <w:fldChar w:fldCharType="separate"/>
      </w:r>
      <w:r>
        <w:rPr>
          <w:rFonts w:hint="eastAsia" w:cs="Times New Roman"/>
        </w:rPr>
        <w:t>③</w:t>
      </w:r>
      <w:r>
        <w:rPr>
          <w:rFonts w:cs="Times New Roman"/>
        </w:rPr>
        <w:fldChar w:fldCharType="end"/>
      </w:r>
      <w:r>
        <w:rPr>
          <w:rFonts w:cs="Times New Roman"/>
        </w:rPr>
        <w:t>运营期正常运行情况下无废水产生。</w:t>
      </w:r>
    </w:p>
    <w:p>
      <w:pPr>
        <w:ind w:firstLine="482"/>
        <w:rPr>
          <w:rFonts w:cs="Times New Roman"/>
          <w:b/>
          <w:bCs/>
        </w:rPr>
      </w:pPr>
      <w:r>
        <w:rPr>
          <w:rFonts w:hint="eastAsia" w:cs="Times New Roman"/>
          <w:b/>
          <w:bCs/>
        </w:rPr>
        <w:t>（3）</w:t>
      </w:r>
      <w:r>
        <w:rPr>
          <w:rFonts w:cs="Times New Roman"/>
          <w:b/>
          <w:bCs/>
        </w:rPr>
        <w:t>地下水环境影响</w:t>
      </w:r>
    </w:p>
    <w:p>
      <w:pPr>
        <w:ind w:firstLine="480"/>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施工期清管试压废水渗漏会对地下水环境产生影响；</w:t>
      </w:r>
    </w:p>
    <w:p>
      <w:pPr>
        <w:ind w:firstLine="480"/>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营运期管线埋设于地下，输气管道输送介质天然气，即使管道破裂，天然气自然挥发，也不会进入地下水造成污染。</w:t>
      </w:r>
    </w:p>
    <w:p>
      <w:pPr>
        <w:ind w:firstLine="482"/>
        <w:rPr>
          <w:rFonts w:cs="Times New Roman"/>
          <w:b/>
          <w:bCs/>
        </w:rPr>
      </w:pPr>
      <w:r>
        <w:rPr>
          <w:rFonts w:hint="eastAsia" w:cs="Times New Roman"/>
          <w:b/>
          <w:bCs/>
        </w:rPr>
        <w:t>（4）</w:t>
      </w:r>
      <w:r>
        <w:rPr>
          <w:rFonts w:cs="Times New Roman"/>
          <w:b/>
          <w:bCs/>
        </w:rPr>
        <w:t>大气环境影响</w:t>
      </w:r>
    </w:p>
    <w:p>
      <w:pPr>
        <w:ind w:firstLine="480"/>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施工机械排放的废气；</w:t>
      </w:r>
    </w:p>
    <w:p>
      <w:pPr>
        <w:ind w:firstLine="480"/>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施工产生的扬尘；</w:t>
      </w:r>
    </w:p>
    <w:p>
      <w:pPr>
        <w:ind w:firstLine="480"/>
        <w:rPr>
          <w:rFonts w:cs="Times New Roman"/>
        </w:rPr>
      </w:pPr>
      <w:r>
        <w:rPr>
          <w:rFonts w:cs="Times New Roman"/>
        </w:rPr>
        <w:fldChar w:fldCharType="begin"/>
      </w:r>
      <w:r>
        <w:rPr>
          <w:rFonts w:cs="Times New Roman"/>
        </w:rPr>
        <w:instrText xml:space="preserve"> = 3 \* GB3 \* MERGEFORMAT </w:instrText>
      </w:r>
      <w:r>
        <w:rPr>
          <w:rFonts w:cs="Times New Roman"/>
        </w:rPr>
        <w:fldChar w:fldCharType="separate"/>
      </w:r>
      <w:r>
        <w:rPr>
          <w:rFonts w:hint="eastAsia" w:ascii="宋体" w:hAnsi="宋体" w:cs="宋体"/>
        </w:rPr>
        <w:t>③</w:t>
      </w:r>
      <w:r>
        <w:rPr>
          <w:rFonts w:cs="Times New Roman"/>
        </w:rPr>
        <w:fldChar w:fldCharType="end"/>
      </w:r>
      <w:r>
        <w:rPr>
          <w:rFonts w:cs="Times New Roman"/>
        </w:rPr>
        <w:t>营运期正常情况下，无废气产生；非正常工况下外排的废气主要是清管检修时和事故放空时点燃放空的天然气。</w:t>
      </w:r>
    </w:p>
    <w:p>
      <w:pPr>
        <w:ind w:firstLine="482"/>
        <w:rPr>
          <w:rFonts w:cs="Times New Roman"/>
          <w:b/>
          <w:bCs/>
        </w:rPr>
      </w:pPr>
      <w:r>
        <w:rPr>
          <w:rFonts w:hint="eastAsia" w:cs="Times New Roman"/>
          <w:b/>
          <w:bCs/>
        </w:rPr>
        <w:t>（5）</w:t>
      </w:r>
      <w:r>
        <w:rPr>
          <w:rFonts w:cs="Times New Roman"/>
          <w:b/>
          <w:bCs/>
        </w:rPr>
        <w:t>声环境影响</w:t>
      </w:r>
    </w:p>
    <w:p>
      <w:pPr>
        <w:ind w:firstLine="480"/>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施工期施工机械产生的机械噪声；</w:t>
      </w:r>
    </w:p>
    <w:p>
      <w:pPr>
        <w:ind w:firstLine="480"/>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管线采取埋地敷设</w:t>
      </w:r>
      <w:r>
        <w:rPr>
          <w:rFonts w:hint="eastAsia" w:cs="Times New Roman"/>
        </w:rPr>
        <w:t>，运营期无噪声产生</w:t>
      </w:r>
      <w:r>
        <w:rPr>
          <w:rFonts w:cs="Times New Roman"/>
        </w:rPr>
        <w:t>。</w:t>
      </w:r>
    </w:p>
    <w:p>
      <w:pPr>
        <w:ind w:firstLine="482"/>
        <w:rPr>
          <w:rFonts w:cs="Times New Roman"/>
          <w:b/>
          <w:bCs/>
        </w:rPr>
      </w:pPr>
      <w:r>
        <w:rPr>
          <w:rFonts w:hint="eastAsia" w:cs="Times New Roman"/>
          <w:b/>
          <w:bCs/>
        </w:rPr>
        <w:t>（6）</w:t>
      </w:r>
      <w:r>
        <w:rPr>
          <w:rFonts w:cs="Times New Roman"/>
          <w:b/>
          <w:bCs/>
        </w:rPr>
        <w:t>固体废物</w:t>
      </w:r>
      <w:r>
        <w:rPr>
          <w:rFonts w:hint="eastAsia" w:cs="Times New Roman"/>
          <w:b/>
          <w:bCs/>
        </w:rPr>
        <w:t>的</w:t>
      </w:r>
      <w:r>
        <w:rPr>
          <w:rFonts w:cs="Times New Roman"/>
          <w:b/>
          <w:bCs/>
        </w:rPr>
        <w:t>影响</w:t>
      </w:r>
    </w:p>
    <w:p>
      <w:pPr>
        <w:ind w:firstLine="480"/>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施工期产生的固体废物主要为生活垃圾、工程弃土和施工废料等；</w:t>
      </w:r>
    </w:p>
    <w:p>
      <w:pPr>
        <w:ind w:firstLine="480"/>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营运期产生的固体废物主要为生活垃圾、清管废渣等。</w:t>
      </w:r>
    </w:p>
    <w:p>
      <w:pPr>
        <w:ind w:firstLine="480"/>
        <w:rPr>
          <w:rFonts w:cs="Times New Roman"/>
        </w:rPr>
      </w:pPr>
      <w:r>
        <w:rPr>
          <w:rFonts w:cs="Times New Roman"/>
        </w:rPr>
        <w:t>本项目环境影响具体内容详见下表。</w:t>
      </w:r>
    </w:p>
    <w:p>
      <w:pPr>
        <w:pStyle w:val="227"/>
      </w:pPr>
      <w:r>
        <w:t>表</w:t>
      </w:r>
      <w:r>
        <w:fldChar w:fldCharType="begin"/>
      </w:r>
      <w:r>
        <w:instrText xml:space="preserve"> STYLEREF 2 \s </w:instrText>
      </w:r>
      <w:r>
        <w:fldChar w:fldCharType="separate"/>
      </w:r>
      <w:r>
        <w:t>1.5</w:t>
      </w:r>
      <w:r>
        <w:fldChar w:fldCharType="end"/>
      </w:r>
      <w:r>
        <w:noBreakHyphen/>
      </w:r>
      <w:r>
        <w:fldChar w:fldCharType="begin"/>
      </w:r>
      <w:r>
        <w:instrText xml:space="preserve"> SEQ 表 \* ARABIC \s 2 </w:instrText>
      </w:r>
      <w:r>
        <w:fldChar w:fldCharType="separate"/>
      </w:r>
      <w:r>
        <w:t>1</w:t>
      </w:r>
      <w:r>
        <w:fldChar w:fldCharType="end"/>
      </w:r>
      <w:r>
        <w:t xml:space="preserve"> 输气管道项目施工期和营运期环境影响分析表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330"/>
        <w:gridCol w:w="54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17" w:type="pct"/>
            <w:tcBorders>
              <w:top w:val="single" w:color="auto" w:sz="12" w:space="0"/>
              <w:left w:val="nil"/>
            </w:tcBorders>
            <w:vAlign w:val="center"/>
          </w:tcPr>
          <w:p>
            <w:pPr>
              <w:pStyle w:val="63"/>
              <w:rPr>
                <w:rFonts w:cs="Times New Roman"/>
                <w:b/>
                <w:bCs/>
              </w:rPr>
            </w:pPr>
            <w:r>
              <w:rPr>
                <w:rFonts w:cs="Times New Roman"/>
                <w:b/>
                <w:bCs/>
              </w:rPr>
              <w:t>建设</w:t>
            </w:r>
          </w:p>
          <w:p>
            <w:pPr>
              <w:pStyle w:val="63"/>
              <w:rPr>
                <w:rFonts w:cs="Times New Roman"/>
                <w:b/>
                <w:bCs/>
              </w:rPr>
            </w:pPr>
            <w:r>
              <w:rPr>
                <w:rFonts w:cs="Times New Roman"/>
                <w:b/>
                <w:bCs/>
              </w:rPr>
              <w:t>项目</w:t>
            </w:r>
          </w:p>
        </w:tc>
        <w:tc>
          <w:tcPr>
            <w:tcW w:w="1367" w:type="pct"/>
            <w:tcBorders>
              <w:top w:val="single" w:color="auto" w:sz="12" w:space="0"/>
            </w:tcBorders>
            <w:vAlign w:val="center"/>
          </w:tcPr>
          <w:p>
            <w:pPr>
              <w:pStyle w:val="63"/>
              <w:rPr>
                <w:rFonts w:cs="Times New Roman"/>
                <w:b/>
                <w:bCs/>
              </w:rPr>
            </w:pPr>
            <w:r>
              <w:rPr>
                <w:rFonts w:cs="Times New Roman"/>
                <w:b/>
                <w:bCs/>
              </w:rPr>
              <w:t>项目建设活动</w:t>
            </w:r>
          </w:p>
        </w:tc>
        <w:tc>
          <w:tcPr>
            <w:tcW w:w="3216" w:type="pct"/>
            <w:tcBorders>
              <w:top w:val="single" w:color="auto" w:sz="12" w:space="0"/>
            </w:tcBorders>
            <w:vAlign w:val="center"/>
          </w:tcPr>
          <w:p>
            <w:pPr>
              <w:pStyle w:val="63"/>
              <w:rPr>
                <w:rFonts w:cs="Times New Roman"/>
                <w:b/>
                <w:bCs/>
              </w:rPr>
            </w:pPr>
            <w:r>
              <w:rPr>
                <w:rFonts w:cs="Times New Roman"/>
                <w:b/>
                <w:bCs/>
              </w:rPr>
              <w:t>环境影响内容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restart"/>
            <w:tcBorders>
              <w:left w:val="nil"/>
            </w:tcBorders>
            <w:vAlign w:val="center"/>
          </w:tcPr>
          <w:p>
            <w:pPr>
              <w:pStyle w:val="63"/>
              <w:rPr>
                <w:rFonts w:cs="Times New Roman"/>
                <w:b/>
                <w:bCs/>
              </w:rPr>
            </w:pPr>
            <w:r>
              <w:rPr>
                <w:rFonts w:cs="Times New Roman"/>
                <w:b/>
                <w:bCs/>
              </w:rPr>
              <w:t>施</w:t>
            </w:r>
          </w:p>
          <w:p>
            <w:pPr>
              <w:pStyle w:val="63"/>
              <w:rPr>
                <w:rFonts w:cs="Times New Roman"/>
                <w:b/>
                <w:bCs/>
              </w:rPr>
            </w:pPr>
            <w:r>
              <w:rPr>
                <w:rFonts w:cs="Times New Roman"/>
                <w:b/>
                <w:bCs/>
              </w:rPr>
              <w:t>工</w:t>
            </w:r>
          </w:p>
          <w:p>
            <w:pPr>
              <w:pStyle w:val="63"/>
              <w:rPr>
                <w:rFonts w:cs="Times New Roman"/>
              </w:rPr>
            </w:pPr>
            <w:r>
              <w:rPr>
                <w:rFonts w:cs="Times New Roman"/>
                <w:b/>
                <w:bCs/>
              </w:rPr>
              <w:t>期</w:t>
            </w:r>
          </w:p>
        </w:tc>
        <w:tc>
          <w:tcPr>
            <w:tcW w:w="1367" w:type="pct"/>
            <w:vAlign w:val="center"/>
          </w:tcPr>
          <w:p>
            <w:pPr>
              <w:pStyle w:val="63"/>
              <w:jc w:val="both"/>
              <w:rPr>
                <w:rFonts w:cs="Times New Roman"/>
                <w:bCs/>
              </w:rPr>
            </w:pPr>
            <w:r>
              <w:rPr>
                <w:rFonts w:hint="eastAsia" w:cs="Times New Roman"/>
                <w:b/>
              </w:rPr>
              <w:t>一、</w:t>
            </w:r>
            <w:r>
              <w:rPr>
                <w:rFonts w:cs="Times New Roman"/>
                <w:b/>
              </w:rPr>
              <w:t>管线敷设</w:t>
            </w:r>
          </w:p>
        </w:tc>
        <w:tc>
          <w:tcPr>
            <w:tcW w:w="3216" w:type="pct"/>
            <w:vAlign w:val="center"/>
          </w:tcPr>
          <w:p>
            <w:pPr>
              <w:pStyle w:val="63"/>
              <w:jc w:val="both"/>
              <w:rPr>
                <w:rFonts w:cs="Times New Roman"/>
              </w:rPr>
            </w:pPr>
            <w:r>
              <w:rPr>
                <w:rFonts w:cs="Times New Roman"/>
              </w:rPr>
              <w:t>临时占用部分土地，短期影响土地的使用功能或类型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rPr>
            </w:pPr>
            <w:r>
              <w:rPr>
                <w:rFonts w:hint="eastAsia" w:cs="Times New Roman"/>
              </w:rPr>
              <w:t>1.</w:t>
            </w:r>
            <w:r>
              <w:rPr>
                <w:rFonts w:cs="Times New Roman"/>
              </w:rPr>
              <w:t>管沟开挖与回填</w:t>
            </w:r>
          </w:p>
        </w:tc>
        <w:tc>
          <w:tcPr>
            <w:tcW w:w="3216" w:type="pct"/>
            <w:vAlign w:val="center"/>
          </w:tcPr>
          <w:p>
            <w:pPr>
              <w:pStyle w:val="63"/>
              <w:jc w:val="both"/>
              <w:rPr>
                <w:rFonts w:cs="Times New Roman"/>
              </w:rPr>
            </w:pPr>
            <w:r>
              <w:rPr>
                <w:rFonts w:hint="eastAsia" w:ascii="宋体" w:hAnsi="宋体" w:cs="宋体"/>
              </w:rPr>
              <w:t>①</w:t>
            </w:r>
            <w:r>
              <w:rPr>
                <w:rFonts w:cs="Times New Roman"/>
              </w:rPr>
              <w:t>破坏施工作业带内的土壤、植被和视觉景观；特别对沿线林地的破坏是不可逆转的，需要提出林地补偿建设计划；</w:t>
            </w:r>
            <w:r>
              <w:rPr>
                <w:rFonts w:hint="eastAsia" w:ascii="宋体" w:hAnsi="宋体" w:cs="宋体"/>
              </w:rPr>
              <w:t>②</w:t>
            </w:r>
            <w:r>
              <w:rPr>
                <w:rFonts w:cs="Times New Roman"/>
              </w:rPr>
              <w:t>可能产生废弃土石方，且堆放不当易引起水土流失，污染地表水体或农田；</w:t>
            </w:r>
            <w:r>
              <w:rPr>
                <w:rFonts w:hint="eastAsia" w:ascii="宋体" w:hAnsi="宋体" w:cs="宋体"/>
              </w:rPr>
              <w:t>③</w:t>
            </w:r>
            <w:r>
              <w:rPr>
                <w:rFonts w:cs="Times New Roman"/>
              </w:rPr>
              <w:t>运输、取弃填挖作业中产生扬尘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rPr>
            </w:pPr>
            <w:r>
              <w:rPr>
                <w:rFonts w:hint="eastAsia" w:cs="Times New Roman"/>
              </w:rPr>
              <w:t>2.</w:t>
            </w:r>
            <w:r>
              <w:rPr>
                <w:rFonts w:cs="Times New Roman"/>
              </w:rPr>
              <w:t>原材料运输</w:t>
            </w:r>
          </w:p>
        </w:tc>
        <w:tc>
          <w:tcPr>
            <w:tcW w:w="3216" w:type="pct"/>
            <w:vAlign w:val="center"/>
          </w:tcPr>
          <w:p>
            <w:pPr>
              <w:pStyle w:val="63"/>
              <w:jc w:val="both"/>
              <w:rPr>
                <w:rFonts w:cs="Times New Roman"/>
              </w:rPr>
            </w:pPr>
            <w:r>
              <w:rPr>
                <w:rFonts w:hint="eastAsia" w:ascii="宋体" w:hAnsi="宋体" w:cs="宋体"/>
              </w:rPr>
              <w:t>①</w:t>
            </w:r>
            <w:r>
              <w:rPr>
                <w:rFonts w:cs="Times New Roman"/>
              </w:rPr>
              <w:t>运输车辆产生尾气、噪声和扬尘；</w:t>
            </w:r>
            <w:r>
              <w:rPr>
                <w:rFonts w:hint="eastAsia" w:ascii="宋体" w:hAnsi="宋体" w:cs="宋体"/>
              </w:rPr>
              <w:t>②</w:t>
            </w:r>
            <w:r>
              <w:rPr>
                <w:rFonts w:cs="Times New Roman"/>
              </w:rPr>
              <w:t>临时料场占用土地，短期影响土地的使用功能或类型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rPr>
            </w:pPr>
            <w:r>
              <w:rPr>
                <w:rFonts w:hint="eastAsia" w:cs="Times New Roman"/>
              </w:rPr>
              <w:t>3.</w:t>
            </w:r>
            <w:r>
              <w:rPr>
                <w:rFonts w:cs="Times New Roman"/>
              </w:rPr>
              <w:t>施工机械操作</w:t>
            </w:r>
          </w:p>
        </w:tc>
        <w:tc>
          <w:tcPr>
            <w:tcW w:w="3216" w:type="pct"/>
            <w:vAlign w:val="center"/>
          </w:tcPr>
          <w:p>
            <w:pPr>
              <w:pStyle w:val="63"/>
              <w:jc w:val="both"/>
              <w:rPr>
                <w:rFonts w:cs="Times New Roman"/>
              </w:rPr>
            </w:pPr>
            <w:r>
              <w:rPr>
                <w:rFonts w:cs="Times New Roman"/>
              </w:rPr>
              <w:t>机械尾气和机械噪声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rPr>
            </w:pPr>
            <w:r>
              <w:rPr>
                <w:rFonts w:hint="eastAsia" w:cs="Times New Roman"/>
              </w:rPr>
              <w:t>4.</w:t>
            </w:r>
            <w:r>
              <w:rPr>
                <w:rFonts w:cs="Times New Roman"/>
              </w:rPr>
              <w:t>施工便道、临时堆场的建设</w:t>
            </w:r>
          </w:p>
        </w:tc>
        <w:tc>
          <w:tcPr>
            <w:tcW w:w="3216" w:type="pct"/>
            <w:vAlign w:val="center"/>
          </w:tcPr>
          <w:p>
            <w:pPr>
              <w:pStyle w:val="63"/>
              <w:jc w:val="both"/>
              <w:rPr>
                <w:rFonts w:cs="Times New Roman"/>
              </w:rPr>
            </w:pPr>
            <w:r>
              <w:rPr>
                <w:rFonts w:hint="eastAsia" w:ascii="宋体" w:hAnsi="宋体" w:cs="宋体"/>
              </w:rPr>
              <w:t>①</w:t>
            </w:r>
            <w:r>
              <w:rPr>
                <w:rFonts w:cs="Times New Roman"/>
              </w:rPr>
              <w:t>临时占用部分土地，施工结束后恢复，不改变土地利用的原有功能；</w:t>
            </w:r>
            <w:r>
              <w:rPr>
                <w:rFonts w:hint="eastAsia" w:ascii="宋体" w:hAnsi="宋体" w:cs="宋体"/>
              </w:rPr>
              <w:t>②</w:t>
            </w:r>
            <w:r>
              <w:rPr>
                <w:rFonts w:cs="Times New Roman"/>
              </w:rPr>
              <w:t>工期交通噪声对居民的影响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rPr>
            </w:pPr>
            <w:r>
              <w:rPr>
                <w:rFonts w:hint="eastAsia" w:cs="Times New Roman"/>
              </w:rPr>
              <w:t>5.</w:t>
            </w:r>
            <w:r>
              <w:rPr>
                <w:rFonts w:cs="Times New Roman"/>
              </w:rPr>
              <w:t>施工人员日常生活</w:t>
            </w:r>
          </w:p>
        </w:tc>
        <w:tc>
          <w:tcPr>
            <w:tcW w:w="3216" w:type="pct"/>
            <w:vAlign w:val="center"/>
          </w:tcPr>
          <w:p>
            <w:pPr>
              <w:pStyle w:val="63"/>
              <w:jc w:val="both"/>
              <w:rPr>
                <w:rFonts w:cs="Times New Roman"/>
              </w:rPr>
            </w:pPr>
            <w:r>
              <w:rPr>
                <w:rFonts w:cs="Times New Roman"/>
              </w:rPr>
              <w:t>生活污水、生活垃圾排放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left"/>
              <w:rPr>
                <w:rFonts w:cs="Times New Roman"/>
                <w:bCs/>
              </w:rPr>
            </w:pPr>
            <w:r>
              <w:rPr>
                <w:rFonts w:hint="eastAsia" w:cs="Times New Roman"/>
                <w:b/>
              </w:rPr>
              <w:t>二、</w:t>
            </w:r>
            <w:r>
              <w:rPr>
                <w:rFonts w:cs="Times New Roman"/>
                <w:b/>
              </w:rPr>
              <w:t>穿越工程施工</w:t>
            </w:r>
            <w:r>
              <w:rPr>
                <w:rFonts w:hint="eastAsia" w:cs="Times New Roman"/>
                <w:b/>
              </w:rPr>
              <w:t>（穿越公路）</w:t>
            </w:r>
          </w:p>
        </w:tc>
        <w:tc>
          <w:tcPr>
            <w:tcW w:w="3216" w:type="pct"/>
            <w:vAlign w:val="center"/>
          </w:tcPr>
          <w:p>
            <w:pPr>
              <w:pStyle w:val="63"/>
              <w:jc w:val="both"/>
              <w:rPr>
                <w:rFonts w:cs="Times New Roman"/>
              </w:rPr>
            </w:pPr>
            <w:r>
              <w:rPr>
                <w:rFonts w:cs="Times New Roman"/>
              </w:rPr>
              <w:t>破坏路面及边坡；轻微生态植被破坏</w:t>
            </w:r>
            <w:r>
              <w:rPr>
                <w:rFonts w:hint="eastAsia" w:cs="Times New Roman"/>
              </w:rPr>
              <w:t>：</w:t>
            </w:r>
            <w:r>
              <w:rPr>
                <w:rFonts w:cs="Times New Roman"/>
              </w:rPr>
              <w:t>临时占用部分土地，短期影响土地的使用功能或类型</w:t>
            </w:r>
            <w:r>
              <w:rPr>
                <w:rFonts w:hint="eastAsia" w:cs="Times New Roman"/>
              </w:rPr>
              <w:t>；</w:t>
            </w:r>
            <w:r>
              <w:rPr>
                <w:rFonts w:cs="Times New Roman"/>
              </w:rPr>
              <w:t>有少量的施工机械或设备含油污水产生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b/>
              </w:rPr>
            </w:pPr>
            <w:r>
              <w:rPr>
                <w:rFonts w:hint="eastAsia" w:cs="Times New Roman"/>
                <w:b/>
              </w:rPr>
              <w:t>3.</w:t>
            </w:r>
            <w:r>
              <w:rPr>
                <w:rFonts w:cs="Times New Roman"/>
                <w:b/>
              </w:rPr>
              <w:t>名胜古迹、</w:t>
            </w:r>
          </w:p>
          <w:p>
            <w:pPr>
              <w:pStyle w:val="63"/>
              <w:jc w:val="both"/>
              <w:rPr>
                <w:rFonts w:cs="Times New Roman"/>
                <w:b/>
              </w:rPr>
            </w:pPr>
            <w:r>
              <w:rPr>
                <w:rFonts w:hint="eastAsia" w:cs="Times New Roman"/>
                <w:b/>
              </w:rPr>
              <w:t>三、</w:t>
            </w:r>
            <w:r>
              <w:rPr>
                <w:rFonts w:cs="Times New Roman"/>
                <w:b/>
              </w:rPr>
              <w:t>文物保护</w:t>
            </w:r>
          </w:p>
        </w:tc>
        <w:tc>
          <w:tcPr>
            <w:tcW w:w="3216" w:type="pct"/>
            <w:vAlign w:val="center"/>
          </w:tcPr>
          <w:p>
            <w:pPr>
              <w:pStyle w:val="63"/>
              <w:jc w:val="both"/>
              <w:rPr>
                <w:rFonts w:cs="Times New Roman"/>
              </w:rPr>
            </w:pPr>
            <w:r>
              <w:rPr>
                <w:rFonts w:cs="Times New Roman"/>
              </w:rPr>
              <w:t>本项目管线在选择路由时，避开了地上名胜古迹，但在施工中如发现地下文物时，应停止施工，及时向当地文物部门报告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b/>
              </w:rPr>
            </w:pPr>
            <w:r>
              <w:rPr>
                <w:rFonts w:hint="eastAsia" w:cs="Times New Roman"/>
                <w:b/>
              </w:rPr>
              <w:t>四、</w:t>
            </w:r>
            <w:r>
              <w:rPr>
                <w:rFonts w:cs="Times New Roman"/>
                <w:b/>
              </w:rPr>
              <w:t>试压、清管</w:t>
            </w:r>
          </w:p>
        </w:tc>
        <w:tc>
          <w:tcPr>
            <w:tcW w:w="3216" w:type="pct"/>
            <w:vAlign w:val="center"/>
          </w:tcPr>
          <w:p>
            <w:pPr>
              <w:pStyle w:val="63"/>
              <w:jc w:val="both"/>
              <w:rPr>
                <w:rFonts w:cs="Times New Roman"/>
              </w:rPr>
            </w:pPr>
            <w:r>
              <w:rPr>
                <w:rFonts w:cs="Times New Roman"/>
              </w:rPr>
              <w:t>清管、试压废水排放对区域水环境短期内可能产生一定的影响，所排放废水经</w:t>
            </w:r>
            <w:r>
              <w:rPr>
                <w:rFonts w:hint="eastAsia" w:cs="Times New Roman"/>
              </w:rPr>
              <w:t>沉淀后回用，不外排</w:t>
            </w:r>
            <w:r>
              <w:rPr>
                <w:rFonts w:cs="Times New Roma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restart"/>
            <w:tcBorders>
              <w:left w:val="nil"/>
            </w:tcBorders>
            <w:vAlign w:val="center"/>
          </w:tcPr>
          <w:p>
            <w:pPr>
              <w:pStyle w:val="63"/>
              <w:rPr>
                <w:rFonts w:cs="Times New Roman"/>
                <w:b/>
                <w:bCs/>
              </w:rPr>
            </w:pPr>
            <w:r>
              <w:rPr>
                <w:rFonts w:cs="Times New Roman"/>
                <w:b/>
                <w:bCs/>
              </w:rPr>
              <w:t>营</w:t>
            </w:r>
          </w:p>
          <w:p>
            <w:pPr>
              <w:pStyle w:val="63"/>
              <w:rPr>
                <w:rFonts w:cs="Times New Roman"/>
                <w:b/>
                <w:bCs/>
              </w:rPr>
            </w:pPr>
            <w:r>
              <w:rPr>
                <w:rFonts w:cs="Times New Roman"/>
                <w:b/>
                <w:bCs/>
              </w:rPr>
              <w:t>运</w:t>
            </w:r>
          </w:p>
          <w:p>
            <w:pPr>
              <w:pStyle w:val="63"/>
              <w:rPr>
                <w:rFonts w:cs="Times New Roman"/>
              </w:rPr>
            </w:pPr>
            <w:r>
              <w:rPr>
                <w:rFonts w:cs="Times New Roman"/>
                <w:b/>
                <w:bCs/>
              </w:rPr>
              <w:t>期</w:t>
            </w:r>
          </w:p>
        </w:tc>
        <w:tc>
          <w:tcPr>
            <w:tcW w:w="1367" w:type="pct"/>
            <w:vAlign w:val="center"/>
          </w:tcPr>
          <w:p>
            <w:pPr>
              <w:pStyle w:val="63"/>
              <w:jc w:val="both"/>
              <w:rPr>
                <w:rFonts w:cs="Times New Roman"/>
                <w:b/>
              </w:rPr>
            </w:pPr>
            <w:r>
              <w:rPr>
                <w:rFonts w:hint="eastAsia" w:cs="Times New Roman"/>
                <w:b/>
              </w:rPr>
              <w:t>五、</w:t>
            </w:r>
            <w:r>
              <w:rPr>
                <w:rFonts w:cs="Times New Roman"/>
                <w:b/>
              </w:rPr>
              <w:t>管线正常工况运营</w:t>
            </w:r>
          </w:p>
        </w:tc>
        <w:tc>
          <w:tcPr>
            <w:tcW w:w="3216" w:type="pct"/>
            <w:vAlign w:val="center"/>
          </w:tcPr>
          <w:p>
            <w:pPr>
              <w:pStyle w:val="63"/>
              <w:jc w:val="both"/>
              <w:rPr>
                <w:rFonts w:cs="Times New Roman"/>
              </w:rPr>
            </w:pPr>
            <w:r>
              <w:rPr>
                <w:rFonts w:cs="Times New Roman"/>
              </w:rPr>
              <w:t>对环境无影响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continue"/>
            <w:tcBorders>
              <w:left w:val="nil"/>
            </w:tcBorders>
            <w:vAlign w:val="center"/>
          </w:tcPr>
          <w:p>
            <w:pPr>
              <w:pStyle w:val="63"/>
              <w:jc w:val="both"/>
              <w:rPr>
                <w:rFonts w:cs="Times New Roman"/>
              </w:rPr>
            </w:pPr>
          </w:p>
        </w:tc>
        <w:tc>
          <w:tcPr>
            <w:tcW w:w="1367" w:type="pct"/>
            <w:vAlign w:val="center"/>
          </w:tcPr>
          <w:p>
            <w:pPr>
              <w:pStyle w:val="63"/>
              <w:jc w:val="both"/>
              <w:rPr>
                <w:rFonts w:cs="Times New Roman"/>
                <w:b/>
              </w:rPr>
            </w:pPr>
            <w:r>
              <w:rPr>
                <w:rFonts w:hint="eastAsia" w:cs="Times New Roman"/>
                <w:b/>
              </w:rPr>
              <w:t>六、</w:t>
            </w:r>
            <w:r>
              <w:rPr>
                <w:rFonts w:cs="Times New Roman"/>
                <w:b/>
              </w:rPr>
              <w:t>输气管线事故</w:t>
            </w:r>
          </w:p>
        </w:tc>
        <w:tc>
          <w:tcPr>
            <w:tcW w:w="3216" w:type="pct"/>
            <w:vAlign w:val="center"/>
          </w:tcPr>
          <w:p>
            <w:pPr>
              <w:pStyle w:val="63"/>
              <w:jc w:val="both"/>
              <w:rPr>
                <w:rFonts w:cs="Times New Roman"/>
              </w:rPr>
            </w:pPr>
            <w:r>
              <w:rPr>
                <w:rFonts w:hint="eastAsia" w:ascii="宋体" w:hAnsi="宋体" w:cs="宋体"/>
              </w:rPr>
              <w:t>①</w:t>
            </w:r>
            <w:r>
              <w:rPr>
                <w:rFonts w:cs="Times New Roman"/>
              </w:rPr>
              <w:t>管线发生泄漏对管线两侧环境和人员的影响；</w:t>
            </w:r>
          </w:p>
          <w:p>
            <w:pPr>
              <w:pStyle w:val="63"/>
              <w:jc w:val="both"/>
              <w:rPr>
                <w:rFonts w:cs="Times New Roman"/>
              </w:rPr>
            </w:pPr>
            <w:r>
              <w:rPr>
                <w:rFonts w:hint="eastAsia" w:ascii="宋体" w:hAnsi="宋体" w:cs="宋体"/>
              </w:rPr>
              <w:t>②</w:t>
            </w:r>
            <w:r>
              <w:rPr>
                <w:rFonts w:cs="Times New Roman"/>
              </w:rPr>
              <w:t>天然气遇明火引起火灾或爆炸事故，对事故区域环境空气质量以及管线两侧人口集中居住区、社会关注区产生的影响</w:t>
            </w:r>
          </w:p>
        </w:tc>
      </w:tr>
    </w:tbl>
    <w:p>
      <w:pPr>
        <w:pStyle w:val="2"/>
        <w:ind w:left="900" w:hanging="420"/>
      </w:pPr>
    </w:p>
    <w:p>
      <w:pPr>
        <w:pStyle w:val="5"/>
        <w:rPr>
          <w:rFonts w:cs="Times New Roman"/>
        </w:rPr>
      </w:pPr>
      <w:r>
        <w:rPr>
          <w:rFonts w:cs="Times New Roman"/>
        </w:rPr>
        <w:t xml:space="preserve"> </w:t>
      </w:r>
      <w:bookmarkStart w:id="43" w:name="_Toc96680612"/>
      <w:r>
        <w:rPr>
          <w:rFonts w:cs="Times New Roman"/>
        </w:rPr>
        <w:t>环境影响因素识别和筛选</w:t>
      </w:r>
      <w:bookmarkEnd w:id="43"/>
    </w:p>
    <w:p>
      <w:pPr>
        <w:ind w:firstLine="480"/>
      </w:pPr>
      <w:r>
        <w:rPr>
          <w:rFonts w:cs="Times New Roman"/>
        </w:rPr>
        <w:t>环境影响因子识别和筛选见</w:t>
      </w:r>
      <w:r>
        <w:rPr>
          <w:rFonts w:hint="eastAsia" w:cs="Times New Roman"/>
        </w:rPr>
        <w:t>下表</w:t>
      </w:r>
      <w:r>
        <w:rPr>
          <w:rFonts w:cs="Times New Roman"/>
        </w:rPr>
        <w:t>。</w:t>
      </w:r>
    </w:p>
    <w:p>
      <w:pPr>
        <w:pStyle w:val="250"/>
      </w:pPr>
      <w:r>
        <w:t>表</w:t>
      </w:r>
      <w:r>
        <w:fldChar w:fldCharType="begin"/>
      </w:r>
      <w:r>
        <w:instrText xml:space="preserve"> STYLEREF 2 \s </w:instrText>
      </w:r>
      <w:r>
        <w:fldChar w:fldCharType="separate"/>
      </w:r>
      <w:r>
        <w:t>1.5</w:t>
      </w:r>
      <w:r>
        <w:fldChar w:fldCharType="end"/>
      </w:r>
      <w:r>
        <w:noBreakHyphen/>
      </w:r>
      <w:r>
        <w:fldChar w:fldCharType="begin"/>
      </w:r>
      <w:r>
        <w:instrText xml:space="preserve"> SEQ 表 \* ARABIC \s 2 </w:instrText>
      </w:r>
      <w:r>
        <w:fldChar w:fldCharType="separate"/>
      </w:r>
      <w:r>
        <w:t>2</w:t>
      </w:r>
      <w:r>
        <w:fldChar w:fldCharType="end"/>
      </w:r>
      <w:r>
        <w:t xml:space="preserve">  本项目环境影响要素识别表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363"/>
        <w:gridCol w:w="1895"/>
        <w:gridCol w:w="1716"/>
        <w:gridCol w:w="542"/>
        <w:gridCol w:w="542"/>
        <w:gridCol w:w="452"/>
        <w:gridCol w:w="452"/>
        <w:gridCol w:w="450"/>
        <w:gridCol w:w="361"/>
        <w:gridCol w:w="361"/>
        <w:gridCol w:w="361"/>
        <w:gridCol w:w="273"/>
        <w:gridCol w:w="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59" w:type="pct"/>
            <w:tcBorders>
              <w:top w:val="single" w:color="auto" w:sz="12" w:space="0"/>
              <w:left w:val="nil"/>
            </w:tcBorders>
            <w:vAlign w:val="center"/>
          </w:tcPr>
          <w:p>
            <w:pPr>
              <w:pStyle w:val="63"/>
              <w:ind w:left="-120" w:leftChars="-50" w:right="-120" w:rightChars="-50"/>
              <w:rPr>
                <w:rFonts w:cs="Times New Roman"/>
                <w:b/>
                <w:bCs/>
              </w:rPr>
            </w:pPr>
            <w:r>
              <w:rPr>
                <w:rFonts w:cs="Times New Roman"/>
                <w:b/>
                <w:bCs/>
              </w:rPr>
              <w:t>时段</w:t>
            </w:r>
          </w:p>
        </w:tc>
        <w:tc>
          <w:tcPr>
            <w:tcW w:w="1325" w:type="pct"/>
            <w:gridSpan w:val="2"/>
            <w:tcBorders>
              <w:top w:val="single" w:color="auto" w:sz="12" w:space="0"/>
            </w:tcBorders>
            <w:vAlign w:val="center"/>
          </w:tcPr>
          <w:p>
            <w:pPr>
              <w:pStyle w:val="63"/>
              <w:ind w:left="-120" w:leftChars="-50" w:right="-120" w:rightChars="-50"/>
              <w:rPr>
                <w:rFonts w:cs="Times New Roman"/>
                <w:b/>
                <w:bCs/>
              </w:rPr>
            </w:pPr>
            <w:r>
              <w:rPr>
                <w:rFonts w:cs="Times New Roman"/>
                <w:b/>
                <w:bCs/>
              </w:rPr>
              <w:t>环境影响因素</w:t>
            </w:r>
          </w:p>
        </w:tc>
        <w:tc>
          <w:tcPr>
            <w:tcW w:w="1007" w:type="pct"/>
            <w:tcBorders>
              <w:top w:val="single" w:color="auto" w:sz="12" w:space="0"/>
            </w:tcBorders>
            <w:vAlign w:val="center"/>
          </w:tcPr>
          <w:p>
            <w:pPr>
              <w:pStyle w:val="63"/>
              <w:ind w:left="-120" w:leftChars="-50" w:right="-120" w:rightChars="-50"/>
              <w:rPr>
                <w:rFonts w:cs="Times New Roman"/>
                <w:b/>
                <w:bCs/>
              </w:rPr>
            </w:pPr>
            <w:r>
              <w:rPr>
                <w:rFonts w:cs="Times New Roman"/>
                <w:b/>
                <w:bCs/>
              </w:rPr>
              <w:t>主要环境影响因子</w:t>
            </w:r>
          </w:p>
        </w:tc>
        <w:tc>
          <w:tcPr>
            <w:tcW w:w="318" w:type="pct"/>
            <w:tcBorders>
              <w:top w:val="single" w:color="auto" w:sz="12" w:space="0"/>
            </w:tcBorders>
            <w:vAlign w:val="center"/>
          </w:tcPr>
          <w:p>
            <w:pPr>
              <w:pStyle w:val="63"/>
              <w:ind w:left="-120" w:leftChars="-50" w:right="-120" w:rightChars="-50"/>
              <w:rPr>
                <w:rFonts w:cs="Times New Roman"/>
                <w:b/>
                <w:bCs/>
              </w:rPr>
            </w:pPr>
            <w:r>
              <w:rPr>
                <w:rFonts w:cs="Times New Roman"/>
                <w:b/>
                <w:bCs/>
              </w:rPr>
              <w:t>统计结果</w:t>
            </w:r>
          </w:p>
        </w:tc>
        <w:tc>
          <w:tcPr>
            <w:tcW w:w="318" w:type="pct"/>
            <w:tcBorders>
              <w:top w:val="single" w:color="auto" w:sz="12" w:space="0"/>
            </w:tcBorders>
            <w:vAlign w:val="center"/>
          </w:tcPr>
          <w:p>
            <w:pPr>
              <w:pStyle w:val="63"/>
              <w:ind w:left="-120" w:leftChars="-50" w:right="-120" w:rightChars="-50"/>
              <w:rPr>
                <w:rFonts w:cs="Times New Roman"/>
                <w:b/>
                <w:bCs/>
              </w:rPr>
            </w:pPr>
            <w:r>
              <w:rPr>
                <w:rFonts w:cs="Times New Roman"/>
                <w:b/>
                <w:bCs/>
              </w:rPr>
              <w:t>环境空气</w:t>
            </w:r>
          </w:p>
        </w:tc>
        <w:tc>
          <w:tcPr>
            <w:tcW w:w="265" w:type="pct"/>
            <w:tcBorders>
              <w:top w:val="single" w:color="auto" w:sz="12" w:space="0"/>
            </w:tcBorders>
            <w:vAlign w:val="center"/>
          </w:tcPr>
          <w:p>
            <w:pPr>
              <w:pStyle w:val="63"/>
              <w:ind w:left="-120" w:leftChars="-50" w:right="-120" w:rightChars="-50"/>
              <w:rPr>
                <w:rFonts w:cs="Times New Roman"/>
                <w:b/>
                <w:bCs/>
              </w:rPr>
            </w:pPr>
            <w:r>
              <w:rPr>
                <w:rFonts w:cs="Times New Roman"/>
                <w:b/>
                <w:bCs/>
              </w:rPr>
              <w:t>地表水</w:t>
            </w:r>
          </w:p>
        </w:tc>
        <w:tc>
          <w:tcPr>
            <w:tcW w:w="265" w:type="pct"/>
            <w:tcBorders>
              <w:top w:val="single" w:color="auto" w:sz="12" w:space="0"/>
            </w:tcBorders>
            <w:vAlign w:val="center"/>
          </w:tcPr>
          <w:p>
            <w:pPr>
              <w:pStyle w:val="63"/>
              <w:ind w:left="-120" w:leftChars="-50" w:right="-120" w:rightChars="-50"/>
              <w:rPr>
                <w:rFonts w:cs="Times New Roman"/>
                <w:b/>
                <w:bCs/>
              </w:rPr>
            </w:pPr>
            <w:r>
              <w:rPr>
                <w:rFonts w:cs="Times New Roman"/>
                <w:b/>
                <w:bCs/>
              </w:rPr>
              <w:t>地下水</w:t>
            </w:r>
          </w:p>
        </w:tc>
        <w:tc>
          <w:tcPr>
            <w:tcW w:w="264" w:type="pct"/>
            <w:tcBorders>
              <w:top w:val="single" w:color="auto" w:sz="12" w:space="0"/>
            </w:tcBorders>
            <w:vAlign w:val="center"/>
          </w:tcPr>
          <w:p>
            <w:pPr>
              <w:pStyle w:val="63"/>
              <w:ind w:left="-120" w:leftChars="-50" w:right="-120" w:rightChars="-50"/>
              <w:rPr>
                <w:rFonts w:cs="Times New Roman"/>
                <w:b/>
                <w:bCs/>
              </w:rPr>
            </w:pPr>
            <w:r>
              <w:rPr>
                <w:rFonts w:cs="Times New Roman"/>
                <w:b/>
                <w:bCs/>
              </w:rPr>
              <w:t>声环境</w:t>
            </w:r>
          </w:p>
        </w:tc>
        <w:tc>
          <w:tcPr>
            <w:tcW w:w="212" w:type="pct"/>
            <w:tcBorders>
              <w:top w:val="single" w:color="auto" w:sz="12" w:space="0"/>
            </w:tcBorders>
            <w:vAlign w:val="center"/>
          </w:tcPr>
          <w:p>
            <w:pPr>
              <w:pStyle w:val="63"/>
              <w:ind w:left="-120" w:leftChars="-50" w:right="-120" w:rightChars="-50"/>
              <w:rPr>
                <w:rFonts w:cs="Times New Roman"/>
                <w:b/>
                <w:bCs/>
              </w:rPr>
            </w:pPr>
            <w:r>
              <w:rPr>
                <w:rFonts w:cs="Times New Roman"/>
                <w:b/>
                <w:bCs/>
              </w:rPr>
              <w:t>土壤</w:t>
            </w:r>
          </w:p>
        </w:tc>
        <w:tc>
          <w:tcPr>
            <w:tcW w:w="212" w:type="pct"/>
            <w:tcBorders>
              <w:top w:val="single" w:color="auto" w:sz="12" w:space="0"/>
            </w:tcBorders>
            <w:vAlign w:val="center"/>
          </w:tcPr>
          <w:p>
            <w:pPr>
              <w:pStyle w:val="63"/>
              <w:ind w:left="-120" w:leftChars="-50" w:right="-120" w:rightChars="-50"/>
              <w:rPr>
                <w:rFonts w:cs="Times New Roman"/>
                <w:b/>
                <w:bCs/>
              </w:rPr>
            </w:pPr>
            <w:r>
              <w:rPr>
                <w:rFonts w:cs="Times New Roman"/>
                <w:b/>
                <w:bCs/>
              </w:rPr>
              <w:t>植被</w:t>
            </w:r>
          </w:p>
        </w:tc>
        <w:tc>
          <w:tcPr>
            <w:tcW w:w="212" w:type="pct"/>
            <w:tcBorders>
              <w:top w:val="single" w:color="auto" w:sz="12" w:space="0"/>
            </w:tcBorders>
            <w:vAlign w:val="center"/>
          </w:tcPr>
          <w:p>
            <w:pPr>
              <w:pStyle w:val="63"/>
              <w:ind w:left="-120" w:leftChars="-50" w:right="-120" w:rightChars="-50"/>
              <w:rPr>
                <w:rFonts w:cs="Times New Roman"/>
                <w:b/>
                <w:bCs/>
              </w:rPr>
            </w:pPr>
            <w:r>
              <w:rPr>
                <w:rFonts w:cs="Times New Roman"/>
                <w:b/>
                <w:bCs/>
              </w:rPr>
              <w:t>动物</w:t>
            </w:r>
          </w:p>
        </w:tc>
        <w:tc>
          <w:tcPr>
            <w:tcW w:w="160" w:type="pct"/>
            <w:tcBorders>
              <w:top w:val="single" w:color="auto" w:sz="12" w:space="0"/>
            </w:tcBorders>
            <w:vAlign w:val="center"/>
          </w:tcPr>
          <w:p>
            <w:pPr>
              <w:pStyle w:val="63"/>
              <w:ind w:left="-120" w:leftChars="-50" w:right="-120" w:rightChars="-50"/>
              <w:rPr>
                <w:rFonts w:cs="Times New Roman"/>
                <w:b/>
                <w:bCs/>
              </w:rPr>
            </w:pPr>
            <w:r>
              <w:rPr>
                <w:rFonts w:cs="Times New Roman"/>
                <w:b/>
                <w:bCs/>
              </w:rPr>
              <w:t>景观</w:t>
            </w:r>
          </w:p>
        </w:tc>
        <w:tc>
          <w:tcPr>
            <w:tcW w:w="183" w:type="pct"/>
            <w:tcBorders>
              <w:top w:val="single" w:color="auto" w:sz="12" w:space="0"/>
            </w:tcBorders>
            <w:vAlign w:val="center"/>
          </w:tcPr>
          <w:p>
            <w:pPr>
              <w:pStyle w:val="63"/>
              <w:ind w:left="-120" w:leftChars="-50" w:right="-120" w:rightChars="-50"/>
              <w:rPr>
                <w:rFonts w:cs="Times New Roman"/>
                <w:b/>
                <w:bCs/>
              </w:rPr>
            </w:pPr>
            <w:r>
              <w:rPr>
                <w:rFonts w:cs="Times New Roman"/>
                <w:b/>
                <w:bCs/>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restart"/>
            <w:tcBorders>
              <w:left w:val="nil"/>
            </w:tcBorders>
            <w:vAlign w:val="center"/>
          </w:tcPr>
          <w:p>
            <w:pPr>
              <w:pStyle w:val="63"/>
              <w:ind w:left="-120" w:leftChars="-50" w:right="-120" w:rightChars="-50"/>
              <w:rPr>
                <w:rFonts w:cs="Times New Roman"/>
              </w:rPr>
            </w:pPr>
            <w:r>
              <w:rPr>
                <w:rFonts w:cs="Times New Roman"/>
              </w:rPr>
              <w:t>施工期</w:t>
            </w:r>
          </w:p>
        </w:tc>
        <w:tc>
          <w:tcPr>
            <w:tcW w:w="213" w:type="pct"/>
            <w:vMerge w:val="restart"/>
            <w:vAlign w:val="center"/>
          </w:tcPr>
          <w:p>
            <w:pPr>
              <w:pStyle w:val="63"/>
              <w:ind w:left="-120" w:leftChars="-50" w:right="-120" w:rightChars="-50"/>
              <w:rPr>
                <w:rFonts w:cs="Times New Roman"/>
              </w:rPr>
            </w:pPr>
            <w:r>
              <w:rPr>
                <w:rFonts w:cs="Times New Roman"/>
              </w:rPr>
              <w:t>废气</w:t>
            </w:r>
          </w:p>
        </w:tc>
        <w:tc>
          <w:tcPr>
            <w:tcW w:w="1112" w:type="pct"/>
            <w:vAlign w:val="center"/>
          </w:tcPr>
          <w:p>
            <w:pPr>
              <w:pStyle w:val="63"/>
              <w:ind w:left="-120" w:leftChars="-50" w:right="-120" w:rightChars="-50"/>
              <w:rPr>
                <w:rFonts w:cs="Times New Roman"/>
              </w:rPr>
            </w:pPr>
            <w:r>
              <w:rPr>
                <w:rFonts w:cs="Times New Roman"/>
              </w:rPr>
              <w:t>施工扬尘、道路扬尘</w:t>
            </w:r>
          </w:p>
        </w:tc>
        <w:tc>
          <w:tcPr>
            <w:tcW w:w="1007" w:type="pct"/>
            <w:vAlign w:val="center"/>
          </w:tcPr>
          <w:p>
            <w:pPr>
              <w:pStyle w:val="63"/>
              <w:ind w:left="-120" w:leftChars="-50" w:right="-120" w:rightChars="-50"/>
              <w:rPr>
                <w:rFonts w:cs="Times New Roman"/>
              </w:rPr>
            </w:pPr>
            <w:r>
              <w:rPr>
                <w:rFonts w:cs="Times New Roman"/>
              </w:rPr>
              <w:t>TSP</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Merge w:val="continue"/>
            <w:vAlign w:val="center"/>
          </w:tcPr>
          <w:p>
            <w:pPr>
              <w:pStyle w:val="63"/>
              <w:ind w:left="-120" w:leftChars="-50" w:right="-120" w:rightChars="-50"/>
              <w:rPr>
                <w:rFonts w:cs="Times New Roman"/>
              </w:rPr>
            </w:pPr>
          </w:p>
        </w:tc>
        <w:tc>
          <w:tcPr>
            <w:tcW w:w="1112" w:type="pct"/>
            <w:vAlign w:val="center"/>
          </w:tcPr>
          <w:p>
            <w:pPr>
              <w:pStyle w:val="63"/>
              <w:ind w:left="-120" w:leftChars="-50" w:right="-120" w:rightChars="-50"/>
              <w:rPr>
                <w:rFonts w:cs="Times New Roman"/>
              </w:rPr>
            </w:pPr>
            <w:r>
              <w:rPr>
                <w:rFonts w:cs="Times New Roman"/>
              </w:rPr>
              <w:t>施工机械和车辆尾气</w:t>
            </w:r>
          </w:p>
        </w:tc>
        <w:tc>
          <w:tcPr>
            <w:tcW w:w="1007" w:type="pct"/>
            <w:vAlign w:val="center"/>
          </w:tcPr>
          <w:p>
            <w:pPr>
              <w:pStyle w:val="63"/>
              <w:ind w:left="-120" w:leftChars="-50" w:right="-120" w:rightChars="-50"/>
              <w:rPr>
                <w:rFonts w:cs="Times New Roman"/>
              </w:rPr>
            </w:pPr>
            <w:r>
              <w:rPr>
                <w:rFonts w:cs="Times New Roman"/>
              </w:rPr>
              <w:t>NO</w:t>
            </w:r>
            <w:r>
              <w:rPr>
                <w:rFonts w:cs="Times New Roman"/>
                <w:vertAlign w:val="subscript"/>
              </w:rPr>
              <w:t>X</w:t>
            </w:r>
            <w:r>
              <w:rPr>
                <w:rFonts w:cs="Times New Roman"/>
              </w:rPr>
              <w:t>、CO、颗粒物</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Merge w:val="continue"/>
            <w:vAlign w:val="center"/>
          </w:tcPr>
          <w:p>
            <w:pPr>
              <w:pStyle w:val="63"/>
              <w:ind w:left="-120" w:leftChars="-50" w:right="-120" w:rightChars="-50"/>
              <w:rPr>
                <w:rFonts w:cs="Times New Roman"/>
              </w:rPr>
            </w:pPr>
          </w:p>
        </w:tc>
        <w:tc>
          <w:tcPr>
            <w:tcW w:w="1112" w:type="pct"/>
            <w:vAlign w:val="center"/>
          </w:tcPr>
          <w:p>
            <w:pPr>
              <w:pStyle w:val="63"/>
              <w:ind w:left="-120" w:leftChars="-50" w:right="-120" w:rightChars="-50"/>
              <w:rPr>
                <w:rFonts w:cs="Times New Roman"/>
              </w:rPr>
            </w:pPr>
            <w:r>
              <w:rPr>
                <w:rFonts w:cs="Times New Roman"/>
              </w:rPr>
              <w:t>焊接烟尘</w:t>
            </w:r>
          </w:p>
        </w:tc>
        <w:tc>
          <w:tcPr>
            <w:tcW w:w="1007" w:type="pct"/>
            <w:vAlign w:val="center"/>
          </w:tcPr>
          <w:p>
            <w:pPr>
              <w:pStyle w:val="63"/>
              <w:ind w:left="-120" w:leftChars="-50" w:right="-120" w:rightChars="-50"/>
              <w:rPr>
                <w:rFonts w:cs="Times New Roman"/>
              </w:rPr>
            </w:pPr>
            <w:r>
              <w:rPr>
                <w:rFonts w:cs="Times New Roman"/>
              </w:rPr>
              <w:t>焊接烟尘</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Merge w:val="restart"/>
            <w:vAlign w:val="center"/>
          </w:tcPr>
          <w:p>
            <w:pPr>
              <w:pStyle w:val="63"/>
              <w:ind w:left="-120" w:leftChars="-50" w:right="-120" w:rightChars="-50"/>
              <w:rPr>
                <w:rFonts w:cs="Times New Roman"/>
              </w:rPr>
            </w:pPr>
            <w:r>
              <w:rPr>
                <w:rFonts w:cs="Times New Roman"/>
              </w:rPr>
              <w:t>废水</w:t>
            </w:r>
          </w:p>
        </w:tc>
        <w:tc>
          <w:tcPr>
            <w:tcW w:w="1112" w:type="pct"/>
            <w:vAlign w:val="center"/>
          </w:tcPr>
          <w:p>
            <w:pPr>
              <w:pStyle w:val="63"/>
              <w:ind w:left="-120" w:leftChars="-50" w:right="-120" w:rightChars="-50"/>
              <w:rPr>
                <w:rFonts w:cs="Times New Roman"/>
              </w:rPr>
            </w:pPr>
            <w:r>
              <w:rPr>
                <w:rFonts w:cs="Times New Roman"/>
              </w:rPr>
              <w:t>管道试压废水</w:t>
            </w:r>
          </w:p>
        </w:tc>
        <w:tc>
          <w:tcPr>
            <w:tcW w:w="1007" w:type="pct"/>
            <w:vAlign w:val="center"/>
          </w:tcPr>
          <w:p>
            <w:pPr>
              <w:pStyle w:val="63"/>
              <w:ind w:left="-120" w:leftChars="-50" w:right="-120" w:rightChars="-50"/>
              <w:rPr>
                <w:rFonts w:cs="Times New Roman"/>
              </w:rPr>
            </w:pPr>
            <w:r>
              <w:rPr>
                <w:rFonts w:cs="Times New Roman"/>
              </w:rPr>
              <w:t>SS等</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r>
              <w:rPr>
                <w:rFonts w:cs="Times New Roman"/>
              </w:rPr>
              <w:t>√</w:t>
            </w: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Merge w:val="continue"/>
            <w:vAlign w:val="center"/>
          </w:tcPr>
          <w:p>
            <w:pPr>
              <w:pStyle w:val="63"/>
              <w:ind w:left="-120" w:leftChars="-50" w:right="-120" w:rightChars="-50"/>
              <w:rPr>
                <w:rFonts w:cs="Times New Roman"/>
              </w:rPr>
            </w:pPr>
          </w:p>
        </w:tc>
        <w:tc>
          <w:tcPr>
            <w:tcW w:w="1112" w:type="pct"/>
            <w:vAlign w:val="center"/>
          </w:tcPr>
          <w:p>
            <w:pPr>
              <w:pStyle w:val="63"/>
              <w:ind w:left="-120" w:leftChars="-50" w:right="-120" w:rightChars="-50"/>
              <w:rPr>
                <w:rFonts w:cs="Times New Roman"/>
              </w:rPr>
            </w:pPr>
            <w:r>
              <w:rPr>
                <w:rFonts w:cs="Times New Roman"/>
              </w:rPr>
              <w:t>生活废水</w:t>
            </w:r>
          </w:p>
        </w:tc>
        <w:tc>
          <w:tcPr>
            <w:tcW w:w="1007" w:type="pct"/>
            <w:vAlign w:val="center"/>
          </w:tcPr>
          <w:p>
            <w:pPr>
              <w:pStyle w:val="63"/>
              <w:ind w:left="-120" w:leftChars="-50" w:right="-120" w:rightChars="-50"/>
              <w:rPr>
                <w:rFonts w:cs="Times New Roman"/>
              </w:rPr>
            </w:pPr>
            <w:r>
              <w:rPr>
                <w:rFonts w:cs="Times New Roman"/>
              </w:rPr>
              <w:t>CODcr、BOD</w:t>
            </w:r>
            <w:r>
              <w:rPr>
                <w:rFonts w:cs="Times New Roman"/>
                <w:vertAlign w:val="subscript"/>
              </w:rPr>
              <w:t>5</w:t>
            </w:r>
            <w:r>
              <w:rPr>
                <w:rFonts w:cs="Times New Roman"/>
              </w:rPr>
              <w:t>、NH</w:t>
            </w:r>
            <w:r>
              <w:rPr>
                <w:rFonts w:cs="Times New Roman"/>
                <w:vertAlign w:val="subscript"/>
              </w:rPr>
              <w:t>3</w:t>
            </w:r>
            <w:r>
              <w:rPr>
                <w:rFonts w:cs="Times New Roman"/>
              </w:rPr>
              <w:t>-N等</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r>
              <w:rPr>
                <w:rFonts w:cs="Times New Roman"/>
              </w:rPr>
              <w:t>√</w:t>
            </w:r>
          </w:p>
        </w:tc>
        <w:tc>
          <w:tcPr>
            <w:tcW w:w="265" w:type="pct"/>
            <w:vAlign w:val="center"/>
          </w:tcPr>
          <w:p>
            <w:pPr>
              <w:pStyle w:val="63"/>
              <w:ind w:left="-120" w:leftChars="-50" w:right="-120" w:rightChars="-50"/>
              <w:rPr>
                <w:rFonts w:cs="Times New Roman"/>
              </w:rPr>
            </w:pPr>
            <w:r>
              <w:rPr>
                <w:rFonts w:cs="Times New Roman"/>
              </w:rPr>
              <w:t>√</w:t>
            </w: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Merge w:val="restart"/>
            <w:vAlign w:val="center"/>
          </w:tcPr>
          <w:p>
            <w:pPr>
              <w:pStyle w:val="63"/>
              <w:ind w:left="-120" w:leftChars="-50" w:right="-120" w:rightChars="-50"/>
              <w:rPr>
                <w:rFonts w:cs="Times New Roman"/>
              </w:rPr>
            </w:pPr>
            <w:r>
              <w:rPr>
                <w:rFonts w:cs="Times New Roman"/>
              </w:rPr>
              <w:t>固废</w:t>
            </w:r>
          </w:p>
        </w:tc>
        <w:tc>
          <w:tcPr>
            <w:tcW w:w="1112" w:type="pct"/>
            <w:vAlign w:val="center"/>
          </w:tcPr>
          <w:p>
            <w:pPr>
              <w:pStyle w:val="63"/>
              <w:ind w:left="-120" w:leftChars="-50" w:right="-120" w:rightChars="-50"/>
              <w:rPr>
                <w:rFonts w:cs="Times New Roman"/>
              </w:rPr>
            </w:pPr>
            <w:r>
              <w:rPr>
                <w:rFonts w:cs="Times New Roman"/>
              </w:rPr>
              <w:t>施工废料</w:t>
            </w:r>
          </w:p>
        </w:tc>
        <w:tc>
          <w:tcPr>
            <w:tcW w:w="1007"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r>
              <w:rPr>
                <w:rFonts w:cs="Times New Roman"/>
              </w:rPr>
              <w:t>√</w:t>
            </w: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r>
              <w:rPr>
                <w:rFonts w:cs="Times New Roman"/>
              </w:rPr>
              <w:t>√</w:t>
            </w: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Merge w:val="continue"/>
            <w:vAlign w:val="center"/>
          </w:tcPr>
          <w:p>
            <w:pPr>
              <w:pStyle w:val="63"/>
              <w:ind w:left="-120" w:leftChars="-50" w:right="-120" w:rightChars="-50"/>
              <w:rPr>
                <w:rFonts w:cs="Times New Roman"/>
              </w:rPr>
            </w:pPr>
          </w:p>
        </w:tc>
        <w:tc>
          <w:tcPr>
            <w:tcW w:w="1112" w:type="pct"/>
            <w:vAlign w:val="center"/>
          </w:tcPr>
          <w:p>
            <w:pPr>
              <w:pStyle w:val="63"/>
              <w:ind w:left="-120" w:leftChars="-50" w:right="-120" w:rightChars="-50"/>
              <w:rPr>
                <w:rFonts w:cs="Times New Roman"/>
              </w:rPr>
            </w:pPr>
            <w:r>
              <w:rPr>
                <w:rFonts w:cs="Times New Roman"/>
              </w:rPr>
              <w:t>清管废渣</w:t>
            </w:r>
          </w:p>
        </w:tc>
        <w:tc>
          <w:tcPr>
            <w:tcW w:w="1007"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Merge w:val="continue"/>
            <w:vAlign w:val="center"/>
          </w:tcPr>
          <w:p>
            <w:pPr>
              <w:pStyle w:val="63"/>
              <w:ind w:left="-120" w:leftChars="-50" w:right="-120" w:rightChars="-50"/>
              <w:rPr>
                <w:rFonts w:cs="Times New Roman"/>
              </w:rPr>
            </w:pPr>
          </w:p>
        </w:tc>
        <w:tc>
          <w:tcPr>
            <w:tcW w:w="1112" w:type="pct"/>
            <w:vAlign w:val="center"/>
          </w:tcPr>
          <w:p>
            <w:pPr>
              <w:pStyle w:val="63"/>
              <w:ind w:left="-120" w:leftChars="-50" w:right="-120" w:rightChars="-50"/>
              <w:rPr>
                <w:rFonts w:cs="Times New Roman"/>
              </w:rPr>
            </w:pPr>
            <w:r>
              <w:rPr>
                <w:rFonts w:cs="Times New Roman"/>
              </w:rPr>
              <w:t>生活垃圾</w:t>
            </w:r>
          </w:p>
        </w:tc>
        <w:tc>
          <w:tcPr>
            <w:tcW w:w="1007"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Align w:val="center"/>
          </w:tcPr>
          <w:p>
            <w:pPr>
              <w:pStyle w:val="63"/>
              <w:ind w:left="-120" w:leftChars="-50" w:right="-120" w:rightChars="-50"/>
              <w:rPr>
                <w:rFonts w:cs="Times New Roman"/>
              </w:rPr>
            </w:pPr>
            <w:r>
              <w:rPr>
                <w:rFonts w:cs="Times New Roman"/>
              </w:rPr>
              <w:t>噪声</w:t>
            </w:r>
          </w:p>
        </w:tc>
        <w:tc>
          <w:tcPr>
            <w:tcW w:w="1112" w:type="pct"/>
            <w:vAlign w:val="center"/>
          </w:tcPr>
          <w:p>
            <w:pPr>
              <w:pStyle w:val="63"/>
              <w:ind w:left="-120" w:leftChars="-50" w:right="-120" w:rightChars="-50"/>
              <w:rPr>
                <w:rFonts w:cs="Times New Roman"/>
              </w:rPr>
            </w:pPr>
            <w:r>
              <w:rPr>
                <w:rFonts w:cs="Times New Roman"/>
              </w:rPr>
              <w:t>施工机械及车辆噪声</w:t>
            </w:r>
          </w:p>
        </w:tc>
        <w:tc>
          <w:tcPr>
            <w:tcW w:w="1007" w:type="pct"/>
            <w:vAlign w:val="center"/>
          </w:tcPr>
          <w:p>
            <w:pPr>
              <w:pStyle w:val="63"/>
              <w:ind w:left="-120" w:leftChars="-50" w:right="-120" w:rightChars="-50"/>
              <w:rPr>
                <w:rFonts w:cs="Times New Roman"/>
              </w:rPr>
            </w:pPr>
            <w:r>
              <w:rPr>
                <w:rFonts w:cs="Times New Roman"/>
              </w:rPr>
              <w:t>等效声级</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r>
              <w:rPr>
                <w:rFonts w:cs="Times New Roman"/>
              </w:rPr>
              <w:t>√</w:t>
            </w: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Align w:val="center"/>
          </w:tcPr>
          <w:p>
            <w:pPr>
              <w:pStyle w:val="63"/>
              <w:ind w:left="-120" w:leftChars="-50" w:right="-120" w:rightChars="-50"/>
              <w:rPr>
                <w:rFonts w:cs="Times New Roman"/>
              </w:rPr>
            </w:pPr>
            <w:r>
              <w:rPr>
                <w:rFonts w:cs="Times New Roman"/>
              </w:rPr>
              <w:t>生态</w:t>
            </w:r>
          </w:p>
        </w:tc>
        <w:tc>
          <w:tcPr>
            <w:tcW w:w="1112" w:type="pct"/>
            <w:vAlign w:val="center"/>
          </w:tcPr>
          <w:p>
            <w:pPr>
              <w:pStyle w:val="63"/>
              <w:ind w:left="-120" w:leftChars="-50" w:right="-120" w:rightChars="-50"/>
              <w:rPr>
                <w:rFonts w:cs="Times New Roman"/>
              </w:rPr>
            </w:pPr>
            <w:r>
              <w:rPr>
                <w:rFonts w:cs="Times New Roman"/>
              </w:rPr>
              <w:t>管道敷设、施工便道</w:t>
            </w:r>
          </w:p>
        </w:tc>
        <w:tc>
          <w:tcPr>
            <w:tcW w:w="1007" w:type="pct"/>
            <w:vAlign w:val="center"/>
          </w:tcPr>
          <w:p>
            <w:pPr>
              <w:pStyle w:val="63"/>
              <w:ind w:left="-120" w:leftChars="-50" w:right="-120" w:rightChars="-50"/>
              <w:rPr>
                <w:rFonts w:cs="Times New Roman"/>
                <w:spacing w:val="-4"/>
              </w:rPr>
            </w:pPr>
            <w:r>
              <w:rPr>
                <w:rFonts w:cs="Times New Roman"/>
                <w:spacing w:val="-4"/>
              </w:rPr>
              <w:t>临时占地、破坏土壤和植被、影响农业生产、改变自然景观、引起水土流失</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r>
              <w:rPr>
                <w:rFonts w:cs="Times New Roman"/>
              </w:rPr>
              <w:t>√</w:t>
            </w:r>
          </w:p>
        </w:tc>
        <w:tc>
          <w:tcPr>
            <w:tcW w:w="212" w:type="pct"/>
            <w:vAlign w:val="center"/>
          </w:tcPr>
          <w:p>
            <w:pPr>
              <w:pStyle w:val="63"/>
              <w:ind w:left="-120" w:leftChars="-50" w:right="-120" w:rightChars="-50"/>
              <w:rPr>
                <w:rFonts w:cs="Times New Roman"/>
              </w:rPr>
            </w:pPr>
            <w:r>
              <w:rPr>
                <w:rFonts w:cs="Times New Roman"/>
              </w:rPr>
              <w:t>√</w:t>
            </w:r>
          </w:p>
        </w:tc>
        <w:tc>
          <w:tcPr>
            <w:tcW w:w="160" w:type="pct"/>
            <w:vAlign w:val="center"/>
          </w:tcPr>
          <w:p>
            <w:pPr>
              <w:pStyle w:val="63"/>
              <w:ind w:left="-120" w:leftChars="-50" w:right="-120" w:rightChars="-50"/>
              <w:rPr>
                <w:rFonts w:cs="Times New Roman"/>
              </w:rPr>
            </w:pPr>
            <w:r>
              <w:rPr>
                <w:rFonts w:cs="Times New Roman"/>
              </w:rPr>
              <w:t>√</w:t>
            </w: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restart"/>
            <w:tcBorders>
              <w:left w:val="nil"/>
            </w:tcBorders>
            <w:vAlign w:val="center"/>
          </w:tcPr>
          <w:p>
            <w:pPr>
              <w:pStyle w:val="63"/>
              <w:ind w:left="-120" w:leftChars="-50" w:right="-120" w:rightChars="-50"/>
              <w:rPr>
                <w:rFonts w:cs="Times New Roman"/>
              </w:rPr>
            </w:pPr>
            <w:r>
              <w:rPr>
                <w:rFonts w:cs="Times New Roman"/>
              </w:rPr>
              <w:t>运营期</w:t>
            </w:r>
          </w:p>
        </w:tc>
        <w:tc>
          <w:tcPr>
            <w:tcW w:w="213" w:type="pct"/>
            <w:vAlign w:val="center"/>
          </w:tcPr>
          <w:p>
            <w:pPr>
              <w:pStyle w:val="63"/>
              <w:ind w:left="-120" w:leftChars="-50" w:right="-120" w:rightChars="-50"/>
              <w:rPr>
                <w:rFonts w:cs="Times New Roman"/>
              </w:rPr>
            </w:pPr>
            <w:r>
              <w:rPr>
                <w:rFonts w:cs="Times New Roman"/>
              </w:rPr>
              <w:t>废气</w:t>
            </w:r>
          </w:p>
        </w:tc>
        <w:tc>
          <w:tcPr>
            <w:tcW w:w="1112" w:type="pct"/>
            <w:vAlign w:val="center"/>
          </w:tcPr>
          <w:p>
            <w:pPr>
              <w:pStyle w:val="63"/>
              <w:ind w:left="-120" w:leftChars="-50" w:right="-120" w:rightChars="-50"/>
              <w:rPr>
                <w:rFonts w:cs="Times New Roman"/>
              </w:rPr>
            </w:pPr>
            <w:r>
              <w:rPr>
                <w:rFonts w:cs="Times New Roman"/>
              </w:rPr>
              <w:t>清管、检修、事故放空燃烧废气</w:t>
            </w:r>
          </w:p>
        </w:tc>
        <w:tc>
          <w:tcPr>
            <w:tcW w:w="1007" w:type="pct"/>
            <w:vAlign w:val="center"/>
          </w:tcPr>
          <w:p>
            <w:pPr>
              <w:pStyle w:val="63"/>
              <w:ind w:left="-120" w:leftChars="-50" w:right="-120" w:rightChars="-50"/>
              <w:rPr>
                <w:rFonts w:cs="Times New Roman"/>
              </w:rPr>
            </w:pPr>
            <w:r>
              <w:rPr>
                <w:rFonts w:cs="Times New Roman"/>
              </w:rPr>
              <w:t>NO</w:t>
            </w:r>
            <w:r>
              <w:rPr>
                <w:rFonts w:cs="Times New Roman"/>
                <w:vertAlign w:val="subscript"/>
              </w:rPr>
              <w:t>X</w:t>
            </w:r>
            <w:r>
              <w:rPr>
                <w:rFonts w:cs="Times New Roman"/>
              </w:rPr>
              <w:t>、烟尘等</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r>
              <w:rPr>
                <w:rFonts w:cs="Times New Roman"/>
              </w:rPr>
              <w:t>√</w:t>
            </w:r>
          </w:p>
        </w:tc>
        <w:tc>
          <w:tcPr>
            <w:tcW w:w="212" w:type="pct"/>
            <w:vAlign w:val="center"/>
          </w:tcPr>
          <w:p>
            <w:pPr>
              <w:pStyle w:val="63"/>
              <w:ind w:left="-120" w:leftChars="-50" w:right="-120" w:rightChars="-50"/>
              <w:rPr>
                <w:rFonts w:cs="Times New Roman"/>
              </w:rPr>
            </w:pPr>
            <w:r>
              <w:rPr>
                <w:rFonts w:cs="Times New Roman"/>
              </w:rPr>
              <w:t>√</w:t>
            </w: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Align w:val="center"/>
          </w:tcPr>
          <w:p>
            <w:pPr>
              <w:pStyle w:val="63"/>
              <w:ind w:left="-120" w:leftChars="-50" w:right="-120" w:rightChars="-50"/>
              <w:rPr>
                <w:rFonts w:cs="Times New Roman"/>
              </w:rPr>
            </w:pPr>
            <w:r>
              <w:rPr>
                <w:rFonts w:cs="Times New Roman"/>
              </w:rPr>
              <w:t>固废</w:t>
            </w:r>
          </w:p>
        </w:tc>
        <w:tc>
          <w:tcPr>
            <w:tcW w:w="1112" w:type="pct"/>
            <w:vAlign w:val="center"/>
          </w:tcPr>
          <w:p>
            <w:pPr>
              <w:pStyle w:val="63"/>
              <w:ind w:left="-120" w:leftChars="-50" w:right="-120" w:rightChars="-50"/>
              <w:rPr>
                <w:rFonts w:cs="Times New Roman"/>
              </w:rPr>
            </w:pPr>
            <w:r>
              <w:rPr>
                <w:rFonts w:cs="Times New Roman"/>
              </w:rPr>
              <w:t>清管废渣</w:t>
            </w:r>
          </w:p>
        </w:tc>
        <w:tc>
          <w:tcPr>
            <w:tcW w:w="1007"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r>
              <w:rPr>
                <w:rFonts w:cs="Times New Roman"/>
              </w:rPr>
              <w:t>√</w:t>
            </w: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r>
              <w:rPr>
                <w:rFonts w:cs="Times New Roman"/>
              </w:rPr>
              <w:t>√</w:t>
            </w:r>
          </w:p>
        </w:tc>
        <w:tc>
          <w:tcPr>
            <w:tcW w:w="212" w:type="pct"/>
            <w:vAlign w:val="center"/>
          </w:tcPr>
          <w:p>
            <w:pPr>
              <w:pStyle w:val="63"/>
              <w:ind w:left="-120" w:leftChars="-50" w:right="-120" w:rightChars="-50"/>
              <w:rPr>
                <w:rFonts w:cs="Times New Roman"/>
              </w:rPr>
            </w:pPr>
            <w:r>
              <w:rPr>
                <w:rFonts w:cs="Times New Roman"/>
              </w:rPr>
              <w:t>√</w:t>
            </w: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left w:val="nil"/>
            </w:tcBorders>
            <w:vAlign w:val="center"/>
          </w:tcPr>
          <w:p>
            <w:pPr>
              <w:pStyle w:val="63"/>
              <w:ind w:left="-120" w:leftChars="-50" w:right="-120" w:rightChars="-50"/>
              <w:rPr>
                <w:rFonts w:cs="Times New Roman"/>
              </w:rPr>
            </w:pPr>
          </w:p>
        </w:tc>
        <w:tc>
          <w:tcPr>
            <w:tcW w:w="213" w:type="pct"/>
            <w:vAlign w:val="center"/>
          </w:tcPr>
          <w:p>
            <w:pPr>
              <w:pStyle w:val="63"/>
              <w:ind w:left="-120" w:leftChars="-50" w:right="-120" w:rightChars="-50"/>
              <w:rPr>
                <w:rFonts w:cs="Times New Roman"/>
              </w:rPr>
            </w:pPr>
            <w:r>
              <w:rPr>
                <w:rFonts w:cs="Times New Roman"/>
              </w:rPr>
              <w:t>风险</w:t>
            </w:r>
          </w:p>
        </w:tc>
        <w:tc>
          <w:tcPr>
            <w:tcW w:w="1112" w:type="pct"/>
            <w:vAlign w:val="center"/>
          </w:tcPr>
          <w:p>
            <w:pPr>
              <w:pStyle w:val="63"/>
              <w:ind w:left="-120" w:leftChars="-50" w:right="-120" w:rightChars="-50"/>
              <w:rPr>
                <w:rFonts w:cs="Times New Roman"/>
              </w:rPr>
            </w:pPr>
            <w:r>
              <w:rPr>
                <w:rFonts w:cs="Times New Roman"/>
              </w:rPr>
              <w:t>集输管道破损天然气泄漏</w:t>
            </w:r>
          </w:p>
        </w:tc>
        <w:tc>
          <w:tcPr>
            <w:tcW w:w="1007" w:type="pct"/>
            <w:vAlign w:val="center"/>
          </w:tcPr>
          <w:p>
            <w:pPr>
              <w:pStyle w:val="63"/>
              <w:ind w:left="-120" w:leftChars="-50" w:right="-120" w:rightChars="-50"/>
              <w:rPr>
                <w:rFonts w:cs="Times New Roman"/>
              </w:rPr>
            </w:pPr>
            <w:r>
              <w:rPr>
                <w:rFonts w:cs="Times New Roman"/>
              </w:rPr>
              <w:t>CH</w:t>
            </w:r>
            <w:r>
              <w:rPr>
                <w:rFonts w:cs="Times New Roman"/>
                <w:vertAlign w:val="subscript"/>
              </w:rPr>
              <w:t>4</w:t>
            </w:r>
          </w:p>
        </w:tc>
        <w:tc>
          <w:tcPr>
            <w:tcW w:w="318" w:type="pct"/>
            <w:vAlign w:val="center"/>
          </w:tcPr>
          <w:p>
            <w:pPr>
              <w:pStyle w:val="63"/>
              <w:ind w:left="-120" w:leftChars="-50" w:right="-120" w:rightChars="-50"/>
              <w:rPr>
                <w:rFonts w:cs="Times New Roman"/>
              </w:rPr>
            </w:pPr>
            <w:r>
              <w:rPr>
                <w:rFonts w:cs="Times New Roman"/>
              </w:rPr>
              <w:t>－－</w:t>
            </w:r>
          </w:p>
        </w:tc>
        <w:tc>
          <w:tcPr>
            <w:tcW w:w="318" w:type="pct"/>
            <w:vAlign w:val="center"/>
          </w:tcPr>
          <w:p>
            <w:pPr>
              <w:pStyle w:val="63"/>
              <w:ind w:left="-120" w:leftChars="-50" w:right="-120" w:rightChars="-50"/>
              <w:rPr>
                <w:rFonts w:cs="Times New Roman"/>
              </w:rPr>
            </w:pPr>
            <w:r>
              <w:rPr>
                <w:rFonts w:cs="Times New Roman"/>
              </w:rPr>
              <w:t>√</w:t>
            </w:r>
          </w:p>
        </w:tc>
        <w:tc>
          <w:tcPr>
            <w:tcW w:w="265" w:type="pct"/>
            <w:vAlign w:val="center"/>
          </w:tcPr>
          <w:p>
            <w:pPr>
              <w:pStyle w:val="63"/>
              <w:ind w:left="-120" w:leftChars="-50" w:right="-120" w:rightChars="-50"/>
              <w:rPr>
                <w:rFonts w:cs="Times New Roman"/>
              </w:rPr>
            </w:pPr>
          </w:p>
        </w:tc>
        <w:tc>
          <w:tcPr>
            <w:tcW w:w="265" w:type="pct"/>
            <w:vAlign w:val="center"/>
          </w:tcPr>
          <w:p>
            <w:pPr>
              <w:pStyle w:val="63"/>
              <w:ind w:left="-120" w:leftChars="-50" w:right="-120" w:rightChars="-50"/>
              <w:rPr>
                <w:rFonts w:cs="Times New Roman"/>
              </w:rPr>
            </w:pPr>
          </w:p>
        </w:tc>
        <w:tc>
          <w:tcPr>
            <w:tcW w:w="264"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212" w:type="pct"/>
            <w:vAlign w:val="center"/>
          </w:tcPr>
          <w:p>
            <w:pPr>
              <w:pStyle w:val="63"/>
              <w:ind w:left="-120" w:leftChars="-50" w:right="-120" w:rightChars="-50"/>
              <w:rPr>
                <w:rFonts w:cs="Times New Roman"/>
              </w:rPr>
            </w:pPr>
          </w:p>
        </w:tc>
        <w:tc>
          <w:tcPr>
            <w:tcW w:w="160" w:type="pct"/>
            <w:vAlign w:val="center"/>
          </w:tcPr>
          <w:p>
            <w:pPr>
              <w:pStyle w:val="63"/>
              <w:ind w:left="-120" w:leftChars="-50" w:right="-120" w:rightChars="-50"/>
              <w:rPr>
                <w:rFonts w:cs="Times New Roman"/>
              </w:rPr>
            </w:pPr>
          </w:p>
        </w:tc>
        <w:tc>
          <w:tcPr>
            <w:tcW w:w="183" w:type="pct"/>
            <w:vAlign w:val="center"/>
          </w:tcPr>
          <w:p>
            <w:pPr>
              <w:pStyle w:val="63"/>
              <w:ind w:left="-120" w:leftChars="-50" w:right="-120" w:rightChars="-50"/>
              <w:rPr>
                <w:rFonts w:cs="Times New Roman"/>
              </w:rPr>
            </w:pPr>
          </w:p>
        </w:tc>
      </w:tr>
    </w:tbl>
    <w:p>
      <w:pPr>
        <w:pStyle w:val="5"/>
        <w:rPr>
          <w:rFonts w:cs="Times New Roman"/>
        </w:rPr>
      </w:pPr>
      <w:r>
        <w:rPr>
          <w:rFonts w:cs="Times New Roman"/>
        </w:rPr>
        <w:t xml:space="preserve"> </w:t>
      </w:r>
      <w:bookmarkStart w:id="44" w:name="_Toc96680613"/>
      <w:r>
        <w:rPr>
          <w:rFonts w:cs="Times New Roman"/>
        </w:rPr>
        <w:t>评价因子筛选</w:t>
      </w:r>
      <w:bookmarkEnd w:id="44"/>
    </w:p>
    <w:bookmarkEnd w:id="41"/>
    <w:bookmarkEnd w:id="42"/>
    <w:p>
      <w:pPr>
        <w:ind w:firstLine="480"/>
        <w:rPr>
          <w:rFonts w:cs="Times New Roman"/>
        </w:rPr>
      </w:pPr>
      <w:bookmarkStart w:id="45" w:name="_Toc57710987"/>
      <w:r>
        <w:rPr>
          <w:rFonts w:cs="Times New Roman"/>
        </w:rPr>
        <w:t>根据环境影响因素识别结果，确定本项目各环境要素的评价因子见下表。</w:t>
      </w:r>
    </w:p>
    <w:p>
      <w:pPr>
        <w:pStyle w:val="227"/>
      </w:pPr>
      <w:r>
        <w:t>表</w:t>
      </w:r>
      <w:r>
        <w:fldChar w:fldCharType="begin"/>
      </w:r>
      <w:r>
        <w:instrText xml:space="preserve"> STYLEREF 2 \s </w:instrText>
      </w:r>
      <w:r>
        <w:fldChar w:fldCharType="separate"/>
      </w:r>
      <w:r>
        <w:t>1.5</w:t>
      </w:r>
      <w:r>
        <w:fldChar w:fldCharType="end"/>
      </w:r>
      <w:r>
        <w:noBreakHyphen/>
      </w:r>
      <w:r>
        <w:fldChar w:fldCharType="begin"/>
      </w:r>
      <w:r>
        <w:instrText xml:space="preserve"> SEQ 表 \* ARABIC \s 2 </w:instrText>
      </w:r>
      <w:r>
        <w:fldChar w:fldCharType="separate"/>
      </w:r>
      <w:r>
        <w:t>3</w:t>
      </w:r>
      <w:r>
        <w:fldChar w:fldCharType="end"/>
      </w:r>
      <w:r>
        <w:t xml:space="preserve">  评价因子筛选表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63"/>
        <w:gridCol w:w="6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tcBorders>
              <w:top w:val="single" w:color="auto" w:sz="12" w:space="0"/>
              <w:left w:val="nil"/>
            </w:tcBorders>
            <w:vAlign w:val="center"/>
          </w:tcPr>
          <w:p>
            <w:pPr>
              <w:pStyle w:val="63"/>
              <w:rPr>
                <w:rFonts w:cs="Times New Roman"/>
                <w:b/>
                <w:bCs/>
              </w:rPr>
            </w:pPr>
            <w:r>
              <w:rPr>
                <w:rFonts w:cs="Times New Roman"/>
                <w:b/>
                <w:bCs/>
              </w:rPr>
              <w:t>分类</w:t>
            </w:r>
          </w:p>
        </w:tc>
        <w:tc>
          <w:tcPr>
            <w:tcW w:w="682" w:type="pct"/>
            <w:tcBorders>
              <w:top w:val="single" w:color="auto" w:sz="12" w:space="0"/>
            </w:tcBorders>
            <w:vAlign w:val="center"/>
          </w:tcPr>
          <w:p>
            <w:pPr>
              <w:pStyle w:val="63"/>
              <w:rPr>
                <w:rFonts w:cs="Times New Roman"/>
                <w:b/>
                <w:bCs/>
              </w:rPr>
            </w:pPr>
            <w:r>
              <w:rPr>
                <w:rFonts w:cs="Times New Roman"/>
                <w:b/>
                <w:bCs/>
              </w:rPr>
              <w:t>环境要素</w:t>
            </w:r>
          </w:p>
        </w:tc>
        <w:tc>
          <w:tcPr>
            <w:tcW w:w="3890" w:type="pct"/>
            <w:tcBorders>
              <w:top w:val="single" w:color="auto" w:sz="12" w:space="0"/>
            </w:tcBorders>
            <w:vAlign w:val="center"/>
          </w:tcPr>
          <w:p>
            <w:pPr>
              <w:pStyle w:val="63"/>
              <w:rPr>
                <w:rFonts w:cs="Times New Roman"/>
                <w:b/>
                <w:bCs/>
              </w:rPr>
            </w:pPr>
            <w:r>
              <w:rPr>
                <w:rFonts w:cs="Times New Roman"/>
                <w:b/>
                <w:bCs/>
              </w:rPr>
              <w:t>污染源评价因子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restart"/>
            <w:tcBorders>
              <w:left w:val="nil"/>
            </w:tcBorders>
            <w:vAlign w:val="center"/>
          </w:tcPr>
          <w:p>
            <w:pPr>
              <w:pStyle w:val="63"/>
              <w:rPr>
                <w:rFonts w:cs="Times New Roman"/>
              </w:rPr>
            </w:pPr>
            <w:r>
              <w:rPr>
                <w:rFonts w:cs="Times New Roman"/>
              </w:rPr>
              <w:t>环境质量现状评价因子</w:t>
            </w:r>
          </w:p>
        </w:tc>
        <w:tc>
          <w:tcPr>
            <w:tcW w:w="682" w:type="pct"/>
            <w:vAlign w:val="center"/>
          </w:tcPr>
          <w:p>
            <w:pPr>
              <w:pStyle w:val="63"/>
              <w:rPr>
                <w:rFonts w:cs="Times New Roman"/>
              </w:rPr>
            </w:pPr>
            <w:r>
              <w:rPr>
                <w:rFonts w:cs="Times New Roman"/>
              </w:rPr>
              <w:t>环境空气</w:t>
            </w:r>
          </w:p>
        </w:tc>
        <w:tc>
          <w:tcPr>
            <w:tcW w:w="3890" w:type="pct"/>
            <w:vAlign w:val="center"/>
          </w:tcPr>
          <w:p>
            <w:pPr>
              <w:pStyle w:val="63"/>
              <w:jc w:val="both"/>
              <w:rPr>
                <w:rFonts w:cs="Times New Roman"/>
              </w:rPr>
            </w:pPr>
            <w:r>
              <w:rPr>
                <w:rFonts w:cs="Times New Roman"/>
              </w:rPr>
              <w:t>PM</w:t>
            </w:r>
            <w:r>
              <w:rPr>
                <w:rFonts w:cs="Times New Roman"/>
                <w:vertAlign w:val="subscript"/>
              </w:rPr>
              <w:t>10</w:t>
            </w:r>
            <w:r>
              <w:rPr>
                <w:rFonts w:cs="Times New Roman"/>
              </w:rPr>
              <w:t>、PM</w:t>
            </w:r>
            <w:r>
              <w:rPr>
                <w:rFonts w:cs="Times New Roman"/>
                <w:vertAlign w:val="subscript"/>
              </w:rPr>
              <w:t>2.5</w:t>
            </w:r>
            <w:r>
              <w:rPr>
                <w:rFonts w:cs="Times New Roman"/>
              </w:rPr>
              <w:t>、SO</w:t>
            </w:r>
            <w:r>
              <w:rPr>
                <w:rFonts w:cs="Times New Roman"/>
                <w:vertAlign w:val="subscript"/>
              </w:rPr>
              <w:t>2</w:t>
            </w:r>
            <w:r>
              <w:rPr>
                <w:rFonts w:cs="Times New Roman"/>
              </w:rPr>
              <w:t>、NO</w:t>
            </w:r>
            <w:r>
              <w:rPr>
                <w:rFonts w:cs="Times New Roman"/>
                <w:vertAlign w:val="subscript"/>
              </w:rPr>
              <w:t>X</w:t>
            </w:r>
            <w:r>
              <w:rPr>
                <w:rFonts w:cs="Times New Roman"/>
              </w:rPr>
              <w:t>、CO、O</w:t>
            </w:r>
            <w:r>
              <w:rPr>
                <w:rFonts w:cs="Times New Roman"/>
                <w:vertAlign w:val="subscript"/>
              </w:rPr>
              <w:t>3</w:t>
            </w:r>
            <w:r>
              <w:rPr>
                <w:rFonts w:cs="Times New Roma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地表水</w:t>
            </w:r>
          </w:p>
        </w:tc>
        <w:tc>
          <w:tcPr>
            <w:tcW w:w="3890" w:type="pct"/>
            <w:vAlign w:val="center"/>
          </w:tcPr>
          <w:p>
            <w:pPr>
              <w:pStyle w:val="63"/>
              <w:jc w:val="both"/>
              <w:rPr>
                <w:rFonts w:cs="Times New Roman"/>
              </w:rPr>
            </w:pPr>
            <w:r>
              <w:rPr>
                <w:rFonts w:cs="Times New Roman"/>
              </w:rPr>
              <w:t>pH、悬浮物、CODcr、BOD</w:t>
            </w:r>
            <w:r>
              <w:rPr>
                <w:rFonts w:cs="Times New Roman"/>
                <w:vertAlign w:val="subscript"/>
              </w:rPr>
              <w:t>5</w:t>
            </w:r>
            <w:r>
              <w:rPr>
                <w:rFonts w:hint="eastAsia" w:cs="Times New Roman"/>
              </w:rPr>
              <w:t>、</w:t>
            </w:r>
            <w:r>
              <w:rPr>
                <w:rFonts w:cs="Times New Roman"/>
              </w:rPr>
              <w:t>氨氮、</w:t>
            </w:r>
            <w:r>
              <w:rPr>
                <w:rFonts w:hint="eastAsia" w:cs="Times New Roman"/>
              </w:rPr>
              <w:t>挥发酚</w:t>
            </w:r>
            <w:r>
              <w:rPr>
                <w:rFonts w:cs="Times New Roman"/>
              </w:rPr>
              <w:t>、石油类、氯化物、硫化物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地下水</w:t>
            </w:r>
          </w:p>
        </w:tc>
        <w:tc>
          <w:tcPr>
            <w:tcW w:w="3890" w:type="pct"/>
            <w:vAlign w:val="center"/>
          </w:tcPr>
          <w:p>
            <w:pPr>
              <w:pStyle w:val="63"/>
              <w:jc w:val="both"/>
              <w:rPr>
                <w:rFonts w:cs="Times New Roman"/>
              </w:rPr>
            </w:pPr>
            <w:r>
              <w:rPr>
                <w:rFonts w:cs="Times New Roman"/>
              </w:rPr>
              <w:t>pH、总硬度、溶解性总固体、氨氮、硝酸盐、亚硝酸盐、氟、挥发性酚类、氰化物、耗氧量、铅、镉、铁、锰、钾、钠、钙、镁、汞、砷、石油类、铬（六价）、硫酸盐、氯化物、碳酸根、重碳酸根、总大肠菌群、菌落总数、阴离子表面活性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声环境</w:t>
            </w:r>
          </w:p>
        </w:tc>
        <w:tc>
          <w:tcPr>
            <w:tcW w:w="3890" w:type="pct"/>
            <w:vAlign w:val="center"/>
          </w:tcPr>
          <w:p>
            <w:pPr>
              <w:pStyle w:val="63"/>
              <w:jc w:val="both"/>
              <w:rPr>
                <w:rFonts w:cs="Times New Roman"/>
              </w:rPr>
            </w:pPr>
            <w:r>
              <w:rPr>
                <w:rFonts w:cs="Times New Roman"/>
              </w:rPr>
              <w:t>等效声级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固体废物</w:t>
            </w:r>
          </w:p>
        </w:tc>
        <w:tc>
          <w:tcPr>
            <w:tcW w:w="3890" w:type="pct"/>
            <w:vAlign w:val="center"/>
          </w:tcPr>
          <w:p>
            <w:pPr>
              <w:pStyle w:val="63"/>
              <w:jc w:val="both"/>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生态</w:t>
            </w:r>
          </w:p>
        </w:tc>
        <w:tc>
          <w:tcPr>
            <w:tcW w:w="3890" w:type="pct"/>
            <w:vAlign w:val="center"/>
          </w:tcPr>
          <w:p>
            <w:pPr>
              <w:pStyle w:val="63"/>
              <w:jc w:val="both"/>
              <w:rPr>
                <w:rFonts w:cs="Times New Roman"/>
              </w:rPr>
            </w:pPr>
            <w:r>
              <w:rPr>
                <w:rFonts w:cs="Times New Roman"/>
              </w:rPr>
              <w:t>土地利用、植被类型、土壤侵蚀、动物资源、生态系统等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restart"/>
            <w:tcBorders>
              <w:left w:val="nil"/>
            </w:tcBorders>
            <w:vAlign w:val="center"/>
          </w:tcPr>
          <w:p>
            <w:pPr>
              <w:pStyle w:val="63"/>
              <w:rPr>
                <w:rFonts w:cs="Times New Roman"/>
              </w:rPr>
            </w:pPr>
            <w:r>
              <w:rPr>
                <w:rFonts w:cs="Times New Roman"/>
              </w:rPr>
              <w:t>污染评价分析及预测因子</w:t>
            </w:r>
          </w:p>
        </w:tc>
        <w:tc>
          <w:tcPr>
            <w:tcW w:w="682" w:type="pct"/>
            <w:vAlign w:val="center"/>
          </w:tcPr>
          <w:p>
            <w:pPr>
              <w:pStyle w:val="63"/>
              <w:rPr>
                <w:rFonts w:cs="Times New Roman"/>
              </w:rPr>
            </w:pPr>
            <w:r>
              <w:rPr>
                <w:rFonts w:cs="Times New Roman"/>
              </w:rPr>
              <w:t>环境空气</w:t>
            </w:r>
          </w:p>
        </w:tc>
        <w:tc>
          <w:tcPr>
            <w:tcW w:w="3890" w:type="pct"/>
            <w:vAlign w:val="center"/>
          </w:tcPr>
          <w:p>
            <w:pPr>
              <w:pStyle w:val="63"/>
              <w:jc w:val="both"/>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地表水</w:t>
            </w:r>
          </w:p>
        </w:tc>
        <w:tc>
          <w:tcPr>
            <w:tcW w:w="3890" w:type="pct"/>
            <w:vAlign w:val="center"/>
          </w:tcPr>
          <w:p>
            <w:pPr>
              <w:pStyle w:val="63"/>
              <w:jc w:val="both"/>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地下水</w:t>
            </w:r>
          </w:p>
        </w:tc>
        <w:tc>
          <w:tcPr>
            <w:tcW w:w="3890" w:type="pct"/>
            <w:vAlign w:val="center"/>
          </w:tcPr>
          <w:p>
            <w:pPr>
              <w:pStyle w:val="63"/>
              <w:jc w:val="both"/>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声环境</w:t>
            </w:r>
          </w:p>
        </w:tc>
        <w:tc>
          <w:tcPr>
            <w:tcW w:w="3890" w:type="pct"/>
            <w:vAlign w:val="center"/>
          </w:tcPr>
          <w:p>
            <w:pPr>
              <w:pStyle w:val="63"/>
              <w:jc w:val="both"/>
              <w:rPr>
                <w:rFonts w:cs="Times New Roman"/>
              </w:rPr>
            </w:pPr>
            <w:r>
              <w:rPr>
                <w:rFonts w:cs="Times New Roman"/>
              </w:rPr>
              <w:t>等效声级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固体废物</w:t>
            </w:r>
          </w:p>
        </w:tc>
        <w:tc>
          <w:tcPr>
            <w:tcW w:w="3890" w:type="pct"/>
            <w:vAlign w:val="center"/>
          </w:tcPr>
          <w:p>
            <w:pPr>
              <w:pStyle w:val="63"/>
              <w:jc w:val="both"/>
              <w:rPr>
                <w:rFonts w:cs="Times New Roman"/>
              </w:rPr>
            </w:pPr>
            <w:r>
              <w:rPr>
                <w:rFonts w:cs="Times New Roman"/>
              </w:rPr>
              <w:t>临时土石方、废包装材料、生活垃圾、清管废渣、建筑垃圾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生态</w:t>
            </w:r>
          </w:p>
        </w:tc>
        <w:tc>
          <w:tcPr>
            <w:tcW w:w="3890" w:type="pct"/>
            <w:vAlign w:val="center"/>
          </w:tcPr>
          <w:p>
            <w:pPr>
              <w:pStyle w:val="63"/>
              <w:jc w:val="both"/>
              <w:rPr>
                <w:rFonts w:cs="Times New Roman"/>
              </w:rPr>
            </w:pPr>
            <w:r>
              <w:rPr>
                <w:rFonts w:cs="Times New Roman"/>
              </w:rPr>
              <w:t>土地资源、生态系统结构和功能、动植物、植被等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left w:val="nil"/>
            </w:tcBorders>
            <w:vAlign w:val="center"/>
          </w:tcPr>
          <w:p>
            <w:pPr>
              <w:pStyle w:val="63"/>
              <w:rPr>
                <w:rFonts w:cs="Times New Roman"/>
              </w:rPr>
            </w:pPr>
          </w:p>
        </w:tc>
        <w:tc>
          <w:tcPr>
            <w:tcW w:w="682" w:type="pct"/>
            <w:vAlign w:val="center"/>
          </w:tcPr>
          <w:p>
            <w:pPr>
              <w:pStyle w:val="63"/>
              <w:rPr>
                <w:rFonts w:cs="Times New Roman"/>
              </w:rPr>
            </w:pPr>
            <w:r>
              <w:rPr>
                <w:rFonts w:cs="Times New Roman"/>
              </w:rPr>
              <w:t>环境风险</w:t>
            </w:r>
          </w:p>
        </w:tc>
        <w:tc>
          <w:tcPr>
            <w:tcW w:w="3890" w:type="pct"/>
            <w:vAlign w:val="center"/>
          </w:tcPr>
          <w:p>
            <w:pPr>
              <w:pStyle w:val="63"/>
              <w:jc w:val="both"/>
              <w:rPr>
                <w:rFonts w:cs="Times New Roman"/>
              </w:rPr>
            </w:pPr>
            <w:r>
              <w:rPr>
                <w:rFonts w:cs="Times New Roman"/>
              </w:rPr>
              <w:t>涉气风险评价因子：CH</w:t>
            </w:r>
            <w:r>
              <w:rPr>
                <w:rFonts w:cs="Times New Roman"/>
                <w:vertAlign w:val="subscript"/>
              </w:rPr>
              <w:t>4</w:t>
            </w:r>
          </w:p>
        </w:tc>
      </w:tr>
    </w:tbl>
    <w:p>
      <w:pPr>
        <w:pStyle w:val="4"/>
        <w:rPr>
          <w:rFonts w:cs="Times New Roman"/>
        </w:rPr>
      </w:pPr>
      <w:r>
        <w:rPr>
          <w:rFonts w:cs="Times New Roman"/>
        </w:rPr>
        <w:t xml:space="preserve"> </w:t>
      </w:r>
      <w:bookmarkStart w:id="46" w:name="_Toc96680614"/>
      <w:r>
        <w:rPr>
          <w:rFonts w:cs="Times New Roman"/>
        </w:rPr>
        <w:t>评价工作等级和评价范围</w:t>
      </w:r>
      <w:bookmarkEnd w:id="45"/>
      <w:bookmarkEnd w:id="46"/>
    </w:p>
    <w:p>
      <w:pPr>
        <w:ind w:firstLine="480"/>
        <w:rPr>
          <w:rFonts w:cs="Times New Roman"/>
        </w:rPr>
      </w:pPr>
      <w:r>
        <w:rPr>
          <w:rFonts w:cs="Times New Roman"/>
        </w:rPr>
        <w:t>根据《环境影响评价技术导则》(HJ 2.2-2018、HJ 2.3-2018、HJ 610-2016、HJ 2.4-2009、HJ 964-2018、HJ 19-2011)中的有关规定确定本项目各环境要素的评价工作等级和评价范围。</w:t>
      </w:r>
    </w:p>
    <w:p>
      <w:pPr>
        <w:pStyle w:val="5"/>
        <w:rPr>
          <w:rFonts w:cs="Times New Roman"/>
        </w:rPr>
      </w:pPr>
      <w:r>
        <w:rPr>
          <w:rFonts w:cs="Times New Roman"/>
        </w:rPr>
        <w:t xml:space="preserve"> </w:t>
      </w:r>
      <w:bookmarkStart w:id="47" w:name="_Toc96680615"/>
      <w:r>
        <w:rPr>
          <w:rFonts w:cs="Times New Roman"/>
        </w:rPr>
        <w:t>大气环境</w:t>
      </w:r>
      <w:bookmarkEnd w:id="47"/>
    </w:p>
    <w:p>
      <w:pPr>
        <w:pStyle w:val="6"/>
        <w:rPr>
          <w:rFonts w:cs="Times New Roman"/>
        </w:rPr>
      </w:pPr>
      <w:r>
        <w:rPr>
          <w:rFonts w:hint="eastAsia" w:cs="Times New Roman"/>
        </w:rPr>
        <w:t xml:space="preserve"> </w:t>
      </w:r>
      <w:r>
        <w:rPr>
          <w:rFonts w:cs="Times New Roman"/>
        </w:rPr>
        <w:t>评价工作等级</w:t>
      </w:r>
    </w:p>
    <w:p>
      <w:pPr>
        <w:ind w:firstLine="480"/>
      </w:pPr>
      <w:r>
        <w:rPr>
          <w:rFonts w:cs="Times New Roman"/>
        </w:rPr>
        <w:t>项目施工期大气环境影响为施工机械、车辆的尾气、施工扬尘以及焊接烟气；营运期，在正常情况下，管线不会有废气排放，非正常工况下外排的废气主要是清管检修时和事故放空时点燃放空的天然气。根据《环境影响评价技术导则大气环境》（HJ2.2-2018）中关于“评价等级判定”的相关规定，由于本项目无“正常排放污染源”，</w:t>
      </w:r>
      <w:r>
        <w:rPr>
          <w:rFonts w:cs="Times New Roman"/>
          <w:bCs/>
        </w:rPr>
        <w:t>P</w:t>
      </w:r>
      <w:r>
        <w:rPr>
          <w:rFonts w:cs="Times New Roman"/>
          <w:bCs/>
          <w:vertAlign w:val="subscript"/>
        </w:rPr>
        <w:t>max</w:t>
      </w:r>
      <w:r>
        <w:rPr>
          <w:rFonts w:cs="Times New Roman"/>
          <w:bCs/>
        </w:rPr>
        <w:t>=0</w:t>
      </w:r>
      <w:r>
        <w:rPr>
          <w:rFonts w:cs="Times New Roman"/>
        </w:rPr>
        <w:t>，因此，本项目大气评价等级定为三级。</w:t>
      </w:r>
    </w:p>
    <w:p>
      <w:pPr>
        <w:pStyle w:val="6"/>
        <w:rPr>
          <w:rFonts w:cs="Times New Roman"/>
        </w:rPr>
      </w:pPr>
      <w:r>
        <w:rPr>
          <w:rFonts w:hint="eastAsia" w:cs="Times New Roman"/>
        </w:rPr>
        <w:t xml:space="preserve"> </w:t>
      </w:r>
      <w:r>
        <w:rPr>
          <w:rFonts w:cs="Times New Roman"/>
        </w:rPr>
        <w:t>评价</w:t>
      </w:r>
      <w:r>
        <w:rPr>
          <w:rFonts w:hint="eastAsia" w:cs="Times New Roman"/>
        </w:rPr>
        <w:t>范围</w:t>
      </w:r>
    </w:p>
    <w:p>
      <w:pPr>
        <w:pStyle w:val="102"/>
        <w:ind w:firstLine="480"/>
        <w:rPr>
          <w:rFonts w:cs="Times New Roman"/>
        </w:rPr>
      </w:pPr>
      <w:r>
        <w:t>《环境影响评价技术导则—大气环境》(HJ2.2-2018)中的规定</w:t>
      </w:r>
      <w:r>
        <w:rPr>
          <w:rFonts w:hint="eastAsia"/>
        </w:rPr>
        <w:t>,</w:t>
      </w:r>
      <w:r>
        <w:t>三级评价项目不需设置大气环境影响评价范围</w:t>
      </w:r>
      <w:r>
        <w:rPr>
          <w:rFonts w:hint="eastAsia"/>
        </w:rPr>
        <w:t>。</w:t>
      </w:r>
      <w:r>
        <w:t>本项目大气评</w:t>
      </w:r>
      <w:r>
        <w:rPr>
          <w:rFonts w:hint="eastAsia"/>
        </w:rPr>
        <w:t>价等级</w:t>
      </w:r>
      <w:r>
        <w:t>为三级，</w:t>
      </w:r>
      <w:r>
        <w:rPr>
          <w:rFonts w:cs="Times New Roman"/>
        </w:rPr>
        <w:t>原则</w:t>
      </w:r>
      <w:r>
        <w:rPr>
          <w:rFonts w:hint="eastAsia" w:cs="Times New Roman"/>
        </w:rPr>
        <w:t>上</w:t>
      </w:r>
      <w:r>
        <w:rPr>
          <w:rFonts w:cs="Times New Roman"/>
        </w:rPr>
        <w:t>不需设置大气评价范围</w:t>
      </w:r>
      <w:r>
        <w:rPr>
          <w:rFonts w:hint="eastAsia" w:cs="Times New Roman"/>
        </w:rPr>
        <w:t>，此次按照管线两侧1</w:t>
      </w:r>
      <w:r>
        <w:rPr>
          <w:rFonts w:cs="Times New Roman"/>
        </w:rPr>
        <w:t>00</w:t>
      </w:r>
      <w:r>
        <w:rPr>
          <w:rFonts w:hint="eastAsia" w:cs="Times New Roman"/>
        </w:rPr>
        <w:t>m范围内调查大气环境敏感目标</w:t>
      </w:r>
      <w:r>
        <w:rPr>
          <w:rFonts w:cs="Times New Roman"/>
        </w:rPr>
        <w:t>。</w:t>
      </w:r>
    </w:p>
    <w:p>
      <w:pPr>
        <w:pStyle w:val="56"/>
        <w:rPr>
          <w:rFonts w:cs="Times New Roman"/>
        </w:rPr>
      </w:pPr>
      <w:r>
        <mc:AlternateContent>
          <mc:Choice Requires="wps">
            <w:drawing>
              <wp:anchor distT="0" distB="0" distL="114300" distR="114300" simplePos="0" relativeHeight="251671552" behindDoc="0" locked="0" layoutInCell="1" allowOverlap="1">
                <wp:simplePos x="0" y="0"/>
                <wp:positionH relativeFrom="column">
                  <wp:posOffset>3614420</wp:posOffset>
                </wp:positionH>
                <wp:positionV relativeFrom="paragraph">
                  <wp:posOffset>4310380</wp:posOffset>
                </wp:positionV>
                <wp:extent cx="359410" cy="0"/>
                <wp:effectExtent l="0" t="0" r="21590" b="19050"/>
                <wp:wrapNone/>
                <wp:docPr id="23" name="直接连接符 23"/>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4.6pt;margin-top:339.4pt;height:0pt;width:28.3pt;z-index:251671552;mso-width-relative:page;mso-height-relative:page;" filled="f" stroked="t" coordsize="21600,21600" o:gfxdata="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ZF53tYA&#10;AAALAQAADwAAAAAAAAABACAAAAAiAAAAZHJzL2Rvd25yZXYueG1sUEsBAhQAFAAAAAgAh07iQK9e&#10;TVLoAQAAswMAAA4AAAAAAAAAAQAgAAAAJQEAAGRycy9lMm9Eb2MueG1sUEsFBgAAAAAGAAYAWQEA&#10;AH8FAAAAAA==&#10;">
                <v:fill on="f" focussize="0,0"/>
                <v:stroke weight="1.25pt" color="#FF0000 [3204]"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3589655</wp:posOffset>
                </wp:positionH>
                <wp:positionV relativeFrom="paragraph">
                  <wp:posOffset>4478655</wp:posOffset>
                </wp:positionV>
                <wp:extent cx="384175" cy="168910"/>
                <wp:effectExtent l="0" t="0" r="15875" b="21590"/>
                <wp:wrapNone/>
                <wp:docPr id="22" name="圆角矩形 22"/>
                <wp:cNvGraphicFramePr/>
                <a:graphic xmlns:a="http://schemas.openxmlformats.org/drawingml/2006/main">
                  <a:graphicData uri="http://schemas.microsoft.com/office/word/2010/wordprocessingShape">
                    <wps:wsp>
                      <wps:cNvSpPr/>
                      <wps:spPr>
                        <a:xfrm>
                          <a:off x="0" y="0"/>
                          <a:ext cx="384175" cy="16891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2.65pt;margin-top:352.65pt;height:13.3pt;width:30.25pt;z-index:251670528;v-text-anchor:middle;mso-width-relative:page;mso-height-relative:page;" fillcolor="#FFFFFF" filled="t" stroked="t" coordsize="21600,21600" arcsize="0.166666666666667" o:gfxdata="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A6YSi3QAAAAsB&#10;AAAPAAAAAAAAAAEAIAAAACIAAABkcnMvZG93bnJldi54bWxQSwECFAAUAAAACACHTuJAxMdIvogC&#10;AAAABQAADgAAAAAAAAABACAAAAAsAQAAZHJzL2Uyb0RvYy54bWxQSwUGAAAAAAYABgBZAQAAJgYA&#10;AAAA&#10;">
                <v:fill on="t" focussize="0,0"/>
                <v:stroke weight="1pt" color="#01EFE4 [3204]" miterlimit="8" joinstyle="miter"/>
                <v:imagedata o:title=""/>
                <o:lock v:ext="edit" aspectratio="f"/>
              </v:roundrect>
            </w:pict>
          </mc:Fallback>
        </mc:AlternateContent>
      </w:r>
      <w:r>
        <w:rPr>
          <w:rFonts w:hint="eastAsia" w:cs="Times New Roman"/>
        </w:rPr>
        <w:t>*</w:t>
      </w:r>
      <w:r>
        <w:rPr>
          <w:rFonts w:cs="Times New Roman"/>
        </w:rPr>
        <w:t>*****</w:t>
      </w:r>
    </w:p>
    <w:p>
      <w:pPr>
        <w:pStyle w:val="250"/>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w:t>
      </w:r>
      <w:r>
        <w:t>大气评价范围</w:t>
      </w:r>
    </w:p>
    <w:p>
      <w:pPr>
        <w:pStyle w:val="5"/>
        <w:rPr>
          <w:rFonts w:cs="Times New Roman"/>
        </w:rPr>
      </w:pPr>
      <w:r>
        <w:rPr>
          <w:rFonts w:cs="Times New Roman"/>
        </w:rPr>
        <w:t xml:space="preserve"> </w:t>
      </w:r>
      <w:bookmarkStart w:id="48" w:name="_Toc96680616"/>
      <w:r>
        <w:rPr>
          <w:rFonts w:cs="Times New Roman"/>
        </w:rPr>
        <w:t>地表水环境</w:t>
      </w:r>
      <w:bookmarkEnd w:id="48"/>
    </w:p>
    <w:p>
      <w:pPr>
        <w:pStyle w:val="6"/>
        <w:rPr>
          <w:rFonts w:cs="Times New Roman"/>
        </w:rPr>
      </w:pPr>
      <w:r>
        <w:rPr>
          <w:rFonts w:cs="Times New Roman"/>
        </w:rPr>
        <w:t xml:space="preserve"> 评价工作等级</w:t>
      </w:r>
    </w:p>
    <w:p>
      <w:pPr>
        <w:ind w:firstLine="480"/>
        <w:rPr>
          <w:rFonts w:cs="Times New Roman"/>
        </w:rPr>
      </w:pPr>
      <w:r>
        <w:rPr>
          <w:rFonts w:cs="Times New Roman"/>
        </w:rPr>
        <w:t>根据《环境影响评价技术导则-地表水环境》（HJ2.3-2018），本项目为水污染影响型建设项目，水污染影响型建设项目评价等级判定依据见</w:t>
      </w:r>
      <w:r>
        <w:rPr>
          <w:rFonts w:hint="eastAsia" w:cs="Times New Roman"/>
        </w:rPr>
        <w:t>下</w:t>
      </w:r>
      <w:r>
        <w:rPr>
          <w:rFonts w:cs="Times New Roman"/>
        </w:rPr>
        <w:t>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1.6</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水污染影响型建设项目评价等级判定</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599"/>
        <w:gridCol w:w="56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pct"/>
            <w:vMerge w:val="restart"/>
            <w:tcBorders>
              <w:top w:val="single" w:color="auto" w:sz="12" w:space="0"/>
              <w:left w:val="nil"/>
            </w:tcBorders>
            <w:vAlign w:val="center"/>
          </w:tcPr>
          <w:p>
            <w:pPr>
              <w:pStyle w:val="63"/>
              <w:rPr>
                <w:rFonts w:cs="Times New Roman"/>
                <w:b/>
              </w:rPr>
            </w:pPr>
            <w:r>
              <w:rPr>
                <w:rFonts w:cs="Times New Roman"/>
                <w:b/>
              </w:rPr>
              <w:t>评价等级</w:t>
            </w:r>
          </w:p>
        </w:tc>
        <w:tc>
          <w:tcPr>
            <w:tcW w:w="4231" w:type="pct"/>
            <w:gridSpan w:val="2"/>
            <w:tcBorders>
              <w:top w:val="single" w:color="auto" w:sz="12" w:space="0"/>
            </w:tcBorders>
            <w:vAlign w:val="center"/>
          </w:tcPr>
          <w:p>
            <w:pPr>
              <w:pStyle w:val="63"/>
              <w:rPr>
                <w:rFonts w:cs="Times New Roman"/>
                <w:b/>
              </w:rPr>
            </w:pPr>
            <w:r>
              <w:rPr>
                <w:rFonts w:cs="Times New Roman"/>
                <w:b/>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pct"/>
            <w:vMerge w:val="continue"/>
            <w:tcBorders>
              <w:left w:val="nil"/>
            </w:tcBorders>
            <w:vAlign w:val="center"/>
          </w:tcPr>
          <w:p>
            <w:pPr>
              <w:pStyle w:val="63"/>
              <w:rPr>
                <w:rFonts w:cs="Times New Roman"/>
                <w:b/>
              </w:rPr>
            </w:pPr>
          </w:p>
        </w:tc>
        <w:tc>
          <w:tcPr>
            <w:tcW w:w="938" w:type="pct"/>
            <w:vAlign w:val="center"/>
          </w:tcPr>
          <w:p>
            <w:pPr>
              <w:pStyle w:val="63"/>
              <w:rPr>
                <w:rFonts w:cs="Times New Roman"/>
                <w:b/>
              </w:rPr>
            </w:pPr>
            <w:r>
              <w:rPr>
                <w:rFonts w:cs="Times New Roman"/>
                <w:b/>
              </w:rPr>
              <w:t>排放方式</w:t>
            </w:r>
          </w:p>
        </w:tc>
        <w:tc>
          <w:tcPr>
            <w:tcW w:w="3293" w:type="pct"/>
            <w:vAlign w:val="center"/>
          </w:tcPr>
          <w:p>
            <w:pPr>
              <w:pStyle w:val="63"/>
              <w:rPr>
                <w:rFonts w:cs="Times New Roman"/>
                <w:b/>
              </w:rPr>
            </w:pPr>
            <w:r>
              <w:rPr>
                <w:rFonts w:cs="Times New Roman"/>
                <w:b/>
              </w:rPr>
              <w:t>废水排放量Q/（m</w:t>
            </w:r>
            <w:r>
              <w:rPr>
                <w:rFonts w:cs="Times New Roman"/>
                <w:b/>
                <w:vertAlign w:val="superscript"/>
              </w:rPr>
              <w:t>3</w:t>
            </w:r>
            <w:r>
              <w:rPr>
                <w:rFonts w:cs="Times New Roman"/>
                <w:b/>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pct"/>
            <w:tcBorders>
              <w:left w:val="nil"/>
            </w:tcBorders>
            <w:vAlign w:val="center"/>
          </w:tcPr>
          <w:p>
            <w:pPr>
              <w:pStyle w:val="63"/>
              <w:rPr>
                <w:rFonts w:cs="Times New Roman"/>
              </w:rPr>
            </w:pPr>
            <w:r>
              <w:rPr>
                <w:rFonts w:cs="Times New Roman"/>
              </w:rPr>
              <w:t>一级</w:t>
            </w:r>
          </w:p>
        </w:tc>
        <w:tc>
          <w:tcPr>
            <w:tcW w:w="938" w:type="pct"/>
            <w:vAlign w:val="center"/>
          </w:tcPr>
          <w:p>
            <w:pPr>
              <w:pStyle w:val="63"/>
              <w:rPr>
                <w:rFonts w:cs="Times New Roman"/>
              </w:rPr>
            </w:pPr>
            <w:r>
              <w:rPr>
                <w:rFonts w:cs="Times New Roman"/>
              </w:rPr>
              <w:t>直接排放</w:t>
            </w:r>
          </w:p>
        </w:tc>
        <w:tc>
          <w:tcPr>
            <w:tcW w:w="3293" w:type="pct"/>
            <w:vAlign w:val="center"/>
          </w:tcPr>
          <w:p>
            <w:pPr>
              <w:pStyle w:val="63"/>
              <w:rPr>
                <w:rFonts w:cs="Times New Roman"/>
              </w:rPr>
            </w:pPr>
            <m:oMathPara>
              <m:oMath>
                <m:r>
                  <m:rPr>
                    <m:sty m:val="p"/>
                  </m:rPr>
                  <w:rPr>
                    <w:rFonts w:ascii="Cambria Math" w:hAnsi="Cambria Math" w:cs="Times New Roman"/>
                  </w:rPr>
                  <m:t>Q≥20000或W≥600000</m:t>
                </m:r>
              </m:oMath>
            </m:oMathPara>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pct"/>
            <w:tcBorders>
              <w:left w:val="nil"/>
            </w:tcBorders>
            <w:vAlign w:val="center"/>
          </w:tcPr>
          <w:p>
            <w:pPr>
              <w:pStyle w:val="63"/>
              <w:rPr>
                <w:rFonts w:cs="Times New Roman"/>
              </w:rPr>
            </w:pPr>
            <w:r>
              <w:rPr>
                <w:rFonts w:cs="Times New Roman"/>
              </w:rPr>
              <w:t>二级</w:t>
            </w:r>
          </w:p>
        </w:tc>
        <w:tc>
          <w:tcPr>
            <w:tcW w:w="938" w:type="pct"/>
            <w:vAlign w:val="center"/>
          </w:tcPr>
          <w:p>
            <w:pPr>
              <w:pStyle w:val="63"/>
              <w:rPr>
                <w:rFonts w:cs="Times New Roman"/>
              </w:rPr>
            </w:pPr>
            <w:r>
              <w:rPr>
                <w:rFonts w:cs="Times New Roman"/>
              </w:rPr>
              <w:t>直接排放</w:t>
            </w:r>
          </w:p>
        </w:tc>
        <w:tc>
          <w:tcPr>
            <w:tcW w:w="3293" w:type="pct"/>
            <w:vAlign w:val="center"/>
          </w:tcPr>
          <w:p>
            <w:pPr>
              <w:pStyle w:val="63"/>
              <w:rPr>
                <w:rFonts w:cs="Times New Roman"/>
              </w:rPr>
            </w:pPr>
            <w:r>
              <w:rPr>
                <w:rFonts w:cs="Times New Roma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pct"/>
            <w:tcBorders>
              <w:left w:val="nil"/>
            </w:tcBorders>
            <w:vAlign w:val="center"/>
          </w:tcPr>
          <w:p>
            <w:pPr>
              <w:pStyle w:val="63"/>
              <w:rPr>
                <w:rFonts w:cs="Times New Roman"/>
              </w:rPr>
            </w:pPr>
            <w:r>
              <w:rPr>
                <w:rFonts w:cs="Times New Roman"/>
              </w:rPr>
              <w:t>三级A</w:t>
            </w:r>
          </w:p>
        </w:tc>
        <w:tc>
          <w:tcPr>
            <w:tcW w:w="938" w:type="pct"/>
            <w:vAlign w:val="center"/>
          </w:tcPr>
          <w:p>
            <w:pPr>
              <w:pStyle w:val="63"/>
              <w:rPr>
                <w:rFonts w:cs="Times New Roman"/>
              </w:rPr>
            </w:pPr>
            <w:r>
              <w:rPr>
                <w:rFonts w:cs="Times New Roman"/>
              </w:rPr>
              <w:t>直接排放</w:t>
            </w:r>
          </w:p>
        </w:tc>
        <w:tc>
          <w:tcPr>
            <w:tcW w:w="3293" w:type="pct"/>
            <w:vAlign w:val="center"/>
          </w:tcPr>
          <w:p>
            <w:pPr>
              <w:pStyle w:val="63"/>
              <w:rPr>
                <w:rFonts w:cs="Times New Roman"/>
              </w:rPr>
            </w:pPr>
            <m:oMathPara>
              <m:oMath>
                <m:r>
                  <m:rPr>
                    <m:sty m:val="p"/>
                  </m:rPr>
                  <w:rPr>
                    <w:rFonts w:ascii="Cambria Math" w:hAnsi="Cambria Math" w:cs="Times New Roman"/>
                  </w:rPr>
                  <m:t>Q</m:t>
                </m:r>
                <m:r>
                  <m:rPr/>
                  <w:rPr>
                    <w:rFonts w:ascii="Cambria Math" w:hAnsi="Cambria Math" w:cs="Times New Roman"/>
                  </w:rPr>
                  <m:t>&lt;200</m:t>
                </m:r>
                <m:r>
                  <m:rPr>
                    <m:sty m:val="p"/>
                  </m:rPr>
                  <w:rPr>
                    <w:rFonts w:ascii="Cambria Math" w:hAnsi="Cambria Math" w:cs="Times New Roman"/>
                  </w:rPr>
                  <m:t>且W</m:t>
                </m:r>
                <m:r>
                  <m:rPr/>
                  <w:rPr>
                    <w:rFonts w:ascii="Cambria Math" w:hAnsi="Cambria Math" w:cs="Times New Roman"/>
                  </w:rPr>
                  <m:t>&lt;6000</m:t>
                </m:r>
              </m:oMath>
            </m:oMathPara>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pct"/>
            <w:tcBorders>
              <w:left w:val="nil"/>
            </w:tcBorders>
            <w:vAlign w:val="center"/>
          </w:tcPr>
          <w:p>
            <w:pPr>
              <w:pStyle w:val="63"/>
              <w:rPr>
                <w:rFonts w:cs="Times New Roman"/>
              </w:rPr>
            </w:pPr>
            <w:r>
              <w:rPr>
                <w:rFonts w:cs="Times New Roman"/>
              </w:rPr>
              <w:t>三级B</w:t>
            </w:r>
          </w:p>
        </w:tc>
        <w:tc>
          <w:tcPr>
            <w:tcW w:w="938" w:type="pct"/>
            <w:vAlign w:val="center"/>
          </w:tcPr>
          <w:p>
            <w:pPr>
              <w:pStyle w:val="63"/>
              <w:rPr>
                <w:rFonts w:cs="Times New Roman"/>
              </w:rPr>
            </w:pPr>
            <w:r>
              <w:rPr>
                <w:rFonts w:cs="Times New Roman"/>
              </w:rPr>
              <w:t>间接排放</w:t>
            </w:r>
          </w:p>
        </w:tc>
        <w:tc>
          <w:tcPr>
            <w:tcW w:w="3293" w:type="pct"/>
            <w:vAlign w:val="center"/>
          </w:tcPr>
          <w:p>
            <w:pPr>
              <w:pStyle w:val="63"/>
              <w:rPr>
                <w:rFonts w:cs="Times New Roman"/>
              </w:rPr>
            </w:pP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left w:val="nil"/>
            </w:tcBorders>
            <w:vAlign w:val="center"/>
          </w:tcPr>
          <w:p>
            <w:pPr>
              <w:pStyle w:val="63"/>
              <w:rPr>
                <w:rFonts w:cs="Times New Roman"/>
              </w:rPr>
            </w:pPr>
            <w:r>
              <w:rPr>
                <w:rFonts w:cs="Times New Roman"/>
                <w:spacing w:val="-4"/>
              </w:rPr>
              <w:t>注：建设项目生产工艺中有废水产生，但作为回水利用，不排放到外环境的，按三级B评价。</w:t>
            </w:r>
          </w:p>
        </w:tc>
      </w:tr>
    </w:tbl>
    <w:p>
      <w:pPr>
        <w:ind w:firstLine="480"/>
        <w:rPr>
          <w:rFonts w:cs="Times New Roman"/>
        </w:rPr>
      </w:pPr>
      <w:r>
        <w:rPr>
          <w:rFonts w:cs="Times New Roman"/>
        </w:rPr>
        <w:t>项目施工期不设置施工营地，施工期生活废水依托周边农户已有废水处理设施处理，处理后的废水用作周边农田有机肥使用。</w:t>
      </w:r>
    </w:p>
    <w:p>
      <w:pPr>
        <w:ind w:firstLine="480"/>
        <w:rPr>
          <w:rFonts w:cs="Times New Roman"/>
        </w:rPr>
      </w:pPr>
      <w:r>
        <w:rPr>
          <w:rFonts w:cs="Times New Roman"/>
        </w:rPr>
        <w:t>项目管线建成后，</w:t>
      </w:r>
      <w:r>
        <w:rPr>
          <w:rFonts w:hint="eastAsia" w:cs="Times New Roman"/>
        </w:rPr>
        <w:t>由运营单位</w:t>
      </w:r>
      <w:r>
        <w:rPr>
          <w:rFonts w:cs="Times New Roman"/>
        </w:rPr>
        <w:t>公司内部调动人员巡线，无新增劳动定员，无新增废水外排。因此，本项目地表水环境影响评价等级定为水污染影响型三级B。</w:t>
      </w:r>
    </w:p>
    <w:p>
      <w:pPr>
        <w:pStyle w:val="6"/>
        <w:rPr>
          <w:rFonts w:cs="Times New Roman"/>
        </w:rPr>
      </w:pPr>
      <w:r>
        <w:rPr>
          <w:rFonts w:cs="Times New Roman"/>
        </w:rPr>
        <w:t xml:space="preserve"> 评价范围</w:t>
      </w:r>
    </w:p>
    <w:p>
      <w:pPr>
        <w:ind w:firstLine="480"/>
      </w:pPr>
      <w:r>
        <w:t>根据导则，本项目地表水评价等级为三级B，评价范围应满足依托的污水处理站的环境可行性分析要求，涉及地表水环境风险的，应覆盖环境风险影响范围所及的水环境保护目标水域</w:t>
      </w:r>
      <w:r>
        <w:rPr>
          <w:rFonts w:hint="eastAsia"/>
        </w:rPr>
        <w:t>。本项目无废水外排，不涉及地表水风险，因此不划定</w:t>
      </w:r>
      <w:r>
        <w:t>地表水评价范围。</w:t>
      </w:r>
    </w:p>
    <w:p>
      <w:pPr>
        <w:pStyle w:val="5"/>
        <w:rPr>
          <w:rFonts w:cs="Times New Roman"/>
        </w:rPr>
      </w:pPr>
      <w:r>
        <w:rPr>
          <w:rFonts w:cs="Times New Roman"/>
        </w:rPr>
        <w:t xml:space="preserve"> </w:t>
      </w:r>
      <w:bookmarkStart w:id="49" w:name="_Toc96680617"/>
      <w:r>
        <w:rPr>
          <w:rFonts w:cs="Times New Roman"/>
        </w:rPr>
        <w:t>地下水环境</w:t>
      </w:r>
      <w:bookmarkEnd w:id="49"/>
    </w:p>
    <w:p>
      <w:pPr>
        <w:pStyle w:val="6"/>
        <w:rPr>
          <w:rFonts w:cs="Times New Roman"/>
        </w:rPr>
      </w:pPr>
      <w:r>
        <w:rPr>
          <w:rFonts w:cs="Times New Roman"/>
        </w:rPr>
        <w:t xml:space="preserve"> 评价工作等级</w:t>
      </w:r>
    </w:p>
    <w:p>
      <w:pPr>
        <w:ind w:firstLine="482"/>
        <w:jc w:val="left"/>
        <w:rPr>
          <w:rFonts w:cs="Times New Roman"/>
          <w:b/>
          <w:szCs w:val="24"/>
        </w:rPr>
      </w:pPr>
      <w:r>
        <w:rPr>
          <w:rFonts w:cs="Times New Roman"/>
          <w:b/>
          <w:szCs w:val="24"/>
        </w:rPr>
        <w:t>（1）项目类型</w:t>
      </w:r>
    </w:p>
    <w:p>
      <w:pPr>
        <w:ind w:firstLine="480"/>
        <w:jc w:val="left"/>
        <w:rPr>
          <w:rFonts w:cs="Times New Roman"/>
          <w:szCs w:val="24"/>
        </w:rPr>
      </w:pPr>
      <w:r>
        <w:rPr>
          <w:rFonts w:cs="Times New Roman"/>
          <w:szCs w:val="24"/>
        </w:rPr>
        <w:t>根据建设项目资料，本项目分类属于《环境影响评价技术导则-地下水环境》（HJ 610-2016）附录A中F石油、天然气第</w:t>
      </w:r>
      <w:r>
        <w:rPr>
          <w:rFonts w:hint="eastAsia" w:cs="Times New Roman"/>
          <w:szCs w:val="24"/>
        </w:rPr>
        <w:t>41</w:t>
      </w:r>
      <w:r>
        <w:rPr>
          <w:rFonts w:cs="Times New Roman"/>
          <w:szCs w:val="24"/>
        </w:rPr>
        <w:t>项</w:t>
      </w:r>
      <w:r>
        <w:rPr>
          <w:rFonts w:hint="eastAsia" w:cs="Times New Roman"/>
          <w:szCs w:val="24"/>
        </w:rPr>
        <w:t>“石油、天然气、成品油管线（不含城市天然气管线）”</w:t>
      </w:r>
      <w:r>
        <w:rPr>
          <w:rFonts w:cs="Times New Roman"/>
          <w:szCs w:val="24"/>
        </w:rPr>
        <w:t>，编制报告书类别为</w:t>
      </w:r>
      <w:r>
        <w:rPr>
          <w:rFonts w:cs="Times New Roman"/>
          <w:szCs w:val="24"/>
        </w:rPr>
        <w:fldChar w:fldCharType="begin"/>
      </w:r>
      <w:r>
        <w:rPr>
          <w:rFonts w:cs="Times New Roman"/>
          <w:szCs w:val="24"/>
        </w:rPr>
        <w:instrText xml:space="preserve"> = 3 \* ROMAN \* MERGEFORMAT </w:instrText>
      </w:r>
      <w:r>
        <w:rPr>
          <w:rFonts w:cs="Times New Roman"/>
          <w:szCs w:val="24"/>
        </w:rPr>
        <w:fldChar w:fldCharType="separate"/>
      </w:r>
      <w:r>
        <w:t>III</w:t>
      </w:r>
      <w:r>
        <w:rPr>
          <w:rFonts w:cs="Times New Roman"/>
          <w:szCs w:val="24"/>
        </w:rPr>
        <w:fldChar w:fldCharType="end"/>
      </w:r>
      <w:r>
        <w:rPr>
          <w:rFonts w:cs="Times New Roman"/>
          <w:szCs w:val="24"/>
        </w:rPr>
        <w:t>类建设项目，其地下水环境影响评价工作等级的划分依据</w:t>
      </w:r>
      <w:r>
        <w:rPr>
          <w:rFonts w:cs="Times New Roman"/>
          <w:szCs w:val="24"/>
        </w:rPr>
        <w:fldChar w:fldCharType="begin"/>
      </w:r>
      <w:r>
        <w:rPr>
          <w:rFonts w:cs="Times New Roman"/>
          <w:szCs w:val="24"/>
        </w:rPr>
        <w:instrText xml:space="preserve"> = 3 \* ROMAN \* MERGEFORMAT </w:instrText>
      </w:r>
      <w:r>
        <w:rPr>
          <w:rFonts w:cs="Times New Roman"/>
          <w:szCs w:val="24"/>
        </w:rPr>
        <w:fldChar w:fldCharType="separate"/>
      </w:r>
      <w:r>
        <w:t>III</w:t>
      </w:r>
      <w:r>
        <w:rPr>
          <w:rFonts w:cs="Times New Roman"/>
          <w:szCs w:val="24"/>
        </w:rPr>
        <w:fldChar w:fldCharType="end"/>
      </w:r>
      <w:r>
        <w:rPr>
          <w:rFonts w:cs="Times New Roman"/>
          <w:szCs w:val="24"/>
        </w:rPr>
        <w:t xml:space="preserve">类建设项目特征分别进行地下水环境影响评价等级划分。 </w:t>
      </w:r>
    </w:p>
    <w:p>
      <w:pPr>
        <w:ind w:firstLine="482"/>
        <w:jc w:val="left"/>
        <w:rPr>
          <w:rFonts w:cs="Times New Roman"/>
          <w:b/>
          <w:szCs w:val="24"/>
        </w:rPr>
      </w:pPr>
      <w:r>
        <w:rPr>
          <w:rFonts w:cs="Times New Roman"/>
          <w:b/>
          <w:szCs w:val="24"/>
        </w:rPr>
        <w:t>（2）敏感程度</w:t>
      </w:r>
    </w:p>
    <w:p>
      <w:pPr>
        <w:ind w:firstLine="480"/>
        <w:jc w:val="left"/>
        <w:rPr>
          <w:rFonts w:cs="Times New Roman"/>
          <w:szCs w:val="24"/>
        </w:rPr>
      </w:pPr>
      <w:r>
        <w:rPr>
          <w:rFonts w:cs="Times New Roman"/>
          <w:szCs w:val="24"/>
        </w:rPr>
        <w:t>根据</w:t>
      </w:r>
      <w:r>
        <w:rPr>
          <w:rFonts w:cs="Times New Roman"/>
          <w:szCs w:val="24"/>
        </w:rPr>
        <w:fldChar w:fldCharType="begin"/>
      </w:r>
      <w:r>
        <w:rPr>
          <w:rFonts w:cs="Times New Roman"/>
          <w:szCs w:val="24"/>
        </w:rPr>
        <w:instrText xml:space="preserve"> = 3 \* ROMAN \* MERGEFORMAT </w:instrText>
      </w:r>
      <w:r>
        <w:rPr>
          <w:rFonts w:cs="Times New Roman"/>
          <w:szCs w:val="24"/>
        </w:rPr>
        <w:fldChar w:fldCharType="separate"/>
      </w:r>
      <w:r>
        <w:t>III</w:t>
      </w:r>
      <w:r>
        <w:rPr>
          <w:rFonts w:cs="Times New Roman"/>
          <w:szCs w:val="24"/>
        </w:rPr>
        <w:fldChar w:fldCharType="end"/>
      </w:r>
      <w:r>
        <w:rPr>
          <w:rFonts w:cs="Times New Roman"/>
          <w:szCs w:val="24"/>
        </w:rPr>
        <w:t>类建设项目工作等级划分依据，应根据《环境影响评价技术导则－地下水环境》(HJ 610-2016)中评价工作等级的划分应根据建设项目行业分类和地下水环境敏感程度分级进行判定，具体情况见下表。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1.6</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rPr>
        <w:t xml:space="preserve">  地下水环境敏感程度分级表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5671"/>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98" w:type="pct"/>
            <w:tcBorders>
              <w:top w:val="single" w:color="auto" w:sz="12" w:space="0"/>
              <w:left w:val="nil"/>
            </w:tcBorders>
            <w:vAlign w:val="center"/>
          </w:tcPr>
          <w:p>
            <w:pPr>
              <w:pStyle w:val="63"/>
              <w:rPr>
                <w:rFonts w:cs="Times New Roman"/>
                <w:b/>
                <w:bCs/>
              </w:rPr>
            </w:pPr>
            <w:r>
              <w:rPr>
                <w:rFonts w:cs="Times New Roman"/>
                <w:b/>
                <w:bCs/>
              </w:rPr>
              <w:t>分级</w:t>
            </w:r>
          </w:p>
        </w:tc>
        <w:tc>
          <w:tcPr>
            <w:tcW w:w="3327" w:type="pct"/>
            <w:tcBorders>
              <w:top w:val="single" w:color="auto" w:sz="12" w:space="0"/>
            </w:tcBorders>
            <w:vAlign w:val="center"/>
          </w:tcPr>
          <w:p>
            <w:pPr>
              <w:pStyle w:val="63"/>
              <w:rPr>
                <w:rFonts w:cs="Times New Roman"/>
                <w:b/>
                <w:bCs/>
              </w:rPr>
            </w:pPr>
            <w:r>
              <w:rPr>
                <w:rFonts w:cs="Times New Roman"/>
                <w:b/>
                <w:bCs/>
              </w:rPr>
              <w:t>地下水环境敏感特征</w:t>
            </w:r>
          </w:p>
        </w:tc>
        <w:tc>
          <w:tcPr>
            <w:tcW w:w="1075" w:type="pct"/>
            <w:tcBorders>
              <w:top w:val="single" w:color="auto" w:sz="12" w:space="0"/>
            </w:tcBorders>
            <w:vAlign w:val="center"/>
          </w:tcPr>
          <w:p>
            <w:pPr>
              <w:pStyle w:val="63"/>
              <w:rPr>
                <w:rFonts w:cs="Times New Roman"/>
                <w:b/>
                <w:bCs/>
              </w:rPr>
            </w:pPr>
            <w:r>
              <w:rPr>
                <w:rFonts w:cs="Times New Roman"/>
                <w:b/>
                <w:bCs/>
              </w:rPr>
              <w:t>本工程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tcBorders>
              <w:left w:val="nil"/>
            </w:tcBorders>
            <w:vAlign w:val="center"/>
          </w:tcPr>
          <w:p>
            <w:pPr>
              <w:pStyle w:val="63"/>
              <w:rPr>
                <w:rFonts w:cs="Times New Roman"/>
              </w:rPr>
            </w:pPr>
            <w:r>
              <w:rPr>
                <w:rFonts w:cs="Times New Roman"/>
              </w:rPr>
              <w:t>敏感</w:t>
            </w:r>
          </w:p>
        </w:tc>
        <w:tc>
          <w:tcPr>
            <w:tcW w:w="3327" w:type="pct"/>
            <w:vAlign w:val="center"/>
          </w:tcPr>
          <w:p>
            <w:pPr>
              <w:pStyle w:val="63"/>
              <w:jc w:val="both"/>
              <w:rPr>
                <w:rFonts w:cs="Times New Roman"/>
              </w:rPr>
            </w:pPr>
            <w:r>
              <w:rPr>
                <w:rFonts w:cs="Times New Roman"/>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c>
          <w:tcPr>
            <w:tcW w:w="1075" w:type="pct"/>
            <w:vMerge w:val="restart"/>
            <w:vAlign w:val="center"/>
          </w:tcPr>
          <w:p>
            <w:pPr>
              <w:pStyle w:val="63"/>
              <w:jc w:val="both"/>
              <w:rPr>
                <w:rFonts w:cs="Times New Roman"/>
              </w:rPr>
            </w:pPr>
            <w:r>
              <w:rPr>
                <w:rFonts w:cs="Times New Roman"/>
                <w:szCs w:val="24"/>
              </w:rPr>
              <w:t>本项目不位于地下水相关保护区范围内，不位于地下水水源地准保护区范围内，项目周边有居民分散式地下水水源，故本项目地下水环境敏感程度确定为“较敏感”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tcBorders>
              <w:left w:val="nil"/>
            </w:tcBorders>
            <w:vAlign w:val="center"/>
          </w:tcPr>
          <w:p>
            <w:pPr>
              <w:pStyle w:val="63"/>
              <w:rPr>
                <w:rFonts w:cs="Times New Roman"/>
              </w:rPr>
            </w:pPr>
            <w:r>
              <w:rPr>
                <w:rFonts w:cs="Times New Roman"/>
              </w:rPr>
              <w:t>较敏感（√）</w:t>
            </w:r>
          </w:p>
        </w:tc>
        <w:tc>
          <w:tcPr>
            <w:tcW w:w="3327" w:type="pct"/>
          </w:tcPr>
          <w:p>
            <w:pPr>
              <w:pStyle w:val="63"/>
              <w:jc w:val="both"/>
              <w:rPr>
                <w:rFonts w:cs="Times New Roman"/>
              </w:rPr>
            </w:pPr>
            <w:r>
              <w:rPr>
                <w:rFonts w:cs="Times New Roma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c>
          <w:tcPr>
            <w:tcW w:w="1075" w:type="pct"/>
            <w:vMerge w:val="continue"/>
            <w:vAlign w:val="center"/>
          </w:tcPr>
          <w:p>
            <w:pPr>
              <w:pStyle w:val="63"/>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tcBorders>
              <w:left w:val="nil"/>
            </w:tcBorders>
            <w:vAlign w:val="center"/>
          </w:tcPr>
          <w:p>
            <w:pPr>
              <w:pStyle w:val="63"/>
              <w:rPr>
                <w:rFonts w:cs="Times New Roman"/>
              </w:rPr>
            </w:pPr>
            <w:r>
              <w:rPr>
                <w:rFonts w:cs="Times New Roman"/>
              </w:rPr>
              <w:t>不敏感</w:t>
            </w:r>
          </w:p>
        </w:tc>
        <w:tc>
          <w:tcPr>
            <w:tcW w:w="3327" w:type="pct"/>
            <w:vAlign w:val="center"/>
          </w:tcPr>
          <w:p>
            <w:pPr>
              <w:pStyle w:val="63"/>
              <w:rPr>
                <w:rFonts w:cs="Times New Roman"/>
              </w:rPr>
            </w:pPr>
            <w:r>
              <w:rPr>
                <w:rFonts w:cs="Times New Roman"/>
              </w:rPr>
              <w:t>上述地区之外的其它地区。</w:t>
            </w:r>
          </w:p>
        </w:tc>
        <w:tc>
          <w:tcPr>
            <w:tcW w:w="1075" w:type="pct"/>
            <w:vMerge w:val="continue"/>
            <w:vAlign w:val="center"/>
          </w:tcPr>
          <w:p>
            <w:pPr>
              <w:pStyle w:val="63"/>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left w:val="nil"/>
            </w:tcBorders>
          </w:tcPr>
          <w:p>
            <w:pPr>
              <w:pStyle w:val="63"/>
              <w:jc w:val="both"/>
              <w:rPr>
                <w:rFonts w:cs="Times New Roman"/>
              </w:rPr>
            </w:pPr>
            <w:r>
              <w:rPr>
                <w:rFonts w:cs="Times New Roman"/>
              </w:rPr>
              <w:t>注：”环境敏感区”是指《建设项目环境影响评价分类管理名录》中所界定的涉及地下水的环境敏感区</w:t>
            </w:r>
          </w:p>
        </w:tc>
      </w:tr>
    </w:tbl>
    <w:p>
      <w:pPr>
        <w:ind w:firstLine="482"/>
        <w:jc w:val="left"/>
        <w:rPr>
          <w:rFonts w:cs="Times New Roman"/>
          <w:b/>
          <w:szCs w:val="24"/>
        </w:rPr>
      </w:pPr>
      <w:r>
        <w:rPr>
          <w:rFonts w:cs="Times New Roman"/>
          <w:b/>
          <w:szCs w:val="24"/>
        </w:rPr>
        <w:t>（3）评价工作等级确定</w:t>
      </w:r>
    </w:p>
    <w:p>
      <w:pPr>
        <w:ind w:firstLine="503"/>
      </w:pPr>
      <w:r>
        <w:rPr>
          <w:rFonts w:cs="Times New Roman"/>
          <w:w w:val="105"/>
        </w:rPr>
        <w:t>结合《环境影响评价技术导则-地下水环境》（HJ610-2016）中建设项目评价工作等级划分表的要求，本项目地下水环境影响评价为</w:t>
      </w:r>
      <w:r>
        <w:rPr>
          <w:rFonts w:hint="eastAsia" w:cs="Times New Roman"/>
          <w:w w:val="105"/>
        </w:rPr>
        <w:t>三</w:t>
      </w:r>
      <w:r>
        <w:rPr>
          <w:rFonts w:cs="Times New Roman"/>
          <w:w w:val="105"/>
        </w:rPr>
        <w:t>级评价，地下水评价等级划分情况见下表。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1.6</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3</w:t>
      </w:r>
      <w:r>
        <w:rPr>
          <w:rFonts w:cs="Times New Roman"/>
        </w:rPr>
        <w:fldChar w:fldCharType="end"/>
      </w:r>
      <w:r>
        <w:rPr>
          <w:rFonts w:cs="Times New Roman"/>
        </w:rPr>
        <w:t xml:space="preserve">  地下水分级判定指标表</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2076"/>
        <w:gridCol w:w="2077"/>
        <w:gridCol w:w="2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6" w:type="dxa"/>
            <w:tcBorders>
              <w:top w:val="single" w:color="auto" w:sz="12" w:space="0"/>
              <w:left w:val="nil"/>
              <w:tl2br w:val="single" w:color="auto" w:sz="4" w:space="0"/>
            </w:tcBorders>
            <w:vAlign w:val="center"/>
          </w:tcPr>
          <w:p>
            <w:pPr>
              <w:pStyle w:val="63"/>
              <w:jc w:val="right"/>
              <w:rPr>
                <w:rFonts w:cs="Times New Roman"/>
                <w:b/>
              </w:rPr>
            </w:pPr>
            <w:r>
              <w:rPr>
                <w:rFonts w:cs="Times New Roman"/>
                <w:b/>
              </w:rPr>
              <w:t>项目类别</w:t>
            </w:r>
          </w:p>
          <w:p>
            <w:pPr>
              <w:pStyle w:val="63"/>
              <w:jc w:val="left"/>
              <w:rPr>
                <w:rFonts w:cs="Times New Roman"/>
                <w:b/>
              </w:rPr>
            </w:pPr>
            <w:r>
              <w:rPr>
                <w:rFonts w:cs="Times New Roman"/>
                <w:b/>
              </w:rPr>
              <w:t>环境敏感程度</w:t>
            </w:r>
          </w:p>
        </w:tc>
        <w:tc>
          <w:tcPr>
            <w:tcW w:w="2076" w:type="dxa"/>
            <w:tcBorders>
              <w:top w:val="single" w:color="auto" w:sz="12" w:space="0"/>
            </w:tcBorders>
            <w:vAlign w:val="center"/>
          </w:tcPr>
          <w:p>
            <w:pPr>
              <w:pStyle w:val="63"/>
              <w:rPr>
                <w:rFonts w:cs="Times New Roman"/>
                <w:b/>
              </w:rPr>
            </w:pPr>
            <w:r>
              <w:rPr>
                <w:rFonts w:cs="Times New Roman"/>
                <w:b/>
              </w:rPr>
              <w:fldChar w:fldCharType="begin"/>
            </w:r>
            <w:r>
              <w:rPr>
                <w:rFonts w:cs="Times New Roman"/>
                <w:b/>
              </w:rPr>
              <w:instrText xml:space="preserve"> = 1 \* ROMAN </w:instrText>
            </w:r>
            <w:r>
              <w:rPr>
                <w:rFonts w:cs="Times New Roman"/>
                <w:b/>
              </w:rPr>
              <w:fldChar w:fldCharType="separate"/>
            </w:r>
            <w:r>
              <w:rPr>
                <w:rFonts w:cs="Times New Roman"/>
                <w:b/>
              </w:rPr>
              <w:t>I</w:t>
            </w:r>
            <w:r>
              <w:rPr>
                <w:rFonts w:cs="Times New Roman"/>
                <w:b/>
              </w:rPr>
              <w:fldChar w:fldCharType="end"/>
            </w:r>
            <w:r>
              <w:rPr>
                <w:rFonts w:cs="Times New Roman"/>
                <w:b/>
              </w:rPr>
              <w:t>类项目</w:t>
            </w:r>
          </w:p>
        </w:tc>
        <w:tc>
          <w:tcPr>
            <w:tcW w:w="2077" w:type="dxa"/>
            <w:tcBorders>
              <w:top w:val="single" w:color="auto" w:sz="12" w:space="0"/>
            </w:tcBorders>
            <w:vAlign w:val="center"/>
          </w:tcPr>
          <w:p>
            <w:pPr>
              <w:pStyle w:val="63"/>
              <w:rPr>
                <w:rFonts w:cs="Times New Roman"/>
                <w:b/>
              </w:rPr>
            </w:pPr>
            <w:r>
              <w:rPr>
                <w:rFonts w:cs="Times New Roman"/>
                <w:b/>
              </w:rPr>
              <w:fldChar w:fldCharType="begin"/>
            </w:r>
            <w:r>
              <w:rPr>
                <w:rFonts w:cs="Times New Roman"/>
                <w:b/>
              </w:rPr>
              <w:instrText xml:space="preserve"> = 2 \* ROMAN </w:instrText>
            </w:r>
            <w:r>
              <w:rPr>
                <w:rFonts w:cs="Times New Roman"/>
                <w:b/>
              </w:rPr>
              <w:fldChar w:fldCharType="separate"/>
            </w:r>
            <w:r>
              <w:rPr>
                <w:rFonts w:cs="Times New Roman"/>
                <w:b/>
              </w:rPr>
              <w:t>II</w:t>
            </w:r>
            <w:r>
              <w:rPr>
                <w:rFonts w:cs="Times New Roman"/>
                <w:b/>
              </w:rPr>
              <w:fldChar w:fldCharType="end"/>
            </w:r>
            <w:r>
              <w:rPr>
                <w:rFonts w:cs="Times New Roman"/>
                <w:b/>
              </w:rPr>
              <w:t>类项目</w:t>
            </w:r>
          </w:p>
        </w:tc>
        <w:tc>
          <w:tcPr>
            <w:tcW w:w="2077" w:type="dxa"/>
            <w:tcBorders>
              <w:top w:val="single" w:color="auto" w:sz="12" w:space="0"/>
            </w:tcBorders>
            <w:vAlign w:val="center"/>
          </w:tcPr>
          <w:p>
            <w:pPr>
              <w:pStyle w:val="63"/>
              <w:rPr>
                <w:rFonts w:cs="Times New Roman"/>
                <w:b/>
              </w:rPr>
            </w:pPr>
            <w:r>
              <w:rPr>
                <w:rFonts w:cs="Times New Roman"/>
                <w:b/>
              </w:rPr>
              <w:fldChar w:fldCharType="begin"/>
            </w:r>
            <w:r>
              <w:rPr>
                <w:rFonts w:cs="Times New Roman"/>
                <w:b/>
              </w:rPr>
              <w:instrText xml:space="preserve"> = 3 \* ROMAN </w:instrText>
            </w:r>
            <w:r>
              <w:rPr>
                <w:rFonts w:cs="Times New Roman"/>
                <w:b/>
              </w:rPr>
              <w:fldChar w:fldCharType="separate"/>
            </w:r>
            <w:r>
              <w:rPr>
                <w:rFonts w:cs="Times New Roman"/>
                <w:b/>
              </w:rPr>
              <w:t>III</w:t>
            </w:r>
            <w:r>
              <w:rPr>
                <w:rFonts w:cs="Times New Roman"/>
                <w:b/>
              </w:rPr>
              <w:fldChar w:fldCharType="end"/>
            </w:r>
            <w:r>
              <w:rPr>
                <w:rFonts w:cs="Times New Roman"/>
                <w:b/>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6" w:type="dxa"/>
            <w:tcBorders>
              <w:left w:val="nil"/>
            </w:tcBorders>
            <w:vAlign w:val="center"/>
          </w:tcPr>
          <w:p>
            <w:pPr>
              <w:pStyle w:val="63"/>
              <w:rPr>
                <w:rFonts w:cs="Times New Roman"/>
              </w:rPr>
            </w:pPr>
            <w:r>
              <w:rPr>
                <w:rFonts w:cs="Times New Roman"/>
              </w:rPr>
              <w:t>敏感</w:t>
            </w:r>
          </w:p>
        </w:tc>
        <w:tc>
          <w:tcPr>
            <w:tcW w:w="2076" w:type="dxa"/>
            <w:vAlign w:val="center"/>
          </w:tcPr>
          <w:p>
            <w:pPr>
              <w:pStyle w:val="63"/>
              <w:rPr>
                <w:rFonts w:cs="Times New Roman"/>
              </w:rPr>
            </w:pPr>
            <w:r>
              <w:rPr>
                <w:rFonts w:cs="Times New Roman"/>
              </w:rPr>
              <w:t>一</w:t>
            </w:r>
          </w:p>
        </w:tc>
        <w:tc>
          <w:tcPr>
            <w:tcW w:w="2077" w:type="dxa"/>
            <w:vAlign w:val="center"/>
          </w:tcPr>
          <w:p>
            <w:pPr>
              <w:pStyle w:val="63"/>
              <w:rPr>
                <w:rFonts w:cs="Times New Roman"/>
              </w:rPr>
            </w:pPr>
            <w:r>
              <w:rPr>
                <w:rFonts w:cs="Times New Roman"/>
              </w:rPr>
              <w:t>一</w:t>
            </w:r>
          </w:p>
        </w:tc>
        <w:tc>
          <w:tcPr>
            <w:tcW w:w="2077" w:type="dxa"/>
            <w:vAlign w:val="center"/>
          </w:tcPr>
          <w:p>
            <w:pPr>
              <w:pStyle w:val="63"/>
              <w:rPr>
                <w:rFonts w:cs="Times New Roman"/>
              </w:rPr>
            </w:pPr>
            <w:r>
              <w:rPr>
                <w:rFonts w:cs="Times New Roman"/>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6" w:type="dxa"/>
            <w:tcBorders>
              <w:left w:val="nil"/>
            </w:tcBorders>
            <w:vAlign w:val="center"/>
          </w:tcPr>
          <w:p>
            <w:pPr>
              <w:pStyle w:val="63"/>
              <w:rPr>
                <w:rFonts w:cs="Times New Roman"/>
              </w:rPr>
            </w:pPr>
            <w:r>
              <w:rPr>
                <w:rFonts w:cs="Times New Roman"/>
              </w:rPr>
              <w:t>较敏感</w:t>
            </w:r>
          </w:p>
        </w:tc>
        <w:tc>
          <w:tcPr>
            <w:tcW w:w="2076" w:type="dxa"/>
            <w:vAlign w:val="center"/>
          </w:tcPr>
          <w:p>
            <w:pPr>
              <w:pStyle w:val="63"/>
              <w:rPr>
                <w:rFonts w:cs="Times New Roman"/>
              </w:rPr>
            </w:pPr>
            <w:r>
              <w:rPr>
                <w:rFonts w:cs="Times New Roman"/>
              </w:rPr>
              <w:t>一</w:t>
            </w:r>
          </w:p>
        </w:tc>
        <w:tc>
          <w:tcPr>
            <w:tcW w:w="2077" w:type="dxa"/>
            <w:vAlign w:val="center"/>
          </w:tcPr>
          <w:p>
            <w:pPr>
              <w:pStyle w:val="63"/>
              <w:rPr>
                <w:rFonts w:cs="Times New Roman"/>
              </w:rPr>
            </w:pPr>
            <w:r>
              <w:rPr>
                <w:rFonts w:cs="Times New Roman"/>
              </w:rPr>
              <w:t>二</w:t>
            </w:r>
          </w:p>
        </w:tc>
        <w:tc>
          <w:tcPr>
            <w:tcW w:w="2077" w:type="dxa"/>
            <w:vAlign w:val="center"/>
          </w:tcPr>
          <w:p>
            <w:pPr>
              <w:pStyle w:val="63"/>
              <w:rPr>
                <w:rFonts w:cs="Times New Roman"/>
              </w:rPr>
            </w:pPr>
            <w:r>
              <w:rPr>
                <w:rFonts w:cs="Times New Roman"/>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6" w:type="dxa"/>
            <w:tcBorders>
              <w:left w:val="nil"/>
            </w:tcBorders>
            <w:vAlign w:val="center"/>
          </w:tcPr>
          <w:p>
            <w:pPr>
              <w:pStyle w:val="63"/>
              <w:rPr>
                <w:rFonts w:cs="Times New Roman"/>
              </w:rPr>
            </w:pPr>
            <w:r>
              <w:rPr>
                <w:rFonts w:cs="Times New Roman"/>
              </w:rPr>
              <w:t>不敏感</w:t>
            </w:r>
          </w:p>
        </w:tc>
        <w:tc>
          <w:tcPr>
            <w:tcW w:w="2076" w:type="dxa"/>
            <w:vAlign w:val="center"/>
          </w:tcPr>
          <w:p>
            <w:pPr>
              <w:pStyle w:val="63"/>
              <w:rPr>
                <w:rFonts w:cs="Times New Roman"/>
              </w:rPr>
            </w:pPr>
            <w:r>
              <w:rPr>
                <w:rFonts w:cs="Times New Roman"/>
              </w:rPr>
              <w:t>二</w:t>
            </w:r>
          </w:p>
        </w:tc>
        <w:tc>
          <w:tcPr>
            <w:tcW w:w="2077" w:type="dxa"/>
            <w:vAlign w:val="center"/>
          </w:tcPr>
          <w:p>
            <w:pPr>
              <w:pStyle w:val="63"/>
              <w:rPr>
                <w:rFonts w:cs="Times New Roman"/>
              </w:rPr>
            </w:pPr>
            <w:r>
              <w:rPr>
                <w:rFonts w:cs="Times New Roman"/>
              </w:rPr>
              <w:t>三</w:t>
            </w:r>
          </w:p>
        </w:tc>
        <w:tc>
          <w:tcPr>
            <w:tcW w:w="2077" w:type="dxa"/>
            <w:vAlign w:val="center"/>
          </w:tcPr>
          <w:p>
            <w:pPr>
              <w:pStyle w:val="63"/>
              <w:rPr>
                <w:rFonts w:cs="Times New Roman"/>
              </w:rPr>
            </w:pPr>
            <w:r>
              <w:rPr>
                <w:rFonts w:cs="Times New Roman"/>
              </w:rPr>
              <w:t>三</w:t>
            </w:r>
          </w:p>
        </w:tc>
      </w:tr>
    </w:tbl>
    <w:p>
      <w:pPr>
        <w:pStyle w:val="6"/>
        <w:spacing w:before="163" w:beforeLines="50"/>
        <w:rPr>
          <w:rFonts w:cs="Times New Roman"/>
        </w:rPr>
      </w:pPr>
      <w:r>
        <w:rPr>
          <w:rFonts w:cs="Times New Roman"/>
        </w:rPr>
        <w:t xml:space="preserve"> 评价范围</w:t>
      </w:r>
    </w:p>
    <w:p>
      <w:pPr>
        <w:spacing w:line="480" w:lineRule="exact"/>
        <w:ind w:firstLine="480"/>
        <w:jc w:val="left"/>
        <w:rPr>
          <w:rFonts w:cs="Times New Roman"/>
        </w:rPr>
      </w:pPr>
      <w:r>
        <w:rPr>
          <w:rFonts w:cs="Times New Roman"/>
        </w:rPr>
        <w:t>根据《地下水环境影响评价技术导则-地下水环境》（HJ610-2016），地下水环境现状调查评价范围应包括与建设项目相关的地下水环境保护目标，以能说明地下水环境的现状，反映调查评价区地下水基本流场特征，满足地下水环境影响预测和评价为基本原则。</w:t>
      </w:r>
    </w:p>
    <w:p>
      <w:pPr>
        <w:spacing w:line="480" w:lineRule="exact"/>
        <w:ind w:firstLine="480"/>
        <w:jc w:val="left"/>
        <w:rPr>
          <w:rFonts w:cs="Times New Roman"/>
        </w:rPr>
      </w:pPr>
      <w:r>
        <w:rPr>
          <w:rFonts w:cs="Times New Roman"/>
        </w:rPr>
        <w:t>建设项目（除线性工程外）地下水环境影响现状调查评价范围可采用公式计算法、查表法及自定义法确定。</w:t>
      </w:r>
    </w:p>
    <w:p>
      <w:pPr>
        <w:pStyle w:val="201"/>
        <w:ind w:firstLine="503"/>
        <w:rPr>
          <w:w w:val="105"/>
        </w:rPr>
      </w:pPr>
      <w:bookmarkStart w:id="50" w:name="_Hlk23427696"/>
      <w:r>
        <w:rPr>
          <w:w w:val="105"/>
        </w:rPr>
        <w:t>本项目为线性工程，同时仅输送天然气，故此次按照管线两侧200m为地下水调查评价范围</w:t>
      </w:r>
      <w:r>
        <w:rPr>
          <w:rFonts w:hint="eastAsia"/>
          <w:w w:val="105"/>
        </w:rPr>
        <w:t>，总计调查评价范围约0.8km</w:t>
      </w:r>
      <w:r>
        <w:rPr>
          <w:w w:val="105"/>
          <w:vertAlign w:val="superscript"/>
        </w:rPr>
        <w:t>2</w:t>
      </w:r>
      <w:r>
        <w:rPr>
          <w:rFonts w:hint="eastAsia"/>
          <w:w w:val="105"/>
        </w:rPr>
        <w:t>。</w:t>
      </w:r>
    </w:p>
    <w:p>
      <w:pPr>
        <w:pStyle w:val="222"/>
      </w:pPr>
      <w:r>
        <w:rPr>
          <w:rFonts w:hint="eastAsia"/>
        </w:rPr>
        <w:t>*</w:t>
      </w:r>
      <w:r>
        <w:t>*****</w:t>
      </w:r>
    </w:p>
    <w:p>
      <w:pPr>
        <w:pStyle w:val="222"/>
      </w:pPr>
      <w:r>
        <w:t>图</w:t>
      </w:r>
      <w:r>
        <w:fldChar w:fldCharType="begin"/>
      </w:r>
      <w:r>
        <w:instrText xml:space="preserve"> STYLEREF 2 \s </w:instrText>
      </w:r>
      <w:r>
        <w:fldChar w:fldCharType="separate"/>
      </w:r>
      <w:r>
        <w:t>1.6</w:t>
      </w:r>
      <w:r>
        <w:fldChar w:fldCharType="end"/>
      </w:r>
      <w:r>
        <w:noBreakHyphen/>
      </w:r>
      <w:r>
        <w:fldChar w:fldCharType="begin"/>
      </w:r>
      <w:r>
        <w:instrText xml:space="preserve"> SEQ 图 \* ARABIC \s 2 </w:instrText>
      </w:r>
      <w:r>
        <w:fldChar w:fldCharType="separate"/>
      </w:r>
      <w:r>
        <w:t>2</w:t>
      </w:r>
      <w:r>
        <w:fldChar w:fldCharType="end"/>
      </w:r>
      <w:r>
        <w:t xml:space="preserve">  本项目地下水调查评价范围图</w:t>
      </w:r>
    </w:p>
    <w:bookmarkEnd w:id="50"/>
    <w:p>
      <w:pPr>
        <w:pStyle w:val="5"/>
        <w:rPr>
          <w:rFonts w:cs="Times New Roman"/>
        </w:rPr>
      </w:pPr>
      <w:r>
        <w:rPr>
          <w:rFonts w:cs="Times New Roman"/>
        </w:rPr>
        <w:t xml:space="preserve"> </w:t>
      </w:r>
      <w:bookmarkStart w:id="51" w:name="_Toc96680618"/>
      <w:r>
        <w:rPr>
          <w:rFonts w:cs="Times New Roman"/>
        </w:rPr>
        <w:t>声环境</w:t>
      </w:r>
      <w:bookmarkEnd w:id="51"/>
    </w:p>
    <w:p>
      <w:pPr>
        <w:pStyle w:val="6"/>
        <w:rPr>
          <w:rFonts w:cs="Times New Roman"/>
        </w:rPr>
      </w:pPr>
      <w:r>
        <w:rPr>
          <w:rFonts w:cs="Times New Roman"/>
        </w:rPr>
        <w:t xml:space="preserve"> 评价工作等级</w:t>
      </w:r>
    </w:p>
    <w:p>
      <w:pPr>
        <w:ind w:firstLine="480"/>
        <w:rPr>
          <w:rFonts w:cs="Times New Roman"/>
        </w:rPr>
      </w:pPr>
      <w:r>
        <w:rPr>
          <w:rFonts w:hint="eastAsia" w:cs="Times New Roman"/>
        </w:rPr>
        <w:t>本项目运营期噪声主要来自于管道检修或事故状态下的放空噪声；根据现场调查，沿线地区声环境质量较好，沿线主要为散户，受项目噪声源影响的人口较少，本项目管道沿线所处的环境功能区为《声环境质量标准》（GB3096-2008）规定的</w:t>
      </w:r>
      <w:r>
        <w:rPr>
          <w:rFonts w:cs="Times New Roman"/>
        </w:rPr>
        <w:t>2</w:t>
      </w:r>
      <w:r>
        <w:rPr>
          <w:rFonts w:hint="eastAsia" w:cs="Times New Roman"/>
        </w:rPr>
        <w:t>类地区。</w:t>
      </w:r>
      <w:r>
        <w:rPr>
          <w:rFonts w:cs="Times New Roman"/>
        </w:rPr>
        <w:t>根据《环境影响评价技术导则 声环境》（HJ 2.4-2009）中关于评价工作等级的划分原则，确定本项目声环境评价工作等级为二级。判断等级详见下表。</w:t>
      </w:r>
    </w:p>
    <w:p>
      <w:pPr>
        <w:pStyle w:val="57"/>
      </w:pPr>
      <w:r>
        <w:t>表</w:t>
      </w:r>
      <w:r>
        <w:fldChar w:fldCharType="begin"/>
      </w:r>
      <w:r>
        <w:instrText xml:space="preserve"> STYLEREF 2 \s </w:instrText>
      </w:r>
      <w:r>
        <w:fldChar w:fldCharType="separate"/>
      </w:r>
      <w:r>
        <w:t>1.6</w:t>
      </w:r>
      <w:r>
        <w:fldChar w:fldCharType="end"/>
      </w:r>
      <w:r>
        <w:t>-</w:t>
      </w:r>
      <w:r>
        <w:fldChar w:fldCharType="begin"/>
      </w:r>
      <w:r>
        <w:instrText xml:space="preserve"> SEQ 表格 \* ARABIC \s 2 </w:instrText>
      </w:r>
      <w:r>
        <w:fldChar w:fldCharType="separate"/>
      </w:r>
      <w:r>
        <w:t>4</w:t>
      </w:r>
      <w:r>
        <w:fldChar w:fldCharType="end"/>
      </w:r>
      <w:r>
        <w:t xml:space="preserve">  声环境评价等级</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3260"/>
        <w:gridCol w:w="1418"/>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552" w:type="dxa"/>
            <w:tcBorders>
              <w:top w:val="single" w:color="auto" w:sz="12" w:space="0"/>
              <w:left w:val="nil"/>
            </w:tcBorders>
            <w:vAlign w:val="center"/>
          </w:tcPr>
          <w:p>
            <w:pPr>
              <w:pStyle w:val="63"/>
              <w:rPr>
                <w:rFonts w:cs="Times New Roman"/>
                <w:b/>
              </w:rPr>
            </w:pPr>
            <w:r>
              <w:rPr>
                <w:rFonts w:cs="Times New Roman"/>
                <w:b/>
              </w:rPr>
              <w:t>划分依据</w:t>
            </w:r>
          </w:p>
        </w:tc>
        <w:tc>
          <w:tcPr>
            <w:tcW w:w="3260" w:type="dxa"/>
            <w:tcBorders>
              <w:top w:val="single" w:color="auto" w:sz="12" w:space="0"/>
            </w:tcBorders>
            <w:vAlign w:val="center"/>
          </w:tcPr>
          <w:p>
            <w:pPr>
              <w:pStyle w:val="63"/>
              <w:rPr>
                <w:rFonts w:cs="Times New Roman"/>
                <w:b/>
              </w:rPr>
            </w:pPr>
            <w:r>
              <w:rPr>
                <w:rFonts w:cs="Times New Roman"/>
                <w:b/>
              </w:rPr>
              <w:t>项目基本情况</w:t>
            </w:r>
          </w:p>
        </w:tc>
        <w:tc>
          <w:tcPr>
            <w:tcW w:w="1418" w:type="dxa"/>
            <w:tcBorders>
              <w:top w:val="single" w:color="auto" w:sz="12" w:space="0"/>
            </w:tcBorders>
            <w:vAlign w:val="center"/>
          </w:tcPr>
          <w:p>
            <w:pPr>
              <w:pStyle w:val="63"/>
              <w:rPr>
                <w:rFonts w:cs="Times New Roman"/>
                <w:b/>
              </w:rPr>
            </w:pPr>
            <w:r>
              <w:rPr>
                <w:rFonts w:cs="Times New Roman"/>
                <w:b/>
              </w:rPr>
              <w:t>判别</w:t>
            </w:r>
          </w:p>
        </w:tc>
        <w:tc>
          <w:tcPr>
            <w:tcW w:w="1076" w:type="dxa"/>
            <w:tcBorders>
              <w:top w:val="single" w:color="auto" w:sz="12" w:space="0"/>
            </w:tcBorders>
            <w:vAlign w:val="center"/>
          </w:tcPr>
          <w:p>
            <w:pPr>
              <w:pStyle w:val="63"/>
              <w:rPr>
                <w:rFonts w:cs="Times New Roman"/>
                <w:b/>
              </w:rPr>
            </w:pPr>
            <w:r>
              <w:rPr>
                <w:rFonts w:cs="Times New Roman"/>
                <w:b/>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2" w:type="dxa"/>
            <w:tcBorders>
              <w:left w:val="nil"/>
            </w:tcBorders>
            <w:vAlign w:val="center"/>
          </w:tcPr>
          <w:p>
            <w:pPr>
              <w:pStyle w:val="63"/>
              <w:rPr>
                <w:rFonts w:cs="Times New Roman"/>
              </w:rPr>
            </w:pPr>
            <w:r>
              <w:rPr>
                <w:rFonts w:cs="Times New Roman"/>
              </w:rPr>
              <w:t>区域声环境功能区类别</w:t>
            </w:r>
          </w:p>
        </w:tc>
        <w:tc>
          <w:tcPr>
            <w:tcW w:w="3260" w:type="dxa"/>
            <w:vAlign w:val="center"/>
          </w:tcPr>
          <w:p>
            <w:pPr>
              <w:pStyle w:val="63"/>
              <w:rPr>
                <w:rFonts w:cs="Times New Roman"/>
              </w:rPr>
            </w:pPr>
            <w:r>
              <w:rPr>
                <w:rFonts w:cs="Times New Roman"/>
              </w:rPr>
              <w:t>农村地区</w:t>
            </w:r>
          </w:p>
        </w:tc>
        <w:tc>
          <w:tcPr>
            <w:tcW w:w="1418" w:type="dxa"/>
            <w:vAlign w:val="center"/>
          </w:tcPr>
          <w:p>
            <w:pPr>
              <w:pStyle w:val="63"/>
              <w:rPr>
                <w:rFonts w:cs="Times New Roman"/>
              </w:rPr>
            </w:pPr>
            <w:r>
              <w:rPr>
                <w:rFonts w:cs="Times New Roman"/>
              </w:rPr>
              <w:t>2类地区</w:t>
            </w:r>
          </w:p>
        </w:tc>
        <w:tc>
          <w:tcPr>
            <w:tcW w:w="1076" w:type="dxa"/>
            <w:vMerge w:val="restart"/>
            <w:vAlign w:val="center"/>
          </w:tcPr>
          <w:p>
            <w:pPr>
              <w:pStyle w:val="63"/>
              <w:rPr>
                <w:rFonts w:cs="Times New Roman"/>
              </w:rPr>
            </w:pPr>
            <w:r>
              <w:rPr>
                <w:rFonts w:cs="Times New Roma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2" w:type="dxa"/>
            <w:tcBorders>
              <w:left w:val="nil"/>
            </w:tcBorders>
            <w:vAlign w:val="center"/>
          </w:tcPr>
          <w:p>
            <w:pPr>
              <w:pStyle w:val="63"/>
              <w:rPr>
                <w:rFonts w:cs="Times New Roman"/>
              </w:rPr>
            </w:pPr>
            <w:r>
              <w:rPr>
                <w:rFonts w:cs="Times New Roman"/>
              </w:rPr>
              <w:t>本项目建设前后所在区域的声环境质量变化程度</w:t>
            </w:r>
          </w:p>
        </w:tc>
        <w:tc>
          <w:tcPr>
            <w:tcW w:w="3260" w:type="dxa"/>
            <w:vAlign w:val="center"/>
          </w:tcPr>
          <w:p>
            <w:pPr>
              <w:pStyle w:val="63"/>
              <w:rPr>
                <w:rFonts w:cs="Times New Roman"/>
              </w:rPr>
            </w:pPr>
            <w:r>
              <w:rPr>
                <w:rFonts w:cs="Times New Roman"/>
              </w:rPr>
              <w:t>厂界噪声达标，区域声环境质量变化程度小</w:t>
            </w:r>
          </w:p>
        </w:tc>
        <w:tc>
          <w:tcPr>
            <w:tcW w:w="1418" w:type="dxa"/>
            <w:vAlign w:val="center"/>
          </w:tcPr>
          <w:p>
            <w:pPr>
              <w:pStyle w:val="63"/>
              <w:rPr>
                <w:rFonts w:cs="Times New Roman"/>
              </w:rPr>
            </w:pPr>
            <w:r>
              <w:rPr>
                <w:rFonts w:cs="Times New Roman"/>
              </w:rPr>
              <w:t>变化幅度小于3dB（A）</w:t>
            </w:r>
          </w:p>
        </w:tc>
        <w:tc>
          <w:tcPr>
            <w:tcW w:w="1076" w:type="dxa"/>
            <w:vMerge w:val="continue"/>
            <w:vAlign w:val="center"/>
          </w:tcPr>
          <w:p>
            <w:pPr>
              <w:pStyle w:val="63"/>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2" w:type="dxa"/>
            <w:tcBorders>
              <w:left w:val="nil"/>
            </w:tcBorders>
            <w:vAlign w:val="center"/>
          </w:tcPr>
          <w:p>
            <w:pPr>
              <w:pStyle w:val="63"/>
              <w:rPr>
                <w:rFonts w:cs="Times New Roman"/>
                <w:szCs w:val="21"/>
              </w:rPr>
            </w:pPr>
            <w:r>
              <w:rPr>
                <w:rStyle w:val="119"/>
                <w:rFonts w:hint="default" w:ascii="Times New Roman" w:hAnsi="Times New Roman" w:cs="Times New Roman"/>
                <w:color w:val="auto"/>
                <w:sz w:val="21"/>
                <w:szCs w:val="21"/>
              </w:rPr>
              <w:t>受影响人口的数量受影响人口的数量</w:t>
            </w:r>
          </w:p>
        </w:tc>
        <w:tc>
          <w:tcPr>
            <w:tcW w:w="3260" w:type="dxa"/>
            <w:vAlign w:val="center"/>
          </w:tcPr>
          <w:p>
            <w:pPr>
              <w:pStyle w:val="63"/>
              <w:rPr>
                <w:rFonts w:cs="Times New Roman"/>
                <w:szCs w:val="21"/>
              </w:rPr>
            </w:pPr>
            <w:r>
              <w:rPr>
                <w:rFonts w:cs="Times New Roman"/>
                <w:szCs w:val="21"/>
              </w:rPr>
              <w:t>井场声环境评价范围内以及井场道路沿线仅少量分散居民点分布</w:t>
            </w:r>
          </w:p>
        </w:tc>
        <w:tc>
          <w:tcPr>
            <w:tcW w:w="1418" w:type="dxa"/>
            <w:vAlign w:val="center"/>
          </w:tcPr>
          <w:p>
            <w:pPr>
              <w:pStyle w:val="63"/>
              <w:rPr>
                <w:rFonts w:cs="Times New Roman"/>
                <w:szCs w:val="21"/>
              </w:rPr>
            </w:pPr>
            <w:r>
              <w:rPr>
                <w:rStyle w:val="119"/>
                <w:rFonts w:hint="default" w:ascii="Times New Roman" w:hAnsi="Times New Roman" w:cs="Times New Roman"/>
                <w:color w:val="auto"/>
                <w:sz w:val="21"/>
                <w:szCs w:val="21"/>
              </w:rPr>
              <w:t>受噪声影响人口数量少</w:t>
            </w:r>
          </w:p>
        </w:tc>
        <w:tc>
          <w:tcPr>
            <w:tcW w:w="1076" w:type="dxa"/>
            <w:vMerge w:val="continue"/>
            <w:vAlign w:val="center"/>
          </w:tcPr>
          <w:p>
            <w:pPr>
              <w:pStyle w:val="63"/>
              <w:rPr>
                <w:rFonts w:cs="Times New Roman"/>
              </w:rPr>
            </w:pPr>
          </w:p>
        </w:tc>
      </w:tr>
    </w:tbl>
    <w:p>
      <w:pPr>
        <w:pStyle w:val="6"/>
        <w:spacing w:before="163" w:beforeLines="50"/>
        <w:rPr>
          <w:rFonts w:cs="Times New Roman"/>
        </w:rPr>
      </w:pPr>
      <w:r>
        <w:rPr>
          <w:rFonts w:cs="Times New Roman"/>
        </w:rPr>
        <w:t xml:space="preserve"> 评价范围</w:t>
      </w:r>
    </w:p>
    <w:p>
      <w:pPr>
        <w:ind w:firstLine="480"/>
        <w:rPr>
          <w:rFonts w:cs="Times New Roman"/>
        </w:rPr>
      </w:pPr>
      <w:r>
        <w:rPr>
          <w:rFonts w:cs="Times New Roman"/>
        </w:rPr>
        <w:t>根据《环境影响评价技术导则 声环境》（HJ 2.4-2009）中第6.1.2节的规定，确定为本项目集输管道两侧各200m范围。</w:t>
      </w:r>
    </w:p>
    <w:p>
      <w:pPr>
        <w:pStyle w:val="56"/>
      </w:pPr>
      <w:r>
        <mc:AlternateContent>
          <mc:Choice Requires="wps">
            <w:drawing>
              <wp:anchor distT="0" distB="0" distL="114300" distR="114300" simplePos="0" relativeHeight="251696128" behindDoc="0" locked="0" layoutInCell="1" allowOverlap="1">
                <wp:simplePos x="0" y="0"/>
                <wp:positionH relativeFrom="column">
                  <wp:posOffset>2374265</wp:posOffset>
                </wp:positionH>
                <wp:positionV relativeFrom="paragraph">
                  <wp:posOffset>3891280</wp:posOffset>
                </wp:positionV>
                <wp:extent cx="97790" cy="65405"/>
                <wp:effectExtent l="0" t="0" r="16510" b="11430"/>
                <wp:wrapNone/>
                <wp:docPr id="24" name="矩形 24"/>
                <wp:cNvGraphicFramePr/>
                <a:graphic xmlns:a="http://schemas.openxmlformats.org/drawingml/2006/main">
                  <a:graphicData uri="http://schemas.microsoft.com/office/word/2010/wordprocessingShape">
                    <wps:wsp>
                      <wps:cNvSpPr/>
                      <wps:spPr>
                        <a:xfrm>
                          <a:off x="0" y="0"/>
                          <a:ext cx="97971" cy="6531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95pt;margin-top:306.4pt;height:5.15pt;width:7.7pt;z-index:251696128;v-text-anchor:middle;mso-width-relative:page;mso-height-relative:page;" filled="f" stroked="t" coordsize="21600,21600" o:gfxdata="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3asiF2QAAAAsBAAAPAAAAAAAAAAEAIAAAACIAAABkcnMvZG93bnJldi54bWxQ&#10;SwECFAAUAAAACACHTuJA2f1Mc2gCAADKBAAADgAAAAAAAAABACAAAAAoAQAAZHJzL2Uyb0RvYy54&#10;bWxQSwUGAAAAAAYABgBZAQAAAgYAAAAA&#10;">
                <v:fill on="f" focussize="0,0"/>
                <v:stroke weight="1pt" color="#C00000 [3204]" miterlimit="8" joinstyle="miter"/>
                <v:imagedata o:title=""/>
                <o:lock v:ext="edit" aspectratio="f"/>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3570605</wp:posOffset>
                </wp:positionH>
                <wp:positionV relativeFrom="paragraph">
                  <wp:posOffset>3891280</wp:posOffset>
                </wp:positionV>
                <wp:extent cx="359410" cy="0"/>
                <wp:effectExtent l="0" t="0" r="21590" b="19050"/>
                <wp:wrapNone/>
                <wp:docPr id="33" name="直接连接符 33"/>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1.15pt;margin-top:306.4pt;height:0pt;width:28.3pt;z-index:251675648;mso-width-relative:page;mso-height-relative:page;" filled="f" stroked="t" coordsize="21600,21600" o:gfxdata="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XvektYA&#10;AAALAQAADwAAAAAAAAABACAAAAAiAAAAZHJzL2Rvd25yZXYueG1sUEsBAhQAFAAAAAgAh07iQHzm&#10;WlHoAQAAswMAAA4AAAAAAAAAAQAgAAAAJQEAAGRycy9lMm9Eb2MueG1sUEsFBgAAAAAGAAYAWQEA&#10;AH8FAAAAAA==&#10;">
                <v:fill on="f" focussize="0,0"/>
                <v:stroke weight="1.25pt" color="#FF0000 [3204]" miterlimit="8" joinstyle="miter"/>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3545840</wp:posOffset>
                </wp:positionH>
                <wp:positionV relativeFrom="paragraph">
                  <wp:posOffset>4059555</wp:posOffset>
                </wp:positionV>
                <wp:extent cx="384175" cy="168910"/>
                <wp:effectExtent l="0" t="0" r="15875" b="21590"/>
                <wp:wrapNone/>
                <wp:docPr id="32" name="圆角矩形 32"/>
                <wp:cNvGraphicFramePr/>
                <a:graphic xmlns:a="http://schemas.openxmlformats.org/drawingml/2006/main">
                  <a:graphicData uri="http://schemas.microsoft.com/office/word/2010/wordprocessingShape">
                    <wps:wsp>
                      <wps:cNvSpPr/>
                      <wps:spPr>
                        <a:xfrm>
                          <a:off x="0" y="0"/>
                          <a:ext cx="384175" cy="16891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9.2pt;margin-top:319.65pt;height:13.3pt;width:30.25pt;z-index:251674624;v-text-anchor:middle;mso-width-relative:page;mso-height-relative:page;" fillcolor="#FFFFFF" filled="t" stroked="t" coordsize="21600,21600" arcsize="0.166666666666667" o:gfxdata="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UjUMd4AAAAL&#10;AQAADwAAAAAAAAABACAAAAAiAAAAZHJzL2Rvd25yZXYueG1sUEsBAhQAFAAAAAgAh07iQKe3lUWI&#10;AgAAAAUAAA4AAAAAAAAAAQAgAAAALQEAAGRycy9lMm9Eb2MueG1sUEsFBgAAAAAGAAYAWQEAACcG&#10;AAAAAA==&#10;">
                <v:fill on="t" focussize="0,0"/>
                <v:stroke weight="1pt" color="#01EFE4 [3204]" miterlimit="8" joinstyle="miter"/>
                <v:imagedata o:title=""/>
                <o:lock v:ext="edit" aspectratio="f"/>
              </v:roundrect>
            </w:pict>
          </mc:Fallback>
        </mc:AlternateContent>
      </w:r>
      <w:r>
        <w:t>******</w:t>
      </w:r>
    </w:p>
    <w:p>
      <w:pPr>
        <w:pStyle w:val="57"/>
        <w:rPr>
          <w:szCs w:val="24"/>
        </w:rPr>
      </w:pPr>
      <w:r>
        <w:t>图</w:t>
      </w:r>
      <w:r>
        <w:fldChar w:fldCharType="begin"/>
      </w:r>
      <w:r>
        <w:instrText xml:space="preserve"> STYLEREF 2 \s </w:instrText>
      </w:r>
      <w:r>
        <w:fldChar w:fldCharType="separate"/>
      </w:r>
      <w:r>
        <w:t>1.6</w:t>
      </w:r>
      <w:r>
        <w:fldChar w:fldCharType="end"/>
      </w:r>
      <w:r>
        <w:noBreakHyphen/>
      </w:r>
      <w:r>
        <w:fldChar w:fldCharType="begin"/>
      </w:r>
      <w:r>
        <w:instrText xml:space="preserve"> SEQ 图 \* ARABIC \s 2 </w:instrText>
      </w:r>
      <w:r>
        <w:fldChar w:fldCharType="separate"/>
      </w:r>
      <w:r>
        <w:t>3</w:t>
      </w:r>
      <w:r>
        <w:fldChar w:fldCharType="end"/>
      </w:r>
      <w:r>
        <w:t>声环境评价范围</w:t>
      </w:r>
    </w:p>
    <w:p>
      <w:pPr>
        <w:pStyle w:val="5"/>
        <w:rPr>
          <w:rFonts w:cs="Times New Roman"/>
        </w:rPr>
      </w:pPr>
      <w:r>
        <w:rPr>
          <w:rFonts w:cs="Times New Roman"/>
        </w:rPr>
        <w:t xml:space="preserve"> </w:t>
      </w:r>
      <w:bookmarkStart w:id="52" w:name="_Toc96680619"/>
      <w:r>
        <w:rPr>
          <w:rFonts w:cs="Times New Roman"/>
        </w:rPr>
        <w:t>土壤环境</w:t>
      </w:r>
      <w:bookmarkEnd w:id="52"/>
    </w:p>
    <w:p>
      <w:pPr>
        <w:pStyle w:val="6"/>
        <w:rPr>
          <w:rFonts w:cs="Times New Roman"/>
        </w:rPr>
      </w:pPr>
      <w:r>
        <w:rPr>
          <w:rFonts w:cs="Times New Roman"/>
        </w:rPr>
        <w:t xml:space="preserve"> 评价工作等级</w:t>
      </w:r>
    </w:p>
    <w:p>
      <w:pPr>
        <w:ind w:firstLine="480"/>
      </w:pPr>
      <w:r>
        <w:rPr>
          <w:rFonts w:cs="Times New Roman"/>
        </w:rPr>
        <w:t>根据《环境影响评价技术导则土壤环境（试行）》（HJ 964-2018）附录A，本项目天然气开采（井场建设）属于“</w:t>
      </w:r>
      <w:r>
        <w:rPr>
          <w:rFonts w:hint="eastAsia" w:cs="Times New Roman"/>
        </w:rPr>
        <w:t>交通运输仓储</w:t>
      </w:r>
      <w:r>
        <w:rPr>
          <w:rFonts w:cs="Times New Roman"/>
        </w:rPr>
        <w:t>邮政业”中“</w:t>
      </w:r>
      <w:r>
        <w:rPr>
          <w:rFonts w:hint="eastAsia" w:cs="Times New Roman"/>
        </w:rPr>
        <w:t>其他</w:t>
      </w:r>
      <w:r>
        <w:rPr>
          <w:rFonts w:cs="Times New Roman"/>
        </w:rPr>
        <w:t>”，为</w:t>
      </w:r>
      <w:r>
        <w:rPr>
          <w:rFonts w:cs="Times New Roman"/>
        </w:rPr>
        <w:fldChar w:fldCharType="begin"/>
      </w:r>
      <w:r>
        <w:rPr>
          <w:rFonts w:cs="Times New Roman"/>
        </w:rPr>
        <w:instrText xml:space="preserve"> </w:instrText>
      </w:r>
      <w:r>
        <w:rPr>
          <w:rFonts w:hint="eastAsia" w:cs="Times New Roman"/>
        </w:rPr>
        <w:instrText xml:space="preserve">= 4 \* ROMAN</w:instrText>
      </w:r>
      <w:r>
        <w:rPr>
          <w:rFonts w:cs="Times New Roman"/>
        </w:rPr>
        <w:instrText xml:space="preserve"> </w:instrText>
      </w:r>
      <w:r>
        <w:rPr>
          <w:rFonts w:cs="Times New Roman"/>
        </w:rPr>
        <w:fldChar w:fldCharType="separate"/>
      </w:r>
      <w:r>
        <w:rPr>
          <w:rFonts w:cs="Times New Roman"/>
        </w:rPr>
        <w:t>IV</w:t>
      </w:r>
      <w:r>
        <w:rPr>
          <w:rFonts w:cs="Times New Roman"/>
        </w:rPr>
        <w:fldChar w:fldCharType="end"/>
      </w:r>
      <w:r>
        <w:rPr>
          <w:rFonts w:cs="Times New Roman"/>
        </w:rPr>
        <w:t>类项目。</w:t>
      </w:r>
      <w:r>
        <w:rPr>
          <w:rFonts w:hint="eastAsia" w:cs="Times New Roman"/>
        </w:rPr>
        <w:t>因此本项目</w:t>
      </w:r>
      <w:r>
        <w:rPr>
          <w:rFonts w:hint="eastAsia" w:cs="Times New Roman"/>
          <w:b/>
          <w:bCs/>
        </w:rPr>
        <w:t>可不开展土壤环境影响评价工作</w:t>
      </w:r>
      <w:r>
        <w:rPr>
          <w:rFonts w:hint="eastAsia" w:cs="Times New Roman"/>
        </w:rPr>
        <w:t>。</w:t>
      </w:r>
    </w:p>
    <w:p>
      <w:pPr>
        <w:pStyle w:val="6"/>
        <w:rPr>
          <w:rFonts w:cs="Times New Roman"/>
        </w:rPr>
      </w:pPr>
      <w:r>
        <w:rPr>
          <w:rFonts w:cs="Times New Roman"/>
        </w:rPr>
        <w:t xml:space="preserve"> 评价范围</w:t>
      </w:r>
    </w:p>
    <w:p>
      <w:pPr>
        <w:ind w:firstLine="480"/>
        <w:rPr>
          <w:rFonts w:cs="Times New Roman"/>
        </w:rPr>
      </w:pPr>
      <w:r>
        <w:rPr>
          <w:rFonts w:cs="Times New Roman"/>
        </w:rPr>
        <w:t>本项目</w:t>
      </w:r>
      <w:r>
        <w:rPr>
          <w:rFonts w:hint="eastAsia" w:cs="Times New Roman"/>
        </w:rPr>
        <w:t>不开展土壤环境影响评价工作，因此不设置土壤评价范围。</w:t>
      </w:r>
    </w:p>
    <w:p>
      <w:pPr>
        <w:pStyle w:val="5"/>
        <w:rPr>
          <w:rFonts w:cs="Times New Roman"/>
        </w:rPr>
      </w:pPr>
      <w:r>
        <w:rPr>
          <w:rFonts w:cs="Times New Roman"/>
        </w:rPr>
        <w:t xml:space="preserve"> </w:t>
      </w:r>
      <w:bookmarkStart w:id="53" w:name="_Toc96680620"/>
      <w:r>
        <w:rPr>
          <w:rFonts w:cs="Times New Roman"/>
        </w:rPr>
        <w:t>环境风险</w:t>
      </w:r>
      <w:bookmarkEnd w:id="53"/>
    </w:p>
    <w:p>
      <w:pPr>
        <w:pStyle w:val="6"/>
        <w:rPr>
          <w:rFonts w:cs="Times New Roman"/>
        </w:rPr>
      </w:pPr>
      <w:r>
        <w:rPr>
          <w:rFonts w:cs="Times New Roman"/>
        </w:rPr>
        <w:t xml:space="preserve"> 评价工作等级</w:t>
      </w:r>
    </w:p>
    <w:p>
      <w:pPr>
        <w:ind w:firstLine="480"/>
        <w:rPr>
          <w:rFonts w:cs="Times New Roman"/>
        </w:rPr>
      </w:pPr>
      <w:r>
        <w:rPr>
          <w:rFonts w:cs="Times New Roman"/>
        </w:rPr>
        <w:t>根据章节8.4，本项目</w:t>
      </w:r>
      <w:r>
        <w:rPr>
          <w:rFonts w:hint="eastAsia" w:cs="Times New Roman"/>
        </w:rPr>
        <w:t>危险</w:t>
      </w:r>
      <w:r>
        <w:rPr>
          <w:rFonts w:cs="Times New Roman"/>
        </w:rPr>
        <w:t>物质数量与临界量比值（Q）为2.16（1≤Q&lt;10），</w:t>
      </w:r>
      <w:r>
        <w:rPr>
          <w:rFonts w:hint="eastAsia" w:cs="Times New Roman"/>
        </w:rPr>
        <w:t>行业</w:t>
      </w:r>
      <w:r>
        <w:rPr>
          <w:rFonts w:cs="Times New Roman"/>
        </w:rPr>
        <w:t>及生产工艺（</w:t>
      </w:r>
      <w:r>
        <w:rPr>
          <w:rFonts w:hint="eastAsia" w:cs="Times New Roman"/>
        </w:rPr>
        <w:t>M</w:t>
      </w:r>
      <w:r>
        <w:rPr>
          <w:rFonts w:cs="Times New Roman"/>
        </w:rPr>
        <w:t>）</w:t>
      </w:r>
      <w:r>
        <w:rPr>
          <w:rFonts w:hint="eastAsia" w:cs="Times New Roman"/>
        </w:rPr>
        <w:t>为M</w:t>
      </w:r>
      <w:r>
        <w:rPr>
          <w:rFonts w:cs="Times New Roman"/>
        </w:rPr>
        <w:t>3</w:t>
      </w:r>
      <w:r>
        <w:rPr>
          <w:rFonts w:hint="eastAsia" w:cs="Times New Roman"/>
        </w:rPr>
        <w:t>，危险物质及工艺系统危险性（P）分级为P</w:t>
      </w:r>
      <w:r>
        <w:rPr>
          <w:rFonts w:cs="Times New Roman"/>
        </w:rPr>
        <w:t>4</w:t>
      </w:r>
      <w:r>
        <w:rPr>
          <w:rFonts w:hint="eastAsia" w:cs="Times New Roman"/>
        </w:rPr>
        <w:t>，大气环境敏感程度为E</w:t>
      </w:r>
      <w:r>
        <w:rPr>
          <w:rFonts w:cs="Times New Roman"/>
        </w:rPr>
        <w:t>3</w:t>
      </w:r>
      <w:r>
        <w:rPr>
          <w:rFonts w:hint="eastAsia" w:cs="Times New Roman"/>
        </w:rPr>
        <w:t>，</w:t>
      </w:r>
      <w:r>
        <w:rPr>
          <w:rFonts w:cs="Times New Roman"/>
        </w:rPr>
        <w:t>确定本项目环境风险潜势为</w:t>
      </w:r>
      <w:r>
        <w:rPr>
          <w:rFonts w:cs="Times New Roman"/>
        </w:rPr>
        <w:fldChar w:fldCharType="begin"/>
      </w:r>
      <w:r>
        <w:rPr>
          <w:rFonts w:cs="Times New Roman"/>
        </w:rPr>
        <w:instrText xml:space="preserve"> </w:instrText>
      </w:r>
      <w:r>
        <w:rPr>
          <w:rFonts w:hint="eastAsia" w:cs="Times New Roman"/>
        </w:rPr>
        <w:instrText xml:space="preserve">= 1 \* ROMAN</w:instrText>
      </w:r>
      <w:r>
        <w:rPr>
          <w:rFonts w:cs="Times New Roman"/>
        </w:rPr>
        <w:instrText xml:space="preserve"> </w:instrText>
      </w:r>
      <w:r>
        <w:rPr>
          <w:rFonts w:cs="Times New Roman"/>
        </w:rPr>
        <w:fldChar w:fldCharType="separate"/>
      </w:r>
      <w:r>
        <w:rPr>
          <w:rFonts w:cs="Times New Roman"/>
        </w:rPr>
        <w:t>I</w:t>
      </w:r>
      <w:r>
        <w:rPr>
          <w:rFonts w:cs="Times New Roman"/>
        </w:rPr>
        <w:fldChar w:fldCharType="end"/>
      </w:r>
      <w:r>
        <w:rPr>
          <w:rFonts w:cs="Times New Roman"/>
        </w:rPr>
        <w:t>。</w:t>
      </w:r>
    </w:p>
    <w:p>
      <w:pPr>
        <w:ind w:firstLine="480"/>
        <w:rPr>
          <w:rFonts w:cs="Times New Roman"/>
        </w:rPr>
      </w:pPr>
      <w:r>
        <w:rPr>
          <w:rFonts w:cs="Times New Roman"/>
        </w:rPr>
        <w:t>根据《建设项目环境风险评价技术导则》（HJ169－2018）评价工作等级划分要求，确定本项目环境风险评价等级。</w:t>
      </w:r>
    </w:p>
    <w:p>
      <w:pPr>
        <w:pStyle w:val="25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表格 \* ARABIC \s 2 </w:instrText>
      </w:r>
      <w:r>
        <w:fldChar w:fldCharType="separate"/>
      </w:r>
      <w:r>
        <w:t>5</w:t>
      </w:r>
      <w:r>
        <w:fldChar w:fldCharType="end"/>
      </w:r>
      <w:r>
        <w:t xml:space="preserve">  风险评价工作级别划分</w:t>
      </w:r>
    </w:p>
    <w:tbl>
      <w:tblPr>
        <w:tblStyle w:val="3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537"/>
        <w:gridCol w:w="1744"/>
        <w:gridCol w:w="183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rFonts w:cs="Times New Roman"/>
                <w:b/>
                <w:bCs/>
              </w:rPr>
            </w:pPr>
            <w:r>
              <w:rPr>
                <w:rFonts w:cs="Times New Roman"/>
                <w:b/>
                <w:bCs/>
              </w:rPr>
              <w:t>环境风险潜势</w:t>
            </w:r>
          </w:p>
        </w:tc>
        <w:tc>
          <w:tcPr>
            <w:tcW w:w="1000" w:type="pct"/>
            <w:vAlign w:val="center"/>
          </w:tcPr>
          <w:p>
            <w:pPr>
              <w:pStyle w:val="63"/>
              <w:rPr>
                <w:rFonts w:cs="Times New Roman"/>
                <w:b/>
                <w:bCs/>
              </w:rPr>
            </w:pPr>
            <w:r>
              <w:rPr>
                <w:rFonts w:cs="Times New Roman"/>
                <w:b/>
                <w:bCs/>
              </w:rPr>
              <w:t>IV+、IV</w:t>
            </w:r>
          </w:p>
        </w:tc>
        <w:tc>
          <w:tcPr>
            <w:tcW w:w="902" w:type="pct"/>
            <w:vAlign w:val="center"/>
          </w:tcPr>
          <w:p>
            <w:pPr>
              <w:pStyle w:val="63"/>
              <w:rPr>
                <w:rFonts w:cs="Times New Roman"/>
                <w:b/>
                <w:bCs/>
              </w:rPr>
            </w:pPr>
            <w:r>
              <w:rPr>
                <w:rFonts w:cs="Times New Roman"/>
                <w:b/>
                <w:bCs/>
              </w:rPr>
              <w:t>III</w:t>
            </w:r>
          </w:p>
        </w:tc>
        <w:tc>
          <w:tcPr>
            <w:tcW w:w="1023" w:type="pct"/>
            <w:vAlign w:val="center"/>
          </w:tcPr>
          <w:p>
            <w:pPr>
              <w:pStyle w:val="63"/>
              <w:rPr>
                <w:rFonts w:cs="Times New Roman"/>
                <w:b/>
                <w:bCs/>
              </w:rPr>
            </w:pPr>
            <w:r>
              <w:rPr>
                <w:rFonts w:cs="Times New Roman"/>
                <w:b/>
                <w:bCs/>
              </w:rPr>
              <w:t>II</w:t>
            </w:r>
          </w:p>
        </w:tc>
        <w:tc>
          <w:tcPr>
            <w:tcW w:w="1075" w:type="pct"/>
            <w:vAlign w:val="center"/>
          </w:tcPr>
          <w:p>
            <w:pPr>
              <w:pStyle w:val="63"/>
              <w:rPr>
                <w:rFonts w:cs="Times New Roman"/>
                <w:b/>
                <w:bCs/>
              </w:rPr>
            </w:pPr>
            <w:r>
              <w:rPr>
                <w:rFonts w:cs="Times New Roman"/>
                <w:b/>
                <w:bCs/>
              </w:rPr>
              <w:t>I</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jc w:val="both"/>
              <w:rPr>
                <w:rFonts w:cs="Times New Roman"/>
              </w:rPr>
            </w:pPr>
            <w:r>
              <w:rPr>
                <w:rFonts w:cs="Times New Roman"/>
              </w:rPr>
              <w:t>评价工作等级</w:t>
            </w:r>
          </w:p>
        </w:tc>
        <w:tc>
          <w:tcPr>
            <w:tcW w:w="1000" w:type="pct"/>
            <w:vAlign w:val="center"/>
          </w:tcPr>
          <w:p>
            <w:pPr>
              <w:pStyle w:val="63"/>
              <w:rPr>
                <w:rFonts w:cs="Times New Roman"/>
              </w:rPr>
            </w:pPr>
            <w:r>
              <w:rPr>
                <w:rFonts w:cs="Times New Roman"/>
              </w:rPr>
              <w:t>一</w:t>
            </w:r>
          </w:p>
        </w:tc>
        <w:tc>
          <w:tcPr>
            <w:tcW w:w="902" w:type="pct"/>
            <w:vAlign w:val="center"/>
          </w:tcPr>
          <w:p>
            <w:pPr>
              <w:pStyle w:val="63"/>
              <w:rPr>
                <w:rFonts w:cs="Times New Roman"/>
              </w:rPr>
            </w:pPr>
            <w:r>
              <w:rPr>
                <w:rFonts w:cs="Times New Roman"/>
              </w:rPr>
              <w:t>二</w:t>
            </w:r>
          </w:p>
        </w:tc>
        <w:tc>
          <w:tcPr>
            <w:tcW w:w="1023" w:type="pct"/>
            <w:vAlign w:val="center"/>
          </w:tcPr>
          <w:p>
            <w:pPr>
              <w:pStyle w:val="63"/>
              <w:rPr>
                <w:rFonts w:cs="Times New Roman"/>
              </w:rPr>
            </w:pPr>
            <w:r>
              <w:rPr>
                <w:rFonts w:cs="Times New Roman"/>
              </w:rPr>
              <w:t>三</w:t>
            </w:r>
          </w:p>
        </w:tc>
        <w:tc>
          <w:tcPr>
            <w:tcW w:w="1075" w:type="pct"/>
            <w:vAlign w:val="center"/>
          </w:tcPr>
          <w:p>
            <w:pPr>
              <w:pStyle w:val="63"/>
              <w:rPr>
                <w:rFonts w:cs="Times New Roman"/>
              </w:rPr>
            </w:pPr>
            <w:r>
              <w:rPr>
                <w:rFonts w:cs="Times New Roman"/>
              </w:rPr>
              <w:t>简单分析</w:t>
            </w:r>
            <w:r>
              <w:rPr>
                <w:rFonts w:cs="Times New Roman"/>
                <w:vertAlign w:val="superscript"/>
              </w:rPr>
              <w:t>a</w:t>
            </w:r>
            <w:r>
              <w:rPr>
                <w:rFonts w:cs="Times New Roma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jc w:val="both"/>
              <w:rPr>
                <w:rFonts w:cs="Times New Roman"/>
              </w:rPr>
            </w:pPr>
            <w:r>
              <w:rPr>
                <w:rFonts w:cs="Times New Roman"/>
              </w:rPr>
              <w:t>a 是相对于详细评价工作内容而言，在描述危险物质、环境影响途径、环境危害后果、风险防范措施等方面给出定性说明。见附录A。</w:t>
            </w:r>
          </w:p>
        </w:tc>
      </w:tr>
    </w:tbl>
    <w:p>
      <w:pPr>
        <w:ind w:firstLine="480"/>
        <w:rPr>
          <w:rFonts w:cs="Times New Roman"/>
          <w:snapToGrid w:val="0"/>
        </w:rPr>
      </w:pPr>
      <w:r>
        <w:rPr>
          <w:rFonts w:cs="Times New Roman"/>
        </w:rPr>
        <w:t>根据上表可知，本项目环境风险潜势为</w:t>
      </w:r>
      <w:r>
        <w:rPr>
          <w:rFonts w:cs="Times New Roman"/>
        </w:rPr>
        <w:fldChar w:fldCharType="begin"/>
      </w:r>
      <w:r>
        <w:rPr>
          <w:rFonts w:cs="Times New Roman"/>
        </w:rPr>
        <w:instrText xml:space="preserve"> </w:instrText>
      </w:r>
      <w:r>
        <w:rPr>
          <w:rFonts w:hint="eastAsia" w:cs="Times New Roman"/>
        </w:rPr>
        <w:instrText xml:space="preserve">= 1 \* ROMAN</w:instrText>
      </w:r>
      <w:r>
        <w:rPr>
          <w:rFonts w:cs="Times New Roman"/>
        </w:rPr>
        <w:instrText xml:space="preserve"> </w:instrText>
      </w:r>
      <w:r>
        <w:rPr>
          <w:rFonts w:cs="Times New Roman"/>
        </w:rPr>
        <w:fldChar w:fldCharType="separate"/>
      </w:r>
      <w:r>
        <w:rPr>
          <w:rFonts w:cs="Times New Roman"/>
        </w:rPr>
        <w:t>I</w:t>
      </w:r>
      <w:r>
        <w:rPr>
          <w:rFonts w:cs="Times New Roman"/>
        </w:rPr>
        <w:fldChar w:fldCharType="end"/>
      </w:r>
      <w:r>
        <w:rPr>
          <w:rFonts w:cs="Times New Roman"/>
        </w:rPr>
        <w:t>，风险评价等级为</w:t>
      </w:r>
      <w:r>
        <w:rPr>
          <w:rFonts w:hint="eastAsia" w:cs="Times New Roman"/>
        </w:rPr>
        <w:t>简单分析</w:t>
      </w:r>
      <w:r>
        <w:rPr>
          <w:rFonts w:cs="Times New Roman"/>
        </w:rPr>
        <w:t>。</w:t>
      </w:r>
    </w:p>
    <w:p>
      <w:pPr>
        <w:pStyle w:val="6"/>
        <w:rPr>
          <w:rFonts w:cs="Times New Roman"/>
        </w:rPr>
      </w:pPr>
      <w:r>
        <w:rPr>
          <w:rFonts w:cs="Times New Roman"/>
        </w:rPr>
        <w:t xml:space="preserve"> 评价范围</w:t>
      </w:r>
    </w:p>
    <w:p>
      <w:pPr>
        <w:adjustRightInd w:val="0"/>
        <w:snapToGrid w:val="0"/>
        <w:ind w:firstLine="482"/>
        <w:rPr>
          <w:rFonts w:cs="Times New Roman"/>
          <w:b/>
          <w:kern w:val="0"/>
          <w:sz w:val="22"/>
          <w:szCs w:val="24"/>
        </w:rPr>
      </w:pPr>
      <w:r>
        <w:rPr>
          <w:rFonts w:cs="Times New Roman"/>
          <w:b/>
          <w:kern w:val="0"/>
          <w:szCs w:val="26"/>
        </w:rPr>
        <w:t>（1）大气环境风险评价范围</w:t>
      </w:r>
    </w:p>
    <w:p>
      <w:pPr>
        <w:adjustRightInd w:val="0"/>
        <w:snapToGrid w:val="0"/>
        <w:ind w:firstLine="480"/>
        <w:rPr>
          <w:rFonts w:cs="Times New Roman"/>
          <w:kern w:val="0"/>
          <w:szCs w:val="24"/>
        </w:rPr>
      </w:pPr>
      <w:r>
        <w:t>根据《建设项目环境风险评价技术导则》（</w:t>
      </w:r>
      <w:r>
        <w:rPr>
          <w:rFonts w:eastAsia="TimesNewRomanPSMT"/>
        </w:rPr>
        <w:t>HJ169-2018</w:t>
      </w:r>
      <w:r>
        <w:t>），</w:t>
      </w:r>
      <w:r>
        <w:rPr>
          <w:rFonts w:hint="eastAsia"/>
        </w:rPr>
        <w:t>未规定简单分析大气环境风险评价范围，参考大气风险</w:t>
      </w:r>
      <w:r>
        <w:t>三级评价范围</w:t>
      </w:r>
      <w:r>
        <w:rPr>
          <w:rFonts w:hint="eastAsia"/>
        </w:rPr>
        <w:t>，大气环境风险评价范围设置为管线两侧</w:t>
      </w:r>
      <w:r>
        <w:t>1</w:t>
      </w:r>
      <w:r>
        <w:rPr>
          <w:rFonts w:hint="eastAsia"/>
        </w:rPr>
        <w:t>00m范围</w:t>
      </w:r>
      <w:r>
        <w:rPr>
          <w:rFonts w:cs="Times New Roman"/>
          <w:kern w:val="0"/>
          <w:szCs w:val="24"/>
        </w:rPr>
        <w:t>。</w:t>
      </w:r>
    </w:p>
    <w:p>
      <w:pPr>
        <w:adjustRightInd w:val="0"/>
        <w:snapToGrid w:val="0"/>
        <w:ind w:firstLine="482"/>
        <w:rPr>
          <w:rFonts w:cs="Times New Roman"/>
          <w:b/>
          <w:kern w:val="0"/>
          <w:sz w:val="22"/>
          <w:szCs w:val="24"/>
        </w:rPr>
      </w:pPr>
      <w:r>
        <w:rPr>
          <w:rFonts w:cs="Times New Roman"/>
          <w:b/>
          <w:kern w:val="0"/>
          <w:szCs w:val="26"/>
        </w:rPr>
        <w:t>（2）地表水环境风险评价范围</w:t>
      </w:r>
    </w:p>
    <w:p>
      <w:pPr>
        <w:adjustRightInd w:val="0"/>
        <w:snapToGrid w:val="0"/>
        <w:ind w:firstLine="480"/>
        <w:rPr>
          <w:rFonts w:cs="Times New Roman"/>
          <w:kern w:val="0"/>
          <w:szCs w:val="24"/>
        </w:rPr>
      </w:pPr>
      <w:r>
        <w:rPr>
          <w:rFonts w:cs="Times New Roman"/>
          <w:kern w:val="0"/>
          <w:szCs w:val="24"/>
        </w:rPr>
        <w:t>地表水环境风险评价范围与</w:t>
      </w:r>
      <w:r>
        <w:rPr>
          <w:rFonts w:cs="Times New Roman"/>
          <w:snapToGrid w:val="0"/>
          <w:kern w:val="0"/>
          <w:szCs w:val="24"/>
        </w:rPr>
        <w:t>地表水环境影响评价范围一致，不划定</w:t>
      </w:r>
      <w:r>
        <w:t>地表水评价范围</w:t>
      </w:r>
      <w:r>
        <w:rPr>
          <w:rFonts w:cs="Times New Roman"/>
          <w:snapToGrid w:val="0"/>
          <w:kern w:val="0"/>
          <w:szCs w:val="24"/>
        </w:rPr>
        <w:t>。</w:t>
      </w:r>
    </w:p>
    <w:p>
      <w:pPr>
        <w:adjustRightInd w:val="0"/>
        <w:snapToGrid w:val="0"/>
        <w:ind w:firstLine="482"/>
        <w:rPr>
          <w:rFonts w:cs="Times New Roman"/>
          <w:b/>
          <w:kern w:val="0"/>
          <w:sz w:val="22"/>
          <w:szCs w:val="24"/>
        </w:rPr>
      </w:pPr>
      <w:r>
        <w:rPr>
          <w:rFonts w:cs="Times New Roman"/>
          <w:b/>
          <w:kern w:val="0"/>
          <w:szCs w:val="26"/>
        </w:rPr>
        <w:t>（3）地下水环境风险评价范围</w:t>
      </w:r>
    </w:p>
    <w:p>
      <w:pPr>
        <w:adjustRightInd w:val="0"/>
        <w:snapToGrid w:val="0"/>
        <w:ind w:firstLine="480"/>
        <w:rPr>
          <w:rFonts w:cs="Times New Roman"/>
          <w:snapToGrid w:val="0"/>
          <w:kern w:val="0"/>
          <w:szCs w:val="24"/>
        </w:rPr>
      </w:pPr>
      <w:r>
        <w:rPr>
          <w:rFonts w:cs="Times New Roman"/>
          <w:snapToGrid w:val="0"/>
          <w:kern w:val="0"/>
          <w:szCs w:val="24"/>
        </w:rPr>
        <w:t>地下水风险评价范围与地下水环境影响评价范围一致。</w:t>
      </w:r>
    </w:p>
    <w:p>
      <w:pPr>
        <w:pStyle w:val="5"/>
        <w:rPr>
          <w:rFonts w:cs="Times New Roman"/>
        </w:rPr>
      </w:pPr>
      <w:r>
        <w:rPr>
          <w:rFonts w:cs="Times New Roman"/>
        </w:rPr>
        <w:t xml:space="preserve"> </w:t>
      </w:r>
      <w:bookmarkStart w:id="54" w:name="_Toc96680621"/>
      <w:r>
        <w:rPr>
          <w:rFonts w:cs="Times New Roman"/>
        </w:rPr>
        <w:t>生态环境</w:t>
      </w:r>
      <w:bookmarkEnd w:id="54"/>
    </w:p>
    <w:p>
      <w:pPr>
        <w:pStyle w:val="6"/>
        <w:rPr>
          <w:rFonts w:cs="Times New Roman"/>
        </w:rPr>
      </w:pPr>
      <w:r>
        <w:rPr>
          <w:rFonts w:cs="Times New Roman"/>
        </w:rPr>
        <w:t xml:space="preserve"> 评价工作等级</w:t>
      </w:r>
    </w:p>
    <w:p>
      <w:pPr>
        <w:ind w:firstLine="480"/>
        <w:rPr>
          <w:rFonts w:cs="Times New Roman"/>
        </w:rPr>
      </w:pPr>
      <w:r>
        <w:rPr>
          <w:rFonts w:cs="Times New Roman"/>
        </w:rPr>
        <w:t>根据《环境影响评价技术导则-生态影响》（HJ 19-2011），评价工作的定级有两个重要指标，即影响区域的生态敏感性和评价项目的工程占地范围。</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1.6</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6</w:t>
      </w:r>
      <w:r>
        <w:rPr>
          <w:rFonts w:cs="Times New Roman"/>
        </w:rPr>
        <w:fldChar w:fldCharType="end"/>
      </w:r>
      <w:r>
        <w:rPr>
          <w:rFonts w:cs="Times New Roman"/>
        </w:rPr>
        <w:t xml:space="preserve">  生态影响评价工作等级划分表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712"/>
        <w:gridCol w:w="2569"/>
        <w:gridCol w:w="2427"/>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1" w:hRule="atLeast"/>
          <w:tblHeader/>
        </w:trPr>
        <w:tc>
          <w:tcPr>
            <w:tcW w:w="1024" w:type="pct"/>
            <w:vMerge w:val="restart"/>
            <w:vAlign w:val="center"/>
          </w:tcPr>
          <w:p>
            <w:pPr>
              <w:pStyle w:val="63"/>
              <w:rPr>
                <w:rFonts w:cs="Times New Roman"/>
                <w:b/>
                <w:bCs/>
              </w:rPr>
            </w:pPr>
            <w:r>
              <w:rPr>
                <w:rFonts w:cs="Times New Roman"/>
                <w:b/>
                <w:bCs/>
              </w:rPr>
              <w:t>影响区域生态敏感性</w:t>
            </w:r>
          </w:p>
        </w:tc>
        <w:tc>
          <w:tcPr>
            <w:tcW w:w="3976" w:type="pct"/>
            <w:gridSpan w:val="3"/>
            <w:vAlign w:val="center"/>
          </w:tcPr>
          <w:p>
            <w:pPr>
              <w:pStyle w:val="63"/>
              <w:rPr>
                <w:rFonts w:cs="Times New Roman"/>
                <w:b/>
                <w:bCs/>
              </w:rPr>
            </w:pPr>
            <w:r>
              <w:rPr>
                <w:rFonts w:cs="Times New Roman"/>
                <w:b/>
                <w:bCs/>
              </w:rPr>
              <w:t>工程占地（含水域）范围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blHeader/>
        </w:trPr>
        <w:tc>
          <w:tcPr>
            <w:tcW w:w="1024" w:type="pct"/>
            <w:vMerge w:val="continue"/>
            <w:vAlign w:val="center"/>
          </w:tcPr>
          <w:p>
            <w:pPr>
              <w:pStyle w:val="63"/>
              <w:rPr>
                <w:rFonts w:cs="Times New Roman"/>
                <w:b/>
                <w:bCs/>
              </w:rPr>
            </w:pPr>
          </w:p>
        </w:tc>
        <w:tc>
          <w:tcPr>
            <w:tcW w:w="1536" w:type="pct"/>
            <w:vAlign w:val="center"/>
          </w:tcPr>
          <w:p>
            <w:pPr>
              <w:pStyle w:val="63"/>
              <w:rPr>
                <w:rFonts w:cs="Times New Roman"/>
                <w:b/>
                <w:bCs/>
              </w:rPr>
            </w:pPr>
            <w:r>
              <w:rPr>
                <w:rFonts w:cs="Times New Roman"/>
                <w:b/>
                <w:bCs/>
              </w:rPr>
              <w:t>面积≥20km</w:t>
            </w:r>
            <w:r>
              <w:rPr>
                <w:rFonts w:cs="Times New Roman"/>
                <w:b/>
                <w:bCs/>
                <w:vertAlign w:val="superscript"/>
              </w:rPr>
              <w:t>2</w:t>
            </w:r>
          </w:p>
          <w:p>
            <w:pPr>
              <w:pStyle w:val="63"/>
              <w:rPr>
                <w:rFonts w:cs="Times New Roman"/>
                <w:b/>
                <w:bCs/>
              </w:rPr>
            </w:pPr>
            <w:r>
              <w:rPr>
                <w:rFonts w:cs="Times New Roman"/>
                <w:b/>
                <w:bCs/>
              </w:rPr>
              <w:t>或长度≥100km</w:t>
            </w:r>
          </w:p>
        </w:tc>
        <w:tc>
          <w:tcPr>
            <w:tcW w:w="1451" w:type="pct"/>
            <w:vAlign w:val="center"/>
          </w:tcPr>
          <w:p>
            <w:pPr>
              <w:pStyle w:val="63"/>
              <w:rPr>
                <w:rFonts w:cs="Times New Roman"/>
                <w:b/>
                <w:bCs/>
              </w:rPr>
            </w:pPr>
            <w:r>
              <w:rPr>
                <w:rFonts w:cs="Times New Roman"/>
                <w:b/>
                <w:bCs/>
              </w:rPr>
              <w:t>面积2~20km</w:t>
            </w:r>
            <w:r>
              <w:rPr>
                <w:rFonts w:cs="Times New Roman"/>
                <w:b/>
                <w:bCs/>
                <w:vertAlign w:val="superscript"/>
              </w:rPr>
              <w:t>2</w:t>
            </w:r>
          </w:p>
          <w:p>
            <w:pPr>
              <w:pStyle w:val="63"/>
              <w:rPr>
                <w:rFonts w:cs="Times New Roman"/>
                <w:b/>
                <w:bCs/>
              </w:rPr>
            </w:pPr>
            <w:r>
              <w:rPr>
                <w:rFonts w:cs="Times New Roman"/>
                <w:b/>
                <w:bCs/>
              </w:rPr>
              <w:t>或长度50~100km</w:t>
            </w:r>
          </w:p>
        </w:tc>
        <w:tc>
          <w:tcPr>
            <w:tcW w:w="989" w:type="pct"/>
            <w:vAlign w:val="center"/>
          </w:tcPr>
          <w:p>
            <w:pPr>
              <w:pStyle w:val="63"/>
              <w:rPr>
                <w:rFonts w:cs="Times New Roman"/>
                <w:b/>
                <w:bCs/>
              </w:rPr>
            </w:pPr>
            <w:r>
              <w:rPr>
                <w:rFonts w:cs="Times New Roman"/>
                <w:b/>
                <w:bCs/>
              </w:rPr>
              <w:t>面积≤2km</w:t>
            </w:r>
            <w:r>
              <w:rPr>
                <w:rFonts w:cs="Times New Roman"/>
                <w:b/>
                <w:bCs/>
                <w:vertAlign w:val="superscript"/>
              </w:rPr>
              <w:t>2</w:t>
            </w:r>
          </w:p>
          <w:p>
            <w:pPr>
              <w:pStyle w:val="63"/>
              <w:rPr>
                <w:rFonts w:cs="Times New Roman"/>
                <w:b/>
                <w:bCs/>
              </w:rPr>
            </w:pPr>
            <w:r>
              <w:rPr>
                <w:rFonts w:cs="Times New Roman"/>
                <w:b/>
                <w:bCs/>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24" w:type="pct"/>
            <w:vAlign w:val="center"/>
          </w:tcPr>
          <w:p>
            <w:pPr>
              <w:pStyle w:val="63"/>
              <w:rPr>
                <w:rFonts w:cs="Times New Roman"/>
              </w:rPr>
            </w:pPr>
            <w:r>
              <w:rPr>
                <w:rFonts w:cs="Times New Roman"/>
              </w:rPr>
              <w:t>特殊生态敏感区</w:t>
            </w:r>
          </w:p>
        </w:tc>
        <w:tc>
          <w:tcPr>
            <w:tcW w:w="1536" w:type="pct"/>
            <w:vAlign w:val="center"/>
          </w:tcPr>
          <w:p>
            <w:pPr>
              <w:pStyle w:val="63"/>
              <w:rPr>
                <w:rFonts w:cs="Times New Roman"/>
              </w:rPr>
            </w:pPr>
            <w:r>
              <w:rPr>
                <w:rFonts w:cs="Times New Roman"/>
              </w:rPr>
              <w:t>一级</w:t>
            </w:r>
          </w:p>
        </w:tc>
        <w:tc>
          <w:tcPr>
            <w:tcW w:w="1451" w:type="pct"/>
            <w:vAlign w:val="center"/>
          </w:tcPr>
          <w:p>
            <w:pPr>
              <w:pStyle w:val="63"/>
              <w:rPr>
                <w:rFonts w:cs="Times New Roman"/>
              </w:rPr>
            </w:pPr>
            <w:r>
              <w:rPr>
                <w:rFonts w:cs="Times New Roman"/>
              </w:rPr>
              <w:t>一级</w:t>
            </w:r>
          </w:p>
        </w:tc>
        <w:tc>
          <w:tcPr>
            <w:tcW w:w="989" w:type="pct"/>
            <w:vAlign w:val="center"/>
          </w:tcPr>
          <w:p>
            <w:pPr>
              <w:pStyle w:val="63"/>
              <w:rPr>
                <w:rFonts w:cs="Times New Roman"/>
              </w:rPr>
            </w:pPr>
            <w:r>
              <w:rPr>
                <w:rFonts w:cs="Times New Roman"/>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24" w:type="pct"/>
            <w:vAlign w:val="center"/>
          </w:tcPr>
          <w:p>
            <w:pPr>
              <w:pStyle w:val="63"/>
              <w:rPr>
                <w:rFonts w:cs="Times New Roman"/>
              </w:rPr>
            </w:pPr>
            <w:r>
              <w:rPr>
                <w:rFonts w:cs="Times New Roman"/>
              </w:rPr>
              <w:t>重要生态敏感区</w:t>
            </w:r>
          </w:p>
        </w:tc>
        <w:tc>
          <w:tcPr>
            <w:tcW w:w="1536" w:type="pct"/>
            <w:vAlign w:val="center"/>
          </w:tcPr>
          <w:p>
            <w:pPr>
              <w:pStyle w:val="63"/>
              <w:rPr>
                <w:rFonts w:cs="Times New Roman"/>
              </w:rPr>
            </w:pPr>
            <w:r>
              <w:rPr>
                <w:rFonts w:cs="Times New Roman"/>
              </w:rPr>
              <w:t>一级</w:t>
            </w:r>
          </w:p>
        </w:tc>
        <w:tc>
          <w:tcPr>
            <w:tcW w:w="1451" w:type="pct"/>
            <w:vAlign w:val="center"/>
          </w:tcPr>
          <w:p>
            <w:pPr>
              <w:pStyle w:val="63"/>
              <w:rPr>
                <w:rFonts w:cs="Times New Roman"/>
              </w:rPr>
            </w:pPr>
            <w:r>
              <w:rPr>
                <w:rFonts w:cs="Times New Roman"/>
              </w:rPr>
              <w:t>二级</w:t>
            </w:r>
          </w:p>
        </w:tc>
        <w:tc>
          <w:tcPr>
            <w:tcW w:w="989" w:type="pct"/>
            <w:vAlign w:val="center"/>
          </w:tcPr>
          <w:p>
            <w:pPr>
              <w:pStyle w:val="63"/>
              <w:rPr>
                <w:rFonts w:cs="Times New Roman"/>
              </w:rPr>
            </w:pPr>
            <w:r>
              <w:rPr>
                <w:rFonts w:cs="Times New Roma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24" w:type="pct"/>
            <w:vAlign w:val="center"/>
          </w:tcPr>
          <w:p>
            <w:pPr>
              <w:pStyle w:val="63"/>
              <w:rPr>
                <w:rFonts w:cs="Times New Roman"/>
              </w:rPr>
            </w:pPr>
            <w:r>
              <w:rPr>
                <w:rFonts w:cs="Times New Roman"/>
              </w:rPr>
              <w:t>一般区域</w:t>
            </w:r>
          </w:p>
        </w:tc>
        <w:tc>
          <w:tcPr>
            <w:tcW w:w="1536" w:type="pct"/>
            <w:vAlign w:val="center"/>
          </w:tcPr>
          <w:p>
            <w:pPr>
              <w:pStyle w:val="63"/>
              <w:rPr>
                <w:rFonts w:cs="Times New Roman"/>
              </w:rPr>
            </w:pPr>
            <w:r>
              <w:rPr>
                <w:rFonts w:cs="Times New Roman"/>
              </w:rPr>
              <w:t>二级</w:t>
            </w:r>
          </w:p>
        </w:tc>
        <w:tc>
          <w:tcPr>
            <w:tcW w:w="1451" w:type="pct"/>
            <w:vAlign w:val="center"/>
          </w:tcPr>
          <w:p>
            <w:pPr>
              <w:pStyle w:val="63"/>
              <w:rPr>
                <w:rFonts w:cs="Times New Roman"/>
              </w:rPr>
            </w:pPr>
            <w:r>
              <w:rPr>
                <w:rFonts w:cs="Times New Roman"/>
              </w:rPr>
              <w:t>三级</w:t>
            </w:r>
          </w:p>
        </w:tc>
        <w:tc>
          <w:tcPr>
            <w:tcW w:w="989" w:type="pct"/>
            <w:vAlign w:val="center"/>
          </w:tcPr>
          <w:p>
            <w:pPr>
              <w:pStyle w:val="63"/>
              <w:rPr>
                <w:rFonts w:cs="Times New Roman"/>
              </w:rPr>
            </w:pPr>
            <w:r>
              <w:rPr>
                <w:rFonts w:cs="Times New Roman"/>
              </w:rPr>
              <w:t>三级（√）</w:t>
            </w:r>
          </w:p>
        </w:tc>
      </w:tr>
    </w:tbl>
    <w:p>
      <w:pPr>
        <w:ind w:firstLine="480"/>
        <w:rPr>
          <w:rFonts w:cs="Times New Roman"/>
        </w:rPr>
      </w:pPr>
      <w:r>
        <w:rPr>
          <w:rFonts w:cs="Times New Roman"/>
        </w:rPr>
        <w:t>本项目工程</w:t>
      </w:r>
      <w:r>
        <w:rPr>
          <w:rFonts w:hint="eastAsia" w:cs="Times New Roman"/>
        </w:rPr>
        <w:t>长度</w:t>
      </w:r>
      <w:r>
        <w:rPr>
          <w:rFonts w:cs="Times New Roman"/>
        </w:rPr>
        <w:t>为</w:t>
      </w:r>
      <w:r>
        <w:rPr>
          <w:rFonts w:hint="eastAsia" w:cs="Times New Roman"/>
        </w:rPr>
        <w:t>2km</w:t>
      </w:r>
      <w:r>
        <w:rPr>
          <w:rFonts w:hint="eastAsia" w:cs="Times New Roman"/>
          <w:bCs/>
        </w:rPr>
        <w:t>，小于50km；临时占地面积</w:t>
      </w:r>
      <w:r>
        <w:rPr>
          <w:rFonts w:hint="eastAsia" w:cs="Times New Roman"/>
        </w:rPr>
        <w:t>2.72hm</w:t>
      </w:r>
      <w:r>
        <w:rPr>
          <w:rFonts w:cs="Times New Roman"/>
          <w:vertAlign w:val="superscript"/>
        </w:rPr>
        <w:t>2</w:t>
      </w:r>
      <w:r>
        <w:rPr>
          <w:rFonts w:hint="eastAsia" w:cs="Times New Roman"/>
        </w:rPr>
        <w:t>，小于2km</w:t>
      </w:r>
      <w:r>
        <w:rPr>
          <w:rFonts w:hint="eastAsia" w:cs="Times New Roman"/>
          <w:vertAlign w:val="superscript"/>
        </w:rPr>
        <w:t>2</w:t>
      </w:r>
      <w:r>
        <w:rPr>
          <w:rFonts w:hint="eastAsia" w:cs="Times New Roman"/>
        </w:rPr>
        <w:t>,；</w:t>
      </w:r>
      <w:r>
        <w:rPr>
          <w:rFonts w:cs="Times New Roman"/>
        </w:rPr>
        <w:t>影响区域</w:t>
      </w:r>
      <w:r>
        <w:rPr>
          <w:rFonts w:hint="eastAsia" w:cs="Times New Roman"/>
        </w:rPr>
        <w:t>不涉及特殊生态敏感区及重要生态敏感区，为一般区域，</w:t>
      </w:r>
      <w:r>
        <w:rPr>
          <w:rFonts w:cs="Times New Roman"/>
        </w:rPr>
        <w:t>根据上表，本项目生态影响评价工作为三级。</w:t>
      </w:r>
    </w:p>
    <w:p>
      <w:pPr>
        <w:pStyle w:val="6"/>
        <w:rPr>
          <w:rFonts w:cs="Times New Roman"/>
        </w:rPr>
      </w:pPr>
      <w:r>
        <w:rPr>
          <w:rFonts w:cs="Times New Roman"/>
        </w:rPr>
        <w:t xml:space="preserve"> 评价范围</w:t>
      </w:r>
    </w:p>
    <w:p>
      <w:pPr>
        <w:ind w:firstLine="480"/>
        <w:rPr>
          <w:rFonts w:cs="Times New Roman"/>
        </w:rPr>
      </w:pPr>
      <w:r>
        <w:rPr>
          <w:rFonts w:cs="Times New Roman"/>
        </w:rPr>
        <w:t>根据《环境影响评价技术导则-生态影响》（HJ19-2011）标准所述，要从整体上兼顾本项目所涉及的生态系统和生态因子在不同时空等级尺度上结构与功能的完整性</w:t>
      </w:r>
      <w:r>
        <w:rPr>
          <w:rFonts w:hint="eastAsia" w:cs="Times New Roman"/>
        </w:rPr>
        <w:t>；同时</w:t>
      </w:r>
      <w:r>
        <w:rPr>
          <w:rFonts w:cs="Times New Roman"/>
        </w:rPr>
        <w:t>《环境影响评价技术导则陆地石油天然气开发建设项目》（HJ/T349-2007）</w:t>
      </w:r>
      <w:r>
        <w:rPr>
          <w:rFonts w:hint="eastAsia" w:cs="Times New Roman"/>
        </w:rPr>
        <w:t>，线状建设项目生态影响三级评价范围为油气集输管线（油区道路）两侧各200m带状区域为评价范围。因此，</w:t>
      </w:r>
      <w:r>
        <w:rPr>
          <w:rFonts w:cs="Times New Roman"/>
        </w:rPr>
        <w:t>本项目生态影响评价范围确定</w:t>
      </w:r>
      <w:r>
        <w:rPr>
          <w:rFonts w:cs="Times New Roman"/>
          <w:szCs w:val="22"/>
        </w:rPr>
        <w:t>为管线两侧为</w:t>
      </w:r>
      <w:r>
        <w:rPr>
          <w:rFonts w:hint="eastAsia" w:cs="Times New Roman"/>
          <w:szCs w:val="22"/>
        </w:rPr>
        <w:t>2</w:t>
      </w:r>
      <w:r>
        <w:rPr>
          <w:rFonts w:cs="Times New Roman"/>
          <w:szCs w:val="22"/>
        </w:rPr>
        <w:t>00m的范围</w:t>
      </w:r>
      <w:r>
        <w:rPr>
          <w:rFonts w:cs="Times New Roman"/>
        </w:rPr>
        <w:t>，</w:t>
      </w:r>
      <w:r>
        <w:rPr>
          <w:rFonts w:cs="Times New Roman"/>
          <w:szCs w:val="22"/>
        </w:rPr>
        <w:t>调查重点为管道建设等占地区域。</w:t>
      </w:r>
    </w:p>
    <w:p>
      <w:pPr>
        <w:pStyle w:val="56"/>
      </w:pPr>
      <w:r>
        <mc:AlternateContent>
          <mc:Choice Requires="wps">
            <w:drawing>
              <wp:anchor distT="0" distB="0" distL="114300" distR="114300" simplePos="0" relativeHeight="251683840" behindDoc="0" locked="0" layoutInCell="1" allowOverlap="1">
                <wp:simplePos x="0" y="0"/>
                <wp:positionH relativeFrom="column">
                  <wp:posOffset>3373120</wp:posOffset>
                </wp:positionH>
                <wp:positionV relativeFrom="paragraph">
                  <wp:posOffset>4059555</wp:posOffset>
                </wp:positionV>
                <wp:extent cx="384175" cy="168910"/>
                <wp:effectExtent l="0" t="0" r="15875" b="21590"/>
                <wp:wrapNone/>
                <wp:docPr id="51" name="圆角矩形 51"/>
                <wp:cNvGraphicFramePr/>
                <a:graphic xmlns:a="http://schemas.openxmlformats.org/drawingml/2006/main">
                  <a:graphicData uri="http://schemas.microsoft.com/office/word/2010/wordprocessingShape">
                    <wps:wsp>
                      <wps:cNvSpPr/>
                      <wps:spPr>
                        <a:xfrm>
                          <a:off x="0" y="0"/>
                          <a:ext cx="384175" cy="16891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5.6pt;margin-top:319.65pt;height:13.3pt;width:30.25pt;z-index:251683840;v-text-anchor:middle;mso-width-relative:page;mso-height-relative:page;" fillcolor="#FFFFFF" filled="t" stroked="t" coordsize="21600,21600" arcsize="0.166666666666667" o:gfxdata="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3/HEd3gAAAAsB&#10;AAAPAAAAAAAAAAEAIAAAACIAAABkcnMvZG93bnJldi54bWxQSwECFAAUAAAACACHTuJAz5aNK4cC&#10;AAAABQAADgAAAAAAAAABACAAAAAtAQAAZHJzL2Uyb0RvYy54bWxQSwUGAAAAAAYABgBZAQAAJgYA&#10;AAAA&#10;">
                <v:fill on="t" focussize="0,0"/>
                <v:stroke weight="1pt" color="#01EFE4 [3204]" miterlimit="8" joinstyle="miter"/>
                <v:imagedata o:title=""/>
                <o:lock v:ext="edit" aspectratio="f"/>
              </v:round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3397885</wp:posOffset>
                </wp:positionH>
                <wp:positionV relativeFrom="paragraph">
                  <wp:posOffset>3891280</wp:posOffset>
                </wp:positionV>
                <wp:extent cx="359410" cy="0"/>
                <wp:effectExtent l="0" t="0" r="21590" b="19050"/>
                <wp:wrapNone/>
                <wp:docPr id="47" name="直接连接符 47"/>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7.55pt;margin-top:306.4pt;height:0pt;width:28.3pt;z-index:251684864;mso-width-relative:page;mso-height-relative:page;" filled="f" stroked="t" coordsize="21600,21600" o:gfxdata="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LON1gAA&#10;AAsBAAAPAAAAAAAAAAEAIAAAACIAAABkcnMvZG93bnJldi54bWxQSwECFAAUAAAACACHTuJAjrjE&#10;sOcBAACzAwAADgAAAAAAAAABACAAAAAlAQAAZHJzL2Uyb0RvYy54bWxQSwUGAAAAAAYABgBZAQAA&#10;fgUAAAAA&#10;">
                <v:fill on="f" focussize="0,0"/>
                <v:stroke weight="1.25pt" color="#FF0000 [3204]" miterlimit="8" joinstyle="miter"/>
                <v:imagedata o:title=""/>
                <o:lock v:ext="edit" aspectratio="f"/>
              </v:line>
            </w:pict>
          </mc:Fallback>
        </mc:AlternateContent>
      </w:r>
      <w:r>
        <w:t>******</w:t>
      </w:r>
    </w:p>
    <w:p>
      <w:pPr>
        <w:pStyle w:val="250"/>
      </w:pPr>
      <w:r>
        <w:t>图</w:t>
      </w:r>
      <w:r>
        <w:fldChar w:fldCharType="begin"/>
      </w:r>
      <w:r>
        <w:instrText xml:space="preserve"> STYLEREF 2 \s </w:instrText>
      </w:r>
      <w:r>
        <w:fldChar w:fldCharType="separate"/>
      </w:r>
      <w:r>
        <w:t>1.6</w:t>
      </w:r>
      <w:r>
        <w:fldChar w:fldCharType="end"/>
      </w:r>
      <w:r>
        <w:noBreakHyphen/>
      </w:r>
      <w:r>
        <w:fldChar w:fldCharType="begin"/>
      </w:r>
      <w:r>
        <w:instrText xml:space="preserve"> SEQ 图 \* ARABIC \s 2 </w:instrText>
      </w:r>
      <w:r>
        <w:fldChar w:fldCharType="separate"/>
      </w:r>
      <w:r>
        <w:t>4</w:t>
      </w:r>
      <w:r>
        <w:fldChar w:fldCharType="end"/>
      </w:r>
      <w:r>
        <w:t xml:space="preserve">  生态影响评价范围示意图</w:t>
      </w:r>
    </w:p>
    <w:p>
      <w:pPr>
        <w:pStyle w:val="4"/>
        <w:rPr>
          <w:rFonts w:cs="Times New Roman"/>
        </w:rPr>
      </w:pPr>
      <w:bookmarkStart w:id="55" w:name="_Toc57710988"/>
      <w:r>
        <w:rPr>
          <w:rFonts w:cs="Times New Roman"/>
        </w:rPr>
        <w:t xml:space="preserve"> </w:t>
      </w:r>
      <w:bookmarkStart w:id="56" w:name="_Toc96680622"/>
      <w:r>
        <w:rPr>
          <w:rFonts w:cs="Times New Roman"/>
        </w:rPr>
        <w:t>项目外环境关系</w:t>
      </w:r>
      <w:bookmarkEnd w:id="56"/>
    </w:p>
    <w:p>
      <w:pPr>
        <w:ind w:firstLine="480"/>
        <w:rPr>
          <w:rFonts w:cs="Times New Roman"/>
        </w:rPr>
      </w:pPr>
      <w:r>
        <w:rPr>
          <w:rFonts w:hint="eastAsia" w:cs="Times New Roman"/>
          <w:szCs w:val="22"/>
        </w:rPr>
        <w:t>本项目位于四川省巴中市通</w:t>
      </w:r>
      <w:r>
        <w:rPr>
          <w:rFonts w:hint="eastAsia"/>
        </w:rPr>
        <w:t>江县涪阳镇活水沟村和斜滩河村</w:t>
      </w:r>
      <w:r>
        <w:rPr>
          <w:rFonts w:hint="eastAsia" w:cs="Times New Roman"/>
          <w:sz w:val="16"/>
          <w:szCs w:val="24"/>
        </w:rPr>
        <w:t>。</w:t>
      </w:r>
      <w:r>
        <w:rPr>
          <w:rFonts w:hint="eastAsia" w:cs="Times New Roman"/>
          <w:szCs w:val="22"/>
        </w:rPr>
        <w:t>本项目</w:t>
      </w:r>
      <w:r>
        <w:rPr>
          <w:rFonts w:cs="Times New Roman"/>
          <w:szCs w:val="22"/>
        </w:rPr>
        <w:t>管线穿越</w:t>
      </w:r>
      <w:r>
        <w:rPr>
          <w:rFonts w:hint="eastAsia" w:cs="Times New Roman"/>
          <w:szCs w:val="22"/>
        </w:rPr>
        <w:t>一处乡村公路</w:t>
      </w:r>
      <w:r>
        <w:rPr>
          <w:rFonts w:cs="Times New Roman"/>
          <w:szCs w:val="22"/>
        </w:rPr>
        <w:t>，管线</w:t>
      </w:r>
      <w:r>
        <w:rPr>
          <w:rFonts w:cs="Times New Roman"/>
        </w:rPr>
        <w:t>周边主要有耕地、林地，零散分布有散居农户。</w:t>
      </w:r>
    </w:p>
    <w:p>
      <w:pPr>
        <w:spacing w:line="336" w:lineRule="auto"/>
        <w:ind w:firstLine="464"/>
        <w:rPr>
          <w:rFonts w:cs="Times New Roman"/>
          <w:spacing w:val="-4"/>
          <w:szCs w:val="22"/>
        </w:rPr>
      </w:pPr>
      <w:r>
        <w:rPr>
          <w:rFonts w:hint="eastAsia" w:cs="Times New Roman"/>
          <w:spacing w:val="-4"/>
          <w:szCs w:val="22"/>
        </w:rPr>
        <w:t>本项目</w:t>
      </w:r>
      <w:r>
        <w:rPr>
          <w:rFonts w:cs="Times New Roman"/>
          <w:spacing w:val="-4"/>
          <w:szCs w:val="22"/>
        </w:rPr>
        <w:t>管线周边200m范围内共有分散居民</w:t>
      </w:r>
      <w:r>
        <w:rPr>
          <w:rFonts w:hint="eastAsia" w:cs="Times New Roman"/>
          <w:spacing w:val="-4"/>
          <w:szCs w:val="22"/>
        </w:rPr>
        <w:t>约1</w:t>
      </w:r>
      <w:r>
        <w:rPr>
          <w:rFonts w:cs="Times New Roman"/>
          <w:spacing w:val="-4"/>
          <w:szCs w:val="22"/>
        </w:rPr>
        <w:t>6户</w:t>
      </w:r>
      <w:r>
        <w:rPr>
          <w:rFonts w:hint="eastAsia" w:cs="Times New Roman"/>
          <w:spacing w:val="-4"/>
          <w:szCs w:val="22"/>
        </w:rPr>
        <w:t>。</w:t>
      </w:r>
      <w:r>
        <w:rPr>
          <w:rFonts w:cs="Times New Roman"/>
          <w:spacing w:val="-4"/>
          <w:szCs w:val="22"/>
        </w:rPr>
        <w:t>人居分布情况见下表</w:t>
      </w:r>
      <w:r>
        <w:rPr>
          <w:rFonts w:hint="eastAsia" w:cs="Times New Roman"/>
          <w:spacing w:val="-4"/>
          <w:szCs w:val="22"/>
        </w:rPr>
        <w:t>和附图4</w:t>
      </w:r>
      <w:r>
        <w:rPr>
          <w:rFonts w:cs="Times New Roman"/>
          <w:spacing w:val="-4"/>
          <w:szCs w:val="22"/>
        </w:rPr>
        <w:t>。</w:t>
      </w:r>
    </w:p>
    <w:p>
      <w:pPr>
        <w:pStyle w:val="73"/>
      </w:pPr>
      <w:r>
        <w:t>表</w:t>
      </w:r>
      <w:r>
        <w:fldChar w:fldCharType="begin"/>
      </w:r>
      <w:r>
        <w:instrText xml:space="preserve"> STYLEREF 2 \s </w:instrText>
      </w:r>
      <w:r>
        <w:fldChar w:fldCharType="separate"/>
      </w:r>
      <w:r>
        <w:t>1.7</w:t>
      </w:r>
      <w:r>
        <w:fldChar w:fldCharType="end"/>
      </w:r>
      <w:r>
        <w:noBreakHyphen/>
      </w:r>
      <w:r>
        <w:fldChar w:fldCharType="begin"/>
      </w:r>
      <w:r>
        <w:instrText xml:space="preserve"> SEQ 表格 \* ARABIC \s 2 </w:instrText>
      </w:r>
      <w:r>
        <w:fldChar w:fldCharType="separate"/>
      </w:r>
      <w:r>
        <w:t>1</w:t>
      </w:r>
      <w:r>
        <w:fldChar w:fldCharType="end"/>
      </w:r>
      <w:r>
        <w:t xml:space="preserve">  管线周边200m范围内分散居民统计表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174"/>
        <w:gridCol w:w="1486"/>
        <w:gridCol w:w="1609"/>
        <w:gridCol w:w="1360"/>
        <w:gridCol w:w="1181"/>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blHeader/>
        </w:trPr>
        <w:tc>
          <w:tcPr>
            <w:tcW w:w="313" w:type="pct"/>
            <w:tcBorders>
              <w:top w:val="single" w:color="auto" w:sz="12" w:space="0"/>
              <w:left w:val="nil"/>
            </w:tcBorders>
            <w:vAlign w:val="center"/>
          </w:tcPr>
          <w:p>
            <w:pPr>
              <w:pStyle w:val="63"/>
              <w:rPr>
                <w:rFonts w:cs="Times New Roman"/>
                <w:b/>
              </w:rPr>
            </w:pPr>
            <w:r>
              <w:rPr>
                <w:rFonts w:hint="eastAsia" w:cs="Times New Roman"/>
                <w:b/>
              </w:rPr>
              <w:t>序号</w:t>
            </w:r>
          </w:p>
        </w:tc>
        <w:tc>
          <w:tcPr>
            <w:tcW w:w="689" w:type="pct"/>
            <w:tcBorders>
              <w:top w:val="single" w:color="auto" w:sz="12" w:space="0"/>
            </w:tcBorders>
            <w:vAlign w:val="center"/>
          </w:tcPr>
          <w:p>
            <w:pPr>
              <w:pStyle w:val="63"/>
              <w:rPr>
                <w:rFonts w:cs="Times New Roman"/>
                <w:b/>
              </w:rPr>
            </w:pPr>
            <w:r>
              <w:rPr>
                <w:rFonts w:cs="Times New Roman"/>
                <w:b/>
              </w:rPr>
              <w:t>范围/m</w:t>
            </w:r>
          </w:p>
        </w:tc>
        <w:tc>
          <w:tcPr>
            <w:tcW w:w="872" w:type="pct"/>
            <w:tcBorders>
              <w:top w:val="single" w:color="auto" w:sz="12" w:space="0"/>
            </w:tcBorders>
            <w:vAlign w:val="center"/>
          </w:tcPr>
          <w:p>
            <w:pPr>
              <w:pStyle w:val="63"/>
              <w:rPr>
                <w:rFonts w:cs="Times New Roman"/>
                <w:b/>
              </w:rPr>
            </w:pPr>
            <w:r>
              <w:rPr>
                <w:rFonts w:cs="Times New Roman"/>
                <w:b/>
              </w:rPr>
              <w:t>与管线方位</w:t>
            </w:r>
          </w:p>
        </w:tc>
        <w:tc>
          <w:tcPr>
            <w:tcW w:w="944" w:type="pct"/>
            <w:tcBorders>
              <w:top w:val="single" w:color="auto" w:sz="12" w:space="0"/>
            </w:tcBorders>
            <w:vAlign w:val="center"/>
          </w:tcPr>
          <w:p>
            <w:pPr>
              <w:pStyle w:val="63"/>
              <w:rPr>
                <w:rFonts w:cs="Times New Roman"/>
                <w:b/>
              </w:rPr>
            </w:pPr>
            <w:r>
              <w:rPr>
                <w:rFonts w:cs="Times New Roman"/>
                <w:b/>
              </w:rPr>
              <w:t>与管线距离/m</w:t>
            </w:r>
          </w:p>
        </w:tc>
        <w:tc>
          <w:tcPr>
            <w:tcW w:w="798" w:type="pct"/>
            <w:tcBorders>
              <w:top w:val="single" w:color="auto" w:sz="12" w:space="0"/>
            </w:tcBorders>
            <w:vAlign w:val="center"/>
          </w:tcPr>
          <w:p>
            <w:pPr>
              <w:pStyle w:val="63"/>
              <w:rPr>
                <w:rFonts w:cs="Times New Roman"/>
                <w:b/>
              </w:rPr>
            </w:pPr>
            <w:r>
              <w:rPr>
                <w:rFonts w:cs="Times New Roman"/>
                <w:b/>
              </w:rPr>
              <w:t>分散居民/户</w:t>
            </w:r>
          </w:p>
        </w:tc>
        <w:tc>
          <w:tcPr>
            <w:tcW w:w="693" w:type="pct"/>
            <w:tcBorders>
              <w:top w:val="single" w:color="auto" w:sz="12" w:space="0"/>
            </w:tcBorders>
            <w:vAlign w:val="center"/>
          </w:tcPr>
          <w:p>
            <w:pPr>
              <w:pStyle w:val="63"/>
              <w:rPr>
                <w:rFonts w:cs="Times New Roman"/>
                <w:b/>
              </w:rPr>
            </w:pPr>
            <w:r>
              <w:rPr>
                <w:rFonts w:cs="Times New Roman"/>
                <w:b/>
              </w:rPr>
              <w:t>人口数量/人</w:t>
            </w:r>
          </w:p>
        </w:tc>
        <w:tc>
          <w:tcPr>
            <w:tcW w:w="691" w:type="pct"/>
            <w:tcBorders>
              <w:top w:val="single" w:color="auto" w:sz="12" w:space="0"/>
            </w:tcBorders>
            <w:vAlign w:val="center"/>
          </w:tcPr>
          <w:p>
            <w:pPr>
              <w:pStyle w:val="63"/>
              <w:rPr>
                <w:rFonts w:cs="Times New Roman"/>
                <w:b/>
              </w:rPr>
            </w:pPr>
            <w:r>
              <w:rPr>
                <w:rFonts w:cs="Times New Roman"/>
                <w:b/>
              </w:rPr>
              <w:t>村属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13" w:type="pct"/>
            <w:tcBorders>
              <w:left w:val="nil"/>
            </w:tcBorders>
            <w:vAlign w:val="center"/>
          </w:tcPr>
          <w:p>
            <w:pPr>
              <w:pStyle w:val="63"/>
              <w:rPr>
                <w:rFonts w:cs="Times New Roman"/>
              </w:rPr>
            </w:pPr>
            <w:r>
              <w:rPr>
                <w:rFonts w:cs="Times New Roman"/>
              </w:rPr>
              <w:t>1</w:t>
            </w:r>
            <w:r>
              <w:rPr>
                <w:rFonts w:hint="eastAsia" w:cs="Times New Roman"/>
              </w:rPr>
              <w:t>#</w:t>
            </w:r>
          </w:p>
        </w:tc>
        <w:tc>
          <w:tcPr>
            <w:tcW w:w="689" w:type="pct"/>
            <w:vAlign w:val="center"/>
          </w:tcPr>
          <w:p>
            <w:pPr>
              <w:pStyle w:val="63"/>
              <w:rPr>
                <w:rFonts w:cs="Times New Roman"/>
              </w:rPr>
            </w:pPr>
            <w:r>
              <w:rPr>
                <w:rFonts w:hint="eastAsia" w:cs="Times New Roman"/>
              </w:rPr>
              <w:t>0</w:t>
            </w:r>
            <w:r>
              <w:rPr>
                <w:rFonts w:cs="Times New Roman"/>
              </w:rPr>
              <w:t>~</w:t>
            </w:r>
            <w:r>
              <w:rPr>
                <w:rFonts w:hint="eastAsia" w:cs="Times New Roman"/>
              </w:rPr>
              <w:t>200</w:t>
            </w:r>
          </w:p>
        </w:tc>
        <w:tc>
          <w:tcPr>
            <w:tcW w:w="872" w:type="pct"/>
            <w:vAlign w:val="center"/>
          </w:tcPr>
          <w:p>
            <w:pPr>
              <w:pStyle w:val="63"/>
              <w:rPr>
                <w:rFonts w:cs="Times New Roman"/>
              </w:rPr>
            </w:pPr>
            <w:r>
              <w:rPr>
                <w:rFonts w:cs="Times New Roman"/>
              </w:rPr>
              <w:t>管线</w:t>
            </w:r>
            <w:r>
              <w:rPr>
                <w:rFonts w:hint="eastAsia" w:cs="Times New Roman"/>
              </w:rPr>
              <w:t>周边</w:t>
            </w:r>
          </w:p>
        </w:tc>
        <w:tc>
          <w:tcPr>
            <w:tcW w:w="944" w:type="pct"/>
            <w:vAlign w:val="center"/>
          </w:tcPr>
          <w:p>
            <w:pPr>
              <w:pStyle w:val="63"/>
              <w:rPr>
                <w:rFonts w:cs="Times New Roman"/>
              </w:rPr>
            </w:pPr>
            <w:r>
              <w:rPr>
                <w:rFonts w:hint="eastAsia" w:cs="Times New Roman"/>
              </w:rPr>
              <w:t>22~</w:t>
            </w:r>
            <w:r>
              <w:rPr>
                <w:rFonts w:cs="Times New Roman"/>
              </w:rPr>
              <w:t>200</w:t>
            </w:r>
          </w:p>
        </w:tc>
        <w:tc>
          <w:tcPr>
            <w:tcW w:w="798" w:type="pct"/>
            <w:vAlign w:val="center"/>
          </w:tcPr>
          <w:p>
            <w:pPr>
              <w:pStyle w:val="63"/>
              <w:rPr>
                <w:rFonts w:cs="Times New Roman"/>
              </w:rPr>
            </w:pPr>
            <w:r>
              <w:rPr>
                <w:rFonts w:hint="eastAsia" w:cs="Times New Roman"/>
              </w:rPr>
              <w:t>1</w:t>
            </w:r>
            <w:r>
              <w:rPr>
                <w:rFonts w:cs="Times New Roman"/>
              </w:rPr>
              <w:t>4</w:t>
            </w:r>
          </w:p>
        </w:tc>
        <w:tc>
          <w:tcPr>
            <w:tcW w:w="693" w:type="pct"/>
          </w:tcPr>
          <w:p>
            <w:pPr>
              <w:pStyle w:val="63"/>
              <w:rPr>
                <w:rFonts w:cs="Times New Roman"/>
              </w:rPr>
            </w:pPr>
            <w:r>
              <w:rPr>
                <w:rFonts w:hint="eastAsia"/>
              </w:rPr>
              <w:t>5</w:t>
            </w:r>
            <w:r>
              <w:t>6</w:t>
            </w:r>
          </w:p>
        </w:tc>
        <w:tc>
          <w:tcPr>
            <w:tcW w:w="691" w:type="pct"/>
            <w:vAlign w:val="center"/>
          </w:tcPr>
          <w:p>
            <w:pPr>
              <w:pStyle w:val="63"/>
              <w:rPr>
                <w:rFonts w:cs="Times New Roman"/>
              </w:rPr>
            </w:pPr>
            <w:r>
              <w:rPr>
                <w:rFonts w:cs="Times New Roman"/>
              </w:rPr>
              <w:t>活水沟村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13" w:type="pct"/>
            <w:tcBorders>
              <w:left w:val="nil"/>
            </w:tcBorders>
            <w:vAlign w:val="center"/>
          </w:tcPr>
          <w:p>
            <w:pPr>
              <w:pStyle w:val="63"/>
              <w:rPr>
                <w:rFonts w:cs="Times New Roman"/>
              </w:rPr>
            </w:pPr>
            <w:r>
              <w:rPr>
                <w:rFonts w:hint="eastAsia" w:cs="Times New Roman"/>
              </w:rPr>
              <w:t>2#</w:t>
            </w:r>
          </w:p>
        </w:tc>
        <w:tc>
          <w:tcPr>
            <w:tcW w:w="689" w:type="pct"/>
            <w:vAlign w:val="center"/>
          </w:tcPr>
          <w:p>
            <w:pPr>
              <w:pStyle w:val="63"/>
              <w:rPr>
                <w:rFonts w:cs="Times New Roman"/>
              </w:rPr>
            </w:pPr>
            <w:r>
              <w:rPr>
                <w:rFonts w:hint="eastAsia" w:cs="Times New Roman"/>
              </w:rPr>
              <w:t>0</w:t>
            </w:r>
            <w:r>
              <w:rPr>
                <w:rFonts w:cs="Times New Roman"/>
              </w:rPr>
              <w:t>~</w:t>
            </w:r>
            <w:r>
              <w:rPr>
                <w:rFonts w:hint="eastAsia" w:cs="Times New Roman"/>
              </w:rPr>
              <w:t>200</w:t>
            </w:r>
          </w:p>
        </w:tc>
        <w:tc>
          <w:tcPr>
            <w:tcW w:w="872" w:type="pct"/>
            <w:vAlign w:val="center"/>
          </w:tcPr>
          <w:p>
            <w:pPr>
              <w:pStyle w:val="63"/>
              <w:rPr>
                <w:rFonts w:cs="Times New Roman"/>
              </w:rPr>
            </w:pPr>
            <w:r>
              <w:rPr>
                <w:rFonts w:cs="Times New Roman"/>
              </w:rPr>
              <w:t>管线</w:t>
            </w:r>
            <w:r>
              <w:rPr>
                <w:rFonts w:hint="eastAsia" w:cs="Times New Roman"/>
              </w:rPr>
              <w:t>周边</w:t>
            </w:r>
          </w:p>
        </w:tc>
        <w:tc>
          <w:tcPr>
            <w:tcW w:w="944" w:type="pct"/>
            <w:vAlign w:val="center"/>
          </w:tcPr>
          <w:p>
            <w:pPr>
              <w:pStyle w:val="63"/>
              <w:rPr>
                <w:rFonts w:cs="Times New Roman"/>
              </w:rPr>
            </w:pPr>
            <w:r>
              <w:rPr>
                <w:rFonts w:hint="eastAsia" w:cs="Times New Roman"/>
              </w:rPr>
              <w:t>25~125</w:t>
            </w:r>
          </w:p>
        </w:tc>
        <w:tc>
          <w:tcPr>
            <w:tcW w:w="798" w:type="pct"/>
            <w:vAlign w:val="center"/>
          </w:tcPr>
          <w:p>
            <w:pPr>
              <w:pStyle w:val="63"/>
              <w:rPr>
                <w:rFonts w:cs="Times New Roman"/>
              </w:rPr>
            </w:pPr>
            <w:r>
              <w:rPr>
                <w:rFonts w:hint="eastAsia" w:cs="Times New Roman"/>
              </w:rPr>
              <w:t>2</w:t>
            </w:r>
          </w:p>
        </w:tc>
        <w:tc>
          <w:tcPr>
            <w:tcW w:w="693" w:type="pct"/>
          </w:tcPr>
          <w:p>
            <w:pPr>
              <w:pStyle w:val="63"/>
            </w:pPr>
            <w:r>
              <w:rPr>
                <w:rFonts w:hint="eastAsia"/>
              </w:rPr>
              <w:t>8</w:t>
            </w:r>
          </w:p>
        </w:tc>
        <w:tc>
          <w:tcPr>
            <w:tcW w:w="691" w:type="pct"/>
            <w:vAlign w:val="center"/>
          </w:tcPr>
          <w:p>
            <w:pPr>
              <w:pStyle w:val="63"/>
              <w:rPr>
                <w:rFonts w:cs="Times New Roman"/>
              </w:rPr>
            </w:pPr>
            <w:r>
              <w:rPr>
                <w:rFonts w:cs="Times New Roman"/>
              </w:rPr>
              <w:t>斜滩河村</w:t>
            </w:r>
          </w:p>
        </w:tc>
      </w:tr>
    </w:tbl>
    <w:p>
      <w:pPr>
        <w:pStyle w:val="4"/>
        <w:rPr>
          <w:rFonts w:cs="Times New Roman"/>
        </w:rPr>
      </w:pPr>
      <w:bookmarkStart w:id="57" w:name="_Toc89009607"/>
      <w:r>
        <w:rPr>
          <w:rFonts w:hint="eastAsia" w:cs="Times New Roman"/>
        </w:rPr>
        <w:t xml:space="preserve"> </w:t>
      </w:r>
      <w:bookmarkStart w:id="58" w:name="_Toc96680623"/>
      <w:r>
        <w:rPr>
          <w:rFonts w:cs="Times New Roman"/>
        </w:rPr>
        <w:t>污染控制目标、环境保护目标及环境敏感区</w:t>
      </w:r>
      <w:bookmarkEnd w:id="57"/>
      <w:bookmarkEnd w:id="58"/>
    </w:p>
    <w:p>
      <w:pPr>
        <w:pStyle w:val="5"/>
        <w:rPr>
          <w:rFonts w:cs="Times New Roman"/>
        </w:rPr>
      </w:pPr>
      <w:bookmarkStart w:id="59" w:name="_Toc89009608"/>
      <w:r>
        <w:rPr>
          <w:rFonts w:hint="eastAsia" w:cs="Times New Roman"/>
        </w:rPr>
        <w:t xml:space="preserve"> </w:t>
      </w:r>
      <w:bookmarkStart w:id="60" w:name="_Toc96680624"/>
      <w:r>
        <w:rPr>
          <w:rFonts w:cs="Times New Roman"/>
        </w:rPr>
        <w:t>污染控制目标</w:t>
      </w:r>
      <w:bookmarkEnd w:id="59"/>
      <w:bookmarkEnd w:id="60"/>
    </w:p>
    <w:p>
      <w:pPr>
        <w:ind w:firstLine="480"/>
        <w:rPr>
          <w:rFonts w:cs="Times New Roman"/>
        </w:rPr>
      </w:pPr>
      <w:r>
        <w:rPr>
          <w:rFonts w:cs="Times New Roman"/>
        </w:rPr>
        <w:t>根据本项目施工期和运营期对环境可能造成的污染与生态破坏，确定污染控制对象和防止生态破坏措施如下：</w:t>
      </w:r>
    </w:p>
    <w:p>
      <w:pPr>
        <w:ind w:firstLine="480"/>
        <w:rPr>
          <w:rFonts w:cs="Times New Roman"/>
        </w:rPr>
      </w:pPr>
      <w:r>
        <w:rPr>
          <w:rFonts w:cs="Times New Roman"/>
        </w:rPr>
        <w:t>（1）控制本项目各单项工程在开发建设过程中的各种施工活动，尽量减少对生态环境的破坏范围和影响持续时间，做好植被恢复与水土保持工作；</w:t>
      </w:r>
    </w:p>
    <w:p>
      <w:pPr>
        <w:ind w:firstLine="480"/>
        <w:rPr>
          <w:rFonts w:cs="Times New Roman"/>
        </w:rPr>
      </w:pPr>
      <w:r>
        <w:rPr>
          <w:rFonts w:cs="Times New Roman"/>
        </w:rPr>
        <w:t>（2）保证本项目建成后，废气、废水达标排放，噪声达标，固体废弃物得到合理利用；</w:t>
      </w:r>
    </w:p>
    <w:p>
      <w:pPr>
        <w:ind w:firstLine="480"/>
      </w:pPr>
      <w:r>
        <w:rPr>
          <w:rFonts w:cs="Times New Roman"/>
        </w:rPr>
        <w:t>（3）保证评价区域空气质量、地表水质量、地下水质量、土壤质量基本维持现有水平；将工程对生态环境的不利影响减到最小并控制在小范围固定区域内，使受影响区域的整体生态环境质量无明显变化。</w:t>
      </w:r>
    </w:p>
    <w:p>
      <w:pPr>
        <w:pStyle w:val="5"/>
      </w:pPr>
      <w:r>
        <w:rPr>
          <w:rFonts w:hint="eastAsia"/>
        </w:rPr>
        <w:t xml:space="preserve"> </w:t>
      </w:r>
      <w:bookmarkStart w:id="61" w:name="_Toc96680625"/>
      <w:r>
        <w:t>环境保护目标</w:t>
      </w:r>
      <w:bookmarkEnd w:id="61"/>
    </w:p>
    <w:p>
      <w:pPr>
        <w:pStyle w:val="6"/>
        <w:rPr>
          <w:rFonts w:cs="Times New Roman"/>
        </w:rPr>
      </w:pPr>
      <w:r>
        <w:rPr>
          <w:rFonts w:hint="eastAsia" w:cs="Times New Roman"/>
        </w:rPr>
        <w:t xml:space="preserve"> </w:t>
      </w:r>
      <w:r>
        <w:rPr>
          <w:rFonts w:cs="Times New Roman"/>
        </w:rPr>
        <w:t>环境空气保护目标</w:t>
      </w:r>
    </w:p>
    <w:p>
      <w:pPr>
        <w:ind w:firstLine="480"/>
        <w:rPr>
          <w:rStyle w:val="119"/>
          <w:rFonts w:hint="default" w:ascii="Times New Roman" w:hAnsi="Times New Roman" w:cs="Times New Roman"/>
          <w:color w:val="auto"/>
        </w:rPr>
      </w:pPr>
      <w:r>
        <w:rPr>
          <w:rStyle w:val="119"/>
          <w:rFonts w:hint="default" w:ascii="Times New Roman" w:hAnsi="Times New Roman" w:cs="Times New Roman"/>
          <w:color w:val="auto"/>
        </w:rPr>
        <w:t>本项目工程建设区域主要为农业耕作区和林地，属农村地区，为二类区</w:t>
      </w:r>
      <w:r>
        <w:rPr>
          <w:rStyle w:val="119"/>
          <w:rFonts w:hint="default" w:cs="Times New Roman"/>
          <w:color w:val="auto"/>
        </w:rPr>
        <w:t>。</w:t>
      </w:r>
      <w:r>
        <w:rPr>
          <w:rFonts w:cs="Times New Roman"/>
        </w:rPr>
        <w:t>本项目</w:t>
      </w:r>
      <w:r>
        <w:rPr>
          <w:rStyle w:val="119"/>
          <w:rFonts w:hint="default" w:ascii="Times New Roman" w:hAnsi="Times New Roman" w:cs="Times New Roman"/>
          <w:color w:val="auto"/>
        </w:rPr>
        <w:t>环境空气保护目标按照管线两侧100m范围居住区、文化区（文物保护单位，学校等）、农村地区中人群较集中的区域等，本项目环境空气保护目标见表1.8-1和图1.8-1，确保环境空气质量不因工程建设而降低。</w:t>
      </w:r>
    </w:p>
    <w:p>
      <w:pPr>
        <w:pStyle w:val="73"/>
      </w:pPr>
      <w:r>
        <w:t>表</w:t>
      </w:r>
      <w:r>
        <w:fldChar w:fldCharType="begin"/>
      </w:r>
      <w:r>
        <w:instrText xml:space="preserve"> STYLEREF 2 \s </w:instrText>
      </w:r>
      <w:r>
        <w:fldChar w:fldCharType="separate"/>
      </w:r>
      <w:r>
        <w:t>1.8</w:t>
      </w:r>
      <w:r>
        <w:fldChar w:fldCharType="end"/>
      </w:r>
      <w:r>
        <w:noBreakHyphen/>
      </w:r>
      <w:r>
        <w:fldChar w:fldCharType="begin"/>
      </w:r>
      <w:r>
        <w:instrText xml:space="preserve"> SEQ 表格 \* ARABIC \s 2 </w:instrText>
      </w:r>
      <w:r>
        <w:fldChar w:fldCharType="separate"/>
      </w:r>
      <w:r>
        <w:t>1</w:t>
      </w:r>
      <w:r>
        <w:fldChar w:fldCharType="end"/>
      </w:r>
      <w:r>
        <w:t xml:space="preserve">  管线周边100m范围内</w:t>
      </w:r>
      <w:r>
        <w:rPr>
          <w:rFonts w:hint="eastAsia"/>
        </w:rPr>
        <w:t>环境空气</w:t>
      </w:r>
      <w:r>
        <w:t>保护目标统计表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174"/>
        <w:gridCol w:w="1486"/>
        <w:gridCol w:w="1609"/>
        <w:gridCol w:w="1360"/>
        <w:gridCol w:w="1181"/>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blHeader/>
        </w:trPr>
        <w:tc>
          <w:tcPr>
            <w:tcW w:w="313" w:type="pct"/>
            <w:tcBorders>
              <w:top w:val="single" w:color="auto" w:sz="12" w:space="0"/>
              <w:left w:val="nil"/>
            </w:tcBorders>
            <w:vAlign w:val="center"/>
          </w:tcPr>
          <w:p>
            <w:pPr>
              <w:pStyle w:val="63"/>
              <w:rPr>
                <w:rFonts w:cs="Times New Roman"/>
                <w:b/>
              </w:rPr>
            </w:pPr>
            <w:r>
              <w:rPr>
                <w:rFonts w:hint="eastAsia" w:cs="Times New Roman"/>
                <w:b/>
              </w:rPr>
              <w:t>序号</w:t>
            </w:r>
          </w:p>
        </w:tc>
        <w:tc>
          <w:tcPr>
            <w:tcW w:w="689" w:type="pct"/>
            <w:tcBorders>
              <w:top w:val="single" w:color="auto" w:sz="12" w:space="0"/>
            </w:tcBorders>
            <w:vAlign w:val="center"/>
          </w:tcPr>
          <w:p>
            <w:pPr>
              <w:pStyle w:val="63"/>
              <w:rPr>
                <w:rFonts w:cs="Times New Roman"/>
                <w:b/>
              </w:rPr>
            </w:pPr>
            <w:r>
              <w:rPr>
                <w:rFonts w:cs="Times New Roman"/>
                <w:b/>
              </w:rPr>
              <w:t>范围/m</w:t>
            </w:r>
          </w:p>
        </w:tc>
        <w:tc>
          <w:tcPr>
            <w:tcW w:w="872" w:type="pct"/>
            <w:tcBorders>
              <w:top w:val="single" w:color="auto" w:sz="12" w:space="0"/>
            </w:tcBorders>
            <w:vAlign w:val="center"/>
          </w:tcPr>
          <w:p>
            <w:pPr>
              <w:pStyle w:val="63"/>
              <w:rPr>
                <w:rFonts w:cs="Times New Roman"/>
                <w:b/>
              </w:rPr>
            </w:pPr>
            <w:r>
              <w:rPr>
                <w:rFonts w:cs="Times New Roman"/>
                <w:b/>
              </w:rPr>
              <w:t>与管线方位</w:t>
            </w:r>
          </w:p>
        </w:tc>
        <w:tc>
          <w:tcPr>
            <w:tcW w:w="944" w:type="pct"/>
            <w:tcBorders>
              <w:top w:val="single" w:color="auto" w:sz="12" w:space="0"/>
            </w:tcBorders>
            <w:vAlign w:val="center"/>
          </w:tcPr>
          <w:p>
            <w:pPr>
              <w:pStyle w:val="63"/>
              <w:rPr>
                <w:rFonts w:cs="Times New Roman"/>
                <w:b/>
              </w:rPr>
            </w:pPr>
            <w:r>
              <w:rPr>
                <w:rFonts w:cs="Times New Roman"/>
                <w:b/>
              </w:rPr>
              <w:t>与管线距离/m</w:t>
            </w:r>
          </w:p>
        </w:tc>
        <w:tc>
          <w:tcPr>
            <w:tcW w:w="798" w:type="pct"/>
            <w:tcBorders>
              <w:top w:val="single" w:color="auto" w:sz="12" w:space="0"/>
            </w:tcBorders>
            <w:vAlign w:val="center"/>
          </w:tcPr>
          <w:p>
            <w:pPr>
              <w:pStyle w:val="63"/>
              <w:rPr>
                <w:rFonts w:cs="Times New Roman"/>
                <w:b/>
              </w:rPr>
            </w:pPr>
            <w:r>
              <w:rPr>
                <w:rFonts w:cs="Times New Roman"/>
                <w:b/>
              </w:rPr>
              <w:t>分散居民/户</w:t>
            </w:r>
          </w:p>
        </w:tc>
        <w:tc>
          <w:tcPr>
            <w:tcW w:w="693" w:type="pct"/>
            <w:tcBorders>
              <w:top w:val="single" w:color="auto" w:sz="12" w:space="0"/>
            </w:tcBorders>
            <w:vAlign w:val="center"/>
          </w:tcPr>
          <w:p>
            <w:pPr>
              <w:pStyle w:val="63"/>
              <w:rPr>
                <w:rFonts w:cs="Times New Roman"/>
                <w:b/>
              </w:rPr>
            </w:pPr>
            <w:r>
              <w:rPr>
                <w:rFonts w:cs="Times New Roman"/>
                <w:b/>
              </w:rPr>
              <w:t>人口数量/人</w:t>
            </w:r>
          </w:p>
        </w:tc>
        <w:tc>
          <w:tcPr>
            <w:tcW w:w="691" w:type="pct"/>
            <w:tcBorders>
              <w:top w:val="single" w:color="auto" w:sz="12" w:space="0"/>
            </w:tcBorders>
            <w:vAlign w:val="center"/>
          </w:tcPr>
          <w:p>
            <w:pPr>
              <w:pStyle w:val="63"/>
              <w:rPr>
                <w:rFonts w:cs="Times New Roman"/>
                <w:b/>
              </w:rPr>
            </w:pPr>
            <w:r>
              <w:rPr>
                <w:rFonts w:cs="Times New Roman"/>
                <w:b/>
              </w:rPr>
              <w:t>村属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13" w:type="pct"/>
            <w:tcBorders>
              <w:left w:val="nil"/>
            </w:tcBorders>
            <w:vAlign w:val="center"/>
          </w:tcPr>
          <w:p>
            <w:pPr>
              <w:pStyle w:val="63"/>
              <w:rPr>
                <w:rFonts w:cs="Times New Roman"/>
              </w:rPr>
            </w:pPr>
            <w:r>
              <w:rPr>
                <w:rFonts w:cs="Times New Roman"/>
              </w:rPr>
              <w:t>1</w:t>
            </w:r>
            <w:r>
              <w:rPr>
                <w:rFonts w:hint="eastAsia" w:cs="Times New Roman"/>
              </w:rPr>
              <w:t>#</w:t>
            </w:r>
          </w:p>
        </w:tc>
        <w:tc>
          <w:tcPr>
            <w:tcW w:w="689" w:type="pct"/>
            <w:vAlign w:val="center"/>
          </w:tcPr>
          <w:p>
            <w:pPr>
              <w:pStyle w:val="63"/>
              <w:rPr>
                <w:rFonts w:cs="Times New Roman"/>
              </w:rPr>
            </w:pPr>
            <w:r>
              <w:rPr>
                <w:rFonts w:hint="eastAsia" w:cs="Times New Roman"/>
              </w:rPr>
              <w:t>0</w:t>
            </w:r>
            <w:r>
              <w:rPr>
                <w:rFonts w:cs="Times New Roman"/>
              </w:rPr>
              <w:t>~1</w:t>
            </w:r>
            <w:r>
              <w:rPr>
                <w:rFonts w:hint="eastAsia" w:cs="Times New Roman"/>
              </w:rPr>
              <w:t>00</w:t>
            </w:r>
          </w:p>
        </w:tc>
        <w:tc>
          <w:tcPr>
            <w:tcW w:w="872" w:type="pct"/>
            <w:vAlign w:val="center"/>
          </w:tcPr>
          <w:p>
            <w:pPr>
              <w:pStyle w:val="63"/>
              <w:rPr>
                <w:rFonts w:cs="Times New Roman"/>
              </w:rPr>
            </w:pPr>
            <w:r>
              <w:rPr>
                <w:rFonts w:cs="Times New Roman"/>
              </w:rPr>
              <w:t>管线</w:t>
            </w:r>
            <w:r>
              <w:rPr>
                <w:rFonts w:hint="eastAsia" w:cs="Times New Roman"/>
              </w:rPr>
              <w:t>周边</w:t>
            </w:r>
          </w:p>
        </w:tc>
        <w:tc>
          <w:tcPr>
            <w:tcW w:w="944" w:type="pct"/>
            <w:vAlign w:val="center"/>
          </w:tcPr>
          <w:p>
            <w:pPr>
              <w:pStyle w:val="63"/>
              <w:rPr>
                <w:rFonts w:cs="Times New Roman"/>
              </w:rPr>
            </w:pPr>
            <w:r>
              <w:rPr>
                <w:rFonts w:hint="eastAsia" w:cs="Times New Roman"/>
              </w:rPr>
              <w:t>22~</w:t>
            </w:r>
            <w:r>
              <w:rPr>
                <w:rFonts w:cs="Times New Roman"/>
              </w:rPr>
              <w:t>100</w:t>
            </w:r>
          </w:p>
        </w:tc>
        <w:tc>
          <w:tcPr>
            <w:tcW w:w="798" w:type="pct"/>
            <w:vAlign w:val="center"/>
          </w:tcPr>
          <w:p>
            <w:pPr>
              <w:pStyle w:val="63"/>
              <w:rPr>
                <w:rFonts w:cs="Times New Roman"/>
              </w:rPr>
            </w:pPr>
            <w:r>
              <w:rPr>
                <w:rFonts w:cs="Times New Roman"/>
              </w:rPr>
              <w:t>6</w:t>
            </w:r>
          </w:p>
        </w:tc>
        <w:tc>
          <w:tcPr>
            <w:tcW w:w="693" w:type="pct"/>
          </w:tcPr>
          <w:p>
            <w:pPr>
              <w:pStyle w:val="63"/>
              <w:rPr>
                <w:rFonts w:cs="Times New Roman"/>
              </w:rPr>
            </w:pPr>
            <w:r>
              <w:t>24</w:t>
            </w:r>
          </w:p>
        </w:tc>
        <w:tc>
          <w:tcPr>
            <w:tcW w:w="691" w:type="pct"/>
            <w:vAlign w:val="center"/>
          </w:tcPr>
          <w:p>
            <w:pPr>
              <w:pStyle w:val="63"/>
              <w:rPr>
                <w:rFonts w:cs="Times New Roman"/>
              </w:rPr>
            </w:pPr>
            <w:r>
              <w:rPr>
                <w:rFonts w:cs="Times New Roman"/>
              </w:rPr>
              <w:t>活水沟村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0" w:hRule="atLeast"/>
        </w:trPr>
        <w:tc>
          <w:tcPr>
            <w:tcW w:w="313" w:type="pct"/>
            <w:tcBorders>
              <w:left w:val="nil"/>
            </w:tcBorders>
            <w:vAlign w:val="center"/>
          </w:tcPr>
          <w:p>
            <w:pPr>
              <w:pStyle w:val="63"/>
              <w:rPr>
                <w:rFonts w:cs="Times New Roman"/>
              </w:rPr>
            </w:pPr>
            <w:r>
              <w:rPr>
                <w:rFonts w:hint="eastAsia" w:cs="Times New Roman"/>
              </w:rPr>
              <w:t>2#</w:t>
            </w:r>
          </w:p>
        </w:tc>
        <w:tc>
          <w:tcPr>
            <w:tcW w:w="689" w:type="pct"/>
            <w:vAlign w:val="center"/>
          </w:tcPr>
          <w:p>
            <w:pPr>
              <w:pStyle w:val="63"/>
              <w:rPr>
                <w:rFonts w:cs="Times New Roman"/>
              </w:rPr>
            </w:pPr>
            <w:r>
              <w:rPr>
                <w:rFonts w:hint="eastAsia" w:cs="Times New Roman"/>
              </w:rPr>
              <w:t>0</w:t>
            </w:r>
            <w:r>
              <w:rPr>
                <w:rFonts w:cs="Times New Roman"/>
              </w:rPr>
              <w:t>~1</w:t>
            </w:r>
            <w:r>
              <w:rPr>
                <w:rFonts w:hint="eastAsia" w:cs="Times New Roman"/>
              </w:rPr>
              <w:t>00</w:t>
            </w:r>
          </w:p>
        </w:tc>
        <w:tc>
          <w:tcPr>
            <w:tcW w:w="872" w:type="pct"/>
            <w:vAlign w:val="center"/>
          </w:tcPr>
          <w:p>
            <w:pPr>
              <w:pStyle w:val="63"/>
              <w:rPr>
                <w:rFonts w:cs="Times New Roman"/>
              </w:rPr>
            </w:pPr>
            <w:r>
              <w:rPr>
                <w:rFonts w:cs="Times New Roman"/>
              </w:rPr>
              <w:t>管线</w:t>
            </w:r>
            <w:r>
              <w:rPr>
                <w:rFonts w:hint="eastAsia" w:cs="Times New Roman"/>
              </w:rPr>
              <w:t>周边</w:t>
            </w:r>
          </w:p>
        </w:tc>
        <w:tc>
          <w:tcPr>
            <w:tcW w:w="944" w:type="pct"/>
            <w:vAlign w:val="center"/>
          </w:tcPr>
          <w:p>
            <w:pPr>
              <w:pStyle w:val="63"/>
              <w:rPr>
                <w:rFonts w:cs="Times New Roman"/>
              </w:rPr>
            </w:pPr>
            <w:r>
              <w:rPr>
                <w:rFonts w:hint="eastAsia" w:cs="Times New Roman"/>
              </w:rPr>
              <w:t>25</w:t>
            </w:r>
          </w:p>
        </w:tc>
        <w:tc>
          <w:tcPr>
            <w:tcW w:w="798" w:type="pct"/>
            <w:vAlign w:val="center"/>
          </w:tcPr>
          <w:p>
            <w:pPr>
              <w:pStyle w:val="63"/>
              <w:rPr>
                <w:rFonts w:cs="Times New Roman"/>
              </w:rPr>
            </w:pPr>
            <w:r>
              <w:rPr>
                <w:rFonts w:cs="Times New Roman"/>
              </w:rPr>
              <w:t>1</w:t>
            </w:r>
          </w:p>
        </w:tc>
        <w:tc>
          <w:tcPr>
            <w:tcW w:w="693" w:type="pct"/>
          </w:tcPr>
          <w:p>
            <w:pPr>
              <w:pStyle w:val="63"/>
            </w:pPr>
            <w:r>
              <w:t>4</w:t>
            </w:r>
          </w:p>
        </w:tc>
        <w:tc>
          <w:tcPr>
            <w:tcW w:w="691" w:type="pct"/>
            <w:vAlign w:val="center"/>
          </w:tcPr>
          <w:p>
            <w:pPr>
              <w:pStyle w:val="63"/>
              <w:rPr>
                <w:rFonts w:cs="Times New Roman"/>
              </w:rPr>
            </w:pPr>
            <w:r>
              <w:rPr>
                <w:rFonts w:cs="Times New Roman"/>
              </w:rPr>
              <w:t>斜滩河村</w:t>
            </w:r>
          </w:p>
        </w:tc>
      </w:tr>
    </w:tbl>
    <w:p>
      <w:pPr>
        <w:pStyle w:val="2"/>
        <w:ind w:left="900" w:hanging="420"/>
      </w:pPr>
    </w:p>
    <w:p>
      <w:pPr>
        <w:pStyle w:val="56"/>
      </w:pPr>
      <w:r>
        <mc:AlternateContent>
          <mc:Choice Requires="wps">
            <w:drawing>
              <wp:anchor distT="0" distB="0" distL="114300" distR="114300" simplePos="0" relativeHeight="251693056" behindDoc="0" locked="0" layoutInCell="1" allowOverlap="1">
                <wp:simplePos x="0" y="0"/>
                <wp:positionH relativeFrom="column">
                  <wp:posOffset>3237230</wp:posOffset>
                </wp:positionH>
                <wp:positionV relativeFrom="paragraph">
                  <wp:posOffset>3673475</wp:posOffset>
                </wp:positionV>
                <wp:extent cx="359410" cy="0"/>
                <wp:effectExtent l="0" t="0" r="21590" b="19050"/>
                <wp:wrapNone/>
                <wp:docPr id="60481" name="直接连接符 60481"/>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4.9pt;margin-top:289.25pt;height:0pt;width:28.3pt;z-index:251693056;mso-width-relative:page;mso-height-relative:page;" filled="f" stroked="t" coordsize="21600,21600" o:gfxdata="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u/&#10;0b7XAAAACwEAAA8AAAAAAAAAAQAgAAAAIgAAAGRycy9kb3ducmV2LnhtbFBLAQIUABQAAAAIAIdO&#10;4kBxdncV6wEAALkDAAAOAAAAAAAAAAEAIAAAACYBAABkcnMvZTJvRG9jLnhtbFBLBQYAAAAABgAG&#10;AFkBAACDBQAAAAA=&#10;">
                <v:fill on="f" focussize="0,0"/>
                <v:stroke weight="1.25pt" color="#FF0000 [3204]" miterlimit="8" joinstyle="miter"/>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2378075</wp:posOffset>
                </wp:positionH>
                <wp:positionV relativeFrom="paragraph">
                  <wp:posOffset>2607945</wp:posOffset>
                </wp:positionV>
                <wp:extent cx="45720" cy="45720"/>
                <wp:effectExtent l="0" t="0" r="17780" b="12065"/>
                <wp:wrapNone/>
                <wp:docPr id="61" name="流程图: 接点 6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61" o:spid="_x0000_s1026" o:spt="120" type="#_x0000_t120" style="position:absolute;left:0pt;margin-left:187.25pt;margin-top:205.35pt;height:3.6pt;width:3.6pt;z-index:251692032;v-text-anchor:middle;mso-width-relative:page;mso-height-relative:page;" fillcolor="#FD17DC" filled="t" stroked="t" coordsize="21600,21600" o:gfxdata="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nvBV9kAAAALAQAADwAAAAAA&#10;AAABACAAAAAiAAAAZHJzL2Rvd25yZXYueG1sUEsBAhQAFAAAAAgAh07iQMMEHAWEAgAADAUAAA4A&#10;AAAAAAAAAQAgAAAAKAEAAGRycy9lMm9Eb2MueG1sUEsFBgAAAAAGAAYAWQEAAB4GAAAAAA==&#10;">
                <v:fill on="t" focussize="0,0"/>
                <v:stroke weight="1pt" color="#FD17DC [3204]" miterlimit="8" joinstyle="miter"/>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2534285</wp:posOffset>
                </wp:positionH>
                <wp:positionV relativeFrom="paragraph">
                  <wp:posOffset>2858135</wp:posOffset>
                </wp:positionV>
                <wp:extent cx="45720" cy="45720"/>
                <wp:effectExtent l="0" t="0" r="17780" b="12065"/>
                <wp:wrapNone/>
                <wp:docPr id="59" name="流程图: 接点 5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59" o:spid="_x0000_s1026" o:spt="120" type="#_x0000_t120" style="position:absolute;left:0pt;margin-left:199.55pt;margin-top:225.05pt;height:3.6pt;width:3.6pt;z-index:251688960;v-text-anchor:middle;mso-width-relative:page;mso-height-relative:page;" fillcolor="#FD17DC" filled="t" stroked="t" coordsize="21600,21600" o:gfxdata="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V4B/NgAAAALAQAADwAAAAAA&#10;AAABACAAAAAiAAAAZHJzL2Rvd25yZXYueG1sUEsBAhQAFAAAAAgAh07iQJvxuUmFAgAADAUAAA4A&#10;AAAAAAAAAQAgAAAAJwEAAGRycy9lMm9Eb2MueG1sUEsFBgAAAAAGAAYAWQEAAB4GAAAAAA==&#10;">
                <v:fill on="t" focussize="0,0"/>
                <v:stroke weight="1pt" color="#FD17DC [3204]" miterlimit="8" joinstyle="miter"/>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2614295</wp:posOffset>
                </wp:positionH>
                <wp:positionV relativeFrom="paragraph">
                  <wp:posOffset>2964815</wp:posOffset>
                </wp:positionV>
                <wp:extent cx="45085" cy="45085"/>
                <wp:effectExtent l="0" t="0" r="12065" b="12065"/>
                <wp:wrapNone/>
                <wp:docPr id="60" name="流程图: 接点 60"/>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60" o:spid="_x0000_s1026" o:spt="120" type="#_x0000_t120" style="position:absolute;left:0pt;margin-left:205.85pt;margin-top:233.45pt;height:3.55pt;width:3.55pt;z-index:251691008;v-text-anchor:middle;mso-width-relative:page;mso-height-relative:page;" fillcolor="#FD17DC" filled="t" stroked="t" coordsize="21600,21600" o:gfxdata="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75UBhtgAAAALAQAADwAAAAAA&#10;AAABACAAAAAiAAAAZHJzL2Rvd25yZXYueG1sUEsBAhQAFAAAAAgAh07iQA925zSFAgAADAUAAA4A&#10;AAAAAAAAAQAgAAAAJwEAAGRycy9lMm9Eb2MueG1sUEsFBgAAAAAGAAYAWQEAAB4GAAAAAA==&#10;">
                <v:fill on="t" focussize="0,0"/>
                <v:stroke weight="1pt" color="#FD17DC [3204]" miterlimit="8" joinstyle="miter"/>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2919730</wp:posOffset>
                </wp:positionH>
                <wp:positionV relativeFrom="paragraph">
                  <wp:posOffset>3293110</wp:posOffset>
                </wp:positionV>
                <wp:extent cx="45720" cy="45720"/>
                <wp:effectExtent l="0" t="0" r="12065" b="12065"/>
                <wp:wrapNone/>
                <wp:docPr id="58" name="流程图: 接点 5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58" o:spid="_x0000_s1026" o:spt="120" type="#_x0000_t120" style="position:absolute;left:0pt;margin-left:229.9pt;margin-top:259.3pt;height:3.6pt;width:3.6pt;z-index:251687936;v-text-anchor:middle;mso-width-relative:page;mso-height-relative:page;" fillcolor="#FD17DC" filled="t" stroked="t" coordsize="21600,21600" o:gfxdata="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etRoq2gAAAAsBAAAPAAAA&#10;AAAAAAEAIAAAACIAAABkcnMvZG93bnJldi54bWxQSwECFAAUAAAACACHTuJAqJhOQ4UCAAAMBQAA&#10;DgAAAAAAAAABACAAAAApAQAAZHJzL2Uyb0RvYy54bWxQSwUGAAAAAAYABgBZAQAAIAYAAAAA&#10;">
                <v:fill on="t" focussize="0,0"/>
                <v:stroke weight="1pt" color="#FD17DC [3204]" miterlimit="8"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2505075</wp:posOffset>
                </wp:positionH>
                <wp:positionV relativeFrom="paragraph">
                  <wp:posOffset>3136265</wp:posOffset>
                </wp:positionV>
                <wp:extent cx="45720" cy="45720"/>
                <wp:effectExtent l="0" t="0" r="12065" b="12065"/>
                <wp:wrapNone/>
                <wp:docPr id="56" name="流程图: 接点 5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56" o:spid="_x0000_s1026" o:spt="120" type="#_x0000_t120" style="position:absolute;left:0pt;margin-left:197.25pt;margin-top:246.95pt;height:3.6pt;width:3.6pt;z-index:251686912;v-text-anchor:middle;mso-width-relative:page;mso-height-relative:page;" fillcolor="#FD17DC" filled="t" stroked="t" coordsize="21600,21600" o:gfxdata="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RZ9xdkAAAALAQAADwAAAAAA&#10;AAABACAAAAAiAAAAZHJzL2Rvd25yZXYueG1sUEsBAhQAFAAAAAgAh07iQJqnxiqEAgAADAUAAA4A&#10;AAAAAAAAAQAgAAAAKAEAAGRycy9lMm9Eb2MueG1sUEsFBgAAAAAGAAYAWQEAAB4GAAAAAA==&#10;">
                <v:fill on="t" focussize="0,0"/>
                <v:stroke weight="1pt" color="#FD17DC [3204]" miterlimit="8" joinstyle="miter"/>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2127250</wp:posOffset>
                </wp:positionH>
                <wp:positionV relativeFrom="paragraph">
                  <wp:posOffset>3160395</wp:posOffset>
                </wp:positionV>
                <wp:extent cx="45720" cy="45720"/>
                <wp:effectExtent l="0" t="0" r="12065" b="12065"/>
                <wp:wrapNone/>
                <wp:docPr id="55" name="流程图: 接点 5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55" o:spid="_x0000_s1026" o:spt="120" type="#_x0000_t120" style="position:absolute;left:0pt;margin-left:167.5pt;margin-top:248.85pt;height:3.6pt;width:3.6pt;z-index:251685888;v-text-anchor:middle;mso-width-relative:page;mso-height-relative:page;" fillcolor="#FD17DC" filled="t" stroked="t" coordsize="21600,21600" o:gfxdata="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qwKbQ2gAAAAsBAAAPAAAA&#10;AAAAAAEAIAAAACIAAABkcnMvZG93bnJldi54bWxQSwECFAAUAAAACACHTuJAzxzfNYUCAAAMBQAA&#10;DgAAAAAAAAABACAAAAApAQAAZHJzL2Uyb0RvYy54bWxQSwUGAAAAAAYABgBZAQAAIAYAAAAA&#10;">
                <v:fill on="t" focussize="0,0"/>
                <v:stroke weight="1pt" color="#FD17DC [3204]" miterlimit="8" joinstyle="miter"/>
                <v:imagedata o:title=""/>
                <o:lock v:ext="edit" aspectratio="f"/>
              </v:shape>
            </w:pict>
          </mc:Fallback>
        </mc:AlternateContent>
      </w:r>
      <w:r>
        <w:rPr>
          <w:rFonts w:hint="eastAsia"/>
        </w:rPr>
        <w:t>*</w:t>
      </w:r>
      <w:r>
        <w:t>*****</w:t>
      </w:r>
    </w:p>
    <w:p>
      <w:pPr>
        <w:pStyle w:val="250"/>
      </w:pPr>
      <w:r>
        <w:t>图</w:t>
      </w:r>
      <w:r>
        <w:fldChar w:fldCharType="begin"/>
      </w:r>
      <w:r>
        <w:instrText xml:space="preserve"> STYLEREF 2 \s </w:instrText>
      </w:r>
      <w:r>
        <w:fldChar w:fldCharType="separate"/>
      </w:r>
      <w:r>
        <w:t>1.8</w:t>
      </w:r>
      <w:r>
        <w:fldChar w:fldCharType="end"/>
      </w:r>
      <w:r>
        <w:noBreakHyphen/>
      </w:r>
      <w:r>
        <w:fldChar w:fldCharType="begin"/>
      </w:r>
      <w:r>
        <w:instrText xml:space="preserve"> SEQ 图 \* ARABIC \s 2 </w:instrText>
      </w:r>
      <w:r>
        <w:fldChar w:fldCharType="separate"/>
      </w:r>
      <w:r>
        <w:t>1</w:t>
      </w:r>
      <w:r>
        <w:fldChar w:fldCharType="end"/>
      </w:r>
      <w:r>
        <w:t xml:space="preserve">  </w:t>
      </w:r>
      <w:r>
        <w:rPr>
          <w:rFonts w:hint="eastAsia"/>
        </w:rPr>
        <w:t>大气环境敏感</w:t>
      </w:r>
      <w:r>
        <w:t>目标分布</w:t>
      </w:r>
      <w:r>
        <w:rPr>
          <w:rFonts w:hint="eastAsia"/>
        </w:rPr>
        <w:t>图</w:t>
      </w:r>
    </w:p>
    <w:p>
      <w:pPr>
        <w:pStyle w:val="6"/>
        <w:rPr>
          <w:rFonts w:cs="Times New Roman"/>
        </w:rPr>
      </w:pPr>
      <w:r>
        <w:rPr>
          <w:rFonts w:hint="eastAsia" w:cs="Times New Roman"/>
        </w:rPr>
        <w:t xml:space="preserve"> </w:t>
      </w:r>
      <w:r>
        <w:rPr>
          <w:rFonts w:cs="Times New Roman"/>
        </w:rPr>
        <w:t>地表水环境保护目标</w:t>
      </w:r>
    </w:p>
    <w:p>
      <w:pPr>
        <w:ind w:firstLine="480"/>
        <w:rPr>
          <w:rFonts w:cs="Times New Roman"/>
        </w:rPr>
      </w:pPr>
      <w:r>
        <w:rPr>
          <w:rFonts w:cs="Times New Roman"/>
        </w:rPr>
        <w:t>本项目地表水环境保护目标为</w:t>
      </w:r>
      <w:r>
        <w:rPr>
          <w:rFonts w:hint="eastAsia" w:cs="Times New Roman"/>
        </w:rPr>
        <w:t>项目东南侧450m</w:t>
      </w:r>
      <w:r>
        <w:rPr>
          <w:rFonts w:cs="Times New Roman"/>
        </w:rPr>
        <w:t>的地表水</w:t>
      </w:r>
      <w:r>
        <w:rPr>
          <w:rFonts w:hint="eastAsia" w:cs="Times New Roman"/>
        </w:rPr>
        <w:t>体——小通江</w:t>
      </w:r>
      <w:r>
        <w:rPr>
          <w:rFonts w:cs="Times New Roman"/>
        </w:rPr>
        <w:t>，详见下表。</w:t>
      </w:r>
    </w:p>
    <w:p>
      <w:pPr>
        <w:pStyle w:val="227"/>
      </w:pPr>
      <w:r>
        <w:t>表</w:t>
      </w:r>
      <w:r>
        <w:fldChar w:fldCharType="begin"/>
      </w:r>
      <w:r>
        <w:instrText xml:space="preserve"> STYLEREF 2 \s </w:instrText>
      </w:r>
      <w:r>
        <w:fldChar w:fldCharType="separate"/>
      </w:r>
      <w:r>
        <w:t>1.8</w:t>
      </w:r>
      <w:r>
        <w:fldChar w:fldCharType="end"/>
      </w:r>
      <w:r>
        <w:noBreakHyphen/>
      </w:r>
      <w:r>
        <w:fldChar w:fldCharType="begin"/>
      </w:r>
      <w:r>
        <w:instrText xml:space="preserve"> SEQ 表 \* ARABIC \s 2 </w:instrText>
      </w:r>
      <w:r>
        <w:fldChar w:fldCharType="separate"/>
      </w:r>
      <w:r>
        <w:t>1</w:t>
      </w:r>
      <w:r>
        <w:fldChar w:fldCharType="end"/>
      </w:r>
      <w:r>
        <w:t xml:space="preserve">  本项目地表水环境保护目标</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51"/>
        <w:gridCol w:w="2550"/>
        <w:gridCol w:w="2839"/>
        <w:gridCol w:w="1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trPr>
        <w:tc>
          <w:tcPr>
            <w:tcW w:w="624" w:type="pct"/>
            <w:tcBorders>
              <w:top w:val="single" w:color="auto" w:sz="12" w:space="0"/>
              <w:left w:val="nil"/>
            </w:tcBorders>
            <w:vAlign w:val="center"/>
          </w:tcPr>
          <w:p>
            <w:pPr>
              <w:pStyle w:val="63"/>
              <w:rPr>
                <w:rFonts w:cs="Times New Roman"/>
                <w:b/>
                <w:bCs/>
              </w:rPr>
            </w:pPr>
            <w:bookmarkStart w:id="62" w:name="_Hlk70003036"/>
            <w:r>
              <w:rPr>
                <w:rFonts w:cs="Times New Roman"/>
                <w:b/>
                <w:bCs/>
              </w:rPr>
              <w:t>序号</w:t>
            </w:r>
          </w:p>
        </w:tc>
        <w:tc>
          <w:tcPr>
            <w:tcW w:w="1514" w:type="pct"/>
            <w:tcBorders>
              <w:top w:val="single" w:color="auto" w:sz="12" w:space="0"/>
            </w:tcBorders>
            <w:vAlign w:val="center"/>
          </w:tcPr>
          <w:p>
            <w:pPr>
              <w:pStyle w:val="63"/>
              <w:rPr>
                <w:rFonts w:cs="Times New Roman"/>
                <w:b/>
                <w:bCs/>
              </w:rPr>
            </w:pPr>
            <w:r>
              <w:rPr>
                <w:rFonts w:cs="Times New Roman"/>
                <w:b/>
                <w:bCs/>
              </w:rPr>
              <w:t>地表水水体名称</w:t>
            </w:r>
          </w:p>
        </w:tc>
        <w:tc>
          <w:tcPr>
            <w:tcW w:w="1686" w:type="pct"/>
            <w:tcBorders>
              <w:top w:val="single" w:color="auto" w:sz="12" w:space="0"/>
            </w:tcBorders>
            <w:vAlign w:val="center"/>
          </w:tcPr>
          <w:p>
            <w:pPr>
              <w:pStyle w:val="63"/>
              <w:rPr>
                <w:rFonts w:cs="Times New Roman"/>
                <w:b/>
                <w:bCs/>
              </w:rPr>
            </w:pPr>
            <w:r>
              <w:rPr>
                <w:rFonts w:cs="Times New Roman"/>
                <w:b/>
                <w:bCs/>
              </w:rPr>
              <w:t>主要水体功能</w:t>
            </w:r>
          </w:p>
        </w:tc>
        <w:tc>
          <w:tcPr>
            <w:tcW w:w="1175" w:type="pct"/>
            <w:tcBorders>
              <w:top w:val="single" w:color="auto" w:sz="12" w:space="0"/>
            </w:tcBorders>
            <w:vAlign w:val="center"/>
          </w:tcPr>
          <w:p>
            <w:pPr>
              <w:pStyle w:val="63"/>
              <w:rPr>
                <w:rFonts w:cs="Times New Roman"/>
                <w:b/>
                <w:bCs/>
              </w:rPr>
            </w:pPr>
            <w:r>
              <w:rPr>
                <w:rFonts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24" w:type="pct"/>
            <w:tcBorders>
              <w:left w:val="nil"/>
            </w:tcBorders>
            <w:vAlign w:val="center"/>
          </w:tcPr>
          <w:p>
            <w:pPr>
              <w:pStyle w:val="63"/>
              <w:rPr>
                <w:rFonts w:cs="Times New Roman"/>
                <w:spacing w:val="-8"/>
              </w:rPr>
            </w:pPr>
            <w:r>
              <w:rPr>
                <w:rFonts w:cs="Times New Roman"/>
                <w:spacing w:val="-8"/>
              </w:rPr>
              <w:t>1</w:t>
            </w:r>
          </w:p>
        </w:tc>
        <w:tc>
          <w:tcPr>
            <w:tcW w:w="1514" w:type="pct"/>
            <w:vAlign w:val="center"/>
          </w:tcPr>
          <w:p>
            <w:pPr>
              <w:pStyle w:val="63"/>
              <w:rPr>
                <w:rFonts w:cs="Times New Roman"/>
                <w:spacing w:val="-8"/>
              </w:rPr>
            </w:pPr>
            <w:r>
              <w:rPr>
                <w:rFonts w:cs="Times New Roman"/>
                <w:spacing w:val="-8"/>
              </w:rPr>
              <w:t>小通江*</w:t>
            </w:r>
          </w:p>
        </w:tc>
        <w:tc>
          <w:tcPr>
            <w:tcW w:w="1686" w:type="pct"/>
            <w:vAlign w:val="center"/>
          </w:tcPr>
          <w:p>
            <w:pPr>
              <w:pStyle w:val="63"/>
              <w:rPr>
                <w:rFonts w:cs="Times New Roman"/>
              </w:rPr>
            </w:pPr>
            <w:r>
              <w:rPr>
                <w:rFonts w:cs="Times New Roman"/>
              </w:rPr>
              <w:t>灌溉、泄洪、饮用</w:t>
            </w:r>
          </w:p>
        </w:tc>
        <w:tc>
          <w:tcPr>
            <w:tcW w:w="1175" w:type="pct"/>
            <w:vAlign w:val="center"/>
          </w:tcPr>
          <w:p>
            <w:pPr>
              <w:pStyle w:val="63"/>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5000" w:type="pct"/>
            <w:gridSpan w:val="4"/>
            <w:tcBorders>
              <w:left w:val="nil"/>
            </w:tcBorders>
            <w:vAlign w:val="center"/>
          </w:tcPr>
          <w:p>
            <w:pPr>
              <w:pStyle w:val="63"/>
              <w:jc w:val="both"/>
              <w:rPr>
                <w:rFonts w:cs="Times New Roman"/>
              </w:rPr>
            </w:pPr>
            <w:r>
              <w:rPr>
                <w:rFonts w:cs="Times New Roman"/>
              </w:rPr>
              <w:t>注：小通江还包含四川诺水河珍稀水生动物国家级自然保护区</w:t>
            </w:r>
            <w:r>
              <w:rPr>
                <w:rFonts w:hint="eastAsia" w:cs="Times New Roman"/>
              </w:rPr>
              <w:t>。</w:t>
            </w:r>
          </w:p>
        </w:tc>
      </w:tr>
      <w:bookmarkEnd w:id="62"/>
    </w:tbl>
    <w:p>
      <w:pPr>
        <w:pStyle w:val="6"/>
        <w:rPr>
          <w:rFonts w:cs="Times New Roman"/>
        </w:rPr>
      </w:pPr>
      <w:r>
        <w:rPr>
          <w:rFonts w:hint="eastAsia" w:cs="Times New Roman"/>
        </w:rPr>
        <w:t xml:space="preserve"> </w:t>
      </w:r>
      <w:r>
        <w:rPr>
          <w:rFonts w:cs="Times New Roman"/>
        </w:rPr>
        <w:t>地下水环境保护目标</w:t>
      </w:r>
    </w:p>
    <w:p>
      <w:pPr>
        <w:ind w:firstLine="480"/>
        <w:rPr>
          <w:rFonts w:cs="Times New Roman"/>
        </w:rPr>
      </w:pPr>
      <w:r>
        <w:rPr>
          <w:rFonts w:cs="Times New Roman"/>
        </w:rPr>
        <w:t>本项目地下水环境保护目标为白垩系碎屑岩风化裂隙水含水层和分散式饮用水水源地。确保地下水质状况不因本项目的建设而降低。</w:t>
      </w:r>
    </w:p>
    <w:p>
      <w:pPr>
        <w:pStyle w:val="227"/>
      </w:pPr>
      <w:r>
        <w:t>表</w:t>
      </w:r>
      <w:r>
        <w:fldChar w:fldCharType="begin"/>
      </w:r>
      <w:r>
        <w:instrText xml:space="preserve"> STYLEREF 2 \s </w:instrText>
      </w:r>
      <w:r>
        <w:fldChar w:fldCharType="separate"/>
      </w:r>
      <w:r>
        <w:t>1.8</w:t>
      </w:r>
      <w:r>
        <w:fldChar w:fldCharType="end"/>
      </w:r>
      <w:r>
        <w:noBreakHyphen/>
      </w:r>
      <w:r>
        <w:fldChar w:fldCharType="begin"/>
      </w:r>
      <w:r>
        <w:instrText xml:space="preserve"> SEQ 表 \* ARABIC \s 2 </w:instrText>
      </w:r>
      <w:r>
        <w:fldChar w:fldCharType="separate"/>
      </w:r>
      <w:r>
        <w:t>2</w:t>
      </w:r>
      <w:r>
        <w:fldChar w:fldCharType="end"/>
      </w:r>
      <w:r>
        <w:t xml:space="preserve">  本项目地下水环境保护目标</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622"/>
        <w:gridCol w:w="3813"/>
        <w:gridCol w:w="2520"/>
        <w:gridCol w:w="1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622" w:type="dxa"/>
            <w:tcBorders>
              <w:top w:val="single" w:color="auto" w:sz="12" w:space="0"/>
              <w:left w:val="nil"/>
            </w:tcBorders>
            <w:vAlign w:val="center"/>
          </w:tcPr>
          <w:p>
            <w:pPr>
              <w:pStyle w:val="63"/>
              <w:rPr>
                <w:rFonts w:cs="Times New Roman"/>
                <w:b/>
              </w:rPr>
            </w:pPr>
            <w:r>
              <w:rPr>
                <w:rFonts w:hint="eastAsia" w:cs="Times New Roman"/>
                <w:b/>
              </w:rPr>
              <w:t>序号</w:t>
            </w:r>
          </w:p>
        </w:tc>
        <w:tc>
          <w:tcPr>
            <w:tcW w:w="3813" w:type="dxa"/>
            <w:tcBorders>
              <w:top w:val="single" w:color="auto" w:sz="12" w:space="0"/>
            </w:tcBorders>
            <w:vAlign w:val="center"/>
          </w:tcPr>
          <w:p>
            <w:pPr>
              <w:pStyle w:val="63"/>
              <w:rPr>
                <w:rFonts w:cs="Times New Roman"/>
                <w:b/>
              </w:rPr>
            </w:pPr>
            <w:r>
              <w:rPr>
                <w:rFonts w:cs="Times New Roman"/>
                <w:b/>
              </w:rPr>
              <w:t>保护目标类型</w:t>
            </w:r>
          </w:p>
        </w:tc>
        <w:tc>
          <w:tcPr>
            <w:tcW w:w="2520" w:type="dxa"/>
            <w:tcBorders>
              <w:top w:val="single" w:color="auto" w:sz="12" w:space="0"/>
            </w:tcBorders>
            <w:vAlign w:val="center"/>
          </w:tcPr>
          <w:p>
            <w:pPr>
              <w:pStyle w:val="63"/>
              <w:rPr>
                <w:rFonts w:cs="Times New Roman"/>
                <w:b/>
              </w:rPr>
            </w:pPr>
            <w:r>
              <w:rPr>
                <w:rFonts w:cs="Times New Roman"/>
                <w:b/>
              </w:rPr>
              <w:t>位置关系</w:t>
            </w:r>
          </w:p>
        </w:tc>
        <w:tc>
          <w:tcPr>
            <w:tcW w:w="1453" w:type="dxa"/>
            <w:tcBorders>
              <w:top w:val="single" w:color="auto" w:sz="12" w:space="0"/>
            </w:tcBorders>
            <w:vAlign w:val="center"/>
          </w:tcPr>
          <w:p>
            <w:pPr>
              <w:pStyle w:val="63"/>
              <w:rPr>
                <w:rFonts w:cs="Times New Roman"/>
                <w:b/>
              </w:rPr>
            </w:pPr>
            <w:r>
              <w:rPr>
                <w:rFonts w:cs="Times New Roman"/>
                <w:b/>
              </w:rPr>
              <w:t>主要保护内容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622" w:type="dxa"/>
            <w:tcBorders>
              <w:left w:val="nil"/>
            </w:tcBorders>
            <w:vAlign w:val="center"/>
          </w:tcPr>
          <w:p>
            <w:pPr>
              <w:pStyle w:val="63"/>
              <w:rPr>
                <w:rFonts w:cs="Times New Roman"/>
              </w:rPr>
            </w:pPr>
            <w:r>
              <w:rPr>
                <w:rFonts w:hint="eastAsia" w:cs="Times New Roman"/>
              </w:rPr>
              <w:t>1</w:t>
            </w:r>
          </w:p>
        </w:tc>
        <w:tc>
          <w:tcPr>
            <w:tcW w:w="3813" w:type="dxa"/>
            <w:vAlign w:val="center"/>
          </w:tcPr>
          <w:p>
            <w:pPr>
              <w:pStyle w:val="63"/>
              <w:rPr>
                <w:rFonts w:cs="Times New Roman"/>
                <w:spacing w:val="-11"/>
              </w:rPr>
            </w:pPr>
            <w:r>
              <w:rPr>
                <w:rFonts w:cs="Times New Roman"/>
              </w:rPr>
              <w:t>白垩系碎屑岩风化裂隙水含水层</w:t>
            </w:r>
          </w:p>
        </w:tc>
        <w:tc>
          <w:tcPr>
            <w:tcW w:w="2520" w:type="dxa"/>
            <w:vAlign w:val="center"/>
          </w:tcPr>
          <w:p>
            <w:pPr>
              <w:pStyle w:val="63"/>
              <w:rPr>
                <w:rFonts w:cs="Times New Roman"/>
                <w:spacing w:val="-11"/>
              </w:rPr>
            </w:pPr>
            <w:r>
              <w:rPr>
                <w:rFonts w:hint="eastAsia" w:cs="Times New Roman"/>
                <w:spacing w:val="-11"/>
              </w:rPr>
              <w:t>管线</w:t>
            </w:r>
            <w:r>
              <w:rPr>
                <w:rFonts w:cs="Times New Roman"/>
                <w:spacing w:val="-11"/>
              </w:rPr>
              <w:t>下伏含水层</w:t>
            </w:r>
          </w:p>
        </w:tc>
        <w:tc>
          <w:tcPr>
            <w:tcW w:w="1453" w:type="dxa"/>
            <w:vAlign w:val="center"/>
          </w:tcPr>
          <w:p>
            <w:pPr>
              <w:pStyle w:val="63"/>
              <w:rPr>
                <w:rFonts w:cs="Times New Roman"/>
              </w:rPr>
            </w:pPr>
            <w:r>
              <w:rPr>
                <w:rFonts w:cs="Times New Roman"/>
              </w:rPr>
              <w:t>含水层水质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c>
          <w:tcPr>
            <w:tcW w:w="622" w:type="dxa"/>
            <w:tcBorders>
              <w:left w:val="nil"/>
            </w:tcBorders>
            <w:vAlign w:val="center"/>
          </w:tcPr>
          <w:p>
            <w:pPr>
              <w:pStyle w:val="63"/>
              <w:rPr>
                <w:rFonts w:cs="Times New Roman"/>
              </w:rPr>
            </w:pPr>
            <w:r>
              <w:rPr>
                <w:rFonts w:hint="eastAsia" w:cs="Times New Roman"/>
              </w:rPr>
              <w:t>2</w:t>
            </w:r>
          </w:p>
        </w:tc>
        <w:tc>
          <w:tcPr>
            <w:tcW w:w="3813" w:type="dxa"/>
            <w:vAlign w:val="center"/>
          </w:tcPr>
          <w:p>
            <w:pPr>
              <w:pStyle w:val="63"/>
              <w:rPr>
                <w:rFonts w:cs="Times New Roman"/>
                <w:spacing w:val="-11"/>
              </w:rPr>
            </w:pPr>
            <w:r>
              <w:rPr>
                <w:rFonts w:cs="Times New Roman"/>
                <w:spacing w:val="-11"/>
              </w:rPr>
              <w:t>地下水分散水水源</w:t>
            </w:r>
          </w:p>
        </w:tc>
        <w:tc>
          <w:tcPr>
            <w:tcW w:w="2520" w:type="dxa"/>
            <w:vAlign w:val="center"/>
          </w:tcPr>
          <w:p>
            <w:pPr>
              <w:pStyle w:val="63"/>
              <w:rPr>
                <w:rFonts w:cs="Times New Roman"/>
                <w:spacing w:val="-11"/>
              </w:rPr>
            </w:pPr>
            <w:r>
              <w:rPr>
                <w:rFonts w:cs="Times New Roman"/>
                <w:spacing w:val="-11"/>
              </w:rPr>
              <w:t>管线周边分散地下水式水源</w:t>
            </w:r>
          </w:p>
        </w:tc>
        <w:tc>
          <w:tcPr>
            <w:tcW w:w="1453" w:type="dxa"/>
            <w:vAlign w:val="center"/>
          </w:tcPr>
          <w:p>
            <w:pPr>
              <w:pStyle w:val="63"/>
              <w:rPr>
                <w:rFonts w:cs="Times New Roman"/>
              </w:rPr>
            </w:pPr>
            <w:r>
              <w:rPr>
                <w:rFonts w:cs="Times New Roman"/>
              </w:rPr>
              <w:t>饮用水水质</w:t>
            </w:r>
          </w:p>
        </w:tc>
      </w:tr>
    </w:tbl>
    <w:p>
      <w:pPr>
        <w:pStyle w:val="6"/>
        <w:rPr>
          <w:rFonts w:cs="Times New Roman"/>
        </w:rPr>
      </w:pPr>
      <w:r>
        <w:rPr>
          <w:rFonts w:hint="eastAsia" w:cs="Times New Roman"/>
        </w:rPr>
        <w:t xml:space="preserve"> </w:t>
      </w:r>
      <w:r>
        <w:rPr>
          <w:rFonts w:cs="Times New Roman"/>
        </w:rPr>
        <w:t>声环境保护目标</w:t>
      </w:r>
    </w:p>
    <w:p>
      <w:pPr>
        <w:ind w:firstLine="480"/>
        <w:rPr>
          <w:rFonts w:cs="Times New Roman"/>
        </w:rPr>
      </w:pPr>
      <w:r>
        <w:rPr>
          <w:rFonts w:cs="Times New Roman"/>
        </w:rPr>
        <w:t>本项目声环境保护目标为集输管线两侧各200m范围内的住宅等对噪声敏感的建筑物，详见下表</w:t>
      </w:r>
      <w:r>
        <w:rPr>
          <w:rFonts w:hint="eastAsia" w:cs="Times New Roman"/>
        </w:rPr>
        <w:t>和</w:t>
      </w:r>
      <w:r>
        <w:rPr>
          <w:rFonts w:cs="Times New Roman"/>
        </w:rPr>
        <w:t>附图</w:t>
      </w:r>
      <w:r>
        <w:rPr>
          <w:rFonts w:hint="eastAsia" w:cs="Times New Roman"/>
        </w:rPr>
        <w:t>4</w:t>
      </w:r>
      <w:r>
        <w:rPr>
          <w:rFonts w:cs="Times New Roman"/>
        </w:rPr>
        <w:t>。</w:t>
      </w:r>
    </w:p>
    <w:p>
      <w:pPr>
        <w:pStyle w:val="222"/>
      </w:pPr>
      <w:r>
        <w:t>表</w:t>
      </w:r>
      <w:r>
        <w:fldChar w:fldCharType="begin"/>
      </w:r>
      <w:r>
        <w:instrText xml:space="preserve"> STYLEREF 2 \s </w:instrText>
      </w:r>
      <w:r>
        <w:fldChar w:fldCharType="separate"/>
      </w:r>
      <w:r>
        <w:t>1.8</w:t>
      </w:r>
      <w:r>
        <w:fldChar w:fldCharType="end"/>
      </w:r>
      <w:r>
        <w:noBreakHyphen/>
      </w:r>
      <w:r>
        <w:fldChar w:fldCharType="begin"/>
      </w:r>
      <w:r>
        <w:instrText xml:space="preserve"> SEQ 表 \* ARABIC \s 2 </w:instrText>
      </w:r>
      <w:r>
        <w:fldChar w:fldCharType="separate"/>
      </w:r>
      <w:r>
        <w:t>3</w:t>
      </w:r>
      <w:r>
        <w:fldChar w:fldCharType="end"/>
      </w:r>
      <w:r>
        <w:t xml:space="preserve">  本项目声环境保护目标</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1701"/>
        <w:gridCol w:w="1416"/>
        <w:gridCol w:w="1703"/>
        <w:gridCol w:w="1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311" w:type="pct"/>
            <w:tcBorders>
              <w:top w:val="single" w:color="auto" w:sz="12" w:space="0"/>
              <w:left w:val="nil"/>
            </w:tcBorders>
            <w:vAlign w:val="center"/>
          </w:tcPr>
          <w:p>
            <w:pPr>
              <w:pStyle w:val="63"/>
              <w:rPr>
                <w:rFonts w:cs="Times New Roman"/>
                <w:b/>
                <w:bCs/>
              </w:rPr>
            </w:pPr>
            <w:r>
              <w:rPr>
                <w:rFonts w:cs="Times New Roman"/>
                <w:b/>
                <w:bCs/>
              </w:rPr>
              <w:t>声环境保护目标名称</w:t>
            </w:r>
          </w:p>
        </w:tc>
        <w:tc>
          <w:tcPr>
            <w:tcW w:w="998" w:type="pct"/>
            <w:tcBorders>
              <w:top w:val="single" w:color="auto" w:sz="12" w:space="0"/>
            </w:tcBorders>
            <w:vAlign w:val="center"/>
          </w:tcPr>
          <w:p>
            <w:pPr>
              <w:pStyle w:val="63"/>
              <w:rPr>
                <w:rFonts w:cs="Times New Roman"/>
                <w:b/>
                <w:bCs/>
              </w:rPr>
            </w:pPr>
            <w:r>
              <w:rPr>
                <w:rFonts w:cs="Times New Roman"/>
                <w:b/>
                <w:bCs/>
              </w:rPr>
              <w:t>保护对象</w:t>
            </w:r>
          </w:p>
        </w:tc>
        <w:tc>
          <w:tcPr>
            <w:tcW w:w="831" w:type="pct"/>
            <w:tcBorders>
              <w:top w:val="single" w:color="auto" w:sz="12" w:space="0"/>
            </w:tcBorders>
            <w:vAlign w:val="center"/>
          </w:tcPr>
          <w:p>
            <w:pPr>
              <w:pStyle w:val="63"/>
              <w:rPr>
                <w:rFonts w:cs="Times New Roman"/>
                <w:b/>
                <w:bCs/>
              </w:rPr>
            </w:pPr>
            <w:r>
              <w:rPr>
                <w:rFonts w:cs="Times New Roman"/>
                <w:b/>
                <w:bCs/>
              </w:rPr>
              <w:t>相对方位</w:t>
            </w:r>
          </w:p>
        </w:tc>
        <w:tc>
          <w:tcPr>
            <w:tcW w:w="999" w:type="pct"/>
            <w:tcBorders>
              <w:top w:val="single" w:color="auto" w:sz="12" w:space="0"/>
            </w:tcBorders>
            <w:vAlign w:val="center"/>
          </w:tcPr>
          <w:p>
            <w:pPr>
              <w:pStyle w:val="63"/>
              <w:rPr>
                <w:rFonts w:cs="Times New Roman"/>
                <w:b/>
                <w:bCs/>
              </w:rPr>
            </w:pPr>
            <w:r>
              <w:rPr>
                <w:rFonts w:hint="eastAsia" w:cs="Times New Roman"/>
                <w:b/>
                <w:bCs/>
              </w:rPr>
              <w:t>管线周边</w:t>
            </w:r>
            <w:r>
              <w:rPr>
                <w:rFonts w:cs="Times New Roman"/>
                <w:b/>
                <w:bCs/>
              </w:rPr>
              <w:t>距离</w:t>
            </w:r>
          </w:p>
        </w:tc>
        <w:tc>
          <w:tcPr>
            <w:tcW w:w="861" w:type="pct"/>
            <w:tcBorders>
              <w:top w:val="single" w:color="auto" w:sz="12" w:space="0"/>
            </w:tcBorders>
            <w:vAlign w:val="center"/>
          </w:tcPr>
          <w:p>
            <w:pPr>
              <w:pStyle w:val="63"/>
              <w:rPr>
                <w:rFonts w:cs="Times New Roman"/>
                <w:b/>
                <w:bCs/>
              </w:rPr>
            </w:pPr>
            <w:r>
              <w:rPr>
                <w:rFonts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311" w:type="pct"/>
            <w:tcBorders>
              <w:left w:val="nil"/>
            </w:tcBorders>
            <w:vAlign w:val="center"/>
          </w:tcPr>
          <w:p>
            <w:pPr>
              <w:pStyle w:val="63"/>
              <w:rPr>
                <w:rFonts w:cs="Times New Roman"/>
              </w:rPr>
            </w:pPr>
            <w:r>
              <w:rPr>
                <w:rFonts w:cs="Times New Roman"/>
              </w:rPr>
              <w:t>住宅</w:t>
            </w:r>
          </w:p>
        </w:tc>
        <w:tc>
          <w:tcPr>
            <w:tcW w:w="998" w:type="pct"/>
            <w:vAlign w:val="center"/>
          </w:tcPr>
          <w:p>
            <w:pPr>
              <w:pStyle w:val="63"/>
              <w:rPr>
                <w:rFonts w:cs="Times New Roman"/>
                <w:spacing w:val="-4"/>
              </w:rPr>
            </w:pPr>
            <w:r>
              <w:rPr>
                <w:rFonts w:hint="eastAsia" w:cs="Times New Roman"/>
              </w:rPr>
              <w:t>分散居民</w:t>
            </w:r>
          </w:p>
        </w:tc>
        <w:tc>
          <w:tcPr>
            <w:tcW w:w="831" w:type="pct"/>
            <w:vAlign w:val="center"/>
          </w:tcPr>
          <w:p>
            <w:pPr>
              <w:pStyle w:val="63"/>
              <w:rPr>
                <w:rFonts w:cs="Times New Roman"/>
              </w:rPr>
            </w:pPr>
            <w:r>
              <w:rPr>
                <w:rFonts w:hint="eastAsia" w:cs="Times New Roman"/>
              </w:rPr>
              <w:t>管线两侧</w:t>
            </w:r>
          </w:p>
        </w:tc>
        <w:tc>
          <w:tcPr>
            <w:tcW w:w="999" w:type="pct"/>
            <w:vAlign w:val="center"/>
          </w:tcPr>
          <w:p>
            <w:pPr>
              <w:pStyle w:val="63"/>
              <w:rPr>
                <w:rFonts w:cs="Times New Roman"/>
              </w:rPr>
            </w:pPr>
            <w:r>
              <w:rPr>
                <w:rFonts w:cs="Times New Roman"/>
              </w:rPr>
              <w:t xml:space="preserve">200m </w:t>
            </w:r>
          </w:p>
        </w:tc>
        <w:tc>
          <w:tcPr>
            <w:tcW w:w="861" w:type="pct"/>
            <w:vAlign w:val="center"/>
          </w:tcPr>
          <w:p>
            <w:pPr>
              <w:pStyle w:val="63"/>
              <w:rPr>
                <w:rFonts w:cs="Times New Roman"/>
              </w:rPr>
            </w:pPr>
            <w:r>
              <w:rPr>
                <w:rFonts w:hint="eastAsia"/>
              </w:rPr>
              <w:t>同</w:t>
            </w:r>
            <w:r>
              <w:t>表1.</w:t>
            </w:r>
            <w:r>
              <w:rPr>
                <w:rFonts w:hint="eastAsia"/>
              </w:rPr>
              <w:t>7</w:t>
            </w:r>
            <w:r>
              <w:noBreakHyphen/>
            </w:r>
            <w:r>
              <w:fldChar w:fldCharType="begin"/>
            </w:r>
            <w:r>
              <w:instrText xml:space="preserve"> SEQ 表格 \* ARABIC \s 2 </w:instrText>
            </w:r>
            <w:r>
              <w:fldChar w:fldCharType="separate"/>
            </w:r>
            <w:r>
              <w:t>2</w:t>
            </w:r>
            <w:r>
              <w:fldChar w:fldCharType="end"/>
            </w:r>
          </w:p>
        </w:tc>
      </w:tr>
    </w:tbl>
    <w:p>
      <w:pPr>
        <w:pStyle w:val="6"/>
        <w:rPr>
          <w:rFonts w:cs="Times New Roman"/>
        </w:rPr>
      </w:pPr>
      <w:r>
        <w:rPr>
          <w:rFonts w:hint="eastAsia" w:cs="Times New Roman"/>
        </w:rPr>
        <w:t xml:space="preserve"> </w:t>
      </w:r>
      <w:r>
        <w:rPr>
          <w:rFonts w:cs="Times New Roman"/>
        </w:rPr>
        <w:t>环境风险保护目标</w:t>
      </w:r>
    </w:p>
    <w:p>
      <w:pPr>
        <w:ind w:firstLine="480"/>
        <w:rPr>
          <w:rFonts w:cs="Times New Roman"/>
          <w:szCs w:val="24"/>
        </w:rPr>
      </w:pPr>
      <w:r>
        <w:rPr>
          <w:rFonts w:cs="Times New Roman"/>
          <w:szCs w:val="24"/>
        </w:rPr>
        <w:t>本项目大气环境风险保护目标同环境空气保护目标；地表水环境风险保护目标同地表水环境保护目标；地下水环境风险保护目标同地下水环境保护目标。详见</w:t>
      </w:r>
      <w:r>
        <w:rPr>
          <w:rFonts w:hint="eastAsia" w:cs="Times New Roman"/>
          <w:szCs w:val="24"/>
        </w:rPr>
        <w:t>下表</w:t>
      </w:r>
      <w:r>
        <w:rPr>
          <w:rFonts w:cs="Times New Roman"/>
          <w:szCs w:val="24"/>
        </w:rPr>
        <w:t>。</w:t>
      </w:r>
    </w:p>
    <w:p>
      <w:pPr>
        <w:pStyle w:val="73"/>
      </w:pPr>
      <w:r>
        <w:t>表</w:t>
      </w:r>
      <w:r>
        <w:fldChar w:fldCharType="begin"/>
      </w:r>
      <w:r>
        <w:instrText xml:space="preserve"> STYLEREF 2 \s </w:instrText>
      </w:r>
      <w:r>
        <w:fldChar w:fldCharType="separate"/>
      </w:r>
      <w:r>
        <w:t>1.8</w:t>
      </w:r>
      <w:r>
        <w:fldChar w:fldCharType="end"/>
      </w:r>
      <w:r>
        <w:noBreakHyphen/>
      </w:r>
      <w:r>
        <w:fldChar w:fldCharType="begin"/>
      </w:r>
      <w:r>
        <w:instrText xml:space="preserve"> SEQ 表 \* ARABIC \s 2 </w:instrText>
      </w:r>
      <w:r>
        <w:fldChar w:fldCharType="separate"/>
      </w:r>
      <w:r>
        <w:t>4</w:t>
      </w:r>
      <w:r>
        <w:fldChar w:fldCharType="end"/>
      </w:r>
      <w:r>
        <w:t xml:space="preserve">  </w:t>
      </w:r>
      <w:r>
        <w:rPr>
          <w:rFonts w:hint="eastAsia"/>
        </w:rPr>
        <w:t>本项目</w:t>
      </w:r>
      <w:r>
        <w:t>环境风险保护</w:t>
      </w:r>
      <w:r>
        <w:rPr>
          <w:rFonts w:hint="eastAsia"/>
        </w:rPr>
        <w:t>目标</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841"/>
        <w:gridCol w:w="1420"/>
        <w:gridCol w:w="850"/>
        <w:gridCol w:w="850"/>
        <w:gridCol w:w="23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tcBorders>
              <w:top w:val="single" w:color="auto" w:sz="12" w:space="0"/>
              <w:left w:val="nil"/>
            </w:tcBorders>
            <w:vAlign w:val="center"/>
          </w:tcPr>
          <w:p>
            <w:pPr>
              <w:pStyle w:val="63"/>
              <w:rPr>
                <w:b/>
              </w:rPr>
            </w:pPr>
            <w:r>
              <w:rPr>
                <w:rFonts w:hint="eastAsia"/>
                <w:b/>
              </w:rPr>
              <w:t>分类</w:t>
            </w:r>
          </w:p>
        </w:tc>
        <w:tc>
          <w:tcPr>
            <w:tcW w:w="1080" w:type="pct"/>
            <w:tcBorders>
              <w:top w:val="single" w:color="auto" w:sz="12" w:space="0"/>
            </w:tcBorders>
            <w:vAlign w:val="center"/>
          </w:tcPr>
          <w:p>
            <w:pPr>
              <w:pStyle w:val="63"/>
              <w:rPr>
                <w:b/>
              </w:rPr>
            </w:pPr>
            <w:r>
              <w:rPr>
                <w:rFonts w:hint="eastAsia"/>
                <w:b/>
              </w:rPr>
              <w:t>方位、</w:t>
            </w:r>
            <w:r>
              <w:rPr>
                <w:b/>
              </w:rPr>
              <w:t>距离</w:t>
            </w:r>
          </w:p>
        </w:tc>
        <w:tc>
          <w:tcPr>
            <w:tcW w:w="833" w:type="pct"/>
            <w:tcBorders>
              <w:top w:val="single" w:color="auto" w:sz="12" w:space="0"/>
            </w:tcBorders>
            <w:vAlign w:val="center"/>
          </w:tcPr>
          <w:p>
            <w:pPr>
              <w:pStyle w:val="63"/>
              <w:rPr>
                <w:b/>
              </w:rPr>
            </w:pPr>
            <w:r>
              <w:rPr>
                <w:rFonts w:hint="eastAsia"/>
                <w:b/>
              </w:rPr>
              <w:t>敏感</w:t>
            </w:r>
            <w:r>
              <w:rPr>
                <w:b/>
              </w:rPr>
              <w:t>目标</w:t>
            </w:r>
          </w:p>
        </w:tc>
        <w:tc>
          <w:tcPr>
            <w:tcW w:w="499" w:type="pct"/>
            <w:tcBorders>
              <w:top w:val="single" w:color="auto" w:sz="12" w:space="0"/>
            </w:tcBorders>
            <w:vAlign w:val="center"/>
          </w:tcPr>
          <w:p>
            <w:pPr>
              <w:pStyle w:val="63"/>
              <w:rPr>
                <w:b/>
              </w:rPr>
            </w:pPr>
            <w:r>
              <w:rPr>
                <w:rFonts w:hint="eastAsia"/>
                <w:b/>
              </w:rPr>
              <w:t>属性</w:t>
            </w:r>
          </w:p>
        </w:tc>
        <w:tc>
          <w:tcPr>
            <w:tcW w:w="499" w:type="pct"/>
            <w:tcBorders>
              <w:top w:val="single" w:color="auto" w:sz="12" w:space="0"/>
            </w:tcBorders>
            <w:vAlign w:val="center"/>
          </w:tcPr>
          <w:p>
            <w:pPr>
              <w:pStyle w:val="63"/>
              <w:rPr>
                <w:b/>
              </w:rPr>
            </w:pPr>
            <w:r>
              <w:rPr>
                <w:rFonts w:hint="eastAsia"/>
                <w:b/>
              </w:rPr>
              <w:t>规模</w:t>
            </w:r>
          </w:p>
        </w:tc>
        <w:tc>
          <w:tcPr>
            <w:tcW w:w="1360" w:type="pct"/>
            <w:tcBorders>
              <w:top w:val="single" w:color="auto" w:sz="12" w:space="0"/>
            </w:tcBorders>
            <w:vAlign w:val="center"/>
          </w:tcPr>
          <w:p>
            <w:pPr>
              <w:pStyle w:val="63"/>
              <w:rPr>
                <w:b/>
              </w:rPr>
            </w:pPr>
            <w:r>
              <w:rPr>
                <w:rFonts w:hint="eastAsia"/>
                <w: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tcBorders>
              <w:left w:val="nil"/>
            </w:tcBorders>
            <w:vAlign w:val="center"/>
          </w:tcPr>
          <w:p>
            <w:pPr>
              <w:pStyle w:val="63"/>
            </w:pPr>
            <w:r>
              <w:rPr>
                <w:rFonts w:hint="eastAsia"/>
              </w:rPr>
              <w:t>大气</w:t>
            </w:r>
            <w:r>
              <w:t>环境风险</w:t>
            </w:r>
          </w:p>
        </w:tc>
        <w:tc>
          <w:tcPr>
            <w:tcW w:w="1080" w:type="pct"/>
            <w:vAlign w:val="center"/>
          </w:tcPr>
          <w:p>
            <w:pPr>
              <w:pStyle w:val="63"/>
            </w:pPr>
            <w:r>
              <w:rPr>
                <w:rFonts w:hint="eastAsia"/>
              </w:rPr>
              <w:t>管线</w:t>
            </w:r>
            <w:r>
              <w:t>周边1</w:t>
            </w:r>
            <w:r>
              <w:rPr>
                <w:rFonts w:hint="eastAsia"/>
              </w:rPr>
              <w:t>00</w:t>
            </w:r>
            <w:r>
              <w:t>m范围</w:t>
            </w:r>
          </w:p>
        </w:tc>
        <w:tc>
          <w:tcPr>
            <w:tcW w:w="833" w:type="pct"/>
            <w:vAlign w:val="center"/>
          </w:tcPr>
          <w:p>
            <w:pPr>
              <w:pStyle w:val="63"/>
            </w:pPr>
            <w:r>
              <w:rPr>
                <w:rFonts w:hint="eastAsia"/>
              </w:rPr>
              <w:t>散居</w:t>
            </w:r>
            <w:r>
              <w:t>农户</w:t>
            </w:r>
          </w:p>
        </w:tc>
        <w:tc>
          <w:tcPr>
            <w:tcW w:w="499" w:type="pct"/>
            <w:vAlign w:val="center"/>
          </w:tcPr>
          <w:p>
            <w:pPr>
              <w:pStyle w:val="63"/>
            </w:pPr>
            <w:r>
              <w:rPr>
                <w:rFonts w:hint="eastAsia"/>
              </w:rPr>
              <w:t>居住区</w:t>
            </w:r>
          </w:p>
        </w:tc>
        <w:tc>
          <w:tcPr>
            <w:tcW w:w="499" w:type="pct"/>
            <w:vAlign w:val="center"/>
          </w:tcPr>
          <w:p>
            <w:pPr>
              <w:pStyle w:val="63"/>
            </w:pPr>
            <w:r>
              <w:rPr>
                <w:rFonts w:hint="eastAsia"/>
              </w:rPr>
              <w:t>7户</w:t>
            </w:r>
            <w:r>
              <w:t>，</w:t>
            </w:r>
            <w:r>
              <w:rPr>
                <w:rFonts w:hint="eastAsia"/>
              </w:rPr>
              <w:t>28人</w:t>
            </w:r>
          </w:p>
        </w:tc>
        <w:tc>
          <w:tcPr>
            <w:tcW w:w="1360" w:type="pct"/>
            <w:vAlign w:val="center"/>
          </w:tcPr>
          <w:p>
            <w:pPr>
              <w:pStyle w:val="63"/>
            </w:pPr>
            <w:r>
              <w:rPr>
                <w:rFonts w:hint="eastAsia"/>
              </w:rPr>
              <w:t>活水沟</w:t>
            </w:r>
            <w:r>
              <w:t>村、斜滩河村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tcBorders>
              <w:left w:val="nil"/>
            </w:tcBorders>
            <w:vAlign w:val="center"/>
          </w:tcPr>
          <w:p>
            <w:pPr>
              <w:pStyle w:val="63"/>
            </w:pPr>
            <w:r>
              <w:rPr>
                <w:rFonts w:hint="eastAsia"/>
              </w:rPr>
              <w:t>地表水环境</w:t>
            </w:r>
            <w:r>
              <w:t>风险</w:t>
            </w:r>
          </w:p>
        </w:tc>
        <w:tc>
          <w:tcPr>
            <w:tcW w:w="1080" w:type="pct"/>
            <w:vAlign w:val="center"/>
          </w:tcPr>
          <w:p>
            <w:pPr>
              <w:pStyle w:val="63"/>
            </w:pPr>
            <w:r>
              <w:rPr>
                <w:rFonts w:hint="eastAsia"/>
              </w:rPr>
              <w:t>东南侧450</w:t>
            </w:r>
            <w:r>
              <w:t>m处</w:t>
            </w:r>
          </w:p>
        </w:tc>
        <w:tc>
          <w:tcPr>
            <w:tcW w:w="833" w:type="pct"/>
            <w:vAlign w:val="center"/>
          </w:tcPr>
          <w:p>
            <w:pPr>
              <w:pStyle w:val="63"/>
            </w:pPr>
            <w:r>
              <w:rPr>
                <w:rFonts w:hint="eastAsia"/>
              </w:rPr>
              <w:t>小通江</w:t>
            </w:r>
          </w:p>
        </w:tc>
        <w:tc>
          <w:tcPr>
            <w:tcW w:w="499" w:type="pct"/>
            <w:vAlign w:val="center"/>
          </w:tcPr>
          <w:p>
            <w:pPr>
              <w:pStyle w:val="63"/>
            </w:pPr>
            <w:r>
              <w:rPr>
                <w:rFonts w:hint="eastAsia"/>
              </w:rPr>
              <w:t>/</w:t>
            </w:r>
          </w:p>
        </w:tc>
        <w:tc>
          <w:tcPr>
            <w:tcW w:w="499" w:type="pct"/>
            <w:vAlign w:val="center"/>
          </w:tcPr>
          <w:p>
            <w:pPr>
              <w:pStyle w:val="63"/>
            </w:pPr>
            <w:r>
              <w:rPr>
                <w:rFonts w:hint="eastAsia"/>
              </w:rPr>
              <w:t>中河</w:t>
            </w:r>
          </w:p>
        </w:tc>
        <w:tc>
          <w:tcPr>
            <w:tcW w:w="1360" w:type="pct"/>
            <w:vAlign w:val="center"/>
          </w:tcPr>
          <w:p>
            <w:pPr>
              <w:pStyle w:val="63"/>
            </w:pPr>
            <w:r>
              <w:rPr>
                <w:rFonts w:cs="Times New Roman"/>
              </w:rPr>
              <w:t>灌溉、泄洪、饮用</w:t>
            </w:r>
            <w:r>
              <w:rPr>
                <w:rFonts w:hint="eastAsia"/>
              </w:rPr>
              <w:t>,</w:t>
            </w:r>
            <w:r>
              <w:rPr>
                <w:rFonts w:cs="Times New Roman"/>
              </w:rPr>
              <w:t>四川诺水河珍稀水生动物国家级自然保护区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restart"/>
            <w:tcBorders>
              <w:left w:val="nil"/>
            </w:tcBorders>
            <w:vAlign w:val="center"/>
          </w:tcPr>
          <w:p>
            <w:pPr>
              <w:pStyle w:val="63"/>
            </w:pPr>
            <w:r>
              <w:rPr>
                <w:rFonts w:hint="eastAsia"/>
              </w:rPr>
              <w:t>地下水</w:t>
            </w:r>
          </w:p>
        </w:tc>
        <w:tc>
          <w:tcPr>
            <w:tcW w:w="1080" w:type="pct"/>
            <w:vAlign w:val="center"/>
          </w:tcPr>
          <w:p>
            <w:pPr>
              <w:pStyle w:val="63"/>
              <w:rPr>
                <w:rFonts w:cs="Times New Roman"/>
                <w:spacing w:val="-11"/>
              </w:rPr>
            </w:pPr>
            <w:r>
              <w:rPr>
                <w:rFonts w:hint="eastAsia" w:cs="Times New Roman"/>
                <w:spacing w:val="-11"/>
              </w:rPr>
              <w:t>管线</w:t>
            </w:r>
            <w:r>
              <w:rPr>
                <w:rFonts w:cs="Times New Roman"/>
                <w:spacing w:val="-11"/>
              </w:rPr>
              <w:t>下伏含水层</w:t>
            </w:r>
          </w:p>
        </w:tc>
        <w:tc>
          <w:tcPr>
            <w:tcW w:w="833" w:type="pct"/>
            <w:vAlign w:val="center"/>
          </w:tcPr>
          <w:p>
            <w:pPr>
              <w:pStyle w:val="63"/>
              <w:rPr>
                <w:rFonts w:cs="Times New Roman"/>
              </w:rPr>
            </w:pPr>
            <w:r>
              <w:rPr>
                <w:rFonts w:cs="Times New Roman"/>
              </w:rPr>
              <w:t>含水层水质</w:t>
            </w:r>
          </w:p>
        </w:tc>
        <w:tc>
          <w:tcPr>
            <w:tcW w:w="499" w:type="pct"/>
            <w:vAlign w:val="center"/>
          </w:tcPr>
          <w:p>
            <w:pPr>
              <w:pStyle w:val="63"/>
            </w:pPr>
            <w:r>
              <w:rPr>
                <w:rFonts w:hint="eastAsia"/>
              </w:rPr>
              <w:t>/</w:t>
            </w:r>
          </w:p>
        </w:tc>
        <w:tc>
          <w:tcPr>
            <w:tcW w:w="499" w:type="pct"/>
            <w:vAlign w:val="center"/>
          </w:tcPr>
          <w:p>
            <w:pPr>
              <w:pStyle w:val="63"/>
            </w:pPr>
            <w:r>
              <w:rPr>
                <w:rFonts w:hint="eastAsia"/>
              </w:rPr>
              <w:t>/</w:t>
            </w:r>
          </w:p>
        </w:tc>
        <w:tc>
          <w:tcPr>
            <w:tcW w:w="1360" w:type="pct"/>
            <w:vAlign w:val="center"/>
          </w:tcPr>
          <w:p>
            <w:pPr>
              <w:pStyle w:val="63"/>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continue"/>
            <w:tcBorders>
              <w:left w:val="nil"/>
            </w:tcBorders>
            <w:vAlign w:val="center"/>
          </w:tcPr>
          <w:p>
            <w:pPr>
              <w:pStyle w:val="63"/>
            </w:pPr>
          </w:p>
        </w:tc>
        <w:tc>
          <w:tcPr>
            <w:tcW w:w="1080" w:type="pct"/>
            <w:vAlign w:val="center"/>
          </w:tcPr>
          <w:p>
            <w:pPr>
              <w:pStyle w:val="63"/>
              <w:rPr>
                <w:rFonts w:cs="Times New Roman"/>
                <w:spacing w:val="-11"/>
              </w:rPr>
            </w:pPr>
            <w:r>
              <w:rPr>
                <w:rFonts w:cs="Times New Roman"/>
                <w:spacing w:val="-11"/>
              </w:rPr>
              <w:t>管线周边分散地下水式水源</w:t>
            </w:r>
          </w:p>
        </w:tc>
        <w:tc>
          <w:tcPr>
            <w:tcW w:w="833" w:type="pct"/>
            <w:vAlign w:val="center"/>
          </w:tcPr>
          <w:p>
            <w:pPr>
              <w:pStyle w:val="63"/>
              <w:rPr>
                <w:rFonts w:cs="Times New Roman"/>
              </w:rPr>
            </w:pPr>
            <w:r>
              <w:rPr>
                <w:rFonts w:cs="Times New Roman"/>
              </w:rPr>
              <w:t>饮用水水质</w:t>
            </w:r>
          </w:p>
        </w:tc>
        <w:tc>
          <w:tcPr>
            <w:tcW w:w="499" w:type="pct"/>
            <w:vAlign w:val="center"/>
          </w:tcPr>
          <w:p>
            <w:pPr>
              <w:pStyle w:val="63"/>
            </w:pPr>
            <w:r>
              <w:rPr>
                <w:rFonts w:hint="eastAsia"/>
              </w:rPr>
              <w:t>/</w:t>
            </w:r>
          </w:p>
        </w:tc>
        <w:tc>
          <w:tcPr>
            <w:tcW w:w="499" w:type="pct"/>
            <w:vAlign w:val="center"/>
          </w:tcPr>
          <w:p>
            <w:pPr>
              <w:pStyle w:val="63"/>
            </w:pPr>
            <w:r>
              <w:rPr>
                <w:rFonts w:hint="eastAsia"/>
              </w:rPr>
              <w:t>/</w:t>
            </w:r>
          </w:p>
        </w:tc>
        <w:tc>
          <w:tcPr>
            <w:tcW w:w="1360" w:type="pct"/>
            <w:vAlign w:val="center"/>
          </w:tcPr>
          <w:p>
            <w:pPr>
              <w:pStyle w:val="63"/>
            </w:pPr>
            <w:r>
              <w:rPr>
                <w:rFonts w:hint="eastAsia"/>
              </w:rPr>
              <w:t>/</w:t>
            </w:r>
          </w:p>
        </w:tc>
      </w:tr>
    </w:tbl>
    <w:p>
      <w:pPr>
        <w:pStyle w:val="6"/>
        <w:rPr>
          <w:rFonts w:cs="Times New Roman"/>
        </w:rPr>
      </w:pPr>
      <w:r>
        <w:rPr>
          <w:rFonts w:hint="eastAsia" w:cs="Times New Roman"/>
        </w:rPr>
        <w:t xml:space="preserve"> </w:t>
      </w:r>
      <w:r>
        <w:rPr>
          <w:rFonts w:cs="Times New Roman"/>
        </w:rPr>
        <w:t>生态环境保护目标</w:t>
      </w:r>
    </w:p>
    <w:p>
      <w:pPr>
        <w:ind w:firstLine="480"/>
        <w:rPr>
          <w:rFonts w:cs="Times New Roman"/>
        </w:rPr>
      </w:pPr>
      <w:r>
        <w:rPr>
          <w:rFonts w:cs="Times New Roman"/>
        </w:rPr>
        <w:t>本项目管线生态影响范围</w:t>
      </w:r>
      <w:bookmarkStart w:id="63" w:name="_Hlk70237849"/>
      <w:r>
        <w:rPr>
          <w:rFonts w:hint="eastAsia" w:cs="Times New Roman"/>
        </w:rPr>
        <w:t>未涉及</w:t>
      </w:r>
      <w:r>
        <w:rPr>
          <w:rFonts w:cs="Times New Roman"/>
          <w:spacing w:val="-4"/>
        </w:rPr>
        <w:t>生态敏感区</w:t>
      </w:r>
      <w:r>
        <w:rPr>
          <w:rFonts w:hint="eastAsia" w:cs="Times New Roman"/>
          <w:spacing w:val="-4"/>
        </w:rPr>
        <w:t>，将管线两侧200m范围的</w:t>
      </w:r>
      <w:r>
        <w:rPr>
          <w:rFonts w:cs="Times New Roman"/>
          <w:spacing w:val="-4"/>
        </w:rPr>
        <w:t>生态景观、生态系统、植物资源、动物资源、植被、水资源以及土地资源</w:t>
      </w:r>
      <w:r>
        <w:rPr>
          <w:rFonts w:hint="eastAsia" w:cs="Times New Roman"/>
          <w:spacing w:val="-4"/>
        </w:rPr>
        <w:t>列为生态环境保护目标</w:t>
      </w:r>
      <w:r>
        <w:rPr>
          <w:rFonts w:cs="Times New Roman"/>
        </w:rPr>
        <w:t>，</w:t>
      </w:r>
      <w:r>
        <w:rPr>
          <w:rFonts w:cs="Times New Roman"/>
          <w:spacing w:val="-4"/>
        </w:rPr>
        <w:t>详见下表</w:t>
      </w:r>
      <w:r>
        <w:rPr>
          <w:rFonts w:cs="Times New Roman"/>
        </w:rPr>
        <w:t>。</w:t>
      </w:r>
      <w:bookmarkEnd w:id="63"/>
    </w:p>
    <w:p>
      <w:pPr>
        <w:pStyle w:val="222"/>
      </w:pPr>
      <w:r>
        <w:t>表</w:t>
      </w:r>
      <w:r>
        <w:fldChar w:fldCharType="begin"/>
      </w:r>
      <w:r>
        <w:instrText xml:space="preserve"> STYLEREF 2 \s </w:instrText>
      </w:r>
      <w:r>
        <w:fldChar w:fldCharType="separate"/>
      </w:r>
      <w:r>
        <w:t>1.8</w:t>
      </w:r>
      <w:r>
        <w:fldChar w:fldCharType="end"/>
      </w:r>
      <w:r>
        <w:noBreakHyphen/>
      </w:r>
      <w:r>
        <w:fldChar w:fldCharType="begin"/>
      </w:r>
      <w:r>
        <w:instrText xml:space="preserve"> SEQ 表 \* ARABIC \s 2 </w:instrText>
      </w:r>
      <w:r>
        <w:fldChar w:fldCharType="separate"/>
      </w:r>
      <w:r>
        <w:t>5</w:t>
      </w:r>
      <w:r>
        <w:fldChar w:fldCharType="end"/>
      </w:r>
      <w:r>
        <w:t xml:space="preserve">  本项目生态环境保护目标</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82"/>
        <w:gridCol w:w="758"/>
        <w:gridCol w:w="2902"/>
        <w:gridCol w:w="3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trPr>
        <w:tc>
          <w:tcPr>
            <w:tcW w:w="767" w:type="pct"/>
            <w:tcBorders>
              <w:top w:val="single" w:color="auto" w:sz="12" w:space="0"/>
              <w:left w:val="nil"/>
            </w:tcBorders>
            <w:vAlign w:val="center"/>
          </w:tcPr>
          <w:p>
            <w:pPr>
              <w:pStyle w:val="63"/>
              <w:spacing w:line="300" w:lineRule="exact"/>
              <w:rPr>
                <w:rFonts w:cs="Times New Roman"/>
                <w:b/>
              </w:rPr>
            </w:pPr>
            <w:bookmarkStart w:id="64" w:name="_Hlk70237878"/>
            <w:r>
              <w:rPr>
                <w:rFonts w:cs="Times New Roman"/>
                <w:b/>
              </w:rPr>
              <w:t>范围</w:t>
            </w:r>
          </w:p>
        </w:tc>
        <w:tc>
          <w:tcPr>
            <w:tcW w:w="453" w:type="pct"/>
            <w:tcBorders>
              <w:top w:val="single" w:color="auto" w:sz="12" w:space="0"/>
            </w:tcBorders>
            <w:vAlign w:val="center"/>
          </w:tcPr>
          <w:p>
            <w:pPr>
              <w:pStyle w:val="63"/>
              <w:spacing w:line="300" w:lineRule="exact"/>
              <w:rPr>
                <w:rFonts w:cs="Times New Roman"/>
                <w:b/>
              </w:rPr>
            </w:pPr>
            <w:r>
              <w:rPr>
                <w:rFonts w:hint="eastAsia" w:cs="Times New Roman"/>
                <w:b/>
              </w:rPr>
              <w:t>序号</w:t>
            </w:r>
          </w:p>
        </w:tc>
        <w:tc>
          <w:tcPr>
            <w:tcW w:w="1735" w:type="pct"/>
            <w:tcBorders>
              <w:top w:val="single" w:color="auto" w:sz="12" w:space="0"/>
            </w:tcBorders>
            <w:vAlign w:val="center"/>
          </w:tcPr>
          <w:p>
            <w:pPr>
              <w:pStyle w:val="63"/>
              <w:spacing w:line="300" w:lineRule="exact"/>
              <w:rPr>
                <w:rFonts w:cs="Times New Roman"/>
                <w:b/>
              </w:rPr>
            </w:pPr>
            <w:r>
              <w:rPr>
                <w:rFonts w:cs="Times New Roman"/>
                <w:b/>
              </w:rPr>
              <w:t>主要保护目标</w:t>
            </w:r>
          </w:p>
        </w:tc>
        <w:tc>
          <w:tcPr>
            <w:tcW w:w="2045" w:type="pct"/>
            <w:tcBorders>
              <w:top w:val="single" w:color="auto" w:sz="12" w:space="0"/>
            </w:tcBorders>
            <w:vAlign w:val="center"/>
          </w:tcPr>
          <w:p>
            <w:pPr>
              <w:pStyle w:val="63"/>
              <w:spacing w:line="300" w:lineRule="exact"/>
              <w:rPr>
                <w:rFonts w:cs="Times New Roman"/>
                <w:b/>
              </w:rPr>
            </w:pPr>
            <w:r>
              <w:rPr>
                <w:rFonts w:cs="Times New Roman"/>
                <w:b/>
              </w:rPr>
              <w:t>主要保护对象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67" w:type="pct"/>
            <w:vMerge w:val="restart"/>
            <w:tcBorders>
              <w:left w:val="nil"/>
            </w:tcBorders>
            <w:vAlign w:val="center"/>
          </w:tcPr>
          <w:p>
            <w:pPr>
              <w:pStyle w:val="63"/>
              <w:spacing w:line="300" w:lineRule="exact"/>
              <w:rPr>
                <w:rFonts w:cs="Times New Roman"/>
              </w:rPr>
            </w:pPr>
            <w:r>
              <w:rPr>
                <w:rFonts w:cs="Times New Roman"/>
              </w:rPr>
              <w:t>管线</w:t>
            </w:r>
            <w:r>
              <w:rPr>
                <w:rFonts w:hint="eastAsia" w:cs="Times New Roman"/>
              </w:rPr>
              <w:t>两侧2</w:t>
            </w:r>
            <w:r>
              <w:rPr>
                <w:rFonts w:cs="Times New Roman"/>
              </w:rPr>
              <w:t>00m</w:t>
            </w:r>
          </w:p>
        </w:tc>
        <w:tc>
          <w:tcPr>
            <w:tcW w:w="453" w:type="pct"/>
            <w:vAlign w:val="center"/>
          </w:tcPr>
          <w:p>
            <w:pPr>
              <w:pStyle w:val="63"/>
              <w:spacing w:line="300" w:lineRule="exact"/>
              <w:rPr>
                <w:rFonts w:cs="Times New Roman"/>
              </w:rPr>
            </w:pPr>
            <w:r>
              <w:rPr>
                <w:rFonts w:hint="eastAsia" w:cs="Times New Roman"/>
              </w:rPr>
              <w:t>1</w:t>
            </w:r>
          </w:p>
        </w:tc>
        <w:tc>
          <w:tcPr>
            <w:tcW w:w="1735" w:type="pct"/>
            <w:vAlign w:val="center"/>
          </w:tcPr>
          <w:p>
            <w:pPr>
              <w:pStyle w:val="63"/>
              <w:spacing w:line="300" w:lineRule="exact"/>
              <w:rPr>
                <w:rFonts w:cs="Times New Roman"/>
              </w:rPr>
            </w:pPr>
            <w:r>
              <w:rPr>
                <w:rFonts w:cs="Times New Roman"/>
              </w:rPr>
              <w:t>生态景观</w:t>
            </w:r>
          </w:p>
        </w:tc>
        <w:tc>
          <w:tcPr>
            <w:tcW w:w="2045" w:type="pct"/>
            <w:vAlign w:val="center"/>
          </w:tcPr>
          <w:p>
            <w:pPr>
              <w:pStyle w:val="63"/>
              <w:spacing w:line="300" w:lineRule="exact"/>
              <w:rPr>
                <w:rFonts w:cs="Times New Roman"/>
              </w:rPr>
            </w:pPr>
            <w:r>
              <w:rPr>
                <w:rFonts w:cs="Times New Roman"/>
              </w:rPr>
              <w:t>生态景观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67" w:type="pct"/>
            <w:vMerge w:val="continue"/>
            <w:tcBorders>
              <w:left w:val="nil"/>
            </w:tcBorders>
            <w:vAlign w:val="center"/>
          </w:tcPr>
          <w:p>
            <w:pPr>
              <w:pStyle w:val="63"/>
              <w:spacing w:line="300" w:lineRule="exact"/>
              <w:rPr>
                <w:rFonts w:cs="Times New Roman"/>
              </w:rPr>
            </w:pPr>
          </w:p>
        </w:tc>
        <w:tc>
          <w:tcPr>
            <w:tcW w:w="453" w:type="pct"/>
            <w:vAlign w:val="center"/>
          </w:tcPr>
          <w:p>
            <w:pPr>
              <w:pStyle w:val="63"/>
              <w:spacing w:line="300" w:lineRule="exact"/>
              <w:rPr>
                <w:rFonts w:cs="Times New Roman"/>
              </w:rPr>
            </w:pPr>
            <w:r>
              <w:rPr>
                <w:rFonts w:hint="eastAsia" w:cs="Times New Roman"/>
              </w:rPr>
              <w:t>2</w:t>
            </w:r>
          </w:p>
        </w:tc>
        <w:tc>
          <w:tcPr>
            <w:tcW w:w="1735" w:type="pct"/>
            <w:vAlign w:val="center"/>
          </w:tcPr>
          <w:p>
            <w:pPr>
              <w:pStyle w:val="63"/>
              <w:spacing w:line="300" w:lineRule="exact"/>
              <w:rPr>
                <w:rFonts w:cs="Times New Roman"/>
              </w:rPr>
            </w:pPr>
            <w:r>
              <w:rPr>
                <w:rFonts w:cs="Times New Roman"/>
              </w:rPr>
              <w:t>生态系统</w:t>
            </w:r>
          </w:p>
        </w:tc>
        <w:tc>
          <w:tcPr>
            <w:tcW w:w="2045" w:type="pct"/>
            <w:vAlign w:val="center"/>
          </w:tcPr>
          <w:p>
            <w:pPr>
              <w:pStyle w:val="63"/>
              <w:spacing w:line="300" w:lineRule="exact"/>
              <w:rPr>
                <w:rFonts w:cs="Times New Roman"/>
              </w:rPr>
            </w:pPr>
            <w:r>
              <w:rPr>
                <w:rFonts w:cs="Times New Roman"/>
              </w:rPr>
              <w:t>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67" w:type="pct"/>
            <w:vMerge w:val="continue"/>
            <w:tcBorders>
              <w:left w:val="nil"/>
            </w:tcBorders>
            <w:vAlign w:val="center"/>
          </w:tcPr>
          <w:p>
            <w:pPr>
              <w:pStyle w:val="63"/>
              <w:spacing w:line="300" w:lineRule="exact"/>
              <w:rPr>
                <w:rFonts w:cs="Times New Roman"/>
              </w:rPr>
            </w:pPr>
          </w:p>
        </w:tc>
        <w:tc>
          <w:tcPr>
            <w:tcW w:w="453" w:type="pct"/>
            <w:vAlign w:val="center"/>
          </w:tcPr>
          <w:p>
            <w:pPr>
              <w:pStyle w:val="63"/>
              <w:spacing w:line="300" w:lineRule="exact"/>
              <w:rPr>
                <w:rFonts w:cs="Times New Roman"/>
              </w:rPr>
            </w:pPr>
            <w:r>
              <w:rPr>
                <w:rFonts w:hint="eastAsia" w:cs="Times New Roman"/>
              </w:rPr>
              <w:t>3</w:t>
            </w:r>
          </w:p>
        </w:tc>
        <w:tc>
          <w:tcPr>
            <w:tcW w:w="1735" w:type="pct"/>
            <w:vAlign w:val="center"/>
          </w:tcPr>
          <w:p>
            <w:pPr>
              <w:pStyle w:val="63"/>
              <w:spacing w:line="300" w:lineRule="exact"/>
              <w:rPr>
                <w:rFonts w:cs="Times New Roman"/>
              </w:rPr>
            </w:pPr>
            <w:r>
              <w:rPr>
                <w:rFonts w:cs="Times New Roman"/>
              </w:rPr>
              <w:t>植物资源</w:t>
            </w:r>
          </w:p>
        </w:tc>
        <w:tc>
          <w:tcPr>
            <w:tcW w:w="2045" w:type="pct"/>
            <w:vAlign w:val="center"/>
          </w:tcPr>
          <w:p>
            <w:pPr>
              <w:pStyle w:val="63"/>
              <w:spacing w:line="300" w:lineRule="exact"/>
              <w:rPr>
                <w:rFonts w:cs="Times New Roman"/>
              </w:rPr>
            </w:pPr>
            <w:r>
              <w:rPr>
                <w:rFonts w:cs="Times New Roman"/>
              </w:rPr>
              <w:t>植物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67" w:type="pct"/>
            <w:vMerge w:val="continue"/>
            <w:tcBorders>
              <w:left w:val="nil"/>
            </w:tcBorders>
            <w:vAlign w:val="center"/>
          </w:tcPr>
          <w:p>
            <w:pPr>
              <w:pStyle w:val="63"/>
              <w:spacing w:line="300" w:lineRule="exact"/>
              <w:rPr>
                <w:rFonts w:cs="Times New Roman"/>
              </w:rPr>
            </w:pPr>
          </w:p>
        </w:tc>
        <w:tc>
          <w:tcPr>
            <w:tcW w:w="453" w:type="pct"/>
            <w:vAlign w:val="center"/>
          </w:tcPr>
          <w:p>
            <w:pPr>
              <w:pStyle w:val="63"/>
              <w:spacing w:line="300" w:lineRule="exact"/>
              <w:rPr>
                <w:rFonts w:cs="Times New Roman"/>
              </w:rPr>
            </w:pPr>
            <w:r>
              <w:rPr>
                <w:rFonts w:hint="eastAsia" w:cs="Times New Roman"/>
              </w:rPr>
              <w:t>4</w:t>
            </w:r>
          </w:p>
        </w:tc>
        <w:tc>
          <w:tcPr>
            <w:tcW w:w="1735" w:type="pct"/>
            <w:vAlign w:val="center"/>
          </w:tcPr>
          <w:p>
            <w:pPr>
              <w:pStyle w:val="63"/>
              <w:spacing w:line="300" w:lineRule="exact"/>
              <w:rPr>
                <w:rFonts w:cs="Times New Roman"/>
              </w:rPr>
            </w:pPr>
            <w:r>
              <w:rPr>
                <w:rFonts w:cs="Times New Roman"/>
              </w:rPr>
              <w:t>动物资源</w:t>
            </w:r>
          </w:p>
        </w:tc>
        <w:tc>
          <w:tcPr>
            <w:tcW w:w="2045" w:type="pct"/>
            <w:vAlign w:val="center"/>
          </w:tcPr>
          <w:p>
            <w:pPr>
              <w:pStyle w:val="63"/>
              <w:spacing w:line="300" w:lineRule="exact"/>
              <w:rPr>
                <w:rFonts w:cs="Times New Roman"/>
              </w:rPr>
            </w:pPr>
            <w:r>
              <w:rPr>
                <w:rFonts w:cs="Times New Roman"/>
              </w:rPr>
              <w:t>动物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67" w:type="pct"/>
            <w:vMerge w:val="continue"/>
            <w:tcBorders>
              <w:left w:val="nil"/>
            </w:tcBorders>
            <w:vAlign w:val="center"/>
          </w:tcPr>
          <w:p>
            <w:pPr>
              <w:pStyle w:val="63"/>
              <w:spacing w:line="300" w:lineRule="exact"/>
              <w:rPr>
                <w:rFonts w:cs="Times New Roman"/>
              </w:rPr>
            </w:pPr>
          </w:p>
        </w:tc>
        <w:tc>
          <w:tcPr>
            <w:tcW w:w="453" w:type="pct"/>
            <w:vAlign w:val="center"/>
          </w:tcPr>
          <w:p>
            <w:pPr>
              <w:pStyle w:val="63"/>
              <w:spacing w:line="300" w:lineRule="exact"/>
              <w:rPr>
                <w:rFonts w:cs="Times New Roman"/>
              </w:rPr>
            </w:pPr>
            <w:r>
              <w:rPr>
                <w:rFonts w:hint="eastAsia" w:cs="Times New Roman"/>
              </w:rPr>
              <w:t>5</w:t>
            </w:r>
          </w:p>
        </w:tc>
        <w:tc>
          <w:tcPr>
            <w:tcW w:w="1735" w:type="pct"/>
            <w:vAlign w:val="center"/>
          </w:tcPr>
          <w:p>
            <w:pPr>
              <w:pStyle w:val="63"/>
              <w:spacing w:line="300" w:lineRule="exact"/>
              <w:rPr>
                <w:rFonts w:cs="Times New Roman"/>
              </w:rPr>
            </w:pPr>
            <w:r>
              <w:rPr>
                <w:rFonts w:cs="Times New Roman"/>
              </w:rPr>
              <w:t>植被</w:t>
            </w:r>
          </w:p>
        </w:tc>
        <w:tc>
          <w:tcPr>
            <w:tcW w:w="2045" w:type="pct"/>
            <w:vAlign w:val="center"/>
          </w:tcPr>
          <w:p>
            <w:pPr>
              <w:pStyle w:val="63"/>
              <w:spacing w:line="300" w:lineRule="exact"/>
              <w:rPr>
                <w:rFonts w:cs="Times New Roman"/>
              </w:rPr>
            </w:pPr>
            <w:r>
              <w:rPr>
                <w:rFonts w:cs="Times New Roman"/>
              </w:rPr>
              <w:t>植被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67" w:type="pct"/>
            <w:vMerge w:val="continue"/>
            <w:tcBorders>
              <w:left w:val="nil"/>
            </w:tcBorders>
            <w:vAlign w:val="center"/>
          </w:tcPr>
          <w:p>
            <w:pPr>
              <w:pStyle w:val="63"/>
              <w:spacing w:line="300" w:lineRule="exact"/>
              <w:rPr>
                <w:rFonts w:cs="Times New Roman"/>
              </w:rPr>
            </w:pPr>
          </w:p>
        </w:tc>
        <w:tc>
          <w:tcPr>
            <w:tcW w:w="453" w:type="pct"/>
            <w:vAlign w:val="center"/>
          </w:tcPr>
          <w:p>
            <w:pPr>
              <w:pStyle w:val="63"/>
              <w:spacing w:line="300" w:lineRule="exact"/>
              <w:rPr>
                <w:rFonts w:cs="Times New Roman"/>
              </w:rPr>
            </w:pPr>
            <w:r>
              <w:rPr>
                <w:rFonts w:hint="eastAsia" w:cs="Times New Roman"/>
              </w:rPr>
              <w:t>6</w:t>
            </w:r>
          </w:p>
        </w:tc>
        <w:tc>
          <w:tcPr>
            <w:tcW w:w="1735" w:type="pct"/>
            <w:vAlign w:val="center"/>
          </w:tcPr>
          <w:p>
            <w:pPr>
              <w:pStyle w:val="63"/>
              <w:spacing w:line="300" w:lineRule="exact"/>
              <w:rPr>
                <w:rFonts w:cs="Times New Roman"/>
              </w:rPr>
            </w:pPr>
            <w:r>
              <w:rPr>
                <w:rFonts w:cs="Times New Roman"/>
              </w:rPr>
              <w:t>水资源</w:t>
            </w:r>
          </w:p>
        </w:tc>
        <w:tc>
          <w:tcPr>
            <w:tcW w:w="2045" w:type="pct"/>
            <w:vAlign w:val="center"/>
          </w:tcPr>
          <w:p>
            <w:pPr>
              <w:pStyle w:val="63"/>
              <w:spacing w:line="300" w:lineRule="exact"/>
              <w:rPr>
                <w:rFonts w:cs="Times New Roman"/>
              </w:rPr>
            </w:pPr>
            <w:r>
              <w:rPr>
                <w:rFonts w:cs="Times New Roman"/>
              </w:rPr>
              <w:t>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67" w:type="pct"/>
            <w:vMerge w:val="continue"/>
            <w:tcBorders>
              <w:left w:val="nil"/>
            </w:tcBorders>
            <w:vAlign w:val="center"/>
          </w:tcPr>
          <w:p>
            <w:pPr>
              <w:pStyle w:val="63"/>
              <w:spacing w:line="300" w:lineRule="exact"/>
              <w:rPr>
                <w:rFonts w:cs="Times New Roman"/>
              </w:rPr>
            </w:pPr>
          </w:p>
        </w:tc>
        <w:tc>
          <w:tcPr>
            <w:tcW w:w="453" w:type="pct"/>
            <w:vAlign w:val="center"/>
          </w:tcPr>
          <w:p>
            <w:pPr>
              <w:pStyle w:val="63"/>
              <w:spacing w:line="300" w:lineRule="exact"/>
              <w:rPr>
                <w:rFonts w:cs="Times New Roman"/>
              </w:rPr>
            </w:pPr>
            <w:r>
              <w:rPr>
                <w:rFonts w:hint="eastAsia" w:cs="Times New Roman"/>
              </w:rPr>
              <w:t>7</w:t>
            </w:r>
          </w:p>
        </w:tc>
        <w:tc>
          <w:tcPr>
            <w:tcW w:w="1735" w:type="pct"/>
            <w:vAlign w:val="center"/>
          </w:tcPr>
          <w:p>
            <w:pPr>
              <w:pStyle w:val="63"/>
              <w:spacing w:line="300" w:lineRule="exact"/>
              <w:rPr>
                <w:rFonts w:cs="Times New Roman"/>
              </w:rPr>
            </w:pPr>
            <w:r>
              <w:rPr>
                <w:rFonts w:cs="Times New Roman"/>
              </w:rPr>
              <w:t>土地资源</w:t>
            </w:r>
          </w:p>
        </w:tc>
        <w:tc>
          <w:tcPr>
            <w:tcW w:w="2045" w:type="pct"/>
            <w:vAlign w:val="center"/>
          </w:tcPr>
          <w:p>
            <w:pPr>
              <w:pStyle w:val="63"/>
              <w:spacing w:line="300" w:lineRule="exact"/>
              <w:rPr>
                <w:rFonts w:cs="Times New Roman"/>
              </w:rPr>
            </w:pPr>
            <w:r>
              <w:rPr>
                <w:rFonts w:cs="Times New Roman"/>
              </w:rPr>
              <w:t>土地资源</w:t>
            </w:r>
          </w:p>
        </w:tc>
      </w:tr>
      <w:bookmarkEnd w:id="64"/>
    </w:tbl>
    <w:p>
      <w:pPr>
        <w:pStyle w:val="5"/>
        <w:rPr>
          <w:rFonts w:cs="Times New Roman"/>
        </w:rPr>
      </w:pPr>
      <w:bookmarkStart w:id="65" w:name="_Toc89009610"/>
      <w:r>
        <w:rPr>
          <w:rFonts w:hint="eastAsia" w:cs="Times New Roman"/>
        </w:rPr>
        <w:t xml:space="preserve"> </w:t>
      </w:r>
      <w:bookmarkStart w:id="66" w:name="_Toc96680626"/>
      <w:r>
        <w:rPr>
          <w:rFonts w:cs="Times New Roman"/>
        </w:rPr>
        <w:t>本项目涉及环境敏感区</w:t>
      </w:r>
      <w:bookmarkEnd w:id="65"/>
      <w:bookmarkEnd w:id="66"/>
    </w:p>
    <w:p>
      <w:pPr>
        <w:ind w:firstLine="468"/>
        <w:rPr>
          <w:rFonts w:cs="Times New Roman"/>
          <w:spacing w:val="-3"/>
        </w:rPr>
      </w:pPr>
      <w:r>
        <w:rPr>
          <w:rFonts w:cs="Times New Roman"/>
          <w:spacing w:val="-3"/>
        </w:rPr>
        <w:t>依据《建设项目环境影响评价分类管理名录》（2021年版），通过对通江县各部门走访调查咨询，本项目</w:t>
      </w:r>
      <w:r>
        <w:rPr>
          <w:rFonts w:hint="eastAsia" w:cs="Times New Roman"/>
          <w:spacing w:val="-3"/>
        </w:rPr>
        <w:t>部分管段</w:t>
      </w:r>
      <w:r>
        <w:rPr>
          <w:rFonts w:cs="Times New Roman"/>
          <w:spacing w:val="-3"/>
        </w:rPr>
        <w:t>占用永久基本农田、天然林和国家二级公益林，占地涉及通江县水土流失重点治理区（原草池乡），不涉及生态保护红线</w:t>
      </w:r>
      <w:r>
        <w:rPr>
          <w:rFonts w:hint="eastAsia" w:cs="Times New Roman"/>
          <w:spacing w:val="-3"/>
        </w:rPr>
        <w:t>，不涉及集中式饮用水水源地</w:t>
      </w:r>
      <w:r>
        <w:rPr>
          <w:rFonts w:cs="Times New Roman"/>
          <w:spacing w:val="-3"/>
        </w:rPr>
        <w:t>。</w:t>
      </w:r>
    </w:p>
    <w:p>
      <w:pPr>
        <w:pStyle w:val="6"/>
        <w:rPr>
          <w:rFonts w:cs="Times New Roman"/>
        </w:rPr>
      </w:pPr>
      <w:r>
        <w:rPr>
          <w:rFonts w:hint="eastAsia" w:cs="Times New Roman"/>
        </w:rPr>
        <w:t xml:space="preserve"> </w:t>
      </w:r>
      <w:r>
        <w:rPr>
          <w:rFonts w:cs="Times New Roman"/>
        </w:rPr>
        <w:t>永久基本农田</w:t>
      </w:r>
    </w:p>
    <w:p>
      <w:pPr>
        <w:ind w:firstLine="480"/>
        <w:rPr>
          <w:rFonts w:cs="Times New Roman"/>
        </w:rPr>
      </w:pPr>
      <w:r>
        <w:rPr>
          <w:rFonts w:cs="Times New Roman"/>
        </w:rPr>
        <w:t>根据通江县永久基本农田数据统计，本项目管线中</w:t>
      </w:r>
      <w:r>
        <w:rPr>
          <w:rFonts w:hint="eastAsia" w:cs="Times New Roman"/>
        </w:rPr>
        <w:t>434m途径永久基本农田，</w:t>
      </w:r>
      <w:r>
        <w:rPr>
          <w:rFonts w:cs="Times New Roman"/>
        </w:rPr>
        <w:t>临时占用永久基本农田</w:t>
      </w:r>
      <w:r>
        <w:rPr>
          <w:rFonts w:hint="eastAsia" w:cs="Times New Roman"/>
        </w:rPr>
        <w:t>约5046m</w:t>
      </w:r>
      <w:r>
        <w:rPr>
          <w:rFonts w:hint="eastAsia" w:cs="Times New Roman"/>
          <w:vertAlign w:val="superscript"/>
        </w:rPr>
        <w:t>2</w:t>
      </w:r>
      <w:r>
        <w:rPr>
          <w:rFonts w:hint="eastAsia" w:cs="Times New Roman"/>
        </w:rPr>
        <w:t>（7.57亩）</w:t>
      </w:r>
      <w:r>
        <w:rPr>
          <w:rFonts w:cs="Times New Roman"/>
        </w:rPr>
        <w:t>。</w:t>
      </w:r>
      <w:r>
        <w:rPr>
          <w:rFonts w:hint="eastAsia" w:cs="Times New Roman"/>
        </w:rPr>
        <w:t>详情见附图6。</w:t>
      </w:r>
    </w:p>
    <w:p>
      <w:pPr>
        <w:pStyle w:val="6"/>
        <w:rPr>
          <w:rFonts w:cs="Times New Roman"/>
        </w:rPr>
      </w:pPr>
      <w:r>
        <w:rPr>
          <w:rFonts w:hint="eastAsia" w:cs="Times New Roman"/>
        </w:rPr>
        <w:t xml:space="preserve"> </w:t>
      </w:r>
      <w:r>
        <w:rPr>
          <w:rFonts w:cs="Times New Roman"/>
        </w:rPr>
        <w:t>天然林</w:t>
      </w:r>
    </w:p>
    <w:p>
      <w:pPr>
        <w:ind w:firstLine="480"/>
        <w:rPr>
          <w:rFonts w:cs="Times New Roman"/>
        </w:rPr>
      </w:pPr>
      <w:r>
        <w:rPr>
          <w:rFonts w:cs="Times New Roman"/>
          <w:bCs/>
        </w:rPr>
        <w:t>根据通江县天然林数据统计显示，</w:t>
      </w:r>
      <w:r>
        <w:rPr>
          <w:rFonts w:cs="Times New Roman"/>
        </w:rPr>
        <w:t>本项目管线中</w:t>
      </w:r>
      <w:r>
        <w:rPr>
          <w:rFonts w:hint="eastAsia" w:cs="Times New Roman"/>
        </w:rPr>
        <w:t>51m途径天然林，</w:t>
      </w:r>
      <w:r>
        <w:rPr>
          <w:rFonts w:cs="Times New Roman"/>
          <w:bCs/>
        </w:rPr>
        <w:t>临时占用天然林</w:t>
      </w:r>
      <w:r>
        <w:rPr>
          <w:rFonts w:hint="eastAsia" w:cs="Times New Roman"/>
          <w:bCs/>
        </w:rPr>
        <w:t>约612m</w:t>
      </w:r>
      <w:r>
        <w:rPr>
          <w:rFonts w:hint="eastAsia" w:cs="Times New Roman"/>
          <w:bCs/>
          <w:vertAlign w:val="superscript"/>
        </w:rPr>
        <w:t>2</w:t>
      </w:r>
      <w:r>
        <w:rPr>
          <w:rFonts w:hint="eastAsia" w:cs="Times New Roman"/>
          <w:bCs/>
        </w:rPr>
        <w:t>（0.92亩）</w:t>
      </w:r>
      <w:r>
        <w:rPr>
          <w:rFonts w:cs="Times New Roman"/>
          <w:bCs/>
        </w:rPr>
        <w:t>。</w:t>
      </w:r>
      <w:r>
        <w:rPr>
          <w:rFonts w:hint="eastAsia" w:cs="Times New Roman"/>
        </w:rPr>
        <w:t>详情见附图7。</w:t>
      </w:r>
    </w:p>
    <w:p>
      <w:pPr>
        <w:pStyle w:val="6"/>
      </w:pPr>
      <w:r>
        <w:rPr>
          <w:rFonts w:hint="eastAsia"/>
        </w:rPr>
        <w:t xml:space="preserve"> 国家二级公益林</w:t>
      </w:r>
    </w:p>
    <w:p>
      <w:pPr>
        <w:ind w:firstLine="480"/>
      </w:pPr>
      <w:r>
        <w:rPr>
          <w:rFonts w:cs="Times New Roman"/>
          <w:bCs/>
        </w:rPr>
        <w:t>根据通江县国家二级公益林数据统计，</w:t>
      </w:r>
      <w:r>
        <w:rPr>
          <w:rFonts w:cs="Times New Roman"/>
        </w:rPr>
        <w:t>本项目管线中</w:t>
      </w:r>
      <w:r>
        <w:rPr>
          <w:rFonts w:hint="eastAsia" w:cs="Times New Roman"/>
        </w:rPr>
        <w:t>825m途径二级公益林，</w:t>
      </w:r>
      <w:r>
        <w:rPr>
          <w:rFonts w:cs="Times New Roman"/>
          <w:bCs/>
        </w:rPr>
        <w:t>临时占用国家二级公益林</w:t>
      </w:r>
      <w:r>
        <w:rPr>
          <w:rFonts w:hint="eastAsia" w:cs="Times New Roman"/>
          <w:bCs/>
        </w:rPr>
        <w:t>约8773m</w:t>
      </w:r>
      <w:r>
        <w:rPr>
          <w:rFonts w:hint="eastAsia" w:cs="Times New Roman"/>
          <w:bCs/>
          <w:vertAlign w:val="superscript"/>
        </w:rPr>
        <w:t>2</w:t>
      </w:r>
      <w:r>
        <w:rPr>
          <w:rFonts w:hint="eastAsia" w:cs="Times New Roman"/>
          <w:bCs/>
        </w:rPr>
        <w:t>（13.16亩）</w:t>
      </w:r>
      <w:r>
        <w:rPr>
          <w:rFonts w:cs="Times New Roman"/>
          <w:bCs/>
        </w:rPr>
        <w:t>。</w:t>
      </w:r>
      <w:r>
        <w:rPr>
          <w:rFonts w:hint="eastAsia" w:cs="Times New Roman"/>
        </w:rPr>
        <w:t>详情见附图7。</w:t>
      </w:r>
    </w:p>
    <w:p>
      <w:pPr>
        <w:pStyle w:val="6"/>
        <w:rPr>
          <w:rFonts w:cs="Times New Roman"/>
        </w:rPr>
      </w:pPr>
      <w:r>
        <w:rPr>
          <w:rFonts w:hint="eastAsia" w:cs="Times New Roman"/>
        </w:rPr>
        <w:t xml:space="preserve"> </w:t>
      </w:r>
      <w:r>
        <w:rPr>
          <w:rFonts w:cs="Times New Roman"/>
        </w:rPr>
        <w:t>水土流失重点防治区</w:t>
      </w:r>
    </w:p>
    <w:p>
      <w:pPr>
        <w:ind w:firstLine="480"/>
        <w:rPr>
          <w:rFonts w:cs="Times New Roman"/>
        </w:rPr>
      </w:pPr>
      <w:r>
        <w:rPr>
          <w:rFonts w:cs="Times New Roman"/>
        </w:rPr>
        <w:t>根据《水利部办公厅关于印发&lt;全国水土保持规划国家级水土流失重点预防区和重点治理区复核划分成果&gt;的通知》（办水保〔2013〕188号），通江县属于嘉陵江及沱江中下游国家级水土流失重点</w:t>
      </w:r>
      <w:r>
        <w:rPr>
          <w:rFonts w:hint="eastAsia" w:cs="Times New Roman"/>
        </w:rPr>
        <w:t>预防区</w:t>
      </w:r>
      <w:r>
        <w:rPr>
          <w:rFonts w:cs="Times New Roman"/>
        </w:rPr>
        <w:t>。</w:t>
      </w:r>
    </w:p>
    <w:p>
      <w:pPr>
        <w:ind w:firstLine="480"/>
        <w:rPr>
          <w:rFonts w:cs="Times New Roman"/>
        </w:rPr>
        <w:sectPr>
          <w:headerReference r:id="rId24" w:type="default"/>
          <w:pgSz w:w="11906" w:h="16838"/>
          <w:pgMar w:top="1440" w:right="1800" w:bottom="1440" w:left="1800" w:header="851" w:footer="794" w:gutter="0"/>
          <w:cols w:space="425" w:num="1"/>
          <w:docGrid w:type="lines" w:linePitch="326" w:charSpace="0"/>
        </w:sectPr>
      </w:pPr>
      <w:r>
        <w:rPr>
          <w:rFonts w:cs="Times New Roman"/>
        </w:rPr>
        <w:t xml:space="preserve">根据《通江县水土保持规划（2015-2030年）》，本项目涉及的通江县草池乡（已划归涪阳镇）均为水土流失重点治理区。 </w:t>
      </w:r>
      <w:bookmarkEnd w:id="55"/>
      <w:bookmarkStart w:id="67" w:name="_Toc57710989"/>
    </w:p>
    <w:p>
      <w:pPr>
        <w:pStyle w:val="3"/>
        <w:rPr>
          <w:rFonts w:cs="Times New Roman"/>
        </w:rPr>
      </w:pPr>
      <w:r>
        <w:rPr>
          <w:rFonts w:cs="Times New Roman"/>
        </w:rPr>
        <w:t xml:space="preserve"> </w:t>
      </w:r>
      <w:bookmarkEnd w:id="67"/>
      <w:bookmarkStart w:id="68" w:name="_Toc96680627"/>
      <w:r>
        <w:rPr>
          <w:rFonts w:cs="Times New Roman"/>
        </w:rPr>
        <w:t>工程概况</w:t>
      </w:r>
      <w:bookmarkEnd w:id="68"/>
    </w:p>
    <w:p>
      <w:pPr>
        <w:pStyle w:val="4"/>
        <w:rPr>
          <w:rFonts w:cs="Times New Roman"/>
        </w:rPr>
      </w:pPr>
      <w:bookmarkStart w:id="69" w:name="_Toc58144639"/>
      <w:bookmarkStart w:id="70" w:name="_Toc57710992"/>
      <w:bookmarkStart w:id="71" w:name="_Toc57710990"/>
      <w:r>
        <w:rPr>
          <w:rFonts w:cs="Times New Roman"/>
        </w:rPr>
        <w:t xml:space="preserve"> </w:t>
      </w:r>
      <w:bookmarkEnd w:id="69"/>
      <w:bookmarkEnd w:id="70"/>
      <w:bookmarkStart w:id="72" w:name="_Toc96680628"/>
      <w:r>
        <w:rPr>
          <w:rFonts w:cs="Times New Roman"/>
        </w:rPr>
        <w:t>河巴线概况</w:t>
      </w:r>
      <w:bookmarkEnd w:id="72"/>
    </w:p>
    <w:p>
      <w:pPr>
        <w:pStyle w:val="5"/>
      </w:pPr>
      <w:r>
        <w:rPr>
          <w:rFonts w:hint="eastAsia"/>
        </w:rPr>
        <w:t xml:space="preserve"> </w:t>
      </w:r>
      <w:bookmarkStart w:id="73" w:name="_Toc96680629"/>
      <w:r>
        <w:rPr>
          <w:rFonts w:hint="eastAsia"/>
        </w:rPr>
        <w:t>环保手续执行情况</w:t>
      </w:r>
      <w:bookmarkEnd w:id="73"/>
    </w:p>
    <w:p>
      <w:pPr>
        <w:pStyle w:val="248"/>
        <w:ind w:firstLine="480"/>
        <w:rPr>
          <w:lang w:bidi="ar"/>
        </w:rPr>
      </w:pPr>
      <w:r>
        <w:rPr>
          <w:rFonts w:hint="eastAsia" w:ascii="宋体" w:hAnsi="宋体" w:cs="宋体"/>
          <w:lang w:bidi="ar"/>
        </w:rPr>
        <w:t>河巴线</w:t>
      </w:r>
      <w:r>
        <w:rPr>
          <w:rFonts w:hint="eastAsia"/>
        </w:rPr>
        <w:t>起于河坝1井，终于巴中输气站，</w:t>
      </w:r>
      <w:r>
        <w:rPr>
          <w:rFonts w:hint="eastAsia" w:ascii="宋体" w:hAnsi="宋体" w:cs="宋体"/>
        </w:rPr>
        <w:t xml:space="preserve">途经巴中市通江县、巴州区和经开区 </w:t>
      </w:r>
      <w:r>
        <w:t>3</w:t>
      </w:r>
      <w:r>
        <w:rPr>
          <w:rFonts w:hint="eastAsia" w:ascii="宋体" w:hAnsi="宋体" w:cs="宋体"/>
        </w:rPr>
        <w:t>个县（区），全长约</w:t>
      </w:r>
      <w:r>
        <w:t>81km</w:t>
      </w:r>
      <w:r>
        <w:rPr>
          <w:rFonts w:hint="eastAsia"/>
        </w:rPr>
        <w:t>，</w:t>
      </w:r>
      <w:r>
        <w:rPr>
          <w:rFonts w:hint="eastAsia" w:ascii="宋体" w:hAnsi="宋体" w:cs="宋体"/>
          <w:lang w:bidi="ar"/>
        </w:rPr>
        <w:t>沿途设河坝</w:t>
      </w:r>
      <w:r>
        <w:rPr>
          <w:lang w:bidi="ar"/>
        </w:rPr>
        <w:t>1</w:t>
      </w:r>
      <w:r>
        <w:rPr>
          <w:rFonts w:hint="eastAsia" w:ascii="宋体" w:hAnsi="宋体" w:cs="宋体"/>
          <w:lang w:bidi="ar"/>
        </w:rPr>
        <w:t>井站、草池站、巴中输气站共</w:t>
      </w:r>
      <w:r>
        <w:rPr>
          <w:lang w:bidi="ar"/>
        </w:rPr>
        <w:t>3</w:t>
      </w:r>
      <w:r>
        <w:rPr>
          <w:rFonts w:hint="eastAsia" w:ascii="宋体" w:hAnsi="宋体" w:cs="宋体"/>
          <w:lang w:bidi="ar"/>
        </w:rPr>
        <w:t>座工艺站场，设涪阳阀室、梓潼庙阀室、何家湾阀室、巴河阀室共</w:t>
      </w:r>
      <w:r>
        <w:rPr>
          <w:lang w:bidi="ar"/>
        </w:rPr>
        <w:t>4</w:t>
      </w:r>
      <w:r>
        <w:rPr>
          <w:rFonts w:hint="eastAsia" w:ascii="宋体" w:hAnsi="宋体" w:cs="宋体"/>
          <w:lang w:bidi="ar"/>
        </w:rPr>
        <w:t>座阀室。本次改迁管段位于</w:t>
      </w:r>
      <w:r>
        <w:rPr>
          <w:lang w:bidi="ar"/>
        </w:rPr>
        <w:t>涪阳阀室~草池站之间。河巴线分为三段分别开展环评工作，于</w:t>
      </w:r>
      <w:r>
        <w:rPr>
          <w:rFonts w:hint="eastAsia"/>
          <w:lang w:bidi="ar"/>
        </w:rPr>
        <w:t>2006年12月~2007年1月取得</w:t>
      </w:r>
      <w:r>
        <w:rPr>
          <w:lang w:bidi="ar"/>
        </w:rPr>
        <w:t>环评批复，全线于</w:t>
      </w:r>
      <w:r>
        <w:rPr>
          <w:rFonts w:hint="eastAsia"/>
          <w:lang w:bidi="ar"/>
        </w:rPr>
        <w:t>2007年4月</w:t>
      </w:r>
      <w:r>
        <w:rPr>
          <w:lang w:bidi="ar"/>
        </w:rPr>
        <w:t>建成，于</w:t>
      </w:r>
      <w:r>
        <w:rPr>
          <w:rFonts w:hint="eastAsia"/>
          <w:lang w:bidi="ar"/>
        </w:rPr>
        <w:t>2009年进行环保竣工验收。环评批复及验收意（见附件5）执行情况见下表。</w:t>
      </w:r>
    </w:p>
    <w:p>
      <w:pPr>
        <w:pStyle w:val="250"/>
        <w:rPr>
          <w:lang w:bidi="ar"/>
        </w:rPr>
      </w:pPr>
      <w:r>
        <w:t>表</w:t>
      </w:r>
      <w:r>
        <w:fldChar w:fldCharType="begin"/>
      </w:r>
      <w:r>
        <w:instrText xml:space="preserve"> STYLEREF 2 \s </w:instrText>
      </w:r>
      <w:r>
        <w:fldChar w:fldCharType="separate"/>
      </w:r>
      <w:r>
        <w:t>2.1</w:t>
      </w:r>
      <w:r>
        <w:fldChar w:fldCharType="end"/>
      </w:r>
      <w:r>
        <w:t>-</w:t>
      </w:r>
      <w:r>
        <w:fldChar w:fldCharType="begin"/>
      </w:r>
      <w:r>
        <w:instrText xml:space="preserve"> SEQ 表格 \* ARABIC \s 2 </w:instrText>
      </w:r>
      <w:r>
        <w:fldChar w:fldCharType="separate"/>
      </w:r>
      <w:r>
        <w:t>1</w:t>
      </w:r>
      <w:r>
        <w:fldChar w:fldCharType="end"/>
      </w:r>
      <w:r>
        <w:t xml:space="preserve"> 环保手续执行情况表</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591"/>
        <w:gridCol w:w="2370"/>
        <w:gridCol w:w="1560"/>
        <w:gridCol w:w="11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12" w:space="0"/>
              <w:left w:val="nil"/>
            </w:tcBorders>
            <w:vAlign w:val="center"/>
          </w:tcPr>
          <w:p>
            <w:pPr>
              <w:pStyle w:val="63"/>
              <w:rPr>
                <w:b/>
                <w:lang w:bidi="ar"/>
              </w:rPr>
            </w:pPr>
            <w:r>
              <w:rPr>
                <w:b/>
                <w:lang w:bidi="ar"/>
              </w:rPr>
              <w:t>序号</w:t>
            </w:r>
          </w:p>
        </w:tc>
        <w:tc>
          <w:tcPr>
            <w:tcW w:w="2591" w:type="dxa"/>
            <w:tcBorders>
              <w:top w:val="single" w:color="auto" w:sz="12" w:space="0"/>
            </w:tcBorders>
            <w:vAlign w:val="center"/>
          </w:tcPr>
          <w:p>
            <w:pPr>
              <w:pStyle w:val="63"/>
              <w:rPr>
                <w:b/>
                <w:lang w:bidi="ar"/>
              </w:rPr>
            </w:pPr>
            <w:r>
              <w:rPr>
                <w:b/>
                <w:lang w:bidi="ar"/>
              </w:rPr>
              <w:t>项目名称</w:t>
            </w:r>
          </w:p>
        </w:tc>
        <w:tc>
          <w:tcPr>
            <w:tcW w:w="2370" w:type="dxa"/>
            <w:tcBorders>
              <w:top w:val="single" w:color="auto" w:sz="12" w:space="0"/>
            </w:tcBorders>
            <w:vAlign w:val="center"/>
          </w:tcPr>
          <w:p>
            <w:pPr>
              <w:pStyle w:val="63"/>
              <w:rPr>
                <w:rFonts w:cs="Times New Roman"/>
                <w:b/>
                <w:bCs/>
              </w:rPr>
            </w:pPr>
            <w:r>
              <w:rPr>
                <w:rFonts w:cs="Times New Roman"/>
                <w:b/>
                <w:bCs/>
              </w:rPr>
              <w:t>批复</w:t>
            </w:r>
            <w:r>
              <w:rPr>
                <w:rFonts w:hint="eastAsia" w:cs="Times New Roman"/>
                <w:b/>
                <w:bCs/>
              </w:rPr>
              <w:t>/意见文号</w:t>
            </w:r>
          </w:p>
        </w:tc>
        <w:tc>
          <w:tcPr>
            <w:tcW w:w="1560" w:type="dxa"/>
            <w:tcBorders>
              <w:top w:val="single" w:color="auto" w:sz="12" w:space="0"/>
            </w:tcBorders>
            <w:vAlign w:val="center"/>
          </w:tcPr>
          <w:p>
            <w:pPr>
              <w:pStyle w:val="63"/>
              <w:rPr>
                <w:b/>
                <w:lang w:bidi="ar"/>
              </w:rPr>
            </w:pPr>
            <w:r>
              <w:rPr>
                <w:b/>
                <w:lang w:bidi="ar"/>
              </w:rPr>
              <w:t>取得时间</w:t>
            </w:r>
          </w:p>
        </w:tc>
        <w:tc>
          <w:tcPr>
            <w:tcW w:w="1182" w:type="dxa"/>
            <w:tcBorders>
              <w:top w:val="single" w:color="auto" w:sz="12" w:space="0"/>
            </w:tcBorders>
            <w:vAlign w:val="center"/>
          </w:tcPr>
          <w:p>
            <w:pPr>
              <w:pStyle w:val="63"/>
              <w:rPr>
                <w:b/>
                <w:lang w:bidi="ar"/>
              </w:rPr>
            </w:pPr>
            <w:r>
              <w:rPr>
                <w:b/>
                <w:lang w:bidi="ar"/>
              </w:rPr>
              <w:t>审批部门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tcBorders>
              <w:left w:val="nil"/>
            </w:tcBorders>
            <w:vAlign w:val="center"/>
          </w:tcPr>
          <w:p>
            <w:pPr>
              <w:pStyle w:val="63"/>
              <w:rPr>
                <w:lang w:bidi="ar"/>
              </w:rPr>
            </w:pPr>
            <w:r>
              <w:rPr>
                <w:rFonts w:hint="eastAsia"/>
                <w:lang w:bidi="ar"/>
              </w:rPr>
              <w:t>1</w:t>
            </w:r>
          </w:p>
        </w:tc>
        <w:tc>
          <w:tcPr>
            <w:tcW w:w="2591" w:type="dxa"/>
            <w:vAlign w:val="center"/>
          </w:tcPr>
          <w:p>
            <w:pPr>
              <w:pStyle w:val="63"/>
              <w:rPr>
                <w:lang w:bidi="ar"/>
              </w:rPr>
            </w:pPr>
            <w:r>
              <w:rPr>
                <w:lang w:bidi="ar"/>
              </w:rPr>
              <w:t>河坝</w:t>
            </w:r>
            <w:r>
              <w:rPr>
                <w:rFonts w:hint="eastAsia"/>
                <w:lang w:bidi="ar"/>
              </w:rPr>
              <w:t>1井至草池乡阀室天然气管道工程</w:t>
            </w:r>
          </w:p>
        </w:tc>
        <w:tc>
          <w:tcPr>
            <w:tcW w:w="2370" w:type="dxa"/>
            <w:vAlign w:val="center"/>
          </w:tcPr>
          <w:p>
            <w:pPr>
              <w:pStyle w:val="63"/>
              <w:rPr>
                <w:lang w:bidi="ar"/>
              </w:rPr>
            </w:pPr>
            <w:r>
              <w:rPr>
                <w:lang w:bidi="ar"/>
              </w:rPr>
              <w:t>巴环函</w:t>
            </w:r>
            <w:r>
              <w:rPr>
                <w:rFonts w:hint="eastAsia"/>
                <w:lang w:bidi="ar"/>
              </w:rPr>
              <w:t>﹝2006﹞199号</w:t>
            </w:r>
          </w:p>
        </w:tc>
        <w:tc>
          <w:tcPr>
            <w:tcW w:w="1560" w:type="dxa"/>
            <w:vAlign w:val="center"/>
          </w:tcPr>
          <w:p>
            <w:pPr>
              <w:pStyle w:val="63"/>
              <w:rPr>
                <w:lang w:bidi="ar"/>
              </w:rPr>
            </w:pPr>
            <w:r>
              <w:rPr>
                <w:rFonts w:hint="eastAsia"/>
                <w:lang w:bidi="ar"/>
              </w:rPr>
              <w:t>2006.12.30</w:t>
            </w:r>
          </w:p>
        </w:tc>
        <w:tc>
          <w:tcPr>
            <w:tcW w:w="1182" w:type="dxa"/>
            <w:vMerge w:val="restart"/>
            <w:vAlign w:val="center"/>
          </w:tcPr>
          <w:p>
            <w:pPr>
              <w:pStyle w:val="63"/>
              <w:rPr>
                <w:lang w:bidi="ar"/>
              </w:rPr>
            </w:pPr>
            <w:r>
              <w:rPr>
                <w:lang w:bidi="ar"/>
              </w:rPr>
              <w:t>巴中市生态环境局（原巴中市环境保护局）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tcBorders>
              <w:left w:val="nil"/>
            </w:tcBorders>
            <w:vAlign w:val="center"/>
          </w:tcPr>
          <w:p>
            <w:pPr>
              <w:pStyle w:val="63"/>
              <w:rPr>
                <w:lang w:bidi="ar"/>
              </w:rPr>
            </w:pPr>
            <w:r>
              <w:rPr>
                <w:rFonts w:hint="eastAsia"/>
                <w:lang w:bidi="ar"/>
              </w:rPr>
              <w:t>2</w:t>
            </w:r>
          </w:p>
        </w:tc>
        <w:tc>
          <w:tcPr>
            <w:tcW w:w="2591" w:type="dxa"/>
            <w:vAlign w:val="center"/>
          </w:tcPr>
          <w:p>
            <w:pPr>
              <w:pStyle w:val="63"/>
              <w:rPr>
                <w:lang w:bidi="ar"/>
              </w:rPr>
            </w:pPr>
            <w:r>
              <w:rPr>
                <w:lang w:bidi="ar"/>
              </w:rPr>
              <w:t>巴州区梓潼乡至巴中末站天然气管道工程</w:t>
            </w:r>
          </w:p>
        </w:tc>
        <w:tc>
          <w:tcPr>
            <w:tcW w:w="2370" w:type="dxa"/>
            <w:vAlign w:val="center"/>
          </w:tcPr>
          <w:p>
            <w:pPr>
              <w:pStyle w:val="63"/>
              <w:rPr>
                <w:lang w:bidi="ar"/>
              </w:rPr>
            </w:pPr>
            <w:r>
              <w:rPr>
                <w:lang w:bidi="ar"/>
              </w:rPr>
              <w:t>巴环函</w:t>
            </w:r>
            <w:r>
              <w:rPr>
                <w:rFonts w:hint="eastAsia"/>
                <w:lang w:bidi="ar"/>
              </w:rPr>
              <w:t>﹝2006﹞201号</w:t>
            </w:r>
          </w:p>
        </w:tc>
        <w:tc>
          <w:tcPr>
            <w:tcW w:w="1560" w:type="dxa"/>
            <w:vAlign w:val="center"/>
          </w:tcPr>
          <w:p>
            <w:pPr>
              <w:pStyle w:val="63"/>
              <w:rPr>
                <w:lang w:bidi="ar"/>
              </w:rPr>
            </w:pPr>
            <w:r>
              <w:rPr>
                <w:rFonts w:hint="eastAsia"/>
                <w:lang w:bidi="ar"/>
              </w:rPr>
              <w:t>2006.12.31</w:t>
            </w:r>
          </w:p>
        </w:tc>
        <w:tc>
          <w:tcPr>
            <w:tcW w:w="1182" w:type="dxa"/>
            <w:vMerge w:val="continue"/>
            <w:vAlign w:val="center"/>
          </w:tcPr>
          <w:p>
            <w:pPr>
              <w:pStyle w:val="63"/>
              <w:rPr>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tcBorders>
              <w:left w:val="nil"/>
            </w:tcBorders>
            <w:vAlign w:val="center"/>
          </w:tcPr>
          <w:p>
            <w:pPr>
              <w:pStyle w:val="63"/>
              <w:rPr>
                <w:lang w:bidi="ar"/>
              </w:rPr>
            </w:pPr>
            <w:r>
              <w:rPr>
                <w:rFonts w:hint="eastAsia"/>
                <w:lang w:bidi="ar"/>
              </w:rPr>
              <w:t>3</w:t>
            </w:r>
          </w:p>
        </w:tc>
        <w:tc>
          <w:tcPr>
            <w:tcW w:w="2591" w:type="dxa"/>
            <w:vAlign w:val="center"/>
          </w:tcPr>
          <w:p>
            <w:pPr>
              <w:pStyle w:val="63"/>
              <w:rPr>
                <w:lang w:bidi="ar"/>
              </w:rPr>
            </w:pPr>
            <w:r>
              <w:rPr>
                <w:lang w:bidi="ar"/>
              </w:rPr>
              <w:t>通江县草池乡至巴州区梓潼乡天然气管道工程</w:t>
            </w:r>
          </w:p>
        </w:tc>
        <w:tc>
          <w:tcPr>
            <w:tcW w:w="2370" w:type="dxa"/>
            <w:vAlign w:val="center"/>
          </w:tcPr>
          <w:p>
            <w:pPr>
              <w:pStyle w:val="63"/>
              <w:rPr>
                <w:lang w:bidi="ar"/>
              </w:rPr>
            </w:pPr>
            <w:r>
              <w:rPr>
                <w:lang w:bidi="ar"/>
              </w:rPr>
              <w:t>巴环函</w:t>
            </w:r>
            <w:r>
              <w:rPr>
                <w:rFonts w:hint="eastAsia"/>
                <w:lang w:bidi="ar"/>
              </w:rPr>
              <w:t>﹝2007﹞07号</w:t>
            </w:r>
          </w:p>
        </w:tc>
        <w:tc>
          <w:tcPr>
            <w:tcW w:w="1560" w:type="dxa"/>
            <w:vAlign w:val="center"/>
          </w:tcPr>
          <w:p>
            <w:pPr>
              <w:pStyle w:val="63"/>
              <w:rPr>
                <w:lang w:bidi="ar"/>
              </w:rPr>
            </w:pPr>
            <w:r>
              <w:rPr>
                <w:rFonts w:hint="eastAsia"/>
                <w:lang w:bidi="ar"/>
              </w:rPr>
              <w:t>2007.1.5</w:t>
            </w:r>
          </w:p>
        </w:tc>
        <w:tc>
          <w:tcPr>
            <w:tcW w:w="1182" w:type="dxa"/>
            <w:vMerge w:val="continue"/>
            <w:vAlign w:val="center"/>
          </w:tcPr>
          <w:p>
            <w:pPr>
              <w:pStyle w:val="63"/>
              <w:rPr>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tcBorders>
              <w:left w:val="nil"/>
            </w:tcBorders>
            <w:vAlign w:val="center"/>
          </w:tcPr>
          <w:p>
            <w:pPr>
              <w:pStyle w:val="63"/>
              <w:rPr>
                <w:lang w:bidi="ar"/>
              </w:rPr>
            </w:pPr>
            <w:r>
              <w:rPr>
                <w:rFonts w:hint="eastAsia"/>
                <w:lang w:bidi="ar"/>
              </w:rPr>
              <w:t>4</w:t>
            </w:r>
          </w:p>
        </w:tc>
        <w:tc>
          <w:tcPr>
            <w:tcW w:w="2591" w:type="dxa"/>
            <w:vAlign w:val="center"/>
          </w:tcPr>
          <w:p>
            <w:pPr>
              <w:pStyle w:val="63"/>
              <w:rPr>
                <w:lang w:bidi="ar"/>
              </w:rPr>
            </w:pPr>
            <w:r>
              <w:rPr>
                <w:lang w:bidi="ar"/>
              </w:rPr>
              <w:t>河坝</w:t>
            </w:r>
            <w:r>
              <w:rPr>
                <w:rFonts w:hint="eastAsia"/>
                <w:lang w:bidi="ar"/>
              </w:rPr>
              <w:t>1井—巴中末站天然气管道工程</w:t>
            </w:r>
          </w:p>
        </w:tc>
        <w:tc>
          <w:tcPr>
            <w:tcW w:w="2370" w:type="dxa"/>
            <w:vAlign w:val="center"/>
          </w:tcPr>
          <w:p>
            <w:pPr>
              <w:pStyle w:val="63"/>
              <w:rPr>
                <w:lang w:bidi="ar"/>
              </w:rPr>
            </w:pPr>
            <w:r>
              <w:rPr>
                <w:lang w:bidi="ar"/>
              </w:rPr>
              <w:t>巴环</w:t>
            </w:r>
            <w:r>
              <w:rPr>
                <w:rFonts w:hint="eastAsia"/>
                <w:lang w:bidi="ar"/>
              </w:rPr>
              <w:t>﹝2009﹞竣验10号</w:t>
            </w:r>
          </w:p>
        </w:tc>
        <w:tc>
          <w:tcPr>
            <w:tcW w:w="1560" w:type="dxa"/>
            <w:vAlign w:val="center"/>
          </w:tcPr>
          <w:p>
            <w:pPr>
              <w:pStyle w:val="63"/>
              <w:rPr>
                <w:lang w:bidi="ar"/>
              </w:rPr>
            </w:pPr>
            <w:r>
              <w:rPr>
                <w:rFonts w:hint="eastAsia"/>
                <w:lang w:bidi="ar"/>
              </w:rPr>
              <w:t>2009.5.20</w:t>
            </w:r>
          </w:p>
        </w:tc>
        <w:tc>
          <w:tcPr>
            <w:tcW w:w="1182" w:type="dxa"/>
            <w:vMerge w:val="continue"/>
            <w:vAlign w:val="center"/>
          </w:tcPr>
          <w:p>
            <w:pPr>
              <w:pStyle w:val="63"/>
              <w:rPr>
                <w:lang w:bidi="ar"/>
              </w:rPr>
            </w:pPr>
          </w:p>
        </w:tc>
      </w:tr>
    </w:tbl>
    <w:p>
      <w:pPr>
        <w:pStyle w:val="5"/>
      </w:pPr>
      <w:r>
        <w:rPr>
          <w:rFonts w:hint="eastAsia"/>
        </w:rPr>
        <w:t xml:space="preserve"> </w:t>
      </w:r>
      <w:bookmarkStart w:id="74" w:name="_Toc96680630"/>
      <w:r>
        <w:rPr>
          <w:rFonts w:hint="eastAsia"/>
        </w:rPr>
        <w:t>环保遗留问题</w:t>
      </w:r>
      <w:bookmarkEnd w:id="74"/>
    </w:p>
    <w:p>
      <w:pPr>
        <w:ind w:firstLine="480"/>
        <w:rPr>
          <w:lang w:bidi="ar"/>
        </w:rPr>
      </w:pPr>
      <w:r>
        <w:t>根据</w:t>
      </w:r>
      <w:r>
        <w:rPr>
          <w:lang w:bidi="ar"/>
        </w:rPr>
        <w:t>河坝</w:t>
      </w:r>
      <w:r>
        <w:rPr>
          <w:rFonts w:hint="eastAsia"/>
          <w:lang w:bidi="ar"/>
        </w:rPr>
        <w:t>1井—巴中末站天然气管道工程验收申请表及验收意见，</w:t>
      </w:r>
      <w:r>
        <w:rPr>
          <w:lang w:bidi="ar"/>
        </w:rPr>
        <w:t>河坝</w:t>
      </w:r>
      <w:r>
        <w:rPr>
          <w:rFonts w:hint="eastAsia"/>
          <w:lang w:bidi="ar"/>
        </w:rPr>
        <w:t>1井—巴中末站天然气管道工程污染物治理情况如下：（1）河坝1井采气废水200方/天，由仁智石化公司处理达标，运至通江下游排放；（2）巴中末站输气废水由污水罐收集，运至仁智石化公司处理，生活废水由化粪池处理后用于站区绿化，不外排；（3）施工弃土采用随控随填措施，不乱倒，所破坏植被在施工结束后恢复。项目建设过程中执行了环保“三同时”制度。</w:t>
      </w:r>
    </w:p>
    <w:p>
      <w:pPr>
        <w:ind w:firstLine="480"/>
      </w:pPr>
      <w:r>
        <w:rPr>
          <w:rFonts w:hint="eastAsia"/>
          <w:lang w:bidi="ar"/>
        </w:rPr>
        <w:t>根据现场调查，原河巴线生态恢复较好，无环保遗留问题。</w:t>
      </w:r>
    </w:p>
    <w:p>
      <w:pPr>
        <w:pStyle w:val="4"/>
        <w:rPr>
          <w:rFonts w:cs="Times New Roman"/>
        </w:rPr>
      </w:pPr>
      <w:r>
        <w:rPr>
          <w:rFonts w:hint="eastAsia" w:cs="Times New Roman"/>
        </w:rPr>
        <w:t xml:space="preserve"> </w:t>
      </w:r>
      <w:bookmarkStart w:id="75" w:name="_Toc96680631"/>
      <w:r>
        <w:rPr>
          <w:rFonts w:hint="eastAsia" w:cs="Times New Roman"/>
        </w:rPr>
        <w:t>本</w:t>
      </w:r>
      <w:r>
        <w:rPr>
          <w:rFonts w:cs="Times New Roman"/>
        </w:rPr>
        <w:t>项目名称、建设地点及建设性质</w:t>
      </w:r>
      <w:bookmarkEnd w:id="75"/>
    </w:p>
    <w:p>
      <w:pPr>
        <w:autoSpaceDE w:val="0"/>
        <w:autoSpaceDN w:val="0"/>
        <w:adjustRightInd w:val="0"/>
        <w:snapToGrid w:val="0"/>
        <w:spacing w:line="460" w:lineRule="exact"/>
        <w:ind w:firstLine="482"/>
        <w:jc w:val="left"/>
        <w:rPr>
          <w:rFonts w:cs="Times New Roman"/>
          <w:kern w:val="0"/>
          <w:szCs w:val="24"/>
        </w:rPr>
      </w:pPr>
      <w:bookmarkStart w:id="76" w:name="_Toc57710993"/>
      <w:r>
        <w:rPr>
          <w:rFonts w:cs="Times New Roman"/>
          <w:b/>
          <w:kern w:val="0"/>
          <w:szCs w:val="24"/>
        </w:rPr>
        <w:t>项目名称：</w:t>
      </w:r>
      <w:r>
        <w:rPr>
          <w:rFonts w:hint="eastAsia" w:cs="Times New Roman"/>
          <w:szCs w:val="24"/>
        </w:rPr>
        <w:t>河巴线通江县涪阳镇活水沟村滑坡应急抢险治理项目</w:t>
      </w:r>
      <w:r>
        <w:rPr>
          <w:rFonts w:ascii="宋体" w:hAnsi="宋体"/>
          <w:bCs/>
          <w:szCs w:val="24"/>
        </w:rPr>
        <w:t xml:space="preserve"> </w:t>
      </w:r>
      <w:r>
        <w:rPr>
          <w:rFonts w:cs="Times New Roman"/>
          <w:kern w:val="0"/>
          <w:szCs w:val="24"/>
        </w:rPr>
        <w:t>；</w:t>
      </w:r>
    </w:p>
    <w:p>
      <w:pPr>
        <w:autoSpaceDE w:val="0"/>
        <w:autoSpaceDN w:val="0"/>
        <w:adjustRightInd w:val="0"/>
        <w:snapToGrid w:val="0"/>
        <w:spacing w:line="460" w:lineRule="exact"/>
        <w:ind w:firstLine="482"/>
        <w:jc w:val="left"/>
        <w:rPr>
          <w:rFonts w:cs="Times New Roman"/>
          <w:kern w:val="0"/>
          <w:szCs w:val="24"/>
        </w:rPr>
      </w:pPr>
      <w:r>
        <w:rPr>
          <w:rFonts w:cs="Times New Roman"/>
          <w:b/>
          <w:kern w:val="0"/>
          <w:szCs w:val="24"/>
        </w:rPr>
        <w:t>建设地点：</w:t>
      </w:r>
      <w:r>
        <w:rPr>
          <w:rFonts w:hint="eastAsia" w:cs="Times New Roman"/>
          <w:szCs w:val="22"/>
        </w:rPr>
        <w:t>四川省巴中市通</w:t>
      </w:r>
      <w:r>
        <w:rPr>
          <w:rFonts w:hint="eastAsia"/>
        </w:rPr>
        <w:t>江县涪阳镇活水沟村和斜滩河村</w:t>
      </w:r>
      <w:r>
        <w:t>；</w:t>
      </w:r>
    </w:p>
    <w:p>
      <w:pPr>
        <w:autoSpaceDE w:val="0"/>
        <w:autoSpaceDN w:val="0"/>
        <w:adjustRightInd w:val="0"/>
        <w:snapToGrid w:val="0"/>
        <w:spacing w:line="460" w:lineRule="exact"/>
        <w:ind w:firstLine="482"/>
        <w:jc w:val="left"/>
        <w:rPr>
          <w:rFonts w:cs="Times New Roman"/>
          <w:kern w:val="0"/>
          <w:szCs w:val="24"/>
        </w:rPr>
      </w:pPr>
      <w:r>
        <w:rPr>
          <w:rFonts w:cs="Times New Roman"/>
          <w:b/>
          <w:kern w:val="0"/>
          <w:szCs w:val="24"/>
        </w:rPr>
        <w:t>建设单位：</w:t>
      </w:r>
      <w:r>
        <w:rPr>
          <w:rFonts w:hint="eastAsia" w:cs="Times New Roman"/>
          <w:szCs w:val="24"/>
        </w:rPr>
        <w:t>中国石油化工股份有限公司天然气分公司四川天然气销售中心；</w:t>
      </w:r>
    </w:p>
    <w:p>
      <w:pPr>
        <w:autoSpaceDE w:val="0"/>
        <w:autoSpaceDN w:val="0"/>
        <w:adjustRightInd w:val="0"/>
        <w:snapToGrid w:val="0"/>
        <w:spacing w:line="460" w:lineRule="exact"/>
        <w:ind w:firstLine="482"/>
        <w:jc w:val="left"/>
        <w:rPr>
          <w:rFonts w:cs="Times New Roman"/>
          <w:kern w:val="0"/>
          <w:szCs w:val="24"/>
        </w:rPr>
      </w:pPr>
      <w:r>
        <w:rPr>
          <w:rFonts w:cs="Times New Roman"/>
          <w:b/>
          <w:kern w:val="0"/>
          <w:szCs w:val="24"/>
        </w:rPr>
        <w:t>建设性质：</w:t>
      </w:r>
      <w:r>
        <w:rPr>
          <w:rFonts w:hint="eastAsia" w:cs="Times New Roman"/>
          <w:kern w:val="0"/>
          <w:szCs w:val="24"/>
        </w:rPr>
        <w:t>改建</w:t>
      </w:r>
      <w:r>
        <w:rPr>
          <w:rFonts w:cs="Times New Roman"/>
          <w:kern w:val="0"/>
          <w:szCs w:val="24"/>
        </w:rPr>
        <w:t>；</w:t>
      </w:r>
    </w:p>
    <w:p>
      <w:pPr>
        <w:ind w:firstLine="482"/>
        <w:rPr>
          <w:rFonts w:cs="Times New Roman"/>
        </w:rPr>
      </w:pPr>
      <w:r>
        <w:rPr>
          <w:rFonts w:cs="Times New Roman"/>
          <w:b/>
          <w:bCs/>
        </w:rPr>
        <w:t>占地面积：</w:t>
      </w:r>
      <w:r>
        <w:rPr>
          <w:rFonts w:cs="Times New Roman"/>
        </w:rPr>
        <w:t>临时占地</w:t>
      </w:r>
      <w:r>
        <w:rPr>
          <w:rFonts w:hint="eastAsia" w:cs="Times New Roman"/>
        </w:rPr>
        <w:t>2.72h</w:t>
      </w:r>
      <w:r>
        <w:rPr>
          <w:rFonts w:cs="Times New Roman"/>
        </w:rPr>
        <w:t>m</w:t>
      </w:r>
      <w:r>
        <w:rPr>
          <w:rFonts w:cs="Times New Roman"/>
          <w:vertAlign w:val="superscript"/>
        </w:rPr>
        <w:t>2</w:t>
      </w:r>
      <w:r>
        <w:rPr>
          <w:rFonts w:cs="Times New Roman"/>
        </w:rPr>
        <w:t>，永久占地</w:t>
      </w:r>
      <w:r>
        <w:rPr>
          <w:rFonts w:hint="eastAsia" w:cs="Times New Roman"/>
        </w:rPr>
        <w:t>约</w:t>
      </w:r>
      <w:r>
        <w:rPr>
          <w:rFonts w:cs="Times New Roman"/>
        </w:rPr>
        <w:t>22</w:t>
      </w:r>
      <w:r>
        <w:rPr>
          <w:rFonts w:hint="eastAsia" w:cs="Times New Roman"/>
        </w:rPr>
        <w:t>m</w:t>
      </w:r>
      <w:r>
        <w:rPr>
          <w:rFonts w:cs="Times New Roman"/>
          <w:vertAlign w:val="superscript"/>
        </w:rPr>
        <w:t>2</w:t>
      </w:r>
      <w:r>
        <w:rPr>
          <w:rFonts w:cs="Times New Roman"/>
        </w:rPr>
        <w:t>；</w:t>
      </w:r>
    </w:p>
    <w:p>
      <w:pPr>
        <w:ind w:firstLine="482"/>
        <w:rPr>
          <w:rFonts w:cs="Times New Roman"/>
        </w:rPr>
      </w:pPr>
      <w:r>
        <w:rPr>
          <w:rFonts w:cs="Times New Roman"/>
          <w:b/>
          <w:bCs/>
        </w:rPr>
        <w:t>建设周期：</w:t>
      </w:r>
      <w:r>
        <w:rPr>
          <w:rFonts w:cs="Times New Roman"/>
        </w:rPr>
        <w:t>3个月；</w:t>
      </w:r>
    </w:p>
    <w:p>
      <w:pPr>
        <w:ind w:firstLine="482"/>
        <w:rPr>
          <w:rFonts w:cs="Times New Roman"/>
        </w:rPr>
      </w:pPr>
      <w:r>
        <w:rPr>
          <w:rFonts w:cs="Times New Roman"/>
          <w:b/>
          <w:bCs/>
        </w:rPr>
        <w:t>建设内容及规模：</w:t>
      </w:r>
      <w:r>
        <w:rPr>
          <w:rFonts w:hint="eastAsia" w:cs="Times New Roman"/>
          <w:szCs w:val="24"/>
        </w:rPr>
        <w:t>河巴线局部管道改道，改迁长度</w:t>
      </w:r>
      <w:r>
        <w:rPr>
          <w:rFonts w:cs="Times New Roman"/>
        </w:rPr>
        <w:t>总计约</w:t>
      </w:r>
      <w:r>
        <w:rPr>
          <w:rFonts w:hint="eastAsia" w:cs="Times New Roman"/>
        </w:rPr>
        <w:t>2</w:t>
      </w:r>
      <w:r>
        <w:rPr>
          <w:rFonts w:cs="Times New Roman"/>
        </w:rPr>
        <w:t>km，</w:t>
      </w:r>
      <w:r>
        <w:t>设计输量为150×10</w:t>
      </w:r>
      <w:r>
        <w:rPr>
          <w:vertAlign w:val="superscript"/>
        </w:rPr>
        <w:t>4</w:t>
      </w:r>
      <w:r>
        <w:t>m</w:t>
      </w:r>
      <w:r>
        <w:rPr>
          <w:vertAlign w:val="superscript"/>
        </w:rPr>
        <w:t>3</w:t>
      </w:r>
      <w:r>
        <w:t>/d</w:t>
      </w:r>
      <w:r>
        <w:rPr>
          <w:rFonts w:cs="Times New Roman"/>
          <w:snapToGrid w:val="0"/>
        </w:rPr>
        <w:t>，设计压力为</w:t>
      </w:r>
      <w:r>
        <w:rPr>
          <w:rFonts w:hint="eastAsia" w:cs="Times New Roman"/>
        </w:rPr>
        <w:t>8.0</w:t>
      </w:r>
      <w:r>
        <w:rPr>
          <w:rFonts w:cs="Times New Roman"/>
        </w:rPr>
        <w:t>M</w:t>
      </w:r>
      <w:r>
        <w:rPr>
          <w:rFonts w:hint="eastAsia" w:cs="Times New Roman"/>
        </w:rPr>
        <w:t>P</w:t>
      </w:r>
      <w:r>
        <w:rPr>
          <w:rFonts w:cs="Times New Roman"/>
        </w:rPr>
        <w:t>a</w:t>
      </w:r>
      <w:r>
        <w:rPr>
          <w:rFonts w:hint="eastAsia" w:cs="Times New Roman"/>
        </w:rPr>
        <w:t>；材质采用L360NPSL2无缝钢管，管道规格为Φ273×8.0mm。整改后管线采用常温型加强级三层PE外防腐层，阴极保护接入原阴极保护系统，同沟敷设GYTA5312芯光缆2.14公里。迁改后原管道弃置处理。</w:t>
      </w:r>
    </w:p>
    <w:p>
      <w:pPr>
        <w:ind w:firstLine="482"/>
      </w:pPr>
      <w:r>
        <w:rPr>
          <w:rFonts w:cs="Times New Roman"/>
          <w:b/>
          <w:bCs/>
        </w:rPr>
        <w:t>项目投资：</w:t>
      </w:r>
      <w:r>
        <w:rPr>
          <w:rFonts w:hint="eastAsia" w:cs="Times New Roman"/>
        </w:rPr>
        <w:t>总投资</w:t>
      </w:r>
      <w:r>
        <w:rPr>
          <w:rFonts w:cs="Times New Roman"/>
        </w:rPr>
        <w:t>857.88万元，其中环保投资39.6万元，占项目总投资4.62%</w:t>
      </w:r>
      <w:r>
        <w:rPr>
          <w:rFonts w:hint="eastAsia" w:cs="Times New Roman"/>
        </w:rPr>
        <w:t>。</w:t>
      </w:r>
    </w:p>
    <w:bookmarkEnd w:id="76"/>
    <w:p>
      <w:pPr>
        <w:pStyle w:val="4"/>
        <w:rPr>
          <w:rFonts w:cs="Times New Roman"/>
        </w:rPr>
      </w:pPr>
      <w:bookmarkStart w:id="77" w:name="_Toc89009613"/>
      <w:r>
        <w:rPr>
          <w:rFonts w:hint="eastAsia" w:cs="Times New Roman"/>
        </w:rPr>
        <w:t xml:space="preserve"> </w:t>
      </w:r>
      <w:bookmarkStart w:id="78" w:name="_Toc96680632"/>
      <w:r>
        <w:rPr>
          <w:rFonts w:cs="Times New Roman"/>
        </w:rPr>
        <w:t>项目组成及工程量</w:t>
      </w:r>
      <w:bookmarkEnd w:id="77"/>
      <w:bookmarkEnd w:id="78"/>
    </w:p>
    <w:p>
      <w:pPr>
        <w:pStyle w:val="5"/>
        <w:rPr>
          <w:rFonts w:cs="Times New Roman"/>
        </w:rPr>
      </w:pPr>
      <w:bookmarkStart w:id="79" w:name="_Toc89009614"/>
      <w:r>
        <w:rPr>
          <w:rFonts w:hint="eastAsia" w:cs="Times New Roman"/>
        </w:rPr>
        <w:t xml:space="preserve"> </w:t>
      </w:r>
      <w:bookmarkStart w:id="80" w:name="_Toc96680633"/>
      <w:r>
        <w:rPr>
          <w:rFonts w:cs="Times New Roman"/>
        </w:rPr>
        <w:t>项目组成</w:t>
      </w:r>
      <w:bookmarkEnd w:id="79"/>
      <w:bookmarkEnd w:id="80"/>
    </w:p>
    <w:p>
      <w:pPr>
        <w:wordWrap w:val="0"/>
        <w:ind w:firstLine="480"/>
        <w:rPr>
          <w:rFonts w:cs="Times New Roman"/>
        </w:rPr>
      </w:pPr>
      <w:r>
        <w:rPr>
          <w:rFonts w:cs="Times New Roman"/>
        </w:rPr>
        <w:t>本项目为天然气管道改线工程，项目不新建站场、阀室、阀井等，管道均采用埋地敷设方式，总计</w:t>
      </w:r>
      <w:r>
        <w:rPr>
          <w:rFonts w:hint="eastAsia" w:cs="Times New Roman"/>
        </w:rPr>
        <w:t>2.0</w:t>
      </w:r>
      <w:r>
        <w:rPr>
          <w:rFonts w:cs="Times New Roman"/>
        </w:rPr>
        <w:t>km。项目组成及主要环境问题详见下表。</w:t>
      </w:r>
    </w:p>
    <w:p>
      <w:pPr>
        <w:pStyle w:val="73"/>
        <w:wordWrap w:val="0"/>
        <w:ind w:left="922" w:hanging="442"/>
        <w:rPr>
          <w:rFonts w:cs="Times New Roman"/>
          <w:b w:val="0"/>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2.3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w:t>
      </w:r>
      <w:r>
        <w:rPr>
          <w:sz w:val="21"/>
          <w:szCs w:val="21"/>
        </w:rPr>
        <w:t>建设项目组成及主要的环境问题一览表</w:t>
      </w:r>
    </w:p>
    <w:tbl>
      <w:tblPr>
        <w:tblStyle w:val="115"/>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5"/>
        <w:gridCol w:w="709"/>
        <w:gridCol w:w="4253"/>
        <w:gridCol w:w="1492"/>
        <w:gridCol w:w="13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396" w:type="pct"/>
            <w:vMerge w:val="restart"/>
            <w:tcBorders>
              <w:top w:val="nil"/>
              <w:left w:val="nil"/>
            </w:tcBorders>
            <w:vAlign w:val="center"/>
          </w:tcPr>
          <w:p>
            <w:pPr>
              <w:pStyle w:val="63"/>
              <w:rPr>
                <w:b/>
              </w:rPr>
            </w:pPr>
            <w:bookmarkStart w:id="81" w:name="_Hlk49795606"/>
            <w:bookmarkStart w:id="82" w:name="_Hlk49784381"/>
            <w:r>
              <w:rPr>
                <w:b/>
              </w:rPr>
              <w:t>类别</w:t>
            </w:r>
          </w:p>
        </w:tc>
        <w:tc>
          <w:tcPr>
            <w:tcW w:w="416" w:type="pct"/>
            <w:vMerge w:val="restart"/>
            <w:tcBorders>
              <w:top w:val="nil"/>
            </w:tcBorders>
            <w:vAlign w:val="center"/>
          </w:tcPr>
          <w:p>
            <w:pPr>
              <w:pStyle w:val="63"/>
              <w:rPr>
                <w:b/>
              </w:rPr>
            </w:pPr>
            <w:r>
              <w:rPr>
                <w:b/>
              </w:rPr>
              <w:t>名称</w:t>
            </w:r>
          </w:p>
        </w:tc>
        <w:tc>
          <w:tcPr>
            <w:tcW w:w="2497" w:type="pct"/>
            <w:vMerge w:val="restart"/>
            <w:tcBorders>
              <w:top w:val="nil"/>
            </w:tcBorders>
            <w:vAlign w:val="center"/>
          </w:tcPr>
          <w:p>
            <w:pPr>
              <w:pStyle w:val="63"/>
              <w:rPr>
                <w:b/>
              </w:rPr>
            </w:pPr>
            <w:r>
              <w:rPr>
                <w:b/>
              </w:rPr>
              <w:t>主要建设内容及规模</w:t>
            </w:r>
          </w:p>
        </w:tc>
        <w:tc>
          <w:tcPr>
            <w:tcW w:w="1690" w:type="pct"/>
            <w:gridSpan w:val="2"/>
            <w:tcBorders>
              <w:top w:val="nil"/>
            </w:tcBorders>
            <w:vAlign w:val="center"/>
          </w:tcPr>
          <w:p>
            <w:pPr>
              <w:pStyle w:val="63"/>
              <w:rPr>
                <w:b/>
              </w:rPr>
            </w:pPr>
            <w:r>
              <w:rPr>
                <w:b/>
              </w:rPr>
              <w:t>可能产生的环境问题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396" w:type="pct"/>
            <w:vMerge w:val="continue"/>
            <w:tcBorders>
              <w:top w:val="nil"/>
              <w:left w:val="nil"/>
            </w:tcBorders>
            <w:vAlign w:val="center"/>
          </w:tcPr>
          <w:p>
            <w:pPr>
              <w:pStyle w:val="63"/>
              <w:rPr>
                <w:b/>
              </w:rPr>
            </w:pPr>
          </w:p>
        </w:tc>
        <w:tc>
          <w:tcPr>
            <w:tcW w:w="416" w:type="pct"/>
            <w:vMerge w:val="continue"/>
            <w:tcBorders>
              <w:top w:val="nil"/>
            </w:tcBorders>
            <w:vAlign w:val="center"/>
          </w:tcPr>
          <w:p>
            <w:pPr>
              <w:pStyle w:val="63"/>
              <w:rPr>
                <w:b/>
              </w:rPr>
            </w:pPr>
          </w:p>
        </w:tc>
        <w:tc>
          <w:tcPr>
            <w:tcW w:w="2497" w:type="pct"/>
            <w:vMerge w:val="continue"/>
            <w:tcBorders>
              <w:top w:val="nil"/>
            </w:tcBorders>
            <w:vAlign w:val="center"/>
          </w:tcPr>
          <w:p>
            <w:pPr>
              <w:pStyle w:val="63"/>
              <w:rPr>
                <w:b/>
              </w:rPr>
            </w:pPr>
          </w:p>
        </w:tc>
        <w:tc>
          <w:tcPr>
            <w:tcW w:w="876" w:type="pct"/>
            <w:tcBorders>
              <w:top w:val="nil"/>
            </w:tcBorders>
            <w:vAlign w:val="center"/>
          </w:tcPr>
          <w:p>
            <w:pPr>
              <w:pStyle w:val="63"/>
              <w:rPr>
                <w:b/>
              </w:rPr>
            </w:pPr>
            <w:r>
              <w:rPr>
                <w:b/>
              </w:rPr>
              <w:t>施工期</w:t>
            </w:r>
          </w:p>
        </w:tc>
        <w:tc>
          <w:tcPr>
            <w:tcW w:w="814" w:type="pct"/>
            <w:tcBorders>
              <w:top w:val="nil"/>
            </w:tcBorders>
            <w:vAlign w:val="center"/>
          </w:tcPr>
          <w:p>
            <w:pPr>
              <w:pStyle w:val="63"/>
              <w:rPr>
                <w:b/>
              </w:rPr>
            </w:pPr>
            <w:r>
              <w:rPr>
                <w:b/>
              </w:rPr>
              <w:t>运营期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396" w:type="pct"/>
            <w:vMerge w:val="restart"/>
            <w:tcBorders>
              <w:left w:val="nil"/>
            </w:tcBorders>
            <w:vAlign w:val="center"/>
          </w:tcPr>
          <w:p>
            <w:pPr>
              <w:pStyle w:val="63"/>
            </w:pPr>
            <w:r>
              <w:t>主体</w:t>
            </w:r>
          </w:p>
          <w:p>
            <w:pPr>
              <w:pStyle w:val="63"/>
            </w:pPr>
            <w:r>
              <w:t>工程</w:t>
            </w:r>
          </w:p>
        </w:tc>
        <w:tc>
          <w:tcPr>
            <w:tcW w:w="416" w:type="pct"/>
            <w:vAlign w:val="center"/>
          </w:tcPr>
          <w:p>
            <w:pPr>
              <w:pStyle w:val="63"/>
            </w:pPr>
            <w:r>
              <w:t>输气管线</w:t>
            </w:r>
          </w:p>
        </w:tc>
        <w:tc>
          <w:tcPr>
            <w:tcW w:w="2497" w:type="pct"/>
            <w:vAlign w:val="center"/>
          </w:tcPr>
          <w:p>
            <w:pPr>
              <w:pStyle w:val="63"/>
              <w:jc w:val="left"/>
            </w:pPr>
            <w:r>
              <w:rPr>
                <w:rFonts w:hint="eastAsia" w:cs="Times New Roman"/>
                <w:szCs w:val="24"/>
              </w:rPr>
              <w:t>河巴线局部管道改道，改迁</w:t>
            </w:r>
            <w:r>
              <w:rPr>
                <w:rFonts w:cs="Times New Roman"/>
              </w:rPr>
              <w:t>总计约</w:t>
            </w:r>
            <w:r>
              <w:rPr>
                <w:rFonts w:hint="eastAsia" w:cs="Times New Roman"/>
              </w:rPr>
              <w:t>2</w:t>
            </w:r>
            <w:r>
              <w:rPr>
                <w:rFonts w:cs="Times New Roman"/>
              </w:rPr>
              <w:t>km，</w:t>
            </w:r>
            <w:r>
              <w:t>设计输量为150×10</w:t>
            </w:r>
            <w:r>
              <w:rPr>
                <w:vertAlign w:val="superscript"/>
              </w:rPr>
              <w:t>4</w:t>
            </w:r>
            <w:r>
              <w:t>m</w:t>
            </w:r>
            <w:r>
              <w:rPr>
                <w:vertAlign w:val="superscript"/>
              </w:rPr>
              <w:t>3</w:t>
            </w:r>
            <w:r>
              <w:t>/d</w:t>
            </w:r>
            <w:r>
              <w:rPr>
                <w:rFonts w:cs="Times New Roman"/>
                <w:snapToGrid w:val="0"/>
              </w:rPr>
              <w:t>，设计压力为</w:t>
            </w:r>
            <w:r>
              <w:rPr>
                <w:rFonts w:hint="eastAsia" w:cs="Times New Roman"/>
              </w:rPr>
              <w:t>8.0</w:t>
            </w:r>
            <w:r>
              <w:rPr>
                <w:rFonts w:cs="Times New Roman"/>
              </w:rPr>
              <w:t>M</w:t>
            </w:r>
            <w:r>
              <w:rPr>
                <w:rFonts w:hint="eastAsia" w:cs="Times New Roman"/>
              </w:rPr>
              <w:t>P</w:t>
            </w:r>
            <w:r>
              <w:rPr>
                <w:rFonts w:cs="Times New Roman"/>
              </w:rPr>
              <w:t>a</w:t>
            </w:r>
            <w:r>
              <w:rPr>
                <w:rFonts w:hint="eastAsia" w:cs="Times New Roman"/>
              </w:rPr>
              <w:t>；材质采用L360NPSL2无缝钢管，管道规格为Φ273×8.0mm。整改后管线采用常温型加强级三层PE外防腐层，阴极保护接入原阴极保护系统，同沟敷设GYTA5312芯光缆2.14公里。迁改后原管道弃置处理。</w:t>
            </w:r>
            <w:r>
              <w:t>管线沿途经过区域主要为农田、林地，沿途穿越乡村公路1处。</w:t>
            </w:r>
          </w:p>
        </w:tc>
        <w:tc>
          <w:tcPr>
            <w:tcW w:w="876" w:type="pct"/>
            <w:vAlign w:val="center"/>
          </w:tcPr>
          <w:p>
            <w:pPr>
              <w:pStyle w:val="63"/>
            </w:pPr>
            <w:r>
              <w:rPr>
                <w:szCs w:val="21"/>
              </w:rPr>
              <w:t>临时改变土地利用性，造成农业损失、生态破坏，产生施工噪声、扬尘、弃渣等</w:t>
            </w:r>
          </w:p>
        </w:tc>
        <w:tc>
          <w:tcPr>
            <w:tcW w:w="814" w:type="pct"/>
            <w:vAlign w:val="center"/>
          </w:tcPr>
          <w:p>
            <w:pPr>
              <w:pStyle w:val="63"/>
              <w:rPr>
                <w:szCs w:val="21"/>
              </w:rPr>
            </w:pPr>
            <w:r>
              <w:rPr>
                <w:szCs w:val="21"/>
              </w:rPr>
              <w:t>植被及农田生产力将得到一定的恢复，水土流失将逐渐减少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0" w:hRule="atLeast"/>
        </w:trPr>
        <w:tc>
          <w:tcPr>
            <w:tcW w:w="396" w:type="pct"/>
            <w:vMerge w:val="continue"/>
            <w:tcBorders>
              <w:left w:val="nil"/>
            </w:tcBorders>
            <w:vAlign w:val="center"/>
          </w:tcPr>
          <w:p>
            <w:pPr>
              <w:pStyle w:val="63"/>
            </w:pPr>
          </w:p>
        </w:tc>
        <w:tc>
          <w:tcPr>
            <w:tcW w:w="416" w:type="pct"/>
            <w:vAlign w:val="center"/>
          </w:tcPr>
          <w:p>
            <w:pPr>
              <w:pStyle w:val="63"/>
            </w:pPr>
            <w:r>
              <w:t>穿越工程</w:t>
            </w:r>
          </w:p>
        </w:tc>
        <w:tc>
          <w:tcPr>
            <w:tcW w:w="2497" w:type="pct"/>
            <w:vAlign w:val="center"/>
          </w:tcPr>
          <w:p>
            <w:pPr>
              <w:pStyle w:val="63"/>
            </w:pPr>
            <w:r>
              <w:t>本项目穿越乡村公路</w:t>
            </w:r>
            <w:r>
              <w:rPr>
                <w:rFonts w:hint="eastAsia"/>
              </w:rPr>
              <w:t>1</w:t>
            </w:r>
            <w:r>
              <w:t>处，长度</w:t>
            </w:r>
            <w:r>
              <w:rPr>
                <w:rFonts w:hint="eastAsia"/>
              </w:rPr>
              <w:t>14m</w:t>
            </w:r>
            <w:r>
              <w:t>，采用</w:t>
            </w:r>
            <w:r>
              <w:rPr>
                <w:rFonts w:hint="eastAsia"/>
                <w:szCs w:val="21"/>
              </w:rPr>
              <w:t>挖沟法加钢筋混凝土套管（</w:t>
            </w:r>
            <w:r>
              <w:rPr>
                <w:rFonts w:cs="Times New Roman"/>
                <w:szCs w:val="21"/>
              </w:rPr>
              <w:t>DRCP</w:t>
            </w:r>
            <w:r>
              <w:rPr>
                <w:rFonts w:hint="eastAsia"/>
                <w:szCs w:val="21"/>
              </w:rPr>
              <w:t>Ⅲ</w:t>
            </w:r>
            <w:r>
              <w:rPr>
                <w:rFonts w:cs="Times New Roman"/>
                <w:szCs w:val="21"/>
              </w:rPr>
              <w:t>800×2000</w:t>
            </w:r>
            <w:r>
              <w:rPr>
                <w:rFonts w:hint="eastAsia"/>
                <w:szCs w:val="21"/>
              </w:rPr>
              <w:t>）穿越水泥路</w:t>
            </w:r>
          </w:p>
        </w:tc>
        <w:tc>
          <w:tcPr>
            <w:tcW w:w="876" w:type="pct"/>
            <w:vAlign w:val="center"/>
          </w:tcPr>
          <w:p>
            <w:pPr>
              <w:pStyle w:val="63"/>
            </w:pPr>
            <w:r>
              <w:rPr>
                <w:rFonts w:cs="Times New Roman"/>
              </w:rPr>
              <w:t>水土流失，并对当地交通造成一定影响</w:t>
            </w:r>
          </w:p>
        </w:tc>
        <w:tc>
          <w:tcPr>
            <w:tcW w:w="814" w:type="pct"/>
            <w:vAlign w:val="center"/>
          </w:tcPr>
          <w:p>
            <w:pPr>
              <w:pStyle w:val="63"/>
            </w:pPr>
            <w:r>
              <w:rPr>
                <w:rFonts w:cs="Times New Roman"/>
              </w:rPr>
              <w:t>交通得以恢复，生态环境有所改善，水土流失逐渐降低，直到恢复正常水平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37" w:hRule="atLeast"/>
        </w:trPr>
        <w:tc>
          <w:tcPr>
            <w:tcW w:w="396" w:type="pct"/>
            <w:vMerge w:val="restart"/>
            <w:tcBorders>
              <w:left w:val="nil"/>
            </w:tcBorders>
            <w:vAlign w:val="center"/>
          </w:tcPr>
          <w:p>
            <w:pPr>
              <w:pStyle w:val="63"/>
            </w:pPr>
            <w:r>
              <w:t>临时辅助</w:t>
            </w:r>
          </w:p>
          <w:p>
            <w:pPr>
              <w:pStyle w:val="63"/>
            </w:pPr>
            <w:r>
              <w:t>工程</w:t>
            </w:r>
          </w:p>
        </w:tc>
        <w:tc>
          <w:tcPr>
            <w:tcW w:w="416" w:type="pct"/>
            <w:vAlign w:val="center"/>
          </w:tcPr>
          <w:p>
            <w:pPr>
              <w:pStyle w:val="63"/>
            </w:pPr>
            <w:r>
              <w:t>施工便道</w:t>
            </w:r>
          </w:p>
        </w:tc>
        <w:tc>
          <w:tcPr>
            <w:tcW w:w="2497" w:type="pct"/>
            <w:vAlign w:val="center"/>
          </w:tcPr>
          <w:p>
            <w:pPr>
              <w:pStyle w:val="63"/>
            </w:pPr>
            <w:r>
              <w:rPr>
                <w:rFonts w:hint="eastAsia"/>
                <w:szCs w:val="21"/>
              </w:rPr>
              <w:t>新修施工便道</w:t>
            </w:r>
            <w:r>
              <w:rPr>
                <w:szCs w:val="21"/>
              </w:rPr>
              <w:t>2</w:t>
            </w:r>
            <w:r>
              <w:rPr>
                <w:rFonts w:hint="eastAsia"/>
                <w:szCs w:val="21"/>
              </w:rPr>
              <w:t>00m，整修施工便道1000m</w:t>
            </w:r>
            <w:r>
              <w:t>，路宽4.5m。</w:t>
            </w:r>
          </w:p>
        </w:tc>
        <w:tc>
          <w:tcPr>
            <w:tcW w:w="876" w:type="pct"/>
            <w:vAlign w:val="center"/>
          </w:tcPr>
          <w:p>
            <w:pPr>
              <w:pStyle w:val="63"/>
            </w:pPr>
            <w:r>
              <w:rPr>
                <w:szCs w:val="21"/>
              </w:rPr>
              <w:t>临时改变土地利用性，造成农业损失、生态破坏，产生施工噪声、扬尘、弃渣等</w:t>
            </w:r>
          </w:p>
        </w:tc>
        <w:tc>
          <w:tcPr>
            <w:tcW w:w="814" w:type="pct"/>
            <w:vAlign w:val="center"/>
          </w:tcPr>
          <w:p>
            <w:pPr>
              <w:pStyle w:val="63"/>
            </w:pPr>
            <w:r>
              <w:rPr>
                <w:szCs w:val="21"/>
              </w:rPr>
              <w:t>植被及农田生产力将得到一定的恢复，水土流失将逐渐减少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1" w:hRule="atLeast"/>
        </w:trPr>
        <w:tc>
          <w:tcPr>
            <w:tcW w:w="396" w:type="pct"/>
            <w:vMerge w:val="continue"/>
            <w:tcBorders>
              <w:left w:val="nil"/>
            </w:tcBorders>
            <w:vAlign w:val="center"/>
          </w:tcPr>
          <w:p>
            <w:pPr>
              <w:pStyle w:val="63"/>
            </w:pPr>
          </w:p>
        </w:tc>
        <w:tc>
          <w:tcPr>
            <w:tcW w:w="416" w:type="pct"/>
            <w:vAlign w:val="center"/>
          </w:tcPr>
          <w:p>
            <w:pPr>
              <w:pStyle w:val="63"/>
            </w:pPr>
            <w:r>
              <w:t>堆管场</w:t>
            </w:r>
          </w:p>
        </w:tc>
        <w:tc>
          <w:tcPr>
            <w:tcW w:w="2497" w:type="pct"/>
            <w:vAlign w:val="center"/>
          </w:tcPr>
          <w:p>
            <w:pPr>
              <w:pStyle w:val="63"/>
              <w:rPr>
                <w:szCs w:val="21"/>
              </w:rPr>
            </w:pPr>
            <w:r>
              <w:rPr>
                <w:rFonts w:hint="eastAsia"/>
                <w:szCs w:val="21"/>
              </w:rPr>
              <w:t>1处，800m</w:t>
            </w:r>
            <w:r>
              <w:rPr>
                <w:rFonts w:hint="eastAsia"/>
                <w:szCs w:val="21"/>
                <w:vertAlign w:val="superscript"/>
              </w:rPr>
              <w:t>2</w:t>
            </w:r>
          </w:p>
        </w:tc>
        <w:tc>
          <w:tcPr>
            <w:tcW w:w="876" w:type="pct"/>
            <w:vAlign w:val="center"/>
          </w:tcPr>
          <w:p>
            <w:pPr>
              <w:pStyle w:val="63"/>
              <w:rPr>
                <w:szCs w:val="21"/>
              </w:rPr>
            </w:pPr>
            <w:r>
              <w:rPr>
                <w:rFonts w:cs="Times New Roman"/>
              </w:rPr>
              <w:t>临时改变土地利用性，造成农业损失、生态破坏，</w:t>
            </w:r>
          </w:p>
        </w:tc>
        <w:tc>
          <w:tcPr>
            <w:tcW w:w="814" w:type="pct"/>
            <w:vAlign w:val="center"/>
          </w:tcPr>
          <w:p>
            <w:pPr>
              <w:pStyle w:val="63"/>
              <w:rPr>
                <w:szCs w:val="21"/>
              </w:rPr>
            </w:pPr>
            <w:r>
              <w:rPr>
                <w:rFonts w:cs="Times New Roman"/>
              </w:rPr>
              <w:t>植被及农田生产力将得到一定的恢复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6" w:type="pct"/>
            <w:vMerge w:val="restart"/>
            <w:tcBorders>
              <w:left w:val="nil"/>
            </w:tcBorders>
            <w:vAlign w:val="center"/>
          </w:tcPr>
          <w:p>
            <w:pPr>
              <w:pStyle w:val="63"/>
            </w:pPr>
            <w:r>
              <w:t>公用</w:t>
            </w:r>
          </w:p>
          <w:p>
            <w:pPr>
              <w:pStyle w:val="63"/>
            </w:pPr>
            <w:r>
              <w:t>工程</w:t>
            </w:r>
          </w:p>
        </w:tc>
        <w:tc>
          <w:tcPr>
            <w:tcW w:w="416" w:type="pct"/>
            <w:vAlign w:val="center"/>
          </w:tcPr>
          <w:p>
            <w:pPr>
              <w:pStyle w:val="63"/>
            </w:pPr>
            <w:r>
              <w:t>供水</w:t>
            </w:r>
          </w:p>
        </w:tc>
        <w:tc>
          <w:tcPr>
            <w:tcW w:w="2497" w:type="pct"/>
            <w:vAlign w:val="center"/>
          </w:tcPr>
          <w:p>
            <w:pPr>
              <w:pStyle w:val="63"/>
            </w:pPr>
            <w:r>
              <w:t>本项目为集输管线建设，不设阀室、阀井、站场等，不进行给排水设计</w:t>
            </w:r>
          </w:p>
        </w:tc>
        <w:tc>
          <w:tcPr>
            <w:tcW w:w="876" w:type="pct"/>
            <w:vAlign w:val="center"/>
          </w:tcPr>
          <w:p>
            <w:pPr>
              <w:pStyle w:val="63"/>
            </w:pPr>
            <w:r>
              <w:t>/</w:t>
            </w:r>
          </w:p>
        </w:tc>
        <w:tc>
          <w:tcPr>
            <w:tcW w:w="814" w:type="pct"/>
            <w:vMerge w:val="restart"/>
            <w:vAlign w:val="center"/>
          </w:tcPr>
          <w:p>
            <w:pPr>
              <w:pStyle w:val="63"/>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396" w:type="pct"/>
            <w:vMerge w:val="continue"/>
            <w:tcBorders>
              <w:left w:val="nil"/>
            </w:tcBorders>
            <w:vAlign w:val="center"/>
          </w:tcPr>
          <w:p>
            <w:pPr>
              <w:pStyle w:val="63"/>
            </w:pPr>
          </w:p>
        </w:tc>
        <w:tc>
          <w:tcPr>
            <w:tcW w:w="416" w:type="pct"/>
            <w:vAlign w:val="center"/>
          </w:tcPr>
          <w:p>
            <w:pPr>
              <w:pStyle w:val="63"/>
            </w:pPr>
            <w:r>
              <w:t>供电</w:t>
            </w:r>
          </w:p>
        </w:tc>
        <w:tc>
          <w:tcPr>
            <w:tcW w:w="2497" w:type="pct"/>
            <w:vAlign w:val="center"/>
          </w:tcPr>
          <w:p>
            <w:pPr>
              <w:pStyle w:val="63"/>
            </w:pPr>
            <w:r>
              <w:t>本项目为集输管线建设，不设阀室、阀井、站场等，不进行供电设计</w:t>
            </w:r>
          </w:p>
        </w:tc>
        <w:tc>
          <w:tcPr>
            <w:tcW w:w="876" w:type="pct"/>
            <w:vAlign w:val="center"/>
          </w:tcPr>
          <w:p>
            <w:pPr>
              <w:pStyle w:val="63"/>
            </w:pPr>
            <w:r>
              <w:t>/</w:t>
            </w:r>
          </w:p>
        </w:tc>
        <w:tc>
          <w:tcPr>
            <w:tcW w:w="81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396" w:type="pct"/>
            <w:vMerge w:val="continue"/>
            <w:tcBorders>
              <w:left w:val="nil"/>
            </w:tcBorders>
            <w:vAlign w:val="center"/>
          </w:tcPr>
          <w:p>
            <w:pPr>
              <w:pStyle w:val="63"/>
            </w:pPr>
          </w:p>
        </w:tc>
        <w:tc>
          <w:tcPr>
            <w:tcW w:w="416" w:type="pct"/>
            <w:vAlign w:val="center"/>
          </w:tcPr>
          <w:p>
            <w:pPr>
              <w:pStyle w:val="63"/>
            </w:pPr>
            <w:r>
              <w:t>消防</w:t>
            </w:r>
          </w:p>
        </w:tc>
        <w:tc>
          <w:tcPr>
            <w:tcW w:w="2497" w:type="pct"/>
            <w:vAlign w:val="center"/>
          </w:tcPr>
          <w:p>
            <w:pPr>
              <w:pStyle w:val="63"/>
            </w:pPr>
            <w:r>
              <w:t>本工程消防设施主要依托相应站场配备的移动式灭火</w:t>
            </w:r>
            <w:r>
              <w:rPr>
                <w:rFonts w:cs="Times New Roman"/>
              </w:rPr>
              <w:t>设备和社会消防</w:t>
            </w:r>
          </w:p>
        </w:tc>
        <w:tc>
          <w:tcPr>
            <w:tcW w:w="876" w:type="pct"/>
            <w:vAlign w:val="center"/>
          </w:tcPr>
          <w:p>
            <w:pPr>
              <w:pStyle w:val="63"/>
            </w:pPr>
            <w:r>
              <w:t>/</w:t>
            </w:r>
          </w:p>
        </w:tc>
        <w:tc>
          <w:tcPr>
            <w:tcW w:w="81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396" w:type="pct"/>
            <w:tcBorders>
              <w:left w:val="nil"/>
            </w:tcBorders>
            <w:vAlign w:val="center"/>
          </w:tcPr>
          <w:p>
            <w:pPr>
              <w:pStyle w:val="63"/>
            </w:pPr>
            <w:r>
              <w:t>环保工程</w:t>
            </w:r>
          </w:p>
        </w:tc>
        <w:tc>
          <w:tcPr>
            <w:tcW w:w="416" w:type="pct"/>
            <w:vAlign w:val="center"/>
          </w:tcPr>
          <w:p>
            <w:pPr>
              <w:pStyle w:val="63"/>
            </w:pPr>
            <w:r>
              <w:t>水土保持</w:t>
            </w:r>
          </w:p>
        </w:tc>
        <w:tc>
          <w:tcPr>
            <w:tcW w:w="2497" w:type="pct"/>
            <w:vAlign w:val="center"/>
          </w:tcPr>
          <w:p>
            <w:pPr>
              <w:pStyle w:val="63"/>
            </w:pPr>
            <w:r>
              <w:t>做好护坡、堡坎和排水设施</w:t>
            </w:r>
          </w:p>
        </w:tc>
        <w:tc>
          <w:tcPr>
            <w:tcW w:w="876" w:type="pct"/>
            <w:vAlign w:val="center"/>
          </w:tcPr>
          <w:p>
            <w:pPr>
              <w:pStyle w:val="63"/>
            </w:pPr>
            <w:r>
              <w:t>/</w:t>
            </w:r>
          </w:p>
        </w:tc>
        <w:tc>
          <w:tcPr>
            <w:tcW w:w="814" w:type="pct"/>
            <w:vAlign w:val="center"/>
          </w:tcPr>
          <w:p>
            <w:pPr>
              <w:pStyle w:val="63"/>
            </w:pPr>
            <w:r>
              <w:t>/</w:t>
            </w:r>
          </w:p>
        </w:tc>
      </w:tr>
      <w:bookmarkEnd w:id="81"/>
      <w:bookmarkEnd w:id="82"/>
    </w:tbl>
    <w:p>
      <w:pPr>
        <w:pStyle w:val="5"/>
        <w:wordWrap w:val="0"/>
        <w:rPr>
          <w:rFonts w:cs="Times New Roman"/>
        </w:rPr>
      </w:pPr>
      <w:r>
        <w:rPr>
          <w:rFonts w:hint="eastAsia" w:cs="Times New Roman"/>
        </w:rPr>
        <w:t xml:space="preserve"> </w:t>
      </w:r>
      <w:bookmarkStart w:id="83" w:name="_Toc96680634"/>
      <w:r>
        <w:rPr>
          <w:rFonts w:cs="Times New Roman"/>
        </w:rPr>
        <w:t>项目线路主要工程量</w:t>
      </w:r>
      <w:bookmarkEnd w:id="83"/>
    </w:p>
    <w:p>
      <w:pPr>
        <w:wordWrap w:val="0"/>
        <w:ind w:firstLine="480"/>
        <w:rPr>
          <w:rFonts w:cs="Times New Roman"/>
        </w:rPr>
      </w:pPr>
      <w:r>
        <w:rPr>
          <w:rFonts w:cs="Times New Roman"/>
        </w:rPr>
        <w:t>项目管线主要工程量详见下表。</w:t>
      </w:r>
    </w:p>
    <w:p>
      <w:pPr>
        <w:ind w:firstLine="442"/>
        <w:jc w:val="center"/>
        <w:rPr>
          <w:rFonts w:eastAsia="楷体" w:cs="Times New Roman"/>
          <w:b/>
          <w:kern w:val="0"/>
          <w:sz w:val="22"/>
          <w:szCs w:val="24"/>
        </w:rPr>
        <w:sectPr>
          <w:headerReference r:id="rId25" w:type="default"/>
          <w:pgSz w:w="11906" w:h="16838"/>
          <w:pgMar w:top="1440" w:right="1800" w:bottom="1440" w:left="1800" w:header="851" w:footer="794" w:gutter="0"/>
          <w:cols w:space="425" w:num="1"/>
          <w:docGrid w:type="lines" w:linePitch="326" w:charSpace="0"/>
        </w:sectPr>
      </w:pPr>
    </w:p>
    <w:p>
      <w:pPr>
        <w:ind w:firstLine="442"/>
        <w:jc w:val="center"/>
        <w:rPr>
          <w:rFonts w:eastAsia="楷体" w:cs="Times New Roman"/>
          <w:b/>
          <w:kern w:val="0"/>
          <w:sz w:val="22"/>
          <w:szCs w:val="24"/>
        </w:rPr>
      </w:pPr>
      <w:r>
        <w:rPr>
          <w:rFonts w:eastAsia="楷体" w:cs="Times New Roman"/>
          <w:b/>
          <w:kern w:val="0"/>
          <w:sz w:val="22"/>
          <w:szCs w:val="24"/>
        </w:rPr>
        <w:t>表</w:t>
      </w:r>
      <w:r>
        <w:rPr>
          <w:rFonts w:eastAsia="楷体" w:cs="Times New Roman"/>
          <w:b/>
          <w:kern w:val="0"/>
          <w:sz w:val="22"/>
          <w:szCs w:val="24"/>
        </w:rPr>
        <w:fldChar w:fldCharType="begin"/>
      </w:r>
      <w:r>
        <w:rPr>
          <w:rFonts w:eastAsia="楷体" w:cs="Times New Roman"/>
          <w:b/>
          <w:kern w:val="0"/>
          <w:sz w:val="22"/>
          <w:szCs w:val="24"/>
        </w:rPr>
        <w:instrText xml:space="preserve"> STYLEREF 2 \s </w:instrText>
      </w:r>
      <w:r>
        <w:rPr>
          <w:rFonts w:eastAsia="楷体" w:cs="Times New Roman"/>
          <w:b/>
          <w:kern w:val="0"/>
          <w:sz w:val="22"/>
          <w:szCs w:val="24"/>
        </w:rPr>
        <w:fldChar w:fldCharType="separate"/>
      </w:r>
      <w:r>
        <w:rPr>
          <w:rFonts w:eastAsia="楷体" w:cs="Times New Roman"/>
          <w:b/>
          <w:kern w:val="0"/>
          <w:sz w:val="22"/>
          <w:szCs w:val="24"/>
        </w:rPr>
        <w:t>2.3</w:t>
      </w:r>
      <w:r>
        <w:rPr>
          <w:rFonts w:eastAsia="楷体" w:cs="Times New Roman"/>
          <w:b/>
          <w:kern w:val="0"/>
          <w:sz w:val="22"/>
          <w:szCs w:val="24"/>
        </w:rPr>
        <w:fldChar w:fldCharType="end"/>
      </w:r>
      <w:r>
        <w:rPr>
          <w:rFonts w:eastAsia="楷体" w:cs="Times New Roman"/>
          <w:b/>
          <w:kern w:val="0"/>
          <w:sz w:val="22"/>
          <w:szCs w:val="24"/>
        </w:rPr>
        <w:t>-</w:t>
      </w:r>
      <w:r>
        <w:rPr>
          <w:rFonts w:eastAsia="楷体" w:cs="Times New Roman"/>
          <w:b/>
          <w:kern w:val="0"/>
          <w:sz w:val="22"/>
          <w:szCs w:val="24"/>
        </w:rPr>
        <w:fldChar w:fldCharType="begin"/>
      </w:r>
      <w:r>
        <w:rPr>
          <w:rFonts w:eastAsia="楷体" w:cs="Times New Roman"/>
          <w:b/>
          <w:kern w:val="0"/>
          <w:sz w:val="22"/>
          <w:szCs w:val="24"/>
        </w:rPr>
        <w:instrText xml:space="preserve"> SEQ 表格 \* ARABIC \s 2 </w:instrText>
      </w:r>
      <w:r>
        <w:rPr>
          <w:rFonts w:eastAsia="楷体" w:cs="Times New Roman"/>
          <w:b/>
          <w:kern w:val="0"/>
          <w:sz w:val="22"/>
          <w:szCs w:val="24"/>
        </w:rPr>
        <w:fldChar w:fldCharType="separate"/>
      </w:r>
      <w:r>
        <w:rPr>
          <w:rFonts w:eastAsia="楷体" w:cs="Times New Roman"/>
          <w:b/>
          <w:kern w:val="0"/>
          <w:sz w:val="22"/>
          <w:szCs w:val="24"/>
        </w:rPr>
        <w:t>2</w:t>
      </w:r>
      <w:r>
        <w:rPr>
          <w:rFonts w:eastAsia="楷体" w:cs="Times New Roman"/>
          <w:b/>
          <w:kern w:val="0"/>
          <w:sz w:val="22"/>
          <w:szCs w:val="24"/>
        </w:rPr>
        <w:fldChar w:fldCharType="end"/>
      </w:r>
      <w:r>
        <w:rPr>
          <w:rFonts w:eastAsia="楷体" w:cs="Times New Roman"/>
          <w:b/>
          <w:kern w:val="0"/>
          <w:sz w:val="22"/>
          <w:szCs w:val="24"/>
        </w:rPr>
        <w:t xml:space="preserve">  线路主要工程量表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729"/>
        <w:gridCol w:w="1275"/>
        <w:gridCol w:w="2410"/>
        <w:gridCol w:w="1984"/>
        <w:gridCol w:w="2338"/>
        <w:gridCol w:w="42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blHeader/>
        </w:trPr>
        <w:tc>
          <w:tcPr>
            <w:tcW w:w="617" w:type="pct"/>
            <w:tcBorders>
              <w:top w:val="single" w:color="auto" w:sz="12" w:space="0"/>
              <w:left w:val="nil"/>
            </w:tcBorders>
            <w:vAlign w:val="center"/>
          </w:tcPr>
          <w:p>
            <w:pPr>
              <w:spacing w:line="300" w:lineRule="exact"/>
              <w:ind w:firstLine="0" w:firstLineChars="0"/>
              <w:jc w:val="center"/>
              <w:rPr>
                <w:rFonts w:cs="Times New Roman"/>
                <w:b/>
                <w:sz w:val="21"/>
              </w:rPr>
            </w:pPr>
            <w:r>
              <w:rPr>
                <w:rFonts w:hint="eastAsia" w:cs="Times New Roman"/>
                <w:b/>
                <w:sz w:val="21"/>
              </w:rPr>
              <w:t>名称</w:t>
            </w:r>
          </w:p>
        </w:tc>
        <w:tc>
          <w:tcPr>
            <w:tcW w:w="1315" w:type="pct"/>
            <w:gridSpan w:val="2"/>
            <w:tcBorders>
              <w:top w:val="single" w:color="auto" w:sz="12" w:space="0"/>
            </w:tcBorders>
            <w:vAlign w:val="center"/>
          </w:tcPr>
          <w:p>
            <w:pPr>
              <w:spacing w:line="300" w:lineRule="exact"/>
              <w:ind w:firstLine="0" w:firstLineChars="0"/>
              <w:jc w:val="center"/>
              <w:rPr>
                <w:rFonts w:cs="Times New Roman"/>
                <w:b/>
                <w:sz w:val="21"/>
              </w:rPr>
            </w:pPr>
            <w:r>
              <w:rPr>
                <w:rFonts w:hint="eastAsia" w:cs="Times New Roman"/>
                <w:b/>
                <w:sz w:val="21"/>
              </w:rPr>
              <w:t>项目</w:t>
            </w:r>
          </w:p>
        </w:tc>
        <w:tc>
          <w:tcPr>
            <w:tcW w:w="708" w:type="pct"/>
            <w:tcBorders>
              <w:top w:val="single" w:color="auto" w:sz="12" w:space="0"/>
            </w:tcBorders>
            <w:vAlign w:val="center"/>
          </w:tcPr>
          <w:p>
            <w:pPr>
              <w:spacing w:line="300" w:lineRule="exact"/>
              <w:ind w:firstLine="0" w:firstLineChars="0"/>
              <w:jc w:val="center"/>
              <w:rPr>
                <w:rFonts w:cs="Times New Roman"/>
                <w:b/>
                <w:sz w:val="21"/>
              </w:rPr>
            </w:pPr>
            <w:r>
              <w:rPr>
                <w:rFonts w:hint="eastAsia" w:cs="Times New Roman"/>
                <w:b/>
                <w:sz w:val="21"/>
              </w:rPr>
              <w:t>单位</w:t>
            </w:r>
          </w:p>
        </w:tc>
        <w:tc>
          <w:tcPr>
            <w:tcW w:w="834" w:type="pct"/>
            <w:tcBorders>
              <w:top w:val="single" w:color="auto" w:sz="12" w:space="0"/>
            </w:tcBorders>
            <w:vAlign w:val="center"/>
          </w:tcPr>
          <w:p>
            <w:pPr>
              <w:spacing w:line="300" w:lineRule="exact"/>
              <w:ind w:firstLine="0" w:firstLineChars="0"/>
              <w:jc w:val="center"/>
              <w:rPr>
                <w:rFonts w:cs="Times New Roman"/>
                <w:b/>
                <w:sz w:val="21"/>
              </w:rPr>
            </w:pPr>
            <w:r>
              <w:rPr>
                <w:rFonts w:hint="eastAsia" w:cs="Times New Roman"/>
                <w:b/>
                <w:sz w:val="21"/>
              </w:rPr>
              <w:t>数量</w:t>
            </w:r>
          </w:p>
        </w:tc>
        <w:tc>
          <w:tcPr>
            <w:tcW w:w="1526" w:type="pct"/>
            <w:tcBorders>
              <w:top w:val="single" w:color="auto" w:sz="12" w:space="0"/>
            </w:tcBorders>
            <w:vAlign w:val="center"/>
          </w:tcPr>
          <w:p>
            <w:pPr>
              <w:spacing w:line="300" w:lineRule="exact"/>
              <w:ind w:firstLine="0" w:firstLineChars="0"/>
              <w:jc w:val="center"/>
              <w:rPr>
                <w:rFonts w:cs="Times New Roman"/>
                <w:b/>
                <w:sz w:val="21"/>
              </w:rPr>
            </w:pPr>
            <w:r>
              <w:rPr>
                <w:rFonts w:hint="eastAsia" w:cs="Times New Roman"/>
                <w:b/>
                <w:sz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一、管线工程</w:t>
            </w:r>
          </w:p>
        </w:tc>
        <w:tc>
          <w:tcPr>
            <w:tcW w:w="1315" w:type="pct"/>
            <w:gridSpan w:val="2"/>
            <w:vAlign w:val="center"/>
          </w:tcPr>
          <w:p>
            <w:pPr>
              <w:spacing w:line="300" w:lineRule="exact"/>
              <w:ind w:firstLine="0" w:firstLineChars="0"/>
              <w:jc w:val="center"/>
              <w:rPr>
                <w:rFonts w:cs="Times New Roman"/>
                <w:sz w:val="21"/>
              </w:rPr>
            </w:pPr>
            <w:r>
              <w:rPr>
                <w:rFonts w:hint="eastAsia" w:cs="Times New Roman"/>
                <w:sz w:val="21"/>
              </w:rPr>
              <w:t>线路实长</w:t>
            </w:r>
          </w:p>
        </w:tc>
        <w:tc>
          <w:tcPr>
            <w:tcW w:w="708" w:type="pct"/>
            <w:vAlign w:val="center"/>
          </w:tcPr>
          <w:p>
            <w:pPr>
              <w:spacing w:line="300" w:lineRule="exact"/>
              <w:ind w:firstLine="0" w:firstLineChars="0"/>
              <w:jc w:val="center"/>
              <w:rPr>
                <w:rFonts w:cs="Times New Roman"/>
                <w:sz w:val="21"/>
              </w:rPr>
            </w:pPr>
            <w:r>
              <w:rPr>
                <w:rFonts w:hint="eastAsia" w:cs="Times New Roman"/>
                <w:sz w:val="21"/>
              </w:rPr>
              <w:t>m</w:t>
            </w:r>
          </w:p>
        </w:tc>
        <w:tc>
          <w:tcPr>
            <w:tcW w:w="834" w:type="pct"/>
            <w:vAlign w:val="center"/>
          </w:tcPr>
          <w:p>
            <w:pPr>
              <w:spacing w:line="300" w:lineRule="exact"/>
              <w:ind w:firstLine="0" w:firstLineChars="0"/>
              <w:jc w:val="center"/>
              <w:rPr>
                <w:rFonts w:cs="Times New Roman"/>
                <w:sz w:val="21"/>
              </w:rPr>
            </w:pPr>
            <w:r>
              <w:rPr>
                <w:rFonts w:hint="eastAsia" w:cs="Times New Roman"/>
                <w:sz w:val="21"/>
              </w:rPr>
              <w:t>2000</w:t>
            </w:r>
          </w:p>
        </w:tc>
        <w:tc>
          <w:tcPr>
            <w:tcW w:w="1526" w:type="pct"/>
            <w:vAlign w:val="center"/>
          </w:tcPr>
          <w:p>
            <w:pPr>
              <w:spacing w:line="300" w:lineRule="exact"/>
              <w:ind w:firstLine="0" w:firstLineChars="0"/>
              <w:jc w:val="center"/>
              <w:rPr>
                <w:rFonts w:cs="Times New Roman"/>
                <w:sz w:val="21"/>
              </w:rPr>
            </w:pPr>
            <w:r>
              <w:rPr>
                <w:rFonts w:cs="Times New Roman"/>
                <w:sz w:val="21"/>
              </w:rPr>
              <w:t>Φ273×8.0</w:t>
            </w:r>
            <w:r>
              <w:rPr>
                <w:rFonts w:hint="eastAsia" w:cs="Times New Roman"/>
                <w:sz w:val="21"/>
              </w:rPr>
              <w:t xml:space="preserve"> </w:t>
            </w:r>
            <w:r>
              <w:rPr>
                <w:rFonts w:cs="Times New Roman"/>
                <w:sz w:val="21"/>
              </w:rPr>
              <w:t xml:space="preserve">L360N PSL2 </w:t>
            </w:r>
            <w:r>
              <w:rPr>
                <w:rFonts w:hint="eastAsia"/>
                <w:sz w:val="21"/>
              </w:rPr>
              <w:t>无缝钢管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455" w:type="pct"/>
            <w:vMerge w:val="restart"/>
            <w:vAlign w:val="center"/>
          </w:tcPr>
          <w:p>
            <w:pPr>
              <w:spacing w:line="300" w:lineRule="exact"/>
              <w:ind w:firstLine="0" w:firstLineChars="0"/>
              <w:jc w:val="center"/>
              <w:rPr>
                <w:rFonts w:cs="Times New Roman"/>
                <w:sz w:val="21"/>
              </w:rPr>
            </w:pPr>
            <w:r>
              <w:rPr>
                <w:rFonts w:hint="eastAsia" w:cs="Times New Roman"/>
                <w:sz w:val="21"/>
              </w:rPr>
              <w:t>管道焊接</w:t>
            </w:r>
          </w:p>
        </w:tc>
        <w:tc>
          <w:tcPr>
            <w:tcW w:w="860" w:type="pct"/>
            <w:vAlign w:val="center"/>
          </w:tcPr>
          <w:p>
            <w:pPr>
              <w:spacing w:line="300" w:lineRule="exact"/>
              <w:ind w:firstLine="0" w:firstLineChars="0"/>
              <w:jc w:val="center"/>
              <w:rPr>
                <w:rFonts w:cs="Times New Roman"/>
                <w:sz w:val="21"/>
              </w:rPr>
            </w:pPr>
            <w:r>
              <w:rPr>
                <w:rFonts w:hint="eastAsia" w:cs="Times New Roman"/>
                <w:sz w:val="21"/>
              </w:rPr>
              <w:t>直管段</w:t>
            </w:r>
          </w:p>
        </w:tc>
        <w:tc>
          <w:tcPr>
            <w:tcW w:w="708" w:type="pct"/>
            <w:vAlign w:val="center"/>
          </w:tcPr>
          <w:p>
            <w:pPr>
              <w:spacing w:line="300" w:lineRule="exact"/>
              <w:ind w:firstLine="0" w:firstLineChars="0"/>
              <w:jc w:val="center"/>
              <w:rPr>
                <w:rFonts w:cs="Times New Roman"/>
                <w:sz w:val="21"/>
              </w:rPr>
            </w:pPr>
            <w:r>
              <w:rPr>
                <w:rFonts w:hint="eastAsia" w:cs="Times New Roman"/>
                <w:sz w:val="21"/>
              </w:rPr>
              <w:t>m</w:t>
            </w:r>
          </w:p>
        </w:tc>
        <w:tc>
          <w:tcPr>
            <w:tcW w:w="834" w:type="pct"/>
            <w:vAlign w:val="center"/>
          </w:tcPr>
          <w:p>
            <w:pPr>
              <w:spacing w:line="300" w:lineRule="exact"/>
              <w:ind w:firstLine="0" w:firstLineChars="0"/>
              <w:jc w:val="center"/>
              <w:rPr>
                <w:rFonts w:cs="Times New Roman"/>
                <w:sz w:val="21"/>
              </w:rPr>
            </w:pPr>
            <w:r>
              <w:rPr>
                <w:rFonts w:cs="Times New Roman"/>
                <w:sz w:val="21"/>
              </w:rPr>
              <w:t>1474</w:t>
            </w:r>
          </w:p>
        </w:tc>
        <w:tc>
          <w:tcPr>
            <w:tcW w:w="1526" w:type="pct"/>
            <w:vAlign w:val="center"/>
          </w:tcPr>
          <w:p>
            <w:pPr>
              <w:spacing w:line="300" w:lineRule="exact"/>
              <w:ind w:firstLine="0" w:firstLineChars="0"/>
              <w:jc w:val="center"/>
              <w:rPr>
                <w:rFonts w:cs="Times New Roman"/>
                <w:sz w:val="21"/>
              </w:rPr>
            </w:pPr>
            <w:r>
              <w:rPr>
                <w:rFonts w:cs="Times New Roman"/>
                <w:sz w:val="21"/>
              </w:rPr>
              <w:t>Φ273×8.0</w:t>
            </w:r>
            <w:r>
              <w:rPr>
                <w:rFonts w:hint="eastAsia" w:cs="Times New Roman"/>
                <w:sz w:val="21"/>
              </w:rPr>
              <w:t xml:space="preserve"> </w:t>
            </w:r>
            <w:r>
              <w:rPr>
                <w:rFonts w:cs="Times New Roman"/>
                <w:sz w:val="21"/>
              </w:rPr>
              <w:t xml:space="preserve">L360N PSL2 </w:t>
            </w:r>
            <w:r>
              <w:rPr>
                <w:rFonts w:hint="eastAsia"/>
                <w:sz w:val="21"/>
              </w:rPr>
              <w:t>无缝钢管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455" w:type="pct"/>
            <w:vMerge w:val="continue"/>
            <w:vAlign w:val="center"/>
          </w:tcPr>
          <w:p>
            <w:pPr>
              <w:spacing w:line="300" w:lineRule="exact"/>
              <w:ind w:firstLine="0" w:firstLineChars="0"/>
              <w:jc w:val="center"/>
              <w:rPr>
                <w:rFonts w:cs="Times New Roman"/>
                <w:sz w:val="21"/>
              </w:rPr>
            </w:pPr>
          </w:p>
        </w:tc>
        <w:tc>
          <w:tcPr>
            <w:tcW w:w="860" w:type="pct"/>
            <w:vAlign w:val="center"/>
          </w:tcPr>
          <w:p>
            <w:pPr>
              <w:spacing w:line="300" w:lineRule="exact"/>
              <w:ind w:firstLine="0" w:firstLineChars="0"/>
              <w:jc w:val="center"/>
              <w:rPr>
                <w:rFonts w:cs="Times New Roman"/>
                <w:sz w:val="21"/>
              </w:rPr>
            </w:pPr>
            <w:r>
              <w:rPr>
                <w:rFonts w:hint="eastAsia" w:cs="Times New Roman"/>
                <w:sz w:val="21"/>
              </w:rPr>
              <w:t>冷弯弯管</w:t>
            </w:r>
          </w:p>
        </w:tc>
        <w:tc>
          <w:tcPr>
            <w:tcW w:w="708" w:type="pct"/>
            <w:vAlign w:val="center"/>
          </w:tcPr>
          <w:p>
            <w:pPr>
              <w:spacing w:line="300" w:lineRule="exact"/>
              <w:ind w:firstLine="0" w:firstLineChars="0"/>
              <w:jc w:val="center"/>
            </w:pPr>
            <w:r>
              <w:rPr>
                <w:rFonts w:hint="eastAsia" w:cs="Times New Roman"/>
                <w:sz w:val="21"/>
              </w:rPr>
              <w:t>m</w:t>
            </w:r>
            <w:r>
              <w:rPr>
                <w:rFonts w:cs="Times New Roman"/>
                <w:sz w:val="21"/>
              </w:rPr>
              <w:t>/</w:t>
            </w:r>
            <w:r>
              <w:rPr>
                <w:rFonts w:hint="eastAsia"/>
                <w:sz w:val="21"/>
              </w:rPr>
              <w:t>个</w:t>
            </w:r>
          </w:p>
        </w:tc>
        <w:tc>
          <w:tcPr>
            <w:tcW w:w="834" w:type="pct"/>
            <w:vAlign w:val="center"/>
          </w:tcPr>
          <w:p>
            <w:pPr>
              <w:spacing w:line="300" w:lineRule="exact"/>
              <w:ind w:firstLine="0" w:firstLineChars="0"/>
              <w:jc w:val="center"/>
              <w:rPr>
                <w:rFonts w:cs="Times New Roman"/>
                <w:sz w:val="21"/>
              </w:rPr>
            </w:pPr>
            <w:r>
              <w:rPr>
                <w:rFonts w:cs="Times New Roman"/>
                <w:sz w:val="21"/>
              </w:rPr>
              <w:t>420/35</w:t>
            </w:r>
          </w:p>
        </w:tc>
        <w:tc>
          <w:tcPr>
            <w:tcW w:w="1526" w:type="pct"/>
            <w:vAlign w:val="center"/>
          </w:tcPr>
          <w:p>
            <w:pPr>
              <w:spacing w:line="300" w:lineRule="exact"/>
              <w:ind w:firstLine="0" w:firstLineChars="0"/>
              <w:jc w:val="center"/>
              <w:rPr>
                <w:rFonts w:cs="Times New Roman"/>
                <w:sz w:val="21"/>
              </w:rPr>
            </w:pPr>
            <w:r>
              <w:rPr>
                <w:rFonts w:cs="Times New Roman"/>
                <w:sz w:val="21"/>
              </w:rPr>
              <w:t>Φ273×8.0</w:t>
            </w:r>
            <w:r>
              <w:rPr>
                <w:rFonts w:hint="eastAsia" w:cs="Times New Roman"/>
                <w:sz w:val="21"/>
              </w:rPr>
              <w:t xml:space="preserve"> </w:t>
            </w:r>
            <w:r>
              <w:rPr>
                <w:rFonts w:cs="Times New Roman"/>
                <w:sz w:val="21"/>
              </w:rPr>
              <w:t xml:space="preserve">L360N PSL2 </w:t>
            </w:r>
            <w:r>
              <w:rPr>
                <w:rFonts w:hint="eastAsia"/>
                <w:sz w:val="21"/>
              </w:rPr>
              <w:t>无缝钢管；20个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455" w:type="pct"/>
            <w:vMerge w:val="continue"/>
            <w:vAlign w:val="center"/>
          </w:tcPr>
          <w:p>
            <w:pPr>
              <w:spacing w:line="300" w:lineRule="exact"/>
              <w:ind w:firstLine="0" w:firstLineChars="0"/>
              <w:jc w:val="center"/>
              <w:rPr>
                <w:rFonts w:cs="Times New Roman"/>
                <w:sz w:val="21"/>
              </w:rPr>
            </w:pPr>
          </w:p>
        </w:tc>
        <w:tc>
          <w:tcPr>
            <w:tcW w:w="860" w:type="pct"/>
            <w:vAlign w:val="center"/>
          </w:tcPr>
          <w:p>
            <w:pPr>
              <w:spacing w:line="300" w:lineRule="exact"/>
              <w:ind w:firstLine="0" w:firstLineChars="0"/>
              <w:jc w:val="center"/>
              <w:rPr>
                <w:rFonts w:cs="Times New Roman"/>
                <w:sz w:val="21"/>
              </w:rPr>
            </w:pPr>
            <w:r>
              <w:rPr>
                <w:rFonts w:hint="eastAsia" w:cs="Times New Roman"/>
                <w:sz w:val="21"/>
              </w:rPr>
              <w:t>热煨弯管</w:t>
            </w:r>
          </w:p>
        </w:tc>
        <w:tc>
          <w:tcPr>
            <w:tcW w:w="708" w:type="pct"/>
            <w:vAlign w:val="center"/>
          </w:tcPr>
          <w:p>
            <w:pPr>
              <w:spacing w:line="300" w:lineRule="exact"/>
              <w:ind w:firstLine="0" w:firstLineChars="0"/>
              <w:jc w:val="center"/>
              <w:rPr>
                <w:rFonts w:cs="Times New Roman"/>
                <w:sz w:val="21"/>
              </w:rPr>
            </w:pPr>
            <w:r>
              <w:rPr>
                <w:rFonts w:hint="eastAsia" w:cs="Times New Roman"/>
                <w:sz w:val="21"/>
              </w:rPr>
              <w:t>m</w:t>
            </w:r>
            <w:r>
              <w:rPr>
                <w:rFonts w:cs="Times New Roman"/>
                <w:sz w:val="21"/>
              </w:rPr>
              <w:t>/</w:t>
            </w:r>
            <w:r>
              <w:rPr>
                <w:rFonts w:hint="eastAsia"/>
                <w:sz w:val="21"/>
              </w:rPr>
              <w:t>个</w:t>
            </w:r>
          </w:p>
        </w:tc>
        <w:tc>
          <w:tcPr>
            <w:tcW w:w="834" w:type="pct"/>
            <w:vAlign w:val="center"/>
          </w:tcPr>
          <w:p>
            <w:pPr>
              <w:spacing w:line="300" w:lineRule="exact"/>
              <w:ind w:firstLine="0" w:firstLineChars="0"/>
              <w:jc w:val="center"/>
              <w:rPr>
                <w:rFonts w:cs="Times New Roman"/>
                <w:sz w:val="21"/>
              </w:rPr>
            </w:pPr>
            <w:r>
              <w:rPr>
                <w:rFonts w:cs="Times New Roman"/>
                <w:sz w:val="21"/>
              </w:rPr>
              <w:t>106/60</w:t>
            </w:r>
          </w:p>
        </w:tc>
        <w:tc>
          <w:tcPr>
            <w:tcW w:w="1526" w:type="pct"/>
            <w:vAlign w:val="center"/>
          </w:tcPr>
          <w:p>
            <w:pPr>
              <w:spacing w:line="300" w:lineRule="exact"/>
              <w:ind w:firstLine="0" w:firstLineChars="0"/>
              <w:jc w:val="center"/>
              <w:rPr>
                <w:rFonts w:cs="Times New Roman"/>
                <w:sz w:val="21"/>
              </w:rPr>
            </w:pPr>
            <w:r>
              <w:rPr>
                <w:rFonts w:cs="Times New Roman"/>
                <w:sz w:val="21"/>
              </w:rPr>
              <w:t>Φ273×8.0</w:t>
            </w:r>
            <w:r>
              <w:rPr>
                <w:rFonts w:hint="eastAsia" w:cs="Times New Roman"/>
                <w:sz w:val="21"/>
              </w:rPr>
              <w:t xml:space="preserve"> </w:t>
            </w:r>
            <w:r>
              <w:rPr>
                <w:rFonts w:cs="Times New Roman"/>
                <w:sz w:val="21"/>
              </w:rPr>
              <w:t xml:space="preserve">L360N PSL2 </w:t>
            </w:r>
            <w:r>
              <w:rPr>
                <w:rFonts w:hint="eastAsia"/>
                <w:sz w:val="21"/>
              </w:rPr>
              <w:t>无缝钢管；30个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二、穿越工程</w:t>
            </w:r>
          </w:p>
        </w:tc>
        <w:tc>
          <w:tcPr>
            <w:tcW w:w="1315" w:type="pct"/>
            <w:gridSpan w:val="2"/>
            <w:vAlign w:val="center"/>
          </w:tcPr>
          <w:p>
            <w:pPr>
              <w:spacing w:line="300" w:lineRule="exact"/>
              <w:ind w:firstLine="0" w:firstLineChars="0"/>
              <w:jc w:val="center"/>
              <w:rPr>
                <w:rFonts w:cs="Times New Roman"/>
                <w:sz w:val="21"/>
              </w:rPr>
            </w:pPr>
            <w:r>
              <w:rPr>
                <w:rFonts w:hint="eastAsia"/>
                <w:sz w:val="21"/>
              </w:rPr>
              <w:t>挖沟法加钢筋混凝套管穿越水泥路</w:t>
            </w:r>
          </w:p>
        </w:tc>
        <w:tc>
          <w:tcPr>
            <w:tcW w:w="708" w:type="pct"/>
            <w:vAlign w:val="center"/>
          </w:tcPr>
          <w:p>
            <w:pPr>
              <w:spacing w:line="300" w:lineRule="exact"/>
              <w:ind w:firstLine="0" w:firstLineChars="0"/>
              <w:jc w:val="center"/>
              <w:rPr>
                <w:rFonts w:cs="Times New Roman"/>
                <w:sz w:val="21"/>
              </w:rPr>
            </w:pPr>
            <w:r>
              <w:rPr>
                <w:rFonts w:hint="eastAsia" w:cs="Times New Roman"/>
                <w:sz w:val="21"/>
              </w:rPr>
              <w:t>m/处</w:t>
            </w:r>
          </w:p>
        </w:tc>
        <w:tc>
          <w:tcPr>
            <w:tcW w:w="834" w:type="pct"/>
            <w:vAlign w:val="center"/>
          </w:tcPr>
          <w:p>
            <w:pPr>
              <w:spacing w:line="300" w:lineRule="exact"/>
              <w:ind w:firstLine="0" w:firstLineChars="0"/>
              <w:jc w:val="center"/>
              <w:rPr>
                <w:rFonts w:cs="Times New Roman"/>
                <w:sz w:val="21"/>
              </w:rPr>
            </w:pPr>
            <w:r>
              <w:rPr>
                <w:rFonts w:hint="eastAsia" w:cs="Times New Roman"/>
                <w:sz w:val="21"/>
              </w:rPr>
              <w:t>14/1</w:t>
            </w:r>
          </w:p>
        </w:tc>
        <w:tc>
          <w:tcPr>
            <w:tcW w:w="1526" w:type="pct"/>
            <w:vAlign w:val="center"/>
          </w:tcPr>
          <w:p>
            <w:pPr>
              <w:widowControl/>
              <w:spacing w:line="300" w:lineRule="exact"/>
              <w:ind w:firstLine="0" w:firstLineChars="0"/>
              <w:jc w:val="center"/>
              <w:rPr>
                <w:rFonts w:cs="Times New Roman"/>
                <w:sz w:val="21"/>
              </w:rPr>
            </w:pPr>
            <w:r>
              <w:rPr>
                <w:rFonts w:cs="Times New Roman"/>
                <w:kern w:val="0"/>
                <w:sz w:val="21"/>
              </w:rPr>
              <w:t>DRCP</w:t>
            </w:r>
            <w:r>
              <w:rPr>
                <w:rFonts w:hint="eastAsia" w:ascii="宋体" w:hAnsi="宋体" w:cs="宋体"/>
                <w:kern w:val="0"/>
                <w:sz w:val="21"/>
              </w:rPr>
              <w:t>Ⅲ</w:t>
            </w:r>
            <w:r>
              <w:rPr>
                <w:rFonts w:cs="Times New Roman"/>
                <w:kern w:val="0"/>
                <w:sz w:val="21"/>
              </w:rPr>
              <w:t xml:space="preserve">800×2000 </w:t>
            </w:r>
            <w:r>
              <w:rPr>
                <w:rFonts w:hint="eastAsia" w:ascii="宋体" w:hAnsi="宋体" w:cs="宋体"/>
                <w:kern w:val="0"/>
                <w:sz w:val="21"/>
              </w:rPr>
              <w:t>钢筋混凝土套管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sz w:val="21"/>
              </w:rPr>
            </w:pPr>
            <w:r>
              <w:rPr>
                <w:rFonts w:hint="eastAsia"/>
                <w:sz w:val="21"/>
              </w:rPr>
              <w:t>填充细沙</w:t>
            </w:r>
          </w:p>
        </w:tc>
        <w:tc>
          <w:tcPr>
            <w:tcW w:w="708" w:type="pct"/>
            <w:vAlign w:val="center"/>
          </w:tcPr>
          <w:p>
            <w:pPr>
              <w:spacing w:line="300" w:lineRule="exact"/>
              <w:ind w:firstLine="0" w:firstLineChars="0"/>
              <w:jc w:val="center"/>
              <w:rPr>
                <w:rFonts w:cs="Times New Roman"/>
                <w:sz w:val="21"/>
              </w:rPr>
            </w:pPr>
            <w:r>
              <w:rPr>
                <w:rFonts w:cs="Times New Roman"/>
                <w:sz w:val="21"/>
              </w:rPr>
              <w:t>m</w:t>
            </w:r>
            <w:r>
              <w:rPr>
                <w:rFonts w:hint="eastAsia" w:cs="Times New Roman"/>
                <w:sz w:val="21"/>
                <w:vertAlign w:val="superscript"/>
              </w:rPr>
              <w:t>3</w:t>
            </w:r>
          </w:p>
        </w:tc>
        <w:tc>
          <w:tcPr>
            <w:tcW w:w="834" w:type="pct"/>
            <w:vAlign w:val="center"/>
          </w:tcPr>
          <w:p>
            <w:pPr>
              <w:spacing w:line="300" w:lineRule="exact"/>
              <w:ind w:firstLine="0" w:firstLineChars="0"/>
              <w:jc w:val="center"/>
              <w:rPr>
                <w:rFonts w:cs="Times New Roman"/>
                <w:sz w:val="21"/>
              </w:rPr>
            </w:pPr>
            <w:r>
              <w:rPr>
                <w:rFonts w:hint="eastAsia" w:cs="Times New Roman"/>
                <w:sz w:val="21"/>
              </w:rPr>
              <w:t>10</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三、管道检测</w:t>
            </w:r>
          </w:p>
        </w:tc>
        <w:tc>
          <w:tcPr>
            <w:tcW w:w="1315" w:type="pct"/>
            <w:gridSpan w:val="2"/>
            <w:vAlign w:val="center"/>
          </w:tcPr>
          <w:p>
            <w:pPr>
              <w:spacing w:line="300" w:lineRule="exact"/>
              <w:ind w:firstLine="0" w:firstLineChars="0"/>
              <w:jc w:val="center"/>
              <w:rPr>
                <w:sz w:val="21"/>
              </w:rPr>
            </w:pPr>
            <w:r>
              <w:rPr>
                <w:rFonts w:hint="eastAsia"/>
                <w:sz w:val="21"/>
              </w:rPr>
              <w:t>超声波探伤</w:t>
            </w:r>
          </w:p>
        </w:tc>
        <w:tc>
          <w:tcPr>
            <w:tcW w:w="708" w:type="pct"/>
            <w:vAlign w:val="center"/>
          </w:tcPr>
          <w:p>
            <w:pPr>
              <w:spacing w:line="300" w:lineRule="exact"/>
              <w:ind w:firstLine="0" w:firstLineChars="0"/>
              <w:jc w:val="center"/>
              <w:rPr>
                <w:rFonts w:cs="Times New Roman"/>
                <w:sz w:val="21"/>
              </w:rPr>
            </w:pPr>
            <w:r>
              <w:rPr>
                <w:rFonts w:hint="eastAsia"/>
                <w:sz w:val="21"/>
              </w:rPr>
              <w:t>道口</w:t>
            </w:r>
          </w:p>
        </w:tc>
        <w:tc>
          <w:tcPr>
            <w:tcW w:w="834" w:type="pct"/>
            <w:vAlign w:val="center"/>
          </w:tcPr>
          <w:p>
            <w:pPr>
              <w:spacing w:line="300" w:lineRule="exact"/>
              <w:ind w:firstLine="0" w:firstLineChars="0"/>
              <w:jc w:val="center"/>
              <w:rPr>
                <w:rFonts w:cs="Times New Roman"/>
                <w:sz w:val="21"/>
              </w:rPr>
            </w:pPr>
            <w:r>
              <w:rPr>
                <w:rFonts w:hint="eastAsia" w:cs="Times New Roman"/>
                <w:sz w:val="21"/>
              </w:rPr>
              <w:t>261</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sz w:val="21"/>
              </w:rPr>
            </w:pPr>
            <w:r>
              <w:rPr>
                <w:rFonts w:cs="Times New Roman"/>
                <w:sz w:val="21"/>
              </w:rPr>
              <w:t xml:space="preserve">X </w:t>
            </w:r>
            <w:r>
              <w:rPr>
                <w:rFonts w:hint="eastAsia"/>
                <w:sz w:val="21"/>
              </w:rPr>
              <w:t>射线探伤</w:t>
            </w:r>
          </w:p>
        </w:tc>
        <w:tc>
          <w:tcPr>
            <w:tcW w:w="708" w:type="pct"/>
            <w:vAlign w:val="center"/>
          </w:tcPr>
          <w:p>
            <w:pPr>
              <w:spacing w:line="300" w:lineRule="exact"/>
              <w:ind w:firstLine="0" w:firstLineChars="0"/>
              <w:jc w:val="center"/>
              <w:rPr>
                <w:rFonts w:cs="Times New Roman"/>
                <w:sz w:val="21"/>
              </w:rPr>
            </w:pPr>
            <w:r>
              <w:rPr>
                <w:rFonts w:hint="eastAsia"/>
                <w:sz w:val="21"/>
              </w:rPr>
              <w:t>道口</w:t>
            </w:r>
          </w:p>
        </w:tc>
        <w:tc>
          <w:tcPr>
            <w:tcW w:w="834" w:type="pct"/>
            <w:vAlign w:val="center"/>
          </w:tcPr>
          <w:p>
            <w:pPr>
              <w:spacing w:line="300" w:lineRule="exact"/>
              <w:ind w:firstLine="0" w:firstLineChars="0"/>
              <w:jc w:val="center"/>
              <w:rPr>
                <w:rFonts w:cs="Times New Roman"/>
                <w:sz w:val="21"/>
              </w:rPr>
            </w:pPr>
            <w:r>
              <w:rPr>
                <w:rFonts w:hint="eastAsia" w:cs="Times New Roman"/>
                <w:sz w:val="21"/>
              </w:rPr>
              <w:t>261</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四、清管试压干燥</w:t>
            </w:r>
          </w:p>
        </w:tc>
        <w:tc>
          <w:tcPr>
            <w:tcW w:w="1315" w:type="pct"/>
            <w:gridSpan w:val="2"/>
            <w:vAlign w:val="center"/>
          </w:tcPr>
          <w:p>
            <w:pPr>
              <w:spacing w:line="300" w:lineRule="exact"/>
              <w:ind w:firstLine="0" w:firstLineChars="0"/>
              <w:jc w:val="center"/>
              <w:rPr>
                <w:rFonts w:cs="Times New Roman"/>
                <w:sz w:val="21"/>
              </w:rPr>
            </w:pPr>
            <w:r>
              <w:rPr>
                <w:rFonts w:hint="eastAsia" w:cs="Times New Roman"/>
                <w:sz w:val="21"/>
              </w:rPr>
              <w:t>清管</w:t>
            </w:r>
          </w:p>
        </w:tc>
        <w:tc>
          <w:tcPr>
            <w:tcW w:w="708" w:type="pct"/>
            <w:vAlign w:val="center"/>
          </w:tcPr>
          <w:p>
            <w:pPr>
              <w:spacing w:line="300" w:lineRule="exact"/>
              <w:ind w:firstLine="0" w:firstLineChars="0"/>
              <w:jc w:val="center"/>
              <w:rPr>
                <w:sz w:val="21"/>
              </w:rPr>
            </w:pPr>
            <w:r>
              <w:rPr>
                <w:rFonts w:hint="eastAsia"/>
                <w:sz w:val="21"/>
              </w:rPr>
              <w:t>次</w:t>
            </w:r>
          </w:p>
        </w:tc>
        <w:tc>
          <w:tcPr>
            <w:tcW w:w="834" w:type="pct"/>
            <w:vAlign w:val="center"/>
          </w:tcPr>
          <w:p>
            <w:pPr>
              <w:spacing w:line="300" w:lineRule="exact"/>
              <w:ind w:firstLine="0" w:firstLineChars="0"/>
              <w:jc w:val="center"/>
              <w:rPr>
                <w:rFonts w:cs="Times New Roman"/>
                <w:sz w:val="21"/>
              </w:rPr>
            </w:pPr>
            <w:r>
              <w:rPr>
                <w:rFonts w:hint="eastAsia" w:cs="Times New Roman"/>
                <w:sz w:val="21"/>
              </w:rPr>
              <w:t>2</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rFonts w:cs="Times New Roman"/>
                <w:sz w:val="21"/>
              </w:rPr>
            </w:pPr>
            <w:r>
              <w:rPr>
                <w:rFonts w:hint="eastAsia" w:cs="Times New Roman"/>
                <w:sz w:val="21"/>
              </w:rPr>
              <w:t>试压</w:t>
            </w:r>
          </w:p>
        </w:tc>
        <w:tc>
          <w:tcPr>
            <w:tcW w:w="708" w:type="pct"/>
            <w:vAlign w:val="center"/>
          </w:tcPr>
          <w:p>
            <w:pPr>
              <w:spacing w:line="300" w:lineRule="exact"/>
              <w:ind w:firstLine="0" w:firstLineChars="0"/>
              <w:jc w:val="center"/>
              <w:rPr>
                <w:sz w:val="21"/>
              </w:rPr>
            </w:pPr>
            <w:r>
              <w:rPr>
                <w:rFonts w:hint="eastAsia"/>
                <w:sz w:val="21"/>
              </w:rPr>
              <w:t>次</w:t>
            </w:r>
          </w:p>
        </w:tc>
        <w:tc>
          <w:tcPr>
            <w:tcW w:w="834" w:type="pct"/>
            <w:vAlign w:val="center"/>
          </w:tcPr>
          <w:p>
            <w:pPr>
              <w:spacing w:line="300" w:lineRule="exact"/>
              <w:ind w:firstLine="0" w:firstLineChars="0"/>
              <w:jc w:val="center"/>
              <w:rPr>
                <w:rFonts w:cs="Times New Roman"/>
                <w:sz w:val="21"/>
              </w:rPr>
            </w:pPr>
            <w:r>
              <w:rPr>
                <w:rFonts w:hint="eastAsia" w:cs="Times New Roman"/>
                <w:sz w:val="21"/>
              </w:rPr>
              <w:t>1</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rFonts w:cs="Times New Roman"/>
                <w:sz w:val="21"/>
              </w:rPr>
            </w:pPr>
            <w:r>
              <w:rPr>
                <w:rFonts w:hint="eastAsia" w:cs="Times New Roman"/>
                <w:sz w:val="21"/>
              </w:rPr>
              <w:t>干燥</w:t>
            </w:r>
          </w:p>
        </w:tc>
        <w:tc>
          <w:tcPr>
            <w:tcW w:w="708" w:type="pct"/>
            <w:vAlign w:val="center"/>
          </w:tcPr>
          <w:p>
            <w:pPr>
              <w:spacing w:line="300" w:lineRule="exact"/>
              <w:ind w:firstLine="0" w:firstLineChars="0"/>
              <w:jc w:val="center"/>
              <w:rPr>
                <w:sz w:val="21"/>
              </w:rPr>
            </w:pPr>
            <w:r>
              <w:rPr>
                <w:rFonts w:hint="eastAsia"/>
                <w:sz w:val="21"/>
              </w:rPr>
              <w:t>次</w:t>
            </w:r>
          </w:p>
        </w:tc>
        <w:tc>
          <w:tcPr>
            <w:tcW w:w="834" w:type="pct"/>
            <w:vAlign w:val="center"/>
          </w:tcPr>
          <w:p>
            <w:pPr>
              <w:spacing w:line="300" w:lineRule="exact"/>
              <w:ind w:firstLine="0" w:firstLineChars="0"/>
              <w:jc w:val="center"/>
              <w:rPr>
                <w:rFonts w:cs="Times New Roman"/>
                <w:sz w:val="21"/>
              </w:rPr>
            </w:pPr>
            <w:r>
              <w:rPr>
                <w:rFonts w:hint="eastAsia" w:cs="Times New Roman"/>
                <w:sz w:val="21"/>
              </w:rPr>
              <w:t>1</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五、新旧管道连接</w:t>
            </w:r>
          </w:p>
        </w:tc>
        <w:tc>
          <w:tcPr>
            <w:tcW w:w="1315" w:type="pct"/>
            <w:gridSpan w:val="2"/>
            <w:vAlign w:val="center"/>
          </w:tcPr>
          <w:p>
            <w:pPr>
              <w:spacing w:line="300" w:lineRule="exact"/>
              <w:ind w:firstLine="0" w:firstLineChars="0"/>
              <w:jc w:val="center"/>
              <w:rPr>
                <w:rFonts w:cs="Times New Roman"/>
                <w:sz w:val="21"/>
              </w:rPr>
            </w:pPr>
            <w:r>
              <w:rPr>
                <w:rFonts w:hint="eastAsia"/>
                <w:sz w:val="21"/>
              </w:rPr>
              <w:t>需氮气置换的管道</w:t>
            </w:r>
          </w:p>
        </w:tc>
        <w:tc>
          <w:tcPr>
            <w:tcW w:w="708" w:type="pct"/>
            <w:vAlign w:val="center"/>
          </w:tcPr>
          <w:p>
            <w:pPr>
              <w:spacing w:line="300" w:lineRule="exact"/>
              <w:ind w:firstLine="0" w:firstLineChars="0"/>
              <w:jc w:val="center"/>
              <w:rPr>
                <w:sz w:val="21"/>
              </w:rPr>
            </w:pPr>
            <w:r>
              <w:rPr>
                <w:sz w:val="21"/>
              </w:rPr>
              <w:t>k</w:t>
            </w:r>
            <w:r>
              <w:rPr>
                <w:rFonts w:hint="eastAsia"/>
                <w:sz w:val="21"/>
              </w:rPr>
              <w:t>m</w:t>
            </w:r>
          </w:p>
        </w:tc>
        <w:tc>
          <w:tcPr>
            <w:tcW w:w="834" w:type="pct"/>
            <w:vAlign w:val="center"/>
          </w:tcPr>
          <w:p>
            <w:pPr>
              <w:spacing w:line="300" w:lineRule="exact"/>
              <w:ind w:firstLine="0" w:firstLineChars="0"/>
              <w:jc w:val="center"/>
              <w:rPr>
                <w:rFonts w:cs="Times New Roman"/>
                <w:sz w:val="21"/>
              </w:rPr>
            </w:pPr>
            <w:r>
              <w:rPr>
                <w:rFonts w:hint="eastAsia" w:cs="Times New Roman"/>
                <w:sz w:val="21"/>
              </w:rPr>
              <w:t>17.8</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rFonts w:cs="Times New Roman"/>
                <w:sz w:val="21"/>
              </w:rPr>
            </w:pPr>
            <w:r>
              <w:rPr>
                <w:rFonts w:hint="eastAsia"/>
                <w:sz w:val="21"/>
              </w:rPr>
              <w:t>动火连头</w:t>
            </w:r>
          </w:p>
        </w:tc>
        <w:tc>
          <w:tcPr>
            <w:tcW w:w="708" w:type="pct"/>
            <w:vAlign w:val="center"/>
          </w:tcPr>
          <w:p>
            <w:pPr>
              <w:spacing w:line="300" w:lineRule="exact"/>
              <w:ind w:firstLine="0" w:firstLineChars="0"/>
              <w:jc w:val="center"/>
              <w:rPr>
                <w:sz w:val="21"/>
              </w:rPr>
            </w:pPr>
            <w:r>
              <w:rPr>
                <w:rFonts w:hint="eastAsia"/>
                <w:sz w:val="21"/>
              </w:rPr>
              <w:t>处</w:t>
            </w:r>
          </w:p>
        </w:tc>
        <w:tc>
          <w:tcPr>
            <w:tcW w:w="834" w:type="pct"/>
            <w:vAlign w:val="center"/>
          </w:tcPr>
          <w:p>
            <w:pPr>
              <w:spacing w:line="300" w:lineRule="exact"/>
              <w:ind w:firstLine="0" w:firstLineChars="0"/>
              <w:jc w:val="center"/>
              <w:rPr>
                <w:rFonts w:cs="Times New Roman"/>
                <w:sz w:val="21"/>
              </w:rPr>
            </w:pPr>
            <w:r>
              <w:rPr>
                <w:rFonts w:hint="eastAsia" w:cs="Times New Roman"/>
                <w:sz w:val="21"/>
              </w:rPr>
              <w:t>2</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六、附属工程</w:t>
            </w:r>
          </w:p>
        </w:tc>
        <w:tc>
          <w:tcPr>
            <w:tcW w:w="1315" w:type="pct"/>
            <w:gridSpan w:val="2"/>
            <w:vAlign w:val="center"/>
          </w:tcPr>
          <w:p>
            <w:pPr>
              <w:spacing w:line="300" w:lineRule="exact"/>
              <w:ind w:firstLine="0" w:firstLineChars="0"/>
              <w:jc w:val="center"/>
              <w:rPr>
                <w:sz w:val="21"/>
              </w:rPr>
            </w:pPr>
            <w:r>
              <w:rPr>
                <w:rFonts w:hint="eastAsia"/>
                <w:sz w:val="21"/>
              </w:rPr>
              <w:t>标志桩预制及安装</w:t>
            </w:r>
          </w:p>
        </w:tc>
        <w:tc>
          <w:tcPr>
            <w:tcW w:w="708" w:type="pct"/>
            <w:vAlign w:val="center"/>
          </w:tcPr>
          <w:p>
            <w:pPr>
              <w:spacing w:line="300" w:lineRule="exact"/>
              <w:ind w:firstLine="0" w:firstLineChars="0"/>
              <w:jc w:val="center"/>
              <w:rPr>
                <w:sz w:val="21"/>
              </w:rPr>
            </w:pPr>
            <w:r>
              <w:rPr>
                <w:rFonts w:hint="eastAsia"/>
                <w:sz w:val="21"/>
              </w:rPr>
              <w:t>个</w:t>
            </w:r>
          </w:p>
        </w:tc>
        <w:tc>
          <w:tcPr>
            <w:tcW w:w="834" w:type="pct"/>
            <w:vAlign w:val="center"/>
          </w:tcPr>
          <w:p>
            <w:pPr>
              <w:spacing w:line="300" w:lineRule="exact"/>
              <w:ind w:firstLine="0" w:firstLineChars="0"/>
              <w:jc w:val="center"/>
              <w:rPr>
                <w:rFonts w:cs="Times New Roman"/>
                <w:sz w:val="21"/>
              </w:rPr>
            </w:pPr>
            <w:r>
              <w:rPr>
                <w:rFonts w:hint="eastAsia" w:cs="Times New Roman"/>
                <w:sz w:val="21"/>
              </w:rPr>
              <w:t>18</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sz w:val="21"/>
              </w:rPr>
            </w:pPr>
            <w:r>
              <w:rPr>
                <w:rFonts w:hint="eastAsia"/>
                <w:sz w:val="21"/>
              </w:rPr>
              <w:t>警示牌制作及安装</w:t>
            </w:r>
          </w:p>
        </w:tc>
        <w:tc>
          <w:tcPr>
            <w:tcW w:w="708" w:type="pct"/>
            <w:vAlign w:val="center"/>
          </w:tcPr>
          <w:p>
            <w:pPr>
              <w:spacing w:line="300" w:lineRule="exact"/>
              <w:ind w:firstLine="0" w:firstLineChars="0"/>
              <w:jc w:val="center"/>
              <w:rPr>
                <w:sz w:val="21"/>
              </w:rPr>
            </w:pPr>
            <w:r>
              <w:rPr>
                <w:rFonts w:hint="eastAsia"/>
                <w:sz w:val="21"/>
              </w:rPr>
              <w:t>个</w:t>
            </w:r>
          </w:p>
        </w:tc>
        <w:tc>
          <w:tcPr>
            <w:tcW w:w="834" w:type="pct"/>
            <w:vAlign w:val="center"/>
          </w:tcPr>
          <w:p>
            <w:pPr>
              <w:spacing w:line="300" w:lineRule="exact"/>
              <w:ind w:firstLine="0" w:firstLineChars="0"/>
              <w:jc w:val="center"/>
              <w:rPr>
                <w:rFonts w:cs="Times New Roman"/>
                <w:sz w:val="21"/>
              </w:rPr>
            </w:pPr>
            <w:r>
              <w:rPr>
                <w:rFonts w:hint="eastAsia" w:cs="Times New Roman"/>
                <w:sz w:val="21"/>
              </w:rPr>
              <w:t>4</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sz w:val="21"/>
              </w:rPr>
            </w:pPr>
            <w:r>
              <w:rPr>
                <w:rFonts w:hint="eastAsia"/>
                <w:sz w:val="21"/>
              </w:rPr>
              <w:t>警示带埋设（带宽</w:t>
            </w:r>
            <w:r>
              <w:rPr>
                <w:rFonts w:cs="Times New Roman"/>
                <w:sz w:val="21"/>
              </w:rPr>
              <w:t>=400mm</w:t>
            </w:r>
            <w:r>
              <w:rPr>
                <w:rFonts w:hint="eastAsia"/>
                <w:sz w:val="21"/>
              </w:rPr>
              <w:t>）</w:t>
            </w:r>
          </w:p>
        </w:tc>
        <w:tc>
          <w:tcPr>
            <w:tcW w:w="708" w:type="pct"/>
            <w:vAlign w:val="center"/>
          </w:tcPr>
          <w:p>
            <w:pPr>
              <w:spacing w:line="300" w:lineRule="exact"/>
              <w:ind w:firstLine="0" w:firstLineChars="0"/>
              <w:jc w:val="center"/>
              <w:rPr>
                <w:sz w:val="21"/>
              </w:rPr>
            </w:pPr>
            <w:r>
              <w:rPr>
                <w:rFonts w:hint="eastAsia"/>
                <w:sz w:val="21"/>
              </w:rPr>
              <w:t>m</w:t>
            </w:r>
          </w:p>
        </w:tc>
        <w:tc>
          <w:tcPr>
            <w:tcW w:w="834" w:type="pct"/>
            <w:vAlign w:val="center"/>
          </w:tcPr>
          <w:p>
            <w:pPr>
              <w:spacing w:line="300" w:lineRule="exact"/>
              <w:ind w:firstLine="0" w:firstLineChars="0"/>
              <w:jc w:val="center"/>
              <w:rPr>
                <w:rFonts w:cs="Times New Roman"/>
                <w:sz w:val="21"/>
              </w:rPr>
            </w:pPr>
            <w:r>
              <w:rPr>
                <w:rFonts w:hint="eastAsia" w:cs="Times New Roman"/>
                <w:sz w:val="21"/>
              </w:rPr>
              <w:t>2000</w:t>
            </w:r>
          </w:p>
        </w:tc>
        <w:tc>
          <w:tcPr>
            <w:tcW w:w="1526" w:type="pct"/>
            <w:vAlign w:val="center"/>
          </w:tcPr>
          <w:p>
            <w:pPr>
              <w:widowControl/>
              <w:spacing w:line="300" w:lineRule="exact"/>
              <w:ind w:firstLine="0" w:firstLineChars="0"/>
              <w:jc w:val="center"/>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sz w:val="21"/>
              </w:rPr>
            </w:pPr>
            <w:r>
              <w:rPr>
                <w:rFonts w:hint="eastAsia"/>
                <w:sz w:val="21"/>
              </w:rPr>
              <w:t>钢筋混凝土套管</w:t>
            </w:r>
          </w:p>
        </w:tc>
        <w:tc>
          <w:tcPr>
            <w:tcW w:w="708" w:type="pct"/>
            <w:vAlign w:val="center"/>
          </w:tcPr>
          <w:p>
            <w:pPr>
              <w:spacing w:line="300" w:lineRule="exact"/>
              <w:ind w:firstLine="0" w:firstLineChars="0"/>
              <w:jc w:val="center"/>
              <w:rPr>
                <w:sz w:val="21"/>
              </w:rPr>
            </w:pPr>
            <w:r>
              <w:rPr>
                <w:rFonts w:hint="eastAsia"/>
                <w:sz w:val="21"/>
              </w:rPr>
              <w:t>根</w:t>
            </w:r>
          </w:p>
        </w:tc>
        <w:tc>
          <w:tcPr>
            <w:tcW w:w="834" w:type="pct"/>
            <w:vAlign w:val="center"/>
          </w:tcPr>
          <w:p>
            <w:pPr>
              <w:spacing w:line="300" w:lineRule="exact"/>
              <w:ind w:firstLine="0" w:firstLineChars="0"/>
              <w:jc w:val="center"/>
              <w:rPr>
                <w:rFonts w:cs="Times New Roman"/>
                <w:sz w:val="21"/>
              </w:rPr>
            </w:pPr>
            <w:r>
              <w:rPr>
                <w:rFonts w:hint="eastAsia" w:cs="Times New Roman"/>
                <w:sz w:val="21"/>
              </w:rPr>
              <w:t>7</w:t>
            </w:r>
          </w:p>
        </w:tc>
        <w:tc>
          <w:tcPr>
            <w:tcW w:w="1526" w:type="pct"/>
            <w:vAlign w:val="center"/>
          </w:tcPr>
          <w:p>
            <w:pPr>
              <w:widowControl/>
              <w:spacing w:line="300" w:lineRule="exact"/>
              <w:ind w:firstLine="0" w:firstLineChars="0"/>
              <w:jc w:val="center"/>
              <w:rPr>
                <w:rFonts w:cs="Times New Roman"/>
                <w:kern w:val="0"/>
                <w:sz w:val="21"/>
              </w:rPr>
            </w:pPr>
            <w:r>
              <w:rPr>
                <w:rFonts w:cs="Times New Roman"/>
                <w:sz w:val="21"/>
              </w:rPr>
              <w:t>DRCP</w:t>
            </w:r>
            <w:r>
              <w:rPr>
                <w:rFonts w:hint="eastAsia"/>
                <w:sz w:val="21"/>
              </w:rPr>
              <w:t xml:space="preserve">Ⅲ </w:t>
            </w:r>
            <w:r>
              <w:rPr>
                <w:rFonts w:cs="Times New Roman"/>
                <w:sz w:val="21"/>
              </w:rPr>
              <w:t>800×2000；GB/T 11836-2009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七、施工便道</w:t>
            </w:r>
          </w:p>
        </w:tc>
        <w:tc>
          <w:tcPr>
            <w:tcW w:w="1315" w:type="pct"/>
            <w:gridSpan w:val="2"/>
            <w:vAlign w:val="center"/>
          </w:tcPr>
          <w:p>
            <w:pPr>
              <w:spacing w:line="300" w:lineRule="exact"/>
              <w:ind w:firstLine="0" w:firstLineChars="0"/>
              <w:jc w:val="center"/>
              <w:rPr>
                <w:sz w:val="21"/>
              </w:rPr>
            </w:pPr>
            <w:r>
              <w:rPr>
                <w:rFonts w:hint="eastAsia"/>
                <w:sz w:val="21"/>
              </w:rPr>
              <w:t>新修施工便道</w:t>
            </w:r>
          </w:p>
        </w:tc>
        <w:tc>
          <w:tcPr>
            <w:tcW w:w="708" w:type="pct"/>
            <w:vAlign w:val="center"/>
          </w:tcPr>
          <w:p>
            <w:pPr>
              <w:spacing w:line="300" w:lineRule="exact"/>
              <w:ind w:firstLine="0" w:firstLineChars="0"/>
              <w:jc w:val="center"/>
              <w:rPr>
                <w:sz w:val="21"/>
              </w:rPr>
            </w:pPr>
            <w:r>
              <w:rPr>
                <w:rFonts w:hint="eastAsia"/>
                <w:sz w:val="21"/>
              </w:rPr>
              <w:t>m</w:t>
            </w:r>
          </w:p>
        </w:tc>
        <w:tc>
          <w:tcPr>
            <w:tcW w:w="834" w:type="pct"/>
            <w:vAlign w:val="center"/>
          </w:tcPr>
          <w:p>
            <w:pPr>
              <w:spacing w:line="300" w:lineRule="exact"/>
              <w:ind w:firstLine="0" w:firstLineChars="0"/>
              <w:jc w:val="center"/>
              <w:rPr>
                <w:rFonts w:cs="Times New Roman"/>
                <w:sz w:val="21"/>
              </w:rPr>
            </w:pPr>
            <w:r>
              <w:rPr>
                <w:rFonts w:cs="Times New Roman"/>
                <w:sz w:val="21"/>
              </w:rPr>
              <w:t>2</w:t>
            </w:r>
            <w:r>
              <w:rPr>
                <w:rFonts w:hint="eastAsia" w:cs="Times New Roman"/>
                <w:sz w:val="21"/>
              </w:rPr>
              <w:t>00</w:t>
            </w:r>
          </w:p>
        </w:tc>
        <w:tc>
          <w:tcPr>
            <w:tcW w:w="1526" w:type="pct"/>
            <w:vAlign w:val="center"/>
          </w:tcPr>
          <w:p>
            <w:pPr>
              <w:widowControl/>
              <w:spacing w:line="300" w:lineRule="exact"/>
              <w:ind w:firstLine="0" w:firstLineChars="0"/>
              <w:jc w:val="center"/>
              <w:rPr>
                <w:rFonts w:cs="Times New Roman"/>
                <w:kern w:val="0"/>
                <w:sz w:val="21"/>
              </w:rPr>
            </w:pPr>
            <w:r>
              <w:rPr>
                <w:rFonts w:hint="eastAsia"/>
                <w:sz w:val="21"/>
              </w:rPr>
              <w:t xml:space="preserve">宽度 </w:t>
            </w:r>
            <w:r>
              <w:rPr>
                <w:rFonts w:cs="Times New Roman"/>
                <w:sz w:val="21"/>
              </w:rPr>
              <w:t>4.5m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jc w:val="left"/>
              <w:rPr>
                <w:rFonts w:cs="Times New Roman"/>
                <w:b/>
                <w:sz w:val="21"/>
              </w:rPr>
            </w:pPr>
          </w:p>
        </w:tc>
        <w:tc>
          <w:tcPr>
            <w:tcW w:w="1315" w:type="pct"/>
            <w:gridSpan w:val="2"/>
            <w:vAlign w:val="center"/>
          </w:tcPr>
          <w:p>
            <w:pPr>
              <w:spacing w:line="300" w:lineRule="exact"/>
              <w:ind w:firstLine="0" w:firstLineChars="0"/>
              <w:jc w:val="center"/>
              <w:rPr>
                <w:sz w:val="21"/>
              </w:rPr>
            </w:pPr>
            <w:r>
              <w:rPr>
                <w:rFonts w:hint="eastAsia"/>
                <w:sz w:val="21"/>
              </w:rPr>
              <w:t>整修施工便道</w:t>
            </w:r>
          </w:p>
        </w:tc>
        <w:tc>
          <w:tcPr>
            <w:tcW w:w="708" w:type="pct"/>
            <w:vAlign w:val="center"/>
          </w:tcPr>
          <w:p>
            <w:pPr>
              <w:spacing w:line="300" w:lineRule="exact"/>
              <w:ind w:firstLine="0" w:firstLineChars="0"/>
              <w:jc w:val="center"/>
              <w:rPr>
                <w:sz w:val="21"/>
              </w:rPr>
            </w:pPr>
            <w:r>
              <w:rPr>
                <w:rFonts w:hint="eastAsia"/>
                <w:sz w:val="21"/>
              </w:rPr>
              <w:t>m</w:t>
            </w:r>
          </w:p>
        </w:tc>
        <w:tc>
          <w:tcPr>
            <w:tcW w:w="834" w:type="pct"/>
            <w:vAlign w:val="center"/>
          </w:tcPr>
          <w:p>
            <w:pPr>
              <w:spacing w:line="300" w:lineRule="exact"/>
              <w:ind w:firstLine="0" w:firstLineChars="0"/>
              <w:jc w:val="center"/>
              <w:rPr>
                <w:rFonts w:cs="Times New Roman"/>
                <w:sz w:val="21"/>
              </w:rPr>
            </w:pPr>
            <w:r>
              <w:rPr>
                <w:rFonts w:hint="eastAsia" w:cs="Times New Roman"/>
                <w:sz w:val="21"/>
              </w:rPr>
              <w:t>1000</w:t>
            </w:r>
          </w:p>
        </w:tc>
        <w:tc>
          <w:tcPr>
            <w:tcW w:w="1526" w:type="pct"/>
            <w:vAlign w:val="center"/>
          </w:tcPr>
          <w:p>
            <w:pPr>
              <w:widowControl/>
              <w:spacing w:line="300" w:lineRule="exact"/>
              <w:ind w:firstLine="0" w:firstLineChars="0"/>
              <w:jc w:val="center"/>
              <w:rPr>
                <w:rFonts w:cs="Times New Roman"/>
                <w:kern w:val="0"/>
                <w:sz w:val="21"/>
              </w:rPr>
            </w:pPr>
            <w:r>
              <w:rPr>
                <w:rFonts w:hint="eastAsia"/>
                <w:sz w:val="21"/>
              </w:rPr>
              <w:t xml:space="preserve">宽度 </w:t>
            </w:r>
            <w:r>
              <w:rPr>
                <w:rFonts w:cs="Times New Roman"/>
                <w:sz w:val="21"/>
              </w:rPr>
              <w:t>4.5m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restart"/>
            <w:tcBorders>
              <w:left w:val="nil"/>
            </w:tcBorders>
            <w:vAlign w:val="center"/>
          </w:tcPr>
          <w:p>
            <w:pPr>
              <w:spacing w:line="300" w:lineRule="exact"/>
              <w:ind w:firstLine="0" w:firstLineChars="0"/>
              <w:jc w:val="left"/>
              <w:rPr>
                <w:rFonts w:cs="Times New Roman"/>
                <w:b/>
                <w:sz w:val="21"/>
              </w:rPr>
            </w:pPr>
            <w:r>
              <w:rPr>
                <w:rFonts w:hint="eastAsia" w:cs="Times New Roman"/>
                <w:b/>
                <w:sz w:val="21"/>
              </w:rPr>
              <w:t>八、其他</w:t>
            </w:r>
          </w:p>
        </w:tc>
        <w:tc>
          <w:tcPr>
            <w:tcW w:w="1315" w:type="pct"/>
            <w:gridSpan w:val="2"/>
            <w:vAlign w:val="center"/>
          </w:tcPr>
          <w:p>
            <w:pPr>
              <w:spacing w:line="300" w:lineRule="exact"/>
              <w:ind w:firstLine="0" w:firstLineChars="0"/>
              <w:jc w:val="center"/>
              <w:rPr>
                <w:sz w:val="21"/>
              </w:rPr>
            </w:pPr>
            <w:r>
              <w:rPr>
                <w:rFonts w:hint="eastAsia" w:cs="Times New Roman"/>
                <w:sz w:val="21"/>
              </w:rPr>
              <w:t>地貌恢复</w:t>
            </w:r>
          </w:p>
        </w:tc>
        <w:tc>
          <w:tcPr>
            <w:tcW w:w="708" w:type="pct"/>
            <w:vAlign w:val="center"/>
          </w:tcPr>
          <w:p>
            <w:pPr>
              <w:spacing w:line="300" w:lineRule="exact"/>
              <w:ind w:firstLine="0" w:firstLineChars="0"/>
              <w:jc w:val="center"/>
              <w:rPr>
                <w:sz w:val="21"/>
              </w:rPr>
            </w:pPr>
            <w:r>
              <w:rPr>
                <w:rFonts w:cs="Times New Roman"/>
                <w:sz w:val="21"/>
              </w:rPr>
              <w:t>m</w:t>
            </w:r>
            <w:r>
              <w:rPr>
                <w:rFonts w:hint="eastAsia" w:cs="Times New Roman"/>
                <w:sz w:val="21"/>
                <w:vertAlign w:val="superscript"/>
              </w:rPr>
              <w:t>2</w:t>
            </w:r>
          </w:p>
        </w:tc>
        <w:tc>
          <w:tcPr>
            <w:tcW w:w="834" w:type="pct"/>
            <w:vAlign w:val="center"/>
          </w:tcPr>
          <w:p>
            <w:pPr>
              <w:spacing w:line="300" w:lineRule="exact"/>
              <w:ind w:firstLine="0" w:firstLineChars="0"/>
              <w:jc w:val="center"/>
              <w:rPr>
                <w:rFonts w:cs="Times New Roman"/>
                <w:sz w:val="21"/>
              </w:rPr>
            </w:pPr>
            <w:r>
              <w:rPr>
                <w:rFonts w:hint="eastAsia" w:cs="Times New Roman"/>
                <w:sz w:val="21"/>
              </w:rPr>
              <w:t>24000</w:t>
            </w:r>
          </w:p>
        </w:tc>
        <w:tc>
          <w:tcPr>
            <w:tcW w:w="1526" w:type="pct"/>
            <w:vAlign w:val="center"/>
          </w:tcPr>
          <w:p>
            <w:pPr>
              <w:widowControl/>
              <w:spacing w:line="300" w:lineRule="exact"/>
              <w:ind w:firstLine="0" w:firstLineChars="0"/>
              <w:jc w:val="center"/>
              <w:rPr>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rPr>
                <w:rFonts w:cs="Times New Roman"/>
                <w:sz w:val="21"/>
              </w:rPr>
            </w:pPr>
          </w:p>
        </w:tc>
        <w:tc>
          <w:tcPr>
            <w:tcW w:w="1315" w:type="pct"/>
            <w:gridSpan w:val="2"/>
            <w:vAlign w:val="center"/>
          </w:tcPr>
          <w:p>
            <w:pPr>
              <w:spacing w:line="300" w:lineRule="exact"/>
              <w:ind w:firstLine="0" w:firstLineChars="0"/>
              <w:jc w:val="center"/>
              <w:rPr>
                <w:rFonts w:cs="Times New Roman"/>
                <w:sz w:val="21"/>
              </w:rPr>
            </w:pPr>
            <w:r>
              <w:rPr>
                <w:rFonts w:hint="eastAsia" w:cs="Times New Roman"/>
                <w:sz w:val="21"/>
              </w:rPr>
              <w:t>液氮</w:t>
            </w:r>
          </w:p>
        </w:tc>
        <w:tc>
          <w:tcPr>
            <w:tcW w:w="708" w:type="pct"/>
            <w:vAlign w:val="center"/>
          </w:tcPr>
          <w:p>
            <w:pPr>
              <w:spacing w:line="300" w:lineRule="exact"/>
              <w:ind w:firstLine="0" w:firstLineChars="0"/>
              <w:jc w:val="center"/>
              <w:rPr>
                <w:rFonts w:cs="Times New Roman"/>
                <w:sz w:val="21"/>
              </w:rPr>
            </w:pPr>
            <w:r>
              <w:rPr>
                <w:rFonts w:cs="Times New Roman"/>
                <w:sz w:val="21"/>
              </w:rPr>
              <w:t>m</w:t>
            </w:r>
            <w:r>
              <w:rPr>
                <w:rFonts w:hint="eastAsia" w:cs="Times New Roman"/>
                <w:sz w:val="21"/>
                <w:vertAlign w:val="superscript"/>
              </w:rPr>
              <w:t>3</w:t>
            </w:r>
          </w:p>
        </w:tc>
        <w:tc>
          <w:tcPr>
            <w:tcW w:w="834" w:type="pct"/>
            <w:vAlign w:val="center"/>
          </w:tcPr>
          <w:p>
            <w:pPr>
              <w:spacing w:line="300" w:lineRule="exact"/>
              <w:ind w:firstLine="0" w:firstLineChars="0"/>
              <w:jc w:val="center"/>
              <w:rPr>
                <w:rFonts w:cs="Times New Roman"/>
                <w:sz w:val="21"/>
              </w:rPr>
            </w:pPr>
            <w:r>
              <w:rPr>
                <w:rFonts w:hint="eastAsia" w:cs="Times New Roman"/>
                <w:sz w:val="21"/>
              </w:rPr>
              <w:t>6</w:t>
            </w:r>
          </w:p>
        </w:tc>
        <w:tc>
          <w:tcPr>
            <w:tcW w:w="1526" w:type="pct"/>
            <w:vAlign w:val="center"/>
          </w:tcPr>
          <w:p>
            <w:pPr>
              <w:widowControl/>
              <w:spacing w:line="300" w:lineRule="exac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rPr>
                <w:rFonts w:cs="Times New Roman"/>
                <w:sz w:val="21"/>
              </w:rPr>
            </w:pPr>
          </w:p>
        </w:tc>
        <w:tc>
          <w:tcPr>
            <w:tcW w:w="1315" w:type="pct"/>
            <w:gridSpan w:val="2"/>
            <w:vAlign w:val="center"/>
          </w:tcPr>
          <w:p>
            <w:pPr>
              <w:spacing w:line="300" w:lineRule="exact"/>
              <w:ind w:firstLine="0" w:firstLineChars="0"/>
              <w:jc w:val="center"/>
              <w:rPr>
                <w:rFonts w:cs="Times New Roman"/>
                <w:sz w:val="21"/>
              </w:rPr>
            </w:pPr>
            <w:r>
              <w:rPr>
                <w:rFonts w:hint="eastAsia" w:cs="Times New Roman"/>
                <w:sz w:val="21"/>
              </w:rPr>
              <w:t>经济农作物赔偿</w:t>
            </w:r>
          </w:p>
        </w:tc>
        <w:tc>
          <w:tcPr>
            <w:tcW w:w="708" w:type="pct"/>
            <w:vAlign w:val="center"/>
          </w:tcPr>
          <w:p>
            <w:pPr>
              <w:spacing w:line="300" w:lineRule="exact"/>
              <w:ind w:firstLine="0" w:firstLineChars="0"/>
              <w:jc w:val="center"/>
              <w:rPr>
                <w:rFonts w:cs="Times New Roman"/>
                <w:sz w:val="21"/>
              </w:rPr>
            </w:pPr>
            <w:r>
              <w:rPr>
                <w:rFonts w:cs="Times New Roman"/>
                <w:sz w:val="21"/>
              </w:rPr>
              <w:t>亩</w:t>
            </w:r>
          </w:p>
        </w:tc>
        <w:tc>
          <w:tcPr>
            <w:tcW w:w="834" w:type="pct"/>
            <w:vAlign w:val="center"/>
          </w:tcPr>
          <w:p>
            <w:pPr>
              <w:spacing w:line="300" w:lineRule="exact"/>
              <w:ind w:firstLine="0" w:firstLineChars="0"/>
              <w:jc w:val="center"/>
              <w:rPr>
                <w:rFonts w:cs="Times New Roman"/>
                <w:sz w:val="21"/>
              </w:rPr>
            </w:pPr>
            <w:r>
              <w:rPr>
                <w:rFonts w:cs="Times New Roman"/>
                <w:sz w:val="21"/>
              </w:rPr>
              <w:t>9</w:t>
            </w:r>
          </w:p>
        </w:tc>
        <w:tc>
          <w:tcPr>
            <w:tcW w:w="1526" w:type="pct"/>
            <w:vAlign w:val="center"/>
          </w:tcPr>
          <w:p>
            <w:pPr>
              <w:widowControl/>
              <w:spacing w:line="300" w:lineRule="exac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617" w:type="pct"/>
            <w:vMerge w:val="continue"/>
            <w:tcBorders>
              <w:left w:val="nil"/>
            </w:tcBorders>
            <w:vAlign w:val="center"/>
          </w:tcPr>
          <w:p>
            <w:pPr>
              <w:spacing w:line="300" w:lineRule="exact"/>
              <w:ind w:firstLine="0" w:firstLineChars="0"/>
              <w:rPr>
                <w:rFonts w:cs="Times New Roman"/>
                <w:sz w:val="21"/>
              </w:rPr>
            </w:pPr>
          </w:p>
        </w:tc>
        <w:tc>
          <w:tcPr>
            <w:tcW w:w="1315" w:type="pct"/>
            <w:gridSpan w:val="2"/>
            <w:vAlign w:val="center"/>
          </w:tcPr>
          <w:p>
            <w:pPr>
              <w:spacing w:line="300" w:lineRule="exact"/>
              <w:ind w:firstLine="0" w:firstLineChars="0"/>
              <w:jc w:val="center"/>
              <w:rPr>
                <w:rFonts w:cs="Times New Roman"/>
                <w:sz w:val="21"/>
              </w:rPr>
            </w:pPr>
            <w:r>
              <w:rPr>
                <w:rFonts w:hint="eastAsia"/>
                <w:sz w:val="21"/>
              </w:rPr>
              <w:t>林地赔偿</w:t>
            </w:r>
          </w:p>
        </w:tc>
        <w:tc>
          <w:tcPr>
            <w:tcW w:w="708" w:type="pct"/>
            <w:vAlign w:val="center"/>
          </w:tcPr>
          <w:p>
            <w:pPr>
              <w:spacing w:line="300" w:lineRule="exact"/>
              <w:ind w:firstLine="0" w:firstLineChars="0"/>
              <w:jc w:val="center"/>
              <w:rPr>
                <w:rFonts w:cs="Times New Roman"/>
                <w:sz w:val="21"/>
              </w:rPr>
            </w:pPr>
            <w:r>
              <w:rPr>
                <w:rFonts w:cs="Times New Roman"/>
                <w:sz w:val="21"/>
              </w:rPr>
              <w:t>亩</w:t>
            </w:r>
          </w:p>
        </w:tc>
        <w:tc>
          <w:tcPr>
            <w:tcW w:w="834" w:type="pct"/>
            <w:vAlign w:val="center"/>
          </w:tcPr>
          <w:p>
            <w:pPr>
              <w:spacing w:line="300" w:lineRule="exact"/>
              <w:ind w:firstLine="0" w:firstLineChars="0"/>
              <w:jc w:val="center"/>
              <w:rPr>
                <w:rFonts w:cs="Times New Roman"/>
                <w:sz w:val="21"/>
              </w:rPr>
            </w:pPr>
            <w:r>
              <w:rPr>
                <w:rFonts w:cs="Times New Roman"/>
                <w:sz w:val="21"/>
              </w:rPr>
              <w:t>25.5</w:t>
            </w:r>
          </w:p>
        </w:tc>
        <w:tc>
          <w:tcPr>
            <w:tcW w:w="1526" w:type="pct"/>
            <w:vAlign w:val="center"/>
          </w:tcPr>
          <w:p>
            <w:pPr>
              <w:widowControl/>
              <w:spacing w:line="300" w:lineRule="exact"/>
              <w:ind w:firstLine="0" w:firstLineChars="0"/>
              <w:jc w:val="left"/>
              <w:rPr>
                <w:sz w:val="21"/>
              </w:rPr>
            </w:pPr>
          </w:p>
        </w:tc>
      </w:tr>
    </w:tbl>
    <w:p>
      <w:pPr>
        <w:ind w:firstLine="480"/>
        <w:rPr>
          <w:rFonts w:cs="Times New Roman"/>
        </w:rPr>
        <w:sectPr>
          <w:pgSz w:w="16838" w:h="11906" w:orient="landscape"/>
          <w:pgMar w:top="1797" w:right="1440" w:bottom="1797" w:left="1440" w:header="851" w:footer="794" w:gutter="0"/>
          <w:cols w:space="425" w:num="1"/>
          <w:docGrid w:type="lines" w:linePitch="326" w:charSpace="0"/>
        </w:sectPr>
      </w:pPr>
    </w:p>
    <w:p>
      <w:pPr>
        <w:pStyle w:val="4"/>
        <w:rPr>
          <w:rFonts w:cs="Times New Roman"/>
        </w:rPr>
      </w:pPr>
      <w:bookmarkStart w:id="84" w:name="_Toc89009616"/>
      <w:r>
        <w:rPr>
          <w:rFonts w:hint="eastAsia" w:cs="Times New Roman"/>
        </w:rPr>
        <w:t xml:space="preserve"> </w:t>
      </w:r>
      <w:bookmarkStart w:id="85" w:name="_Toc96680635"/>
      <w:r>
        <w:rPr>
          <w:rFonts w:cs="Times New Roman"/>
        </w:rPr>
        <w:t>气源组分</w:t>
      </w:r>
      <w:bookmarkEnd w:id="84"/>
      <w:bookmarkEnd w:id="85"/>
    </w:p>
    <w:p>
      <w:pPr>
        <w:ind w:firstLine="480"/>
        <w:rPr>
          <w:rFonts w:cs="Times New Roman"/>
        </w:rPr>
      </w:pPr>
      <w:r>
        <w:rPr>
          <w:rFonts w:cs="Times New Roman"/>
        </w:rPr>
        <w:t>本项目输送的天然气主要为</w:t>
      </w:r>
      <w:r>
        <w:rPr>
          <w:rFonts w:hint="eastAsia"/>
        </w:rPr>
        <w:t>河坝区块和马路背区块所产天然气。</w:t>
      </w:r>
    </w:p>
    <w:p>
      <w:pPr>
        <w:pStyle w:val="2"/>
        <w:ind w:left="922" w:hanging="442"/>
        <w:jc w:val="center"/>
        <w:rPr>
          <w:rFonts w:eastAsia="楷体"/>
          <w:b/>
          <w:kern w:val="0"/>
          <w:sz w:val="22"/>
        </w:rPr>
      </w:pPr>
      <w:r>
        <w:rPr>
          <w:rFonts w:eastAsia="楷体"/>
          <w:b/>
          <w:kern w:val="0"/>
          <w:sz w:val="22"/>
        </w:rPr>
        <w:t>表</w:t>
      </w:r>
      <w:r>
        <w:rPr>
          <w:rFonts w:eastAsia="楷体"/>
          <w:b/>
          <w:kern w:val="0"/>
          <w:sz w:val="22"/>
        </w:rPr>
        <w:fldChar w:fldCharType="begin"/>
      </w:r>
      <w:r>
        <w:rPr>
          <w:rFonts w:eastAsia="楷体"/>
          <w:b/>
          <w:kern w:val="0"/>
          <w:sz w:val="22"/>
        </w:rPr>
        <w:instrText xml:space="preserve"> STYLEREF 2 \s </w:instrText>
      </w:r>
      <w:r>
        <w:rPr>
          <w:rFonts w:eastAsia="楷体"/>
          <w:b/>
          <w:kern w:val="0"/>
          <w:sz w:val="22"/>
        </w:rPr>
        <w:fldChar w:fldCharType="separate"/>
      </w:r>
      <w:r>
        <w:rPr>
          <w:rFonts w:eastAsia="楷体"/>
          <w:b/>
          <w:kern w:val="0"/>
          <w:sz w:val="22"/>
        </w:rPr>
        <w:t>2.4</w:t>
      </w:r>
      <w:r>
        <w:rPr>
          <w:rFonts w:eastAsia="楷体"/>
          <w:b/>
          <w:kern w:val="0"/>
          <w:sz w:val="22"/>
        </w:rPr>
        <w:fldChar w:fldCharType="end"/>
      </w:r>
      <w:r>
        <w:rPr>
          <w:rFonts w:eastAsia="楷体"/>
          <w:b/>
          <w:kern w:val="0"/>
          <w:sz w:val="22"/>
        </w:rPr>
        <w:t>-</w:t>
      </w:r>
      <w:r>
        <w:rPr>
          <w:rFonts w:eastAsia="楷体"/>
          <w:b/>
          <w:kern w:val="0"/>
          <w:sz w:val="22"/>
        </w:rPr>
        <w:fldChar w:fldCharType="begin"/>
      </w:r>
      <w:r>
        <w:rPr>
          <w:rFonts w:eastAsia="楷体"/>
          <w:b/>
          <w:kern w:val="0"/>
          <w:sz w:val="22"/>
        </w:rPr>
        <w:instrText xml:space="preserve"> SEQ 表格 \* ARABIC \s 2 </w:instrText>
      </w:r>
      <w:r>
        <w:rPr>
          <w:rFonts w:eastAsia="楷体"/>
          <w:b/>
          <w:kern w:val="0"/>
          <w:sz w:val="22"/>
        </w:rPr>
        <w:fldChar w:fldCharType="separate"/>
      </w:r>
      <w:r>
        <w:rPr>
          <w:rFonts w:eastAsia="楷体"/>
          <w:b/>
          <w:kern w:val="0"/>
          <w:sz w:val="22"/>
        </w:rPr>
        <w:t>1</w:t>
      </w:r>
      <w:r>
        <w:rPr>
          <w:rFonts w:eastAsia="楷体"/>
          <w:b/>
          <w:kern w:val="0"/>
          <w:sz w:val="22"/>
        </w:rPr>
        <w:fldChar w:fldCharType="end"/>
      </w:r>
      <w:r>
        <w:rPr>
          <w:rFonts w:eastAsia="楷体"/>
          <w:b/>
          <w:kern w:val="0"/>
          <w:sz w:val="22"/>
        </w:rPr>
        <w:t xml:space="preserve">  </w:t>
      </w:r>
      <w:r>
        <w:rPr>
          <w:rFonts w:hint="eastAsia" w:eastAsia="楷体"/>
          <w:b/>
          <w:kern w:val="0"/>
          <w:sz w:val="22"/>
        </w:rPr>
        <w:t>区块天然气组成及物性表</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623"/>
        <w:gridCol w:w="1956"/>
        <w:gridCol w:w="1125"/>
        <w:gridCol w:w="1542"/>
        <w:gridCol w:w="11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623" w:type="dxa"/>
            <w:tcBorders>
              <w:top w:val="single" w:color="auto" w:sz="12" w:space="0"/>
              <w:left w:val="nil"/>
            </w:tcBorders>
          </w:tcPr>
          <w:p>
            <w:pPr>
              <w:spacing w:line="240" w:lineRule="auto"/>
              <w:ind w:firstLine="0" w:firstLineChars="0"/>
              <w:jc w:val="center"/>
              <w:rPr>
                <w:b/>
                <w:sz w:val="21"/>
              </w:rPr>
            </w:pPr>
            <w:r>
              <w:rPr>
                <w:rFonts w:hint="eastAsia"/>
                <w:b/>
                <w:sz w:val="21"/>
              </w:rPr>
              <w:t>相对密度（g/cm</w:t>
            </w:r>
            <w:r>
              <w:rPr>
                <w:rFonts w:hint="eastAsia"/>
                <w:b/>
                <w:sz w:val="21"/>
                <w:vertAlign w:val="superscript"/>
              </w:rPr>
              <w:t>3</w:t>
            </w:r>
            <w:r>
              <w:rPr>
                <w:rFonts w:hint="eastAsia"/>
                <w:b/>
                <w:sz w:val="21"/>
              </w:rPr>
              <w:t>）</w:t>
            </w:r>
          </w:p>
        </w:tc>
        <w:tc>
          <w:tcPr>
            <w:tcW w:w="1956" w:type="dxa"/>
            <w:tcBorders>
              <w:top w:val="single" w:color="auto" w:sz="12" w:space="0"/>
            </w:tcBorders>
          </w:tcPr>
          <w:p>
            <w:pPr>
              <w:spacing w:line="240" w:lineRule="auto"/>
              <w:ind w:firstLine="0" w:firstLineChars="0"/>
              <w:jc w:val="center"/>
              <w:rPr>
                <w:b/>
                <w:sz w:val="21"/>
              </w:rPr>
            </w:pPr>
            <w:r>
              <w:rPr>
                <w:rFonts w:hint="eastAsia"/>
                <w:b/>
                <w:sz w:val="21"/>
              </w:rPr>
              <w:t>CH</w:t>
            </w:r>
            <w:r>
              <w:rPr>
                <w:rFonts w:hint="eastAsia"/>
                <w:b/>
                <w:sz w:val="21"/>
                <w:vertAlign w:val="subscript"/>
              </w:rPr>
              <w:t>4</w:t>
            </w:r>
            <w:r>
              <w:rPr>
                <w:rFonts w:hint="eastAsia"/>
                <w:b/>
                <w:sz w:val="21"/>
              </w:rPr>
              <w:t>（%）</w:t>
            </w:r>
          </w:p>
        </w:tc>
        <w:tc>
          <w:tcPr>
            <w:tcW w:w="1125" w:type="dxa"/>
            <w:tcBorders>
              <w:top w:val="single" w:color="auto" w:sz="12" w:space="0"/>
            </w:tcBorders>
          </w:tcPr>
          <w:p>
            <w:pPr>
              <w:spacing w:line="240" w:lineRule="auto"/>
              <w:ind w:firstLine="0" w:firstLineChars="0"/>
              <w:jc w:val="center"/>
              <w:rPr>
                <w:b/>
                <w:sz w:val="21"/>
              </w:rPr>
            </w:pPr>
            <w:r>
              <w:rPr>
                <w:rFonts w:hint="eastAsia"/>
                <w:b/>
                <w:sz w:val="21"/>
              </w:rPr>
              <w:t>CO</w:t>
            </w:r>
            <w:r>
              <w:rPr>
                <w:rFonts w:hint="eastAsia"/>
                <w:b/>
                <w:sz w:val="21"/>
                <w:vertAlign w:val="subscript"/>
              </w:rPr>
              <w:t>2</w:t>
            </w:r>
            <w:r>
              <w:rPr>
                <w:rFonts w:hint="eastAsia"/>
                <w:b/>
                <w:sz w:val="21"/>
              </w:rPr>
              <w:t>（%）</w:t>
            </w:r>
          </w:p>
        </w:tc>
        <w:tc>
          <w:tcPr>
            <w:tcW w:w="1542" w:type="dxa"/>
            <w:tcBorders>
              <w:top w:val="single" w:color="auto" w:sz="12" w:space="0"/>
            </w:tcBorders>
          </w:tcPr>
          <w:p>
            <w:pPr>
              <w:spacing w:line="240" w:lineRule="auto"/>
              <w:ind w:firstLine="0" w:firstLineChars="0"/>
              <w:jc w:val="center"/>
              <w:rPr>
                <w:b/>
                <w:sz w:val="21"/>
              </w:rPr>
            </w:pPr>
            <w:r>
              <w:rPr>
                <w:rFonts w:hint="eastAsia"/>
                <w:b/>
                <w:sz w:val="21"/>
              </w:rPr>
              <w:t>重烃（%）</w:t>
            </w:r>
          </w:p>
        </w:tc>
        <w:tc>
          <w:tcPr>
            <w:tcW w:w="1174" w:type="dxa"/>
            <w:tcBorders>
              <w:top w:val="single" w:color="auto" w:sz="12" w:space="0"/>
            </w:tcBorders>
          </w:tcPr>
          <w:p>
            <w:pPr>
              <w:spacing w:line="240" w:lineRule="auto"/>
              <w:ind w:firstLine="0" w:firstLineChars="0"/>
              <w:jc w:val="center"/>
              <w:rPr>
                <w:b/>
                <w:sz w:val="21"/>
              </w:rPr>
            </w:pPr>
            <w:r>
              <w:rPr>
                <w:rFonts w:hint="eastAsia"/>
                <w:b/>
                <w:sz w:val="21"/>
              </w:rPr>
              <w:t>N</w:t>
            </w:r>
            <w:r>
              <w:rPr>
                <w:rFonts w:hint="eastAsia"/>
                <w:b/>
                <w:sz w:val="21"/>
                <w:vertAlign w:val="subscript"/>
              </w:rPr>
              <w:t>2</w:t>
            </w:r>
            <w:r>
              <w:rPr>
                <w:rFonts w:hint="eastAsia"/>
                <w:b/>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623" w:type="dxa"/>
            <w:tcBorders>
              <w:left w:val="nil"/>
            </w:tcBorders>
          </w:tcPr>
          <w:p>
            <w:pPr>
              <w:spacing w:line="240" w:lineRule="auto"/>
              <w:ind w:firstLine="0" w:firstLineChars="0"/>
              <w:jc w:val="center"/>
              <w:rPr>
                <w:sz w:val="21"/>
              </w:rPr>
            </w:pPr>
            <w:r>
              <w:rPr>
                <w:rFonts w:hint="eastAsia"/>
                <w:sz w:val="21"/>
              </w:rPr>
              <w:t>0.5668</w:t>
            </w:r>
          </w:p>
        </w:tc>
        <w:tc>
          <w:tcPr>
            <w:tcW w:w="1956" w:type="dxa"/>
          </w:tcPr>
          <w:p>
            <w:pPr>
              <w:spacing w:line="240" w:lineRule="auto"/>
              <w:ind w:firstLine="0" w:firstLineChars="0"/>
              <w:jc w:val="center"/>
              <w:rPr>
                <w:sz w:val="21"/>
              </w:rPr>
            </w:pPr>
            <w:r>
              <w:rPr>
                <w:rFonts w:hint="eastAsia"/>
                <w:sz w:val="21"/>
              </w:rPr>
              <w:t>97.6</w:t>
            </w:r>
          </w:p>
        </w:tc>
        <w:tc>
          <w:tcPr>
            <w:tcW w:w="1125" w:type="dxa"/>
          </w:tcPr>
          <w:p>
            <w:pPr>
              <w:spacing w:line="240" w:lineRule="auto"/>
              <w:ind w:firstLine="0" w:firstLineChars="0"/>
              <w:jc w:val="center"/>
              <w:rPr>
                <w:sz w:val="21"/>
              </w:rPr>
            </w:pPr>
            <w:r>
              <w:rPr>
                <w:rFonts w:hint="eastAsia"/>
                <w:sz w:val="21"/>
              </w:rPr>
              <w:t>0.368</w:t>
            </w:r>
          </w:p>
        </w:tc>
        <w:tc>
          <w:tcPr>
            <w:tcW w:w="1542" w:type="dxa"/>
          </w:tcPr>
          <w:p>
            <w:pPr>
              <w:spacing w:line="240" w:lineRule="auto"/>
              <w:ind w:firstLine="0" w:firstLineChars="0"/>
              <w:jc w:val="center"/>
              <w:rPr>
                <w:sz w:val="21"/>
              </w:rPr>
            </w:pPr>
            <w:r>
              <w:rPr>
                <w:rFonts w:hint="eastAsia"/>
                <w:sz w:val="21"/>
              </w:rPr>
              <w:t>0.522</w:t>
            </w:r>
          </w:p>
        </w:tc>
        <w:tc>
          <w:tcPr>
            <w:tcW w:w="1174" w:type="dxa"/>
          </w:tcPr>
          <w:p>
            <w:pPr>
              <w:spacing w:line="240" w:lineRule="auto"/>
              <w:ind w:firstLine="0" w:firstLineChars="0"/>
              <w:jc w:val="center"/>
              <w:rPr>
                <w:sz w:val="21"/>
              </w:rPr>
            </w:pPr>
            <w:r>
              <w:rPr>
                <w:rFonts w:hint="eastAsia"/>
                <w:sz w:val="21"/>
              </w:rPr>
              <w:t>1.51</w:t>
            </w:r>
          </w:p>
        </w:tc>
      </w:tr>
    </w:tbl>
    <w:p>
      <w:pPr>
        <w:ind w:firstLine="480"/>
      </w:pPr>
      <w:r>
        <w:rPr>
          <w:rFonts w:hint="eastAsia"/>
        </w:rPr>
        <w:t>区块产出的天然气具有高甲烷、低重烃</w:t>
      </w:r>
      <w:r>
        <w:rPr>
          <w:rFonts w:cs="Times New Roman"/>
        </w:rPr>
        <w:t>C</w:t>
      </w:r>
      <w:r>
        <w:rPr>
          <w:rFonts w:cs="Times New Roman"/>
          <w:vertAlign w:val="superscript"/>
        </w:rPr>
        <w:t>2+</w:t>
      </w:r>
      <w:r>
        <w:rPr>
          <w:rFonts w:hint="eastAsia"/>
        </w:rPr>
        <w:t>、低</w:t>
      </w:r>
      <w:r>
        <w:rPr>
          <w:rFonts w:cs="Times New Roman"/>
        </w:rPr>
        <w:t>CO</w:t>
      </w:r>
      <w:r>
        <w:rPr>
          <w:rFonts w:cs="Times New Roman"/>
          <w:vertAlign w:val="subscript"/>
        </w:rPr>
        <w:t>2</w:t>
      </w:r>
      <w:r>
        <w:rPr>
          <w:rFonts w:hint="eastAsia"/>
        </w:rPr>
        <w:t>、低</w:t>
      </w:r>
      <w:r>
        <w:rPr>
          <w:rFonts w:cs="Times New Roman"/>
        </w:rPr>
        <w:t>N</w:t>
      </w:r>
      <w:r>
        <w:rPr>
          <w:rFonts w:cs="Times New Roman"/>
          <w:vertAlign w:val="subscript"/>
        </w:rPr>
        <w:t>2</w:t>
      </w:r>
      <w:r>
        <w:rPr>
          <w:rFonts w:hint="eastAsia"/>
        </w:rPr>
        <w:t>的特点。天然气品质优良，不含硫化氢。</w:t>
      </w:r>
    </w:p>
    <w:p>
      <w:pPr>
        <w:pStyle w:val="4"/>
        <w:rPr>
          <w:rFonts w:cs="Times New Roman"/>
        </w:rPr>
      </w:pPr>
      <w:r>
        <w:rPr>
          <w:rFonts w:hint="eastAsia" w:cs="Times New Roman"/>
        </w:rPr>
        <w:t xml:space="preserve"> </w:t>
      </w:r>
      <w:bookmarkStart w:id="86" w:name="_Toc96680636"/>
      <w:r>
        <w:rPr>
          <w:rFonts w:hint="eastAsia" w:cs="Times New Roman"/>
        </w:rPr>
        <w:t>主体工程</w:t>
      </w:r>
      <w:bookmarkEnd w:id="86"/>
    </w:p>
    <w:p>
      <w:pPr>
        <w:pStyle w:val="5"/>
      </w:pPr>
      <w:r>
        <w:rPr>
          <w:rFonts w:hint="eastAsia"/>
        </w:rPr>
        <w:t xml:space="preserve"> </w:t>
      </w:r>
      <w:bookmarkStart w:id="87" w:name="_Toc96680637"/>
      <w:r>
        <w:rPr>
          <w:rFonts w:hint="eastAsia"/>
        </w:rPr>
        <w:t>线路工程</w:t>
      </w:r>
      <w:bookmarkEnd w:id="87"/>
    </w:p>
    <w:p>
      <w:pPr>
        <w:pStyle w:val="6"/>
        <w:jc w:val="both"/>
        <w:rPr>
          <w:rFonts w:cs="Times New Roman"/>
        </w:rPr>
      </w:pPr>
      <w:r>
        <w:rPr>
          <w:rFonts w:hint="eastAsia" w:cs="Times New Roman"/>
        </w:rPr>
        <w:t xml:space="preserve"> </w:t>
      </w:r>
      <w:r>
        <w:rPr>
          <w:rFonts w:cs="Times New Roman"/>
        </w:rPr>
        <w:t>线路走向</w:t>
      </w:r>
    </w:p>
    <w:p>
      <w:pPr>
        <w:pStyle w:val="214"/>
        <w:ind w:firstLine="480"/>
      </w:pPr>
      <w:r>
        <w:rPr>
          <w:rFonts w:hint="eastAsia"/>
        </w:rPr>
        <w:t>根据下图，管道路由从</w:t>
      </w:r>
      <w:r>
        <w:t>1</w:t>
      </w:r>
      <w:r>
        <w:rPr>
          <w:rFonts w:hint="eastAsia"/>
        </w:rPr>
        <w:t>号点开始向西北敷设，耕地敷设长度</w:t>
      </w:r>
      <w:r>
        <w:t>200m</w:t>
      </w:r>
      <w:r>
        <w:rPr>
          <w:rFonts w:hint="eastAsia"/>
        </w:rPr>
        <w:t>后进入林地，向西北敷设</w:t>
      </w:r>
      <w:r>
        <w:t>360m</w:t>
      </w:r>
      <w:r>
        <w:rPr>
          <w:rFonts w:hint="eastAsia"/>
        </w:rPr>
        <w:t>至林地中间排水沟，向东北敷设</w:t>
      </w:r>
      <w:r>
        <w:t>500m</w:t>
      </w:r>
      <w:r>
        <w:rPr>
          <w:rFonts w:hint="eastAsia"/>
        </w:rPr>
        <w:t>至冲沟顶部，在从冲沟顶部转向东南敷设</w:t>
      </w:r>
      <w:r>
        <w:t>400m后</w:t>
      </w:r>
      <w:r>
        <w:rPr>
          <w:rFonts w:hint="eastAsia"/>
        </w:rPr>
        <w:t>向东敷设</w:t>
      </w:r>
      <w:r>
        <w:t>340m</w:t>
      </w:r>
      <w:r>
        <w:rPr>
          <w:rFonts w:hint="eastAsia"/>
        </w:rPr>
        <w:t>，最后向南耕地内敷设</w:t>
      </w:r>
      <w:r>
        <w:t>200m</w:t>
      </w:r>
      <w:r>
        <w:rPr>
          <w:rFonts w:hint="eastAsia"/>
        </w:rPr>
        <w:t>至原管道碰口</w:t>
      </w:r>
      <w:r>
        <w:t>2</w:t>
      </w:r>
      <w:r>
        <w:rPr>
          <w:rFonts w:hint="eastAsia"/>
        </w:rPr>
        <w:t>号点。途径主要为林地</w:t>
      </w:r>
      <w:r>
        <w:t>1600m</w:t>
      </w:r>
      <w:r>
        <w:rPr>
          <w:rFonts w:hint="eastAsia"/>
        </w:rPr>
        <w:t>，其它为耕地，林地中大部分地表土层较薄，存在基岩裸露，沿途无大中型穿跨越。</w:t>
      </w:r>
    </w:p>
    <w:p>
      <w:pPr>
        <w:pStyle w:val="56"/>
      </w:pPr>
      <w:r>
        <w:t>******</w:t>
      </w:r>
    </w:p>
    <w:p>
      <w:pPr>
        <w:pStyle w:val="73"/>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w:t>
      </w:r>
      <w:r>
        <w:rPr>
          <w:rFonts w:hint="eastAsia"/>
          <w:sz w:val="21"/>
          <w:szCs w:val="21"/>
        </w:rPr>
        <w:t>改线方案路由走向示意图</w:t>
      </w:r>
    </w:p>
    <w:p>
      <w:pPr>
        <w:pStyle w:val="6"/>
        <w:jc w:val="both"/>
        <w:rPr>
          <w:rFonts w:cs="Times New Roman"/>
        </w:rPr>
      </w:pPr>
      <w:r>
        <w:rPr>
          <w:rFonts w:hint="eastAsia" w:cs="Times New Roman"/>
        </w:rPr>
        <w:t xml:space="preserve"> </w:t>
      </w:r>
      <w:r>
        <w:rPr>
          <w:rFonts w:cs="Times New Roman"/>
        </w:rPr>
        <w:t>沿线基本情况</w:t>
      </w:r>
    </w:p>
    <w:p>
      <w:pPr>
        <w:ind w:firstLine="480"/>
        <w:rPr>
          <w:rFonts w:cs="Times New Roman"/>
        </w:rPr>
      </w:pPr>
      <w:r>
        <w:rPr>
          <w:rFonts w:cs="Times New Roman"/>
        </w:rPr>
        <w:t>本工程管道沿线所经区域地貌主要丘陵山地地区。项目管道沿线行政区划长度、地区等级、地形地貌情况详见下表。</w:t>
      </w:r>
    </w:p>
    <w:p>
      <w:pPr>
        <w:pStyle w:val="227"/>
        <w:rPr>
          <w:rFonts w:eastAsia="楷体"/>
          <w:kern w:val="0"/>
        </w:rPr>
      </w:pPr>
      <w:r>
        <w:rPr>
          <w:rFonts w:eastAsia="楷体"/>
          <w:kern w:val="0"/>
        </w:rPr>
        <w:t>表</w:t>
      </w:r>
      <w:r>
        <w:rPr>
          <w:rFonts w:eastAsia="楷体"/>
          <w:kern w:val="0"/>
        </w:rPr>
        <w:fldChar w:fldCharType="begin"/>
      </w:r>
      <w:r>
        <w:rPr>
          <w:rFonts w:eastAsia="楷体"/>
          <w:kern w:val="0"/>
        </w:rPr>
        <w:instrText xml:space="preserve"> STYLEREF 2 \s </w:instrText>
      </w:r>
      <w:r>
        <w:rPr>
          <w:rFonts w:eastAsia="楷体"/>
          <w:kern w:val="0"/>
        </w:rPr>
        <w:fldChar w:fldCharType="separate"/>
      </w:r>
      <w:r>
        <w:rPr>
          <w:rFonts w:eastAsia="楷体"/>
          <w:kern w:val="0"/>
        </w:rPr>
        <w:t>2.5</w:t>
      </w:r>
      <w:r>
        <w:rPr>
          <w:rFonts w:eastAsia="楷体"/>
          <w:kern w:val="0"/>
        </w:rPr>
        <w:fldChar w:fldCharType="end"/>
      </w:r>
      <w:r>
        <w:rPr>
          <w:rFonts w:eastAsia="楷体"/>
          <w:kern w:val="0"/>
        </w:rPr>
        <w:noBreakHyphen/>
      </w:r>
      <w:r>
        <w:rPr>
          <w:rFonts w:eastAsia="楷体"/>
          <w:kern w:val="0"/>
        </w:rPr>
        <w:fldChar w:fldCharType="begin"/>
      </w:r>
      <w:r>
        <w:rPr>
          <w:rFonts w:eastAsia="楷体"/>
          <w:kern w:val="0"/>
        </w:rPr>
        <w:instrText xml:space="preserve"> SEQ 表 \* ARABIC \s 2 </w:instrText>
      </w:r>
      <w:r>
        <w:rPr>
          <w:rFonts w:eastAsia="楷体"/>
          <w:kern w:val="0"/>
        </w:rPr>
        <w:fldChar w:fldCharType="separate"/>
      </w:r>
      <w:r>
        <w:rPr>
          <w:rFonts w:eastAsia="楷体"/>
          <w:kern w:val="0"/>
        </w:rPr>
        <w:t>1</w:t>
      </w:r>
      <w:r>
        <w:rPr>
          <w:rFonts w:eastAsia="楷体"/>
          <w:kern w:val="0"/>
        </w:rPr>
        <w:fldChar w:fldCharType="end"/>
      </w:r>
      <w:r>
        <w:rPr>
          <w:rFonts w:eastAsia="楷体"/>
          <w:kern w:val="0"/>
        </w:rPr>
        <w:t xml:space="preserve">  管道沿线情况一览表</w:t>
      </w:r>
    </w:p>
    <w:tbl>
      <w:tblPr>
        <w:tblStyle w:val="2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2542"/>
        <w:gridCol w:w="1819"/>
        <w:gridCol w:w="1703"/>
        <w:gridCol w:w="15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508" w:type="pct"/>
            <w:tcBorders>
              <w:top w:val="single" w:color="auto" w:sz="12" w:space="0"/>
              <w:left w:val="nil"/>
            </w:tcBorders>
            <w:noWrap/>
            <w:vAlign w:val="center"/>
          </w:tcPr>
          <w:p>
            <w:pPr>
              <w:pStyle w:val="63"/>
              <w:rPr>
                <w:b/>
              </w:rPr>
            </w:pPr>
            <w:r>
              <w:rPr>
                <w:b/>
              </w:rPr>
              <w:t>序号</w:t>
            </w:r>
          </w:p>
        </w:tc>
        <w:tc>
          <w:tcPr>
            <w:tcW w:w="1491" w:type="pct"/>
            <w:tcBorders>
              <w:top w:val="single" w:color="auto" w:sz="12" w:space="0"/>
            </w:tcBorders>
            <w:vAlign w:val="center"/>
          </w:tcPr>
          <w:p>
            <w:pPr>
              <w:pStyle w:val="63"/>
              <w:rPr>
                <w:b/>
              </w:rPr>
            </w:pPr>
            <w:r>
              <w:rPr>
                <w:b/>
              </w:rPr>
              <w:t>区县、乡镇、村</w:t>
            </w:r>
          </w:p>
        </w:tc>
        <w:tc>
          <w:tcPr>
            <w:tcW w:w="1067" w:type="pct"/>
            <w:tcBorders>
              <w:top w:val="single" w:color="auto" w:sz="12" w:space="0"/>
            </w:tcBorders>
            <w:noWrap/>
            <w:vAlign w:val="center"/>
          </w:tcPr>
          <w:p>
            <w:pPr>
              <w:pStyle w:val="63"/>
              <w:rPr>
                <w:b/>
              </w:rPr>
            </w:pPr>
            <w:r>
              <w:rPr>
                <w:b/>
              </w:rPr>
              <w:t>管线长度（m）</w:t>
            </w:r>
          </w:p>
        </w:tc>
        <w:tc>
          <w:tcPr>
            <w:tcW w:w="999" w:type="pct"/>
            <w:tcBorders>
              <w:top w:val="single" w:color="auto" w:sz="12" w:space="0"/>
            </w:tcBorders>
            <w:vAlign w:val="center"/>
          </w:tcPr>
          <w:p>
            <w:pPr>
              <w:pStyle w:val="63"/>
              <w:rPr>
                <w:b/>
              </w:rPr>
            </w:pPr>
            <w:r>
              <w:rPr>
                <w:b/>
              </w:rPr>
              <w:t>地区等级</w:t>
            </w:r>
          </w:p>
        </w:tc>
        <w:tc>
          <w:tcPr>
            <w:tcW w:w="934" w:type="pct"/>
            <w:tcBorders>
              <w:top w:val="single" w:color="auto" w:sz="12" w:space="0"/>
            </w:tcBorders>
            <w:vAlign w:val="center"/>
          </w:tcPr>
          <w:p>
            <w:pPr>
              <w:pStyle w:val="63"/>
              <w:rPr>
                <w:b/>
              </w:rPr>
            </w:pPr>
            <w:r>
              <w:rPr>
                <w:b/>
              </w:rPr>
              <w:t>地形地貌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tcBorders>
              <w:left w:val="nil"/>
            </w:tcBorders>
            <w:noWrap/>
            <w:vAlign w:val="center"/>
          </w:tcPr>
          <w:p>
            <w:pPr>
              <w:pStyle w:val="63"/>
            </w:pPr>
            <w:r>
              <w:t>1</w:t>
            </w:r>
          </w:p>
        </w:tc>
        <w:tc>
          <w:tcPr>
            <w:tcW w:w="1491" w:type="pct"/>
            <w:vAlign w:val="center"/>
          </w:tcPr>
          <w:p>
            <w:pPr>
              <w:pStyle w:val="63"/>
            </w:pPr>
            <w:r>
              <w:t>通江县涪阳镇活水沟村</w:t>
            </w:r>
          </w:p>
        </w:tc>
        <w:tc>
          <w:tcPr>
            <w:tcW w:w="1067" w:type="pct"/>
            <w:noWrap/>
            <w:vAlign w:val="center"/>
          </w:tcPr>
          <w:p>
            <w:pPr>
              <w:pStyle w:val="63"/>
            </w:pPr>
            <w:r>
              <w:rPr>
                <w:rFonts w:hint="eastAsia"/>
              </w:rPr>
              <w:t>1570</w:t>
            </w:r>
          </w:p>
        </w:tc>
        <w:tc>
          <w:tcPr>
            <w:tcW w:w="999" w:type="pct"/>
            <w:vAlign w:val="center"/>
          </w:tcPr>
          <w:p>
            <w:pPr>
              <w:pStyle w:val="63"/>
            </w:pPr>
            <w:r>
              <w:t>二级地区</w:t>
            </w:r>
          </w:p>
        </w:tc>
        <w:tc>
          <w:tcPr>
            <w:tcW w:w="934" w:type="pct"/>
            <w:vAlign w:val="center"/>
          </w:tcPr>
          <w:p>
            <w:pPr>
              <w:pStyle w:val="63"/>
            </w:pPr>
            <w:r>
              <w:t>低山丘陵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tcBorders>
              <w:left w:val="nil"/>
            </w:tcBorders>
            <w:noWrap/>
            <w:vAlign w:val="center"/>
          </w:tcPr>
          <w:p>
            <w:pPr>
              <w:pStyle w:val="63"/>
            </w:pPr>
            <w:r>
              <w:t>2</w:t>
            </w:r>
          </w:p>
        </w:tc>
        <w:tc>
          <w:tcPr>
            <w:tcW w:w="1491" w:type="pct"/>
            <w:vAlign w:val="top"/>
          </w:tcPr>
          <w:p>
            <w:pPr>
              <w:pStyle w:val="63"/>
            </w:pPr>
            <w:r>
              <w:t>通江县涪阳镇斜滩河村</w:t>
            </w:r>
          </w:p>
        </w:tc>
        <w:tc>
          <w:tcPr>
            <w:tcW w:w="1067" w:type="pct"/>
            <w:noWrap/>
            <w:vAlign w:val="center"/>
          </w:tcPr>
          <w:p>
            <w:pPr>
              <w:pStyle w:val="63"/>
            </w:pPr>
            <w:r>
              <w:rPr>
                <w:rFonts w:hint="eastAsia"/>
              </w:rPr>
              <w:t>430</w:t>
            </w:r>
          </w:p>
        </w:tc>
        <w:tc>
          <w:tcPr>
            <w:tcW w:w="999" w:type="pct"/>
            <w:vAlign w:val="top"/>
          </w:tcPr>
          <w:p>
            <w:pPr>
              <w:pStyle w:val="63"/>
            </w:pPr>
            <w:r>
              <w:t>二级地区</w:t>
            </w:r>
          </w:p>
        </w:tc>
        <w:tc>
          <w:tcPr>
            <w:tcW w:w="934" w:type="pct"/>
            <w:vAlign w:val="top"/>
          </w:tcPr>
          <w:p>
            <w:pPr>
              <w:pStyle w:val="63"/>
            </w:pPr>
            <w:r>
              <w:t>低山丘陵</w:t>
            </w:r>
          </w:p>
        </w:tc>
      </w:tr>
    </w:tbl>
    <w:p>
      <w:pPr>
        <w:pStyle w:val="6"/>
      </w:pPr>
      <w:r>
        <w:rPr>
          <w:rFonts w:hint="eastAsia"/>
        </w:rPr>
        <w:t xml:space="preserve"> </w:t>
      </w:r>
      <w:r>
        <w:t>管道沿线地表植被分布情况</w:t>
      </w:r>
    </w:p>
    <w:p>
      <w:pPr>
        <w:wordWrap w:val="0"/>
        <w:ind w:firstLine="480"/>
        <w:rPr>
          <w:rFonts w:cs="Times New Roman"/>
        </w:rPr>
      </w:pPr>
      <w:r>
        <w:rPr>
          <w:rFonts w:cs="Times New Roman"/>
        </w:rPr>
        <w:t>本项目改迁管道沿线区域植被主要为旱地和林地。沿线地表植被状况统计表如下表，沿线地表状况植被覆盖情况见附图</w:t>
      </w:r>
      <w:r>
        <w:rPr>
          <w:rFonts w:hint="eastAsia" w:cs="Times New Roman"/>
        </w:rPr>
        <w:t>12</w:t>
      </w:r>
      <w:r>
        <w:rPr>
          <w:rFonts w:cs="Times New Roman"/>
        </w:rPr>
        <w:t>。</w:t>
      </w:r>
    </w:p>
    <w:p>
      <w:pPr>
        <w:pStyle w:val="2"/>
        <w:ind w:left="900" w:hanging="420"/>
      </w:pPr>
    </w:p>
    <w:p>
      <w:pPr>
        <w:pStyle w:val="2"/>
        <w:ind w:left="902" w:hanging="422"/>
        <w:jc w:val="center"/>
        <w:rPr>
          <w:rFonts w:eastAsia="楷体" w:cs="宋体"/>
          <w:b/>
          <w:kern w:val="0"/>
          <w:szCs w:val="21"/>
        </w:rPr>
      </w:pPr>
      <w:r>
        <w:rPr>
          <w:rFonts w:eastAsia="楷体" w:cs="宋体"/>
          <w:b/>
          <w:kern w:val="0"/>
          <w:szCs w:val="21"/>
        </w:rPr>
        <w:t>表</w:t>
      </w:r>
      <w:r>
        <w:rPr>
          <w:rFonts w:eastAsia="楷体" w:cs="宋体"/>
          <w:b/>
          <w:kern w:val="0"/>
          <w:szCs w:val="21"/>
        </w:rPr>
        <w:fldChar w:fldCharType="begin"/>
      </w:r>
      <w:r>
        <w:rPr>
          <w:rFonts w:eastAsia="楷体" w:cs="宋体"/>
          <w:b/>
          <w:kern w:val="0"/>
          <w:szCs w:val="21"/>
        </w:rPr>
        <w:instrText xml:space="preserve"> STYLEREF 2 \s </w:instrText>
      </w:r>
      <w:r>
        <w:rPr>
          <w:rFonts w:eastAsia="楷体" w:cs="宋体"/>
          <w:b/>
          <w:kern w:val="0"/>
          <w:szCs w:val="21"/>
        </w:rPr>
        <w:fldChar w:fldCharType="separate"/>
      </w:r>
      <w:r>
        <w:rPr>
          <w:rFonts w:eastAsia="楷体" w:cs="宋体"/>
          <w:b/>
          <w:kern w:val="0"/>
          <w:szCs w:val="21"/>
        </w:rPr>
        <w:t>2.5</w:t>
      </w:r>
      <w:r>
        <w:rPr>
          <w:rFonts w:eastAsia="楷体" w:cs="宋体"/>
          <w:b/>
          <w:kern w:val="0"/>
          <w:szCs w:val="21"/>
        </w:rPr>
        <w:fldChar w:fldCharType="end"/>
      </w:r>
      <w:r>
        <w:rPr>
          <w:rFonts w:eastAsia="楷体" w:cs="宋体"/>
          <w:b/>
          <w:kern w:val="0"/>
          <w:szCs w:val="21"/>
        </w:rPr>
        <w:noBreakHyphen/>
      </w:r>
      <w:r>
        <w:rPr>
          <w:rFonts w:eastAsia="楷体" w:cs="宋体"/>
          <w:b/>
          <w:kern w:val="0"/>
          <w:szCs w:val="21"/>
        </w:rPr>
        <w:fldChar w:fldCharType="begin"/>
      </w:r>
      <w:r>
        <w:rPr>
          <w:rFonts w:eastAsia="楷体" w:cs="宋体"/>
          <w:b/>
          <w:kern w:val="0"/>
          <w:szCs w:val="21"/>
        </w:rPr>
        <w:instrText xml:space="preserve"> SEQ 表 \* ARABIC \s 2 </w:instrText>
      </w:r>
      <w:r>
        <w:rPr>
          <w:rFonts w:eastAsia="楷体" w:cs="宋体"/>
          <w:b/>
          <w:kern w:val="0"/>
          <w:szCs w:val="21"/>
        </w:rPr>
        <w:fldChar w:fldCharType="separate"/>
      </w:r>
      <w:r>
        <w:rPr>
          <w:rFonts w:eastAsia="楷体" w:cs="宋体"/>
          <w:b/>
          <w:kern w:val="0"/>
          <w:szCs w:val="21"/>
        </w:rPr>
        <w:t>2</w:t>
      </w:r>
      <w:r>
        <w:rPr>
          <w:rFonts w:eastAsia="楷体" w:cs="宋体"/>
          <w:b/>
          <w:kern w:val="0"/>
          <w:szCs w:val="21"/>
        </w:rPr>
        <w:fldChar w:fldCharType="end"/>
      </w:r>
      <w:r>
        <w:rPr>
          <w:rFonts w:eastAsia="楷体" w:cs="宋体"/>
          <w:b/>
          <w:kern w:val="0"/>
          <w:szCs w:val="21"/>
        </w:rPr>
        <w:t xml:space="preserve">  项目管道沿线地表植被状况统计表（单位：km）</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3"/>
        <w:gridCol w:w="1133"/>
        <w:gridCol w:w="2691"/>
        <w:gridCol w:w="2497"/>
        <w:gridCol w:w="10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tblHeader/>
        </w:trPr>
        <w:tc>
          <w:tcPr>
            <w:tcW w:w="647" w:type="pct"/>
            <w:vMerge w:val="restart"/>
            <w:vAlign w:val="center"/>
          </w:tcPr>
          <w:p>
            <w:pPr>
              <w:pStyle w:val="63"/>
              <w:rPr>
                <w:b/>
              </w:rPr>
            </w:pPr>
            <w:r>
              <w:rPr>
                <w:b/>
              </w:rPr>
              <w:t>区县</w:t>
            </w:r>
          </w:p>
        </w:tc>
        <w:tc>
          <w:tcPr>
            <w:tcW w:w="665" w:type="pct"/>
            <w:vMerge w:val="restart"/>
            <w:vAlign w:val="center"/>
          </w:tcPr>
          <w:p>
            <w:pPr>
              <w:pStyle w:val="63"/>
              <w:rPr>
                <w:b/>
              </w:rPr>
            </w:pPr>
            <w:r>
              <w:rPr>
                <w:b/>
              </w:rPr>
              <w:t>乡镇</w:t>
            </w:r>
          </w:p>
        </w:tc>
        <w:tc>
          <w:tcPr>
            <w:tcW w:w="3044" w:type="pct"/>
            <w:gridSpan w:val="2"/>
            <w:vAlign w:val="center"/>
          </w:tcPr>
          <w:p>
            <w:pPr>
              <w:pStyle w:val="63"/>
              <w:rPr>
                <w:b/>
              </w:rPr>
            </w:pPr>
            <w:r>
              <w:rPr>
                <w:b/>
              </w:rPr>
              <w:t>穿越土地类型</w:t>
            </w:r>
          </w:p>
        </w:tc>
        <w:tc>
          <w:tcPr>
            <w:tcW w:w="644" w:type="pct"/>
            <w:vMerge w:val="restart"/>
            <w:vAlign w:val="center"/>
          </w:tcPr>
          <w:p>
            <w:pPr>
              <w:pStyle w:val="63"/>
              <w:rPr>
                <w:b/>
              </w:rPr>
            </w:pPr>
            <w:r>
              <w:rPr>
                <w:b/>
              </w:rPr>
              <w:t>长度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tblHeader/>
        </w:trPr>
        <w:tc>
          <w:tcPr>
            <w:tcW w:w="647" w:type="pct"/>
            <w:vMerge w:val="continue"/>
            <w:vAlign w:val="center"/>
          </w:tcPr>
          <w:p>
            <w:pPr>
              <w:pStyle w:val="63"/>
              <w:rPr>
                <w:highlight w:val="yellow"/>
              </w:rPr>
            </w:pPr>
          </w:p>
        </w:tc>
        <w:tc>
          <w:tcPr>
            <w:tcW w:w="665" w:type="pct"/>
            <w:vMerge w:val="continue"/>
            <w:vAlign w:val="center"/>
          </w:tcPr>
          <w:p>
            <w:pPr>
              <w:pStyle w:val="63"/>
              <w:rPr>
                <w:highlight w:val="yellow"/>
              </w:rPr>
            </w:pPr>
          </w:p>
        </w:tc>
        <w:tc>
          <w:tcPr>
            <w:tcW w:w="1579" w:type="pct"/>
            <w:vAlign w:val="center"/>
          </w:tcPr>
          <w:p>
            <w:pPr>
              <w:pStyle w:val="63"/>
            </w:pPr>
            <w:r>
              <w:t>林地</w:t>
            </w:r>
          </w:p>
        </w:tc>
        <w:tc>
          <w:tcPr>
            <w:tcW w:w="1464" w:type="pct"/>
            <w:vAlign w:val="center"/>
          </w:tcPr>
          <w:p>
            <w:pPr>
              <w:pStyle w:val="63"/>
            </w:pPr>
            <w:r>
              <w:t>旱地</w:t>
            </w:r>
          </w:p>
        </w:tc>
        <w:tc>
          <w:tcPr>
            <w:tcW w:w="64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47" w:type="pct"/>
            <w:vAlign w:val="center"/>
          </w:tcPr>
          <w:p>
            <w:pPr>
              <w:pStyle w:val="63"/>
              <w:rPr>
                <w:highlight w:val="yellow"/>
              </w:rPr>
            </w:pPr>
            <w:r>
              <w:t>通江县</w:t>
            </w:r>
          </w:p>
        </w:tc>
        <w:tc>
          <w:tcPr>
            <w:tcW w:w="665" w:type="pct"/>
            <w:vAlign w:val="center"/>
          </w:tcPr>
          <w:p>
            <w:pPr>
              <w:pStyle w:val="63"/>
              <w:rPr>
                <w:highlight w:val="yellow"/>
              </w:rPr>
            </w:pPr>
            <w:r>
              <w:t>涪阳镇</w:t>
            </w:r>
          </w:p>
        </w:tc>
        <w:tc>
          <w:tcPr>
            <w:tcW w:w="1579" w:type="pct"/>
            <w:vAlign w:val="center"/>
          </w:tcPr>
          <w:p>
            <w:pPr>
              <w:pStyle w:val="63"/>
            </w:pPr>
            <w:r>
              <w:rPr>
                <w:rFonts w:hint="eastAsia"/>
              </w:rPr>
              <w:t>1566</w:t>
            </w:r>
          </w:p>
        </w:tc>
        <w:tc>
          <w:tcPr>
            <w:tcW w:w="1464" w:type="pct"/>
            <w:vAlign w:val="center"/>
          </w:tcPr>
          <w:p>
            <w:pPr>
              <w:pStyle w:val="63"/>
            </w:pPr>
            <w:r>
              <w:rPr>
                <w:rFonts w:hint="eastAsia"/>
              </w:rPr>
              <w:t>434</w:t>
            </w:r>
          </w:p>
        </w:tc>
        <w:tc>
          <w:tcPr>
            <w:tcW w:w="644" w:type="pct"/>
            <w:vAlign w:val="center"/>
          </w:tcPr>
          <w:p>
            <w:pPr>
              <w:pStyle w:val="63"/>
            </w:pPr>
            <w:r>
              <w:rPr>
                <w:rFonts w:hint="eastAsia"/>
              </w:rPr>
              <w:t>2000</w:t>
            </w:r>
          </w:p>
        </w:tc>
      </w:tr>
    </w:tbl>
    <w:p>
      <w:pPr>
        <w:pStyle w:val="6"/>
        <w:jc w:val="both"/>
        <w:rPr>
          <w:rFonts w:cs="Times New Roman"/>
        </w:rPr>
      </w:pPr>
      <w:r>
        <w:rPr>
          <w:rFonts w:hint="eastAsia" w:cs="Times New Roman"/>
        </w:rPr>
        <w:t xml:space="preserve"> </w:t>
      </w:r>
      <w:r>
        <w:rPr>
          <w:rFonts w:cs="Times New Roman"/>
        </w:rPr>
        <w:t>管道敷设</w:t>
      </w:r>
    </w:p>
    <w:p>
      <w:pPr>
        <w:ind w:firstLine="480"/>
        <w:rPr>
          <w:rFonts w:cs="Times New Roman"/>
        </w:rPr>
      </w:pPr>
      <w:r>
        <w:rPr>
          <w:rFonts w:cs="Times New Roman"/>
        </w:rPr>
        <w:t>本管道敷设应严格按照《油气长输管道工程施工及验收规范》（GB50369-2014）、《油气输送管道穿越工程施工规范》（GB50424-2015）等相关规范和标准执行。</w:t>
      </w:r>
    </w:p>
    <w:p>
      <w:pPr>
        <w:pStyle w:val="6"/>
      </w:pPr>
      <w:r>
        <w:rPr>
          <w:rFonts w:hint="eastAsia"/>
        </w:rPr>
        <w:t xml:space="preserve"> 施工作业带</w:t>
      </w:r>
    </w:p>
    <w:p>
      <w:pPr>
        <w:ind w:firstLine="480"/>
      </w:pPr>
      <w:r>
        <w:rPr>
          <w:rFonts w:hint="eastAsia"/>
        </w:rPr>
        <w:t>根据《输气管道工程设计规范》（GB50251-2003），结合项目区地形地貌及项目管道设计资料，施工作业带宽度确定为</w:t>
      </w:r>
      <w:r>
        <w:t>12</w:t>
      </w:r>
      <w:r>
        <w:rPr>
          <w:rFonts w:hint="eastAsia"/>
        </w:rPr>
        <w:t>m。管线作业带临时占地约24000m</w:t>
      </w:r>
      <w:r>
        <w:rPr>
          <w:vertAlign w:val="superscript"/>
        </w:rPr>
        <w:t>2</w:t>
      </w:r>
      <w:r>
        <w:rPr>
          <w:rFonts w:hint="eastAsia"/>
        </w:rPr>
        <w:t>。</w:t>
      </w:r>
    </w:p>
    <w:p>
      <w:pPr>
        <w:pStyle w:val="5"/>
      </w:pPr>
      <w:r>
        <w:rPr>
          <w:rFonts w:hint="eastAsia"/>
        </w:rPr>
        <w:t xml:space="preserve"> </w:t>
      </w:r>
      <w:bookmarkStart w:id="88" w:name="_Toc96680638"/>
      <w:r>
        <w:rPr>
          <w:rFonts w:hint="eastAsia"/>
        </w:rPr>
        <w:t>穿越工程</w:t>
      </w:r>
      <w:bookmarkEnd w:id="88"/>
    </w:p>
    <w:p>
      <w:pPr>
        <w:pStyle w:val="214"/>
        <w:ind w:firstLine="480"/>
      </w:pPr>
      <w:r>
        <w:rPr>
          <w:rFonts w:hint="eastAsia"/>
        </w:rPr>
        <w:t>本项目管线穿越乡村公路1处，不涉及穿越河流。</w:t>
      </w:r>
      <w:r>
        <w:t>穿越公路长度为</w:t>
      </w:r>
      <w:r>
        <w:rPr>
          <w:rFonts w:hint="eastAsia"/>
        </w:rPr>
        <w:t>14m，采用挖沟法加钢筋混凝土套管（</w:t>
      </w:r>
      <w:r>
        <w:t>DRCP</w:t>
      </w:r>
      <w:r>
        <w:rPr>
          <w:rFonts w:hint="eastAsia"/>
        </w:rPr>
        <w:t>Ⅲ</w:t>
      </w:r>
      <w:r>
        <w:t>800×2000</w:t>
      </w:r>
      <w:r>
        <w:rPr>
          <w:rFonts w:hint="eastAsia"/>
        </w:rPr>
        <w:t>）穿越水泥路</w:t>
      </w:r>
      <w:r>
        <w:t>。</w:t>
      </w:r>
    </w:p>
    <w:p>
      <w:pPr>
        <w:pStyle w:val="56"/>
        <w:jc w:val="left"/>
      </w:pPr>
      <w:r>
        <mc:AlternateContent>
          <mc:Choice Requires="wps">
            <w:drawing>
              <wp:anchor distT="0" distB="0" distL="114300" distR="114300" simplePos="0" relativeHeight="251667456" behindDoc="0" locked="0" layoutInCell="1" allowOverlap="1">
                <wp:simplePos x="0" y="0"/>
                <wp:positionH relativeFrom="column">
                  <wp:posOffset>2806700</wp:posOffset>
                </wp:positionH>
                <wp:positionV relativeFrom="paragraph">
                  <wp:posOffset>526415</wp:posOffset>
                </wp:positionV>
                <wp:extent cx="2296795" cy="1316355"/>
                <wp:effectExtent l="0" t="0" r="27305" b="36195"/>
                <wp:wrapNone/>
                <wp:docPr id="48" name="直接连接符 48"/>
                <wp:cNvGraphicFramePr/>
                <a:graphic xmlns:a="http://schemas.openxmlformats.org/drawingml/2006/main">
                  <a:graphicData uri="http://schemas.microsoft.com/office/word/2010/wordprocessingShape">
                    <wps:wsp>
                      <wps:cNvCnPr/>
                      <wps:spPr>
                        <a:xfrm flipV="1">
                          <a:off x="0" y="0"/>
                          <a:ext cx="2296973" cy="131656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1pt;margin-top:41.45pt;height:103.65pt;width:180.85pt;z-index:251667456;mso-width-relative:page;mso-height-relative:page;" filled="f" stroked="t" coordsize="21600,21600" o:gfxdata="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XtDhnWAAAACgEAAA8AAAAAAAAAAQAgAAAAIgAAAGRycy9kb3ducmV2LnhtbFBL&#10;AQIUABQAAAAIAIdO4kA3gef1+AEAAMQDAAAOAAAAAAAAAAEAIAAAACUBAABkcnMvZTJvRG9jLnht&#10;bFBLBQYAAAAABgAGAFkBAACPBQAAAAA=&#10;">
                <v:fill on="f" focussize="0,0"/>
                <v:stroke weight="1.25pt" color="#FF0000 [3204]" miterlimit="8" joinstyle="miter"/>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2806700</wp:posOffset>
                </wp:positionH>
                <wp:positionV relativeFrom="paragraph">
                  <wp:posOffset>1704340</wp:posOffset>
                </wp:positionV>
                <wp:extent cx="299720" cy="102235"/>
                <wp:effectExtent l="0" t="0" r="24130" b="31115"/>
                <wp:wrapNone/>
                <wp:docPr id="45" name="直接连接符 45"/>
                <wp:cNvGraphicFramePr/>
                <a:graphic xmlns:a="http://schemas.openxmlformats.org/drawingml/2006/main">
                  <a:graphicData uri="http://schemas.microsoft.com/office/word/2010/wordprocessingShape">
                    <wps:wsp>
                      <wps:cNvCnPr/>
                      <wps:spPr>
                        <a:xfrm flipV="1">
                          <a:off x="0" y="0"/>
                          <a:ext cx="299923" cy="1024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1pt;margin-top:134.2pt;height:8.05pt;width:23.6pt;z-index:251666432;mso-width-relative:page;mso-height-relative:page;" filled="f" stroked="t" coordsize="21600,21600" o:gfxdata="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4vn5dkAAAALAQAADwAAAAAAAAABACAAAAAiAAAAZHJzL2Rvd25yZXYueG1s&#10;UEsBAhQAFAAAAAgAh07iQG4PYz33AQAAwQMAAA4AAAAAAAAAAQAgAAAAKAEAAGRycy9lMm9Eb2Mu&#10;eG1sUEsFBgAAAAAGAAYAWQEAAJEFAAAAAA==&#10;">
                <v:fill on="f" focussize="0,0"/>
                <v:stroke weight="0.5pt" color="#4472C4 [3204]" miterlimit="8" joinstyle="miter"/>
                <v:imagedata o:title=""/>
                <o:lock v:ext="edit" aspectratio="f"/>
              </v:line>
            </w:pict>
          </mc:Fallback>
        </mc:AlternateContent>
      </w:r>
      <w:r>
        <w:drawing>
          <wp:inline distT="0" distB="0" distL="0" distR="0">
            <wp:extent cx="2603500" cy="1943735"/>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8"/>
                    <a:stretch>
                      <a:fillRect/>
                    </a:stretch>
                  </pic:blipFill>
                  <pic:spPr>
                    <a:xfrm>
                      <a:off x="0" y="0"/>
                      <a:ext cx="2604055" cy="1944000"/>
                    </a:xfrm>
                    <a:prstGeom prst="rect">
                      <a:avLst/>
                    </a:prstGeom>
                  </pic:spPr>
                </pic:pic>
              </a:graphicData>
            </a:graphic>
          </wp:inline>
        </w:drawing>
      </w:r>
      <w:r>
        <w:rPr>
          <w:rFonts w:hint="eastAsia"/>
        </w:rPr>
        <w:t xml:space="preserve"> </w:t>
      </w:r>
      <w:r>
        <w:drawing>
          <wp:inline distT="0" distB="0" distL="0" distR="0">
            <wp:extent cx="2590800" cy="1943735"/>
            <wp:effectExtent l="0" t="0" r="0" b="0"/>
            <wp:docPr id="44" name="图片 44" descr="F:\王晓芳工作\11.管线\2.照片\通江照片（王拍）\IMG_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王晓芳工作\11.管线\2.照片\通江照片（王拍）\IMG_899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90972" cy="1944000"/>
                    </a:xfrm>
                    <a:prstGeom prst="rect">
                      <a:avLst/>
                    </a:prstGeom>
                    <a:noFill/>
                    <a:ln>
                      <a:noFill/>
                    </a:ln>
                  </pic:spPr>
                </pic:pic>
              </a:graphicData>
            </a:graphic>
          </wp:inline>
        </w:drawing>
      </w:r>
    </w:p>
    <w:p>
      <w:pPr>
        <w:pStyle w:val="73"/>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 xml:space="preserve"> 公路穿越点卫星影像图 </w:t>
      </w:r>
      <w:r>
        <w:t xml:space="preserve">    </w:t>
      </w:r>
      <w:r>
        <w:rPr>
          <w:rFonts w:hint="eastAsia"/>
        </w:rPr>
        <w:t xml:space="preserve">       图</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r>
        <w:rPr>
          <w:rFonts w:hint="eastAsia"/>
        </w:rPr>
        <w:t xml:space="preserve"> 公路穿越点现场实景</w:t>
      </w:r>
    </w:p>
    <w:p>
      <w:pPr>
        <w:pStyle w:val="4"/>
        <w:rPr>
          <w:rFonts w:cs="Times New Roman"/>
        </w:rPr>
      </w:pPr>
      <w:bookmarkStart w:id="89" w:name="_Toc89009623"/>
      <w:r>
        <w:rPr>
          <w:rFonts w:hint="eastAsia" w:cs="Times New Roman"/>
        </w:rPr>
        <w:t xml:space="preserve"> </w:t>
      </w:r>
      <w:bookmarkStart w:id="90" w:name="_Toc96680639"/>
      <w:r>
        <w:rPr>
          <w:rFonts w:cs="Times New Roman"/>
        </w:rPr>
        <w:t>辅助工程</w:t>
      </w:r>
      <w:bookmarkEnd w:id="89"/>
      <w:bookmarkEnd w:id="90"/>
    </w:p>
    <w:p>
      <w:pPr>
        <w:wordWrap w:val="0"/>
        <w:ind w:firstLine="480"/>
        <w:rPr>
          <w:rFonts w:cs="Times New Roman"/>
        </w:rPr>
      </w:pPr>
      <w:r>
        <w:rPr>
          <w:rFonts w:cs="Times New Roman"/>
        </w:rPr>
        <w:t>本项目辅助工程涉及地面标示设置和施工便道，项目管线工程不涉及站场、阀室等的建设。</w:t>
      </w:r>
    </w:p>
    <w:p>
      <w:pPr>
        <w:pStyle w:val="5"/>
        <w:rPr>
          <w:rFonts w:cs="Times New Roman"/>
        </w:rPr>
      </w:pPr>
      <w:bookmarkStart w:id="91" w:name="_Toc89009624"/>
      <w:r>
        <w:rPr>
          <w:rFonts w:hint="eastAsia"/>
        </w:rPr>
        <w:t xml:space="preserve"> </w:t>
      </w:r>
      <w:bookmarkStart w:id="92" w:name="_Toc96680640"/>
      <w:r>
        <w:rPr>
          <w:rFonts w:cs="Times New Roman"/>
        </w:rPr>
        <w:t>管道地面标示设置</w:t>
      </w:r>
      <w:bookmarkEnd w:id="91"/>
      <w:bookmarkEnd w:id="92"/>
    </w:p>
    <w:p>
      <w:pPr>
        <w:ind w:firstLine="482"/>
        <w:rPr>
          <w:rFonts w:cs="Times New Roman"/>
          <w:b/>
          <w:bCs/>
        </w:rPr>
      </w:pPr>
      <w:r>
        <w:rPr>
          <w:rFonts w:cs="Times New Roman"/>
          <w:b/>
          <w:bCs/>
        </w:rPr>
        <w:t>（1）标志桩</w:t>
      </w:r>
    </w:p>
    <w:p>
      <w:pPr>
        <w:ind w:firstLine="480"/>
        <w:rPr>
          <w:rFonts w:cs="Times New Roman"/>
        </w:rPr>
      </w:pPr>
      <w:r>
        <w:rPr>
          <w:rFonts w:cs="Times New Roman"/>
        </w:rPr>
        <w:t>根据《管道干线标记设置技术规定》（SY/T6064-2011）的规定，管道沿线应设置：</w:t>
      </w:r>
    </w:p>
    <w:p>
      <w:pPr>
        <w:ind w:firstLine="482"/>
        <w:rPr>
          <w:rFonts w:cs="Times New Roman"/>
        </w:rPr>
      </w:pPr>
      <w:r>
        <w:rPr>
          <w:rFonts w:cs="Times New Roman"/>
          <w:b/>
          <w:bCs/>
        </w:rPr>
        <w:t>里程桩：</w:t>
      </w:r>
      <w:r>
        <w:rPr>
          <w:rFonts w:cs="Times New Roman"/>
        </w:rPr>
        <w:t>每公里设一个，一般与阴极保护桩合用。</w:t>
      </w:r>
    </w:p>
    <w:p>
      <w:pPr>
        <w:ind w:firstLine="482"/>
        <w:rPr>
          <w:rFonts w:cs="Times New Roman"/>
        </w:rPr>
      </w:pPr>
      <w:r>
        <w:rPr>
          <w:rFonts w:cs="Times New Roman"/>
          <w:b/>
          <w:bCs/>
        </w:rPr>
        <w:t>转角桩：</w:t>
      </w:r>
      <w:r>
        <w:rPr>
          <w:rFonts w:cs="Times New Roman"/>
        </w:rPr>
        <w:t>管道水平改变方向的位置，均应设置转角桩。转角桩上要标明管道里程，转角角度。</w:t>
      </w:r>
    </w:p>
    <w:p>
      <w:pPr>
        <w:ind w:firstLine="482"/>
        <w:rPr>
          <w:rFonts w:cs="Times New Roman"/>
        </w:rPr>
      </w:pPr>
      <w:r>
        <w:rPr>
          <w:rFonts w:cs="Times New Roman"/>
          <w:b/>
          <w:bCs/>
        </w:rPr>
        <w:t>穿越标志桩：</w:t>
      </w:r>
      <w:r>
        <w:rPr>
          <w:rFonts w:cs="Times New Roman"/>
        </w:rPr>
        <w:t>管道穿跨道路的两侧，均设置穿越标志桩，穿越标志桩上标明管道名称、穿越类型、公路的名称，线路里程，穿越长度，有套管的注明套管的长度、规格和材质。</w:t>
      </w:r>
    </w:p>
    <w:p>
      <w:pPr>
        <w:ind w:firstLine="482"/>
        <w:rPr>
          <w:rFonts w:cs="Times New Roman"/>
        </w:rPr>
      </w:pPr>
      <w:r>
        <w:rPr>
          <w:rFonts w:cs="Times New Roman"/>
          <w:b/>
          <w:bCs/>
        </w:rPr>
        <w:t>交叉标志桩：</w:t>
      </w:r>
      <w:r>
        <w:rPr>
          <w:rFonts w:cs="Times New Roman"/>
        </w:rPr>
        <w:t>与地下管道、电（光）缆和其它地下构筑物交叉的位置应设置交叉标志桩。交叉标志桩上应注明线路里程、交叉物的名称、与交叉物的关系。</w:t>
      </w:r>
    </w:p>
    <w:p>
      <w:pPr>
        <w:ind w:firstLine="482"/>
        <w:rPr>
          <w:rFonts w:cs="Times New Roman"/>
        </w:rPr>
      </w:pPr>
      <w:r>
        <w:rPr>
          <w:rFonts w:cs="Times New Roman"/>
          <w:b/>
          <w:bCs/>
        </w:rPr>
        <w:t>结构标志桩：</w:t>
      </w:r>
      <w:r>
        <w:rPr>
          <w:rFonts w:cs="Times New Roman"/>
        </w:rPr>
        <w:t>管道外防护层或管道壁厚发生变化时，应设置结构标志桩；桩上要表明线路里程，并注明在桩前和桩后管道外防护层的材料或管道壁厚。</w:t>
      </w:r>
    </w:p>
    <w:p>
      <w:pPr>
        <w:ind w:firstLine="482"/>
        <w:rPr>
          <w:rFonts w:cs="Times New Roman"/>
        </w:rPr>
      </w:pPr>
      <w:r>
        <w:rPr>
          <w:rFonts w:cs="Times New Roman"/>
          <w:b/>
          <w:bCs/>
        </w:rPr>
        <w:t>设施标志桩：</w:t>
      </w:r>
      <w:r>
        <w:rPr>
          <w:rFonts w:cs="Times New Roman"/>
        </w:rPr>
        <w:t>当管道上有特殊设施时，应设置设施桩。桩上要表明管道的里程、设施的名称及规格。</w:t>
      </w:r>
    </w:p>
    <w:p>
      <w:pPr>
        <w:ind w:firstLine="482"/>
        <w:rPr>
          <w:rFonts w:cs="Times New Roman"/>
          <w:b/>
          <w:bCs/>
        </w:rPr>
      </w:pPr>
      <w:r>
        <w:rPr>
          <w:rFonts w:cs="Times New Roman"/>
          <w:b/>
          <w:bCs/>
        </w:rPr>
        <w:t>（2）警示牌</w:t>
      </w:r>
    </w:p>
    <w:p>
      <w:pPr>
        <w:ind w:firstLine="480"/>
        <w:rPr>
          <w:rFonts w:cs="Times New Roman"/>
        </w:rPr>
      </w:pPr>
      <w:r>
        <w:rPr>
          <w:rFonts w:cs="Times New Roman"/>
        </w:rPr>
        <w:t>为保护管道不受意外外力破坏，提高管道沿线群众保护管道的意识，输气管道沿途设置一定数量的警示牌。</w:t>
      </w:r>
    </w:p>
    <w:p>
      <w:pPr>
        <w:ind w:firstLine="480"/>
        <w:rPr>
          <w:rFonts w:cs="Times New Roman"/>
        </w:rPr>
      </w:pPr>
      <w:r>
        <w:rPr>
          <w:rFonts w:cs="Times New Roman"/>
        </w:rPr>
        <w:t>警示牌设置位置：</w:t>
      </w:r>
    </w:p>
    <w:p>
      <w:pPr>
        <w:ind w:firstLine="480"/>
        <w:rPr>
          <w:rFonts w:cs="Times New Roman"/>
        </w:rPr>
      </w:pPr>
      <w:r>
        <w:rPr>
          <w:rFonts w:hint="eastAsia" w:ascii="宋体" w:hAnsi="宋体" w:cs="宋体"/>
        </w:rPr>
        <w:t>①</w:t>
      </w:r>
      <w:r>
        <w:rPr>
          <w:rFonts w:cs="Times New Roman"/>
        </w:rPr>
        <w:t>管道经过人口密集区，在进出两端各设警示牌一块，中间每300m设置一块警示牌。</w:t>
      </w:r>
    </w:p>
    <w:p>
      <w:pPr>
        <w:ind w:firstLine="480"/>
        <w:rPr>
          <w:rFonts w:cs="Times New Roman"/>
        </w:rPr>
      </w:pPr>
      <w:r>
        <w:rPr>
          <w:rFonts w:hint="eastAsia" w:ascii="宋体" w:hAnsi="宋体" w:cs="宋体"/>
        </w:rPr>
        <w:t>②</w:t>
      </w:r>
      <w:r>
        <w:rPr>
          <w:rFonts w:cs="Times New Roman"/>
        </w:rPr>
        <w:t>高等级公路穿越，在公路穿越两侧各设置一个警示牌。</w:t>
      </w:r>
    </w:p>
    <w:p>
      <w:pPr>
        <w:ind w:firstLine="480"/>
        <w:rPr>
          <w:rFonts w:cs="Times New Roman"/>
        </w:rPr>
      </w:pPr>
      <w:r>
        <w:rPr>
          <w:rFonts w:cs="Times New Roman"/>
        </w:rPr>
        <w:t>警示牌应设置在明显醒目的地方，可依托水工保护护坡、挡土墙等光滑面刻写标语。</w:t>
      </w:r>
    </w:p>
    <w:p>
      <w:pPr>
        <w:ind w:firstLine="482"/>
        <w:rPr>
          <w:rFonts w:cs="Times New Roman"/>
          <w:b/>
          <w:bCs/>
        </w:rPr>
      </w:pPr>
      <w:r>
        <w:rPr>
          <w:rFonts w:cs="Times New Roman"/>
          <w:b/>
          <w:bCs/>
        </w:rPr>
        <w:t>（3）警示带</w:t>
      </w:r>
    </w:p>
    <w:p>
      <w:pPr>
        <w:ind w:firstLine="480"/>
        <w:rPr>
          <w:rFonts w:cs="Times New Roman"/>
        </w:rPr>
      </w:pPr>
      <w:r>
        <w:rPr>
          <w:rFonts w:cs="Times New Roman"/>
        </w:rPr>
        <w:t>为尽可能避免管道受外力破坏，管道沿线设置警示带。管道警示带作用是警示下方敷设有天然气管道，其敷设位置在管道管顶正上方500mm处。</w:t>
      </w:r>
    </w:p>
    <w:p>
      <w:pPr>
        <w:pStyle w:val="5"/>
      </w:pPr>
      <w:r>
        <w:rPr>
          <w:rFonts w:hint="eastAsia"/>
        </w:rPr>
        <w:t xml:space="preserve"> </w:t>
      </w:r>
      <w:bookmarkStart w:id="93" w:name="_Toc96680641"/>
      <w:r>
        <w:t>施工便道</w:t>
      </w:r>
      <w:bookmarkEnd w:id="93"/>
    </w:p>
    <w:p>
      <w:pPr>
        <w:wordWrap w:val="0"/>
        <w:ind w:firstLine="480"/>
        <w:rPr>
          <w:rFonts w:cs="Times New Roman"/>
        </w:rPr>
      </w:pPr>
      <w:r>
        <w:rPr>
          <w:rFonts w:cs="Times New Roman"/>
        </w:rPr>
        <w:t>本工程线路周边道路交通较好，无需新建伴行道路，仅考虑施工便道。本项目管线较短，在施工期可利用现有道路作为运输通道，工程沿管线走向在管线两侧设置施工作业带，也可作为运输通道。根据现场踏勘情况，施工便道考虑尽可能在原有道路或废弃道路基础上进行整修。</w:t>
      </w:r>
      <w:r>
        <w:rPr>
          <w:rFonts w:hint="eastAsia"/>
        </w:rPr>
        <w:t>本次工程新建施工便道约200m，路面宽度</w:t>
      </w:r>
      <w:r>
        <w:rPr>
          <w:rFonts w:cs="Times New Roman"/>
        </w:rPr>
        <w:t>3.5m，</w:t>
      </w:r>
      <w:r>
        <w:rPr>
          <w:rFonts w:hint="eastAsia"/>
        </w:rPr>
        <w:t>路基宽度4.5m；维修施工便道1000m，</w:t>
      </w:r>
      <w:r>
        <w:rPr>
          <w:rFonts w:hint="eastAsia" w:ascii="宋体" w:hAnsi="宋体" w:cs="宋体"/>
          <w:kern w:val="0"/>
          <w:szCs w:val="24"/>
        </w:rPr>
        <w:t>对路面进行加宽以满足施工车辆通行需要，平均加宽宽度</w:t>
      </w:r>
      <w:r>
        <w:rPr>
          <w:rFonts w:cs="Times New Roman"/>
          <w:kern w:val="0"/>
          <w:szCs w:val="24"/>
        </w:rPr>
        <w:t>1.5m</w:t>
      </w:r>
      <w:r>
        <w:rPr>
          <w:rFonts w:hint="eastAsia"/>
        </w:rPr>
        <w:t>。临时施工便道总占地2400m</w:t>
      </w:r>
      <w:r>
        <w:rPr>
          <w:rFonts w:hint="eastAsia"/>
          <w:vertAlign w:val="superscript"/>
        </w:rPr>
        <w:t>2</w:t>
      </w:r>
      <w:r>
        <w:rPr>
          <w:rFonts w:hint="eastAsia"/>
        </w:rPr>
        <w:t>。</w:t>
      </w:r>
    </w:p>
    <w:p>
      <w:pPr>
        <w:ind w:firstLine="480"/>
      </w:pPr>
      <w:r>
        <w:rPr>
          <w:rFonts w:cs="Times New Roman"/>
        </w:rPr>
        <w:t>管道运输尽量利用已有道路，但必须对其进行整修。整修道路工程主要有管道工程施工前整修及管道工程完工后需整修两部分。管道工程施工前，对已有的路况较差，承压能力较低，路面较窄的道路进行加宽、加固、填平坑凹等整修措施；工程结束后，必须采取对运管车辆压损的道路进行修补、恢复的措施。</w:t>
      </w:r>
    </w:p>
    <w:p>
      <w:pPr>
        <w:pStyle w:val="5"/>
      </w:pPr>
      <w:bookmarkStart w:id="94" w:name="_Toc89009626"/>
      <w:r>
        <w:rPr>
          <w:rFonts w:hint="eastAsia"/>
        </w:rPr>
        <w:t xml:space="preserve"> </w:t>
      </w:r>
      <w:bookmarkStart w:id="95" w:name="_Toc96680642"/>
      <w:r>
        <w:rPr>
          <w:rFonts w:hint="eastAsia"/>
        </w:rPr>
        <w:t>堆管场</w:t>
      </w:r>
      <w:bookmarkEnd w:id="94"/>
      <w:bookmarkEnd w:id="95"/>
    </w:p>
    <w:p>
      <w:pPr>
        <w:pStyle w:val="214"/>
        <w:ind w:firstLine="480"/>
      </w:pPr>
      <w:r>
        <w:rPr>
          <w:rFonts w:hint="eastAsia"/>
        </w:rPr>
        <w:t>本项目设置堆管场1处，临时占地约8</w:t>
      </w:r>
      <w:r>
        <w:t>00</w:t>
      </w:r>
      <w:r>
        <w:rPr>
          <w:rFonts w:hint="eastAsia"/>
        </w:rPr>
        <w:t>m</w:t>
      </w:r>
      <w:r>
        <w:rPr>
          <w:rFonts w:hint="eastAsia"/>
          <w:vertAlign w:val="superscript"/>
        </w:rPr>
        <w:t>2</w:t>
      </w:r>
      <w:r>
        <w:rPr>
          <w:rFonts w:hint="eastAsia"/>
        </w:rPr>
        <w:t>，占地主要以林地为主。项目工程拟设堆管场现状情况详见下图。</w:t>
      </w:r>
    </w:p>
    <w:p>
      <w:pPr>
        <w:pStyle w:val="214"/>
        <w:ind w:firstLine="0" w:firstLineChars="0"/>
        <w:jc w:val="center"/>
      </w:pPr>
      <w:r>
        <w:rPr>
          <w:rFonts w:hint="eastAsia"/>
        </w:rPr>
        <w:t>*</w:t>
      </w:r>
      <w:r>
        <w:t>*****</w:t>
      </w:r>
    </w:p>
    <w:p>
      <w:pPr>
        <w:pStyle w:val="222"/>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堆管场现场实景图</w:t>
      </w:r>
    </w:p>
    <w:p>
      <w:pPr>
        <w:pStyle w:val="4"/>
        <w:rPr>
          <w:rFonts w:cs="Times New Roman"/>
        </w:rPr>
      </w:pPr>
      <w:bookmarkStart w:id="96" w:name="_Toc89009627"/>
      <w:r>
        <w:rPr>
          <w:rFonts w:hint="eastAsia" w:cs="Times New Roman"/>
        </w:rPr>
        <w:t xml:space="preserve"> </w:t>
      </w:r>
      <w:bookmarkStart w:id="97" w:name="_Toc96680643"/>
      <w:r>
        <w:rPr>
          <w:rFonts w:cs="Times New Roman"/>
        </w:rPr>
        <w:t>公用工程</w:t>
      </w:r>
      <w:bookmarkEnd w:id="96"/>
      <w:bookmarkEnd w:id="97"/>
    </w:p>
    <w:p>
      <w:pPr>
        <w:pStyle w:val="5"/>
      </w:pPr>
      <w:bookmarkStart w:id="98" w:name="_Toc21684"/>
      <w:bookmarkStart w:id="99" w:name="_Toc89009628"/>
      <w:r>
        <w:rPr>
          <w:rFonts w:hint="eastAsia"/>
        </w:rPr>
        <w:t xml:space="preserve"> </w:t>
      </w:r>
      <w:bookmarkStart w:id="100" w:name="_Toc96680644"/>
      <w:r>
        <w:t>给排水</w:t>
      </w:r>
      <w:bookmarkEnd w:id="98"/>
      <w:bookmarkEnd w:id="99"/>
      <w:bookmarkEnd w:id="100"/>
    </w:p>
    <w:p>
      <w:pPr>
        <w:ind w:firstLine="480"/>
        <w:rPr>
          <w:rFonts w:cs="Times New Roman"/>
          <w:kern w:val="0"/>
          <w:szCs w:val="24"/>
        </w:rPr>
      </w:pPr>
      <w:r>
        <w:rPr>
          <w:rFonts w:cs="Times New Roman"/>
          <w:kern w:val="0"/>
          <w:szCs w:val="24"/>
        </w:rPr>
        <w:t>本项目为</w:t>
      </w:r>
      <w:r>
        <w:rPr>
          <w:rFonts w:hint="eastAsia" w:cs="Times New Roman"/>
          <w:kern w:val="0"/>
          <w:szCs w:val="24"/>
        </w:rPr>
        <w:t>天然气</w:t>
      </w:r>
      <w:r>
        <w:rPr>
          <w:rFonts w:cs="Times New Roman"/>
          <w:kern w:val="0"/>
          <w:szCs w:val="24"/>
        </w:rPr>
        <w:t>管线改线工程，不设阀室、阀井、站场等，不进行给排水设计。</w:t>
      </w:r>
    </w:p>
    <w:p>
      <w:pPr>
        <w:pStyle w:val="5"/>
        <w:rPr>
          <w:rFonts w:cs="Times New Roman"/>
        </w:rPr>
      </w:pPr>
      <w:bookmarkStart w:id="101" w:name="_Toc27898"/>
      <w:bookmarkStart w:id="102" w:name="_Toc89009629"/>
      <w:r>
        <w:rPr>
          <w:rFonts w:hint="eastAsia" w:cs="Times New Roman"/>
        </w:rPr>
        <w:t xml:space="preserve"> </w:t>
      </w:r>
      <w:bookmarkStart w:id="103" w:name="_Toc96680645"/>
      <w:r>
        <w:rPr>
          <w:rFonts w:cs="Times New Roman"/>
        </w:rPr>
        <w:t>抢险和维修</w:t>
      </w:r>
      <w:bookmarkEnd w:id="101"/>
      <w:bookmarkEnd w:id="102"/>
      <w:bookmarkEnd w:id="103"/>
    </w:p>
    <w:p>
      <w:pPr>
        <w:ind w:firstLine="480"/>
        <w:rPr>
          <w:rFonts w:cs="Times New Roman"/>
          <w:kern w:val="0"/>
          <w:szCs w:val="24"/>
        </w:rPr>
      </w:pPr>
      <w:r>
        <w:rPr>
          <w:rFonts w:cs="Times New Roman"/>
          <w:kern w:val="0"/>
          <w:szCs w:val="24"/>
        </w:rPr>
        <w:t>本项目依托原有管线维抢修队负责管道维护、设备的检修、事故时的抢修、封堵等作业。</w:t>
      </w:r>
    </w:p>
    <w:p>
      <w:pPr>
        <w:pStyle w:val="5"/>
        <w:rPr>
          <w:rFonts w:cs="Times New Roman"/>
        </w:rPr>
      </w:pPr>
      <w:r>
        <w:rPr>
          <w:rFonts w:hint="eastAsia" w:cs="Times New Roman"/>
        </w:rPr>
        <w:t xml:space="preserve"> </w:t>
      </w:r>
      <w:bookmarkStart w:id="104" w:name="_Toc96680646"/>
      <w:r>
        <w:rPr>
          <w:rFonts w:cs="Times New Roman"/>
        </w:rPr>
        <w:t>消防</w:t>
      </w:r>
      <w:bookmarkEnd w:id="104"/>
    </w:p>
    <w:p>
      <w:pPr>
        <w:ind w:firstLine="480"/>
        <w:rPr>
          <w:rFonts w:cs="Times New Roman"/>
          <w:kern w:val="0"/>
          <w:szCs w:val="24"/>
        </w:rPr>
      </w:pPr>
      <w:r>
        <w:rPr>
          <w:rFonts w:cs="Times New Roman"/>
          <w:kern w:val="0"/>
          <w:szCs w:val="24"/>
        </w:rPr>
        <w:t>天然气为甲类火灾危险性易燃、易爆气体，必须严格注意安全。本次工程仅为管道建设项目，为保障安全生产，本工程的消防主要从相应站场切断气源。站场工艺装置己充分考虑了气源切断措施的可靠性和灵活性。本工程消防设施主要依托相应站场配备的移动式灭火设备，以及时扑灭初期零星火灾。同时，与地方消防部门紧密联系，设消防报警电话，最大可能地借用当地的消防力量。</w:t>
      </w:r>
    </w:p>
    <w:p>
      <w:pPr>
        <w:pStyle w:val="5"/>
      </w:pPr>
      <w:bookmarkStart w:id="105" w:name="_Toc89009631"/>
      <w:r>
        <w:rPr>
          <w:rFonts w:hint="eastAsia"/>
        </w:rPr>
        <w:t xml:space="preserve"> </w:t>
      </w:r>
      <w:bookmarkStart w:id="106" w:name="_Toc96680647"/>
      <w:r>
        <w:rPr>
          <w:rFonts w:hint="eastAsia"/>
        </w:rPr>
        <w:t>防腐</w:t>
      </w:r>
      <w:bookmarkEnd w:id="105"/>
      <w:bookmarkEnd w:id="106"/>
    </w:p>
    <w:p>
      <w:pPr>
        <w:ind w:firstLine="480"/>
      </w:pPr>
      <w:r>
        <w:rPr>
          <w:rFonts w:hint="eastAsia"/>
        </w:rPr>
        <w:t>管道采用加强级常温型加强三层PE防腐。</w:t>
      </w:r>
    </w:p>
    <w:p>
      <w:pPr>
        <w:pStyle w:val="4"/>
      </w:pPr>
      <w:bookmarkStart w:id="107" w:name="_Toc89009632"/>
      <w:r>
        <w:rPr>
          <w:rFonts w:hint="eastAsia"/>
        </w:rPr>
        <w:t xml:space="preserve"> </w:t>
      </w:r>
      <w:bookmarkEnd w:id="107"/>
      <w:bookmarkStart w:id="108" w:name="_Toc96680648"/>
      <w:r>
        <w:rPr>
          <w:rFonts w:hint="eastAsia"/>
        </w:rPr>
        <w:t>工程占地</w:t>
      </w:r>
      <w:bookmarkEnd w:id="108"/>
    </w:p>
    <w:p>
      <w:pPr>
        <w:ind w:firstLine="480"/>
      </w:pPr>
      <w:r>
        <w:t>总占地面积约27222m</w:t>
      </w:r>
      <w:r>
        <w:rPr>
          <w:vertAlign w:val="superscript"/>
        </w:rPr>
        <w:t>2</w:t>
      </w:r>
      <w:r>
        <w:rPr>
          <w:rFonts w:hint="eastAsia"/>
        </w:rPr>
        <w:t>（</w:t>
      </w:r>
      <w:r>
        <w:t>2.7222hm</w:t>
      </w:r>
      <w:r>
        <w:rPr>
          <w:vertAlign w:val="superscript"/>
        </w:rPr>
        <w:t>2</w:t>
      </w:r>
      <w:r>
        <w:rPr>
          <w:rFonts w:hint="eastAsia"/>
        </w:rPr>
        <w:t>）</w:t>
      </w:r>
      <w:r>
        <w:t>，其中永久占地面积约22m</w:t>
      </w:r>
      <w:r>
        <w:rPr>
          <w:vertAlign w:val="superscript"/>
        </w:rPr>
        <w:t>2</w:t>
      </w:r>
      <w:r>
        <w:rPr>
          <w:rFonts w:hint="eastAsia"/>
        </w:rPr>
        <w:t>（0.0022</w:t>
      </w:r>
      <w:r>
        <w:t>hm</w:t>
      </w:r>
      <w:r>
        <w:rPr>
          <w:vertAlign w:val="superscript"/>
        </w:rPr>
        <w:t>2</w:t>
      </w:r>
      <w:r>
        <w:rPr>
          <w:rFonts w:hint="eastAsia"/>
        </w:rPr>
        <w:t>）</w:t>
      </w:r>
      <w:r>
        <w:t>，临时占地约27200m</w:t>
      </w:r>
      <w:r>
        <w:rPr>
          <w:vertAlign w:val="superscript"/>
        </w:rPr>
        <w:t>2</w:t>
      </w:r>
      <w:r>
        <w:rPr>
          <w:rFonts w:hint="eastAsia"/>
        </w:rPr>
        <w:t>（</w:t>
      </w:r>
      <w:r>
        <w:t>2.72hm</w:t>
      </w:r>
      <w:r>
        <w:rPr>
          <w:vertAlign w:val="superscript"/>
        </w:rPr>
        <w:t>2</w:t>
      </w:r>
      <w:r>
        <w:rPr>
          <w:rFonts w:hint="eastAsia"/>
        </w:rPr>
        <w:t>），</w:t>
      </w:r>
      <w:r>
        <w:t>占地情况汇总见</w:t>
      </w:r>
      <w:r>
        <w:rPr>
          <w:rFonts w:hint="eastAsia"/>
        </w:rPr>
        <w:t>下表。</w:t>
      </w:r>
    </w:p>
    <w:p>
      <w:pPr>
        <w:ind w:firstLine="442"/>
        <w:jc w:val="center"/>
        <w:rPr>
          <w:rFonts w:eastAsia="楷体" w:cs="Times New Roman"/>
          <w:b/>
          <w:kern w:val="0"/>
          <w:sz w:val="22"/>
          <w:szCs w:val="24"/>
        </w:rPr>
      </w:pPr>
      <w:r>
        <w:rPr>
          <w:rFonts w:eastAsia="楷体" w:cs="Times New Roman"/>
          <w:b/>
          <w:kern w:val="0"/>
          <w:sz w:val="22"/>
          <w:szCs w:val="24"/>
        </w:rPr>
        <w:t>表</w:t>
      </w:r>
      <w:r>
        <w:rPr>
          <w:rFonts w:eastAsia="楷体" w:cs="Times New Roman"/>
          <w:b/>
          <w:kern w:val="0"/>
          <w:sz w:val="22"/>
          <w:szCs w:val="24"/>
        </w:rPr>
        <w:fldChar w:fldCharType="begin"/>
      </w:r>
      <w:r>
        <w:rPr>
          <w:rFonts w:eastAsia="楷体" w:cs="Times New Roman"/>
          <w:b/>
          <w:kern w:val="0"/>
          <w:sz w:val="22"/>
          <w:szCs w:val="24"/>
        </w:rPr>
        <w:instrText xml:space="preserve"> STYLEREF 2 \s </w:instrText>
      </w:r>
      <w:r>
        <w:rPr>
          <w:rFonts w:eastAsia="楷体" w:cs="Times New Roman"/>
          <w:b/>
          <w:kern w:val="0"/>
          <w:sz w:val="22"/>
          <w:szCs w:val="24"/>
        </w:rPr>
        <w:fldChar w:fldCharType="separate"/>
      </w:r>
      <w:r>
        <w:rPr>
          <w:rFonts w:eastAsia="楷体" w:cs="Times New Roman"/>
          <w:b/>
          <w:kern w:val="0"/>
          <w:sz w:val="22"/>
          <w:szCs w:val="24"/>
        </w:rPr>
        <w:t>2.8</w:t>
      </w:r>
      <w:r>
        <w:rPr>
          <w:rFonts w:eastAsia="楷体" w:cs="Times New Roman"/>
          <w:b/>
          <w:kern w:val="0"/>
          <w:sz w:val="22"/>
          <w:szCs w:val="24"/>
        </w:rPr>
        <w:fldChar w:fldCharType="end"/>
      </w:r>
      <w:r>
        <w:rPr>
          <w:rFonts w:eastAsia="楷体" w:cs="Times New Roman"/>
          <w:b/>
          <w:kern w:val="0"/>
          <w:sz w:val="22"/>
          <w:szCs w:val="24"/>
        </w:rPr>
        <w:t>-</w:t>
      </w:r>
      <w:r>
        <w:rPr>
          <w:rFonts w:eastAsia="楷体" w:cs="Times New Roman"/>
          <w:b/>
          <w:kern w:val="0"/>
          <w:sz w:val="22"/>
          <w:szCs w:val="24"/>
        </w:rPr>
        <w:fldChar w:fldCharType="begin"/>
      </w:r>
      <w:r>
        <w:rPr>
          <w:rFonts w:eastAsia="楷体" w:cs="Times New Roman"/>
          <w:b/>
          <w:kern w:val="0"/>
          <w:sz w:val="22"/>
          <w:szCs w:val="24"/>
        </w:rPr>
        <w:instrText xml:space="preserve"> SEQ 表格 \* ARABIC \s 2 </w:instrText>
      </w:r>
      <w:r>
        <w:rPr>
          <w:rFonts w:eastAsia="楷体" w:cs="Times New Roman"/>
          <w:b/>
          <w:kern w:val="0"/>
          <w:sz w:val="22"/>
          <w:szCs w:val="24"/>
        </w:rPr>
        <w:fldChar w:fldCharType="separate"/>
      </w:r>
      <w:r>
        <w:rPr>
          <w:rFonts w:eastAsia="楷体" w:cs="Times New Roman"/>
          <w:b/>
          <w:kern w:val="0"/>
          <w:sz w:val="22"/>
          <w:szCs w:val="24"/>
        </w:rPr>
        <w:t>1</w:t>
      </w:r>
      <w:r>
        <w:rPr>
          <w:rFonts w:eastAsia="楷体" w:cs="Times New Roman"/>
          <w:b/>
          <w:kern w:val="0"/>
          <w:sz w:val="22"/>
          <w:szCs w:val="24"/>
        </w:rPr>
        <w:fldChar w:fldCharType="end"/>
      </w:r>
      <w:r>
        <w:rPr>
          <w:rFonts w:eastAsia="楷体" w:cs="Times New Roman"/>
          <w:b/>
          <w:kern w:val="0"/>
          <w:sz w:val="22"/>
          <w:szCs w:val="24"/>
        </w:rPr>
        <w:t xml:space="preserve"> </w:t>
      </w:r>
      <w:r>
        <w:rPr>
          <w:rFonts w:hint="eastAsia" w:eastAsia="楷体" w:cs="Times New Roman"/>
          <w:b/>
          <w:kern w:val="0"/>
          <w:sz w:val="22"/>
          <w:szCs w:val="24"/>
        </w:rPr>
        <w:t>本项目占地</w:t>
      </w:r>
      <w:r>
        <w:rPr>
          <w:rFonts w:eastAsia="楷体" w:cs="Times New Roman"/>
          <w:b/>
          <w:kern w:val="0"/>
          <w:sz w:val="22"/>
          <w:szCs w:val="24"/>
        </w:rPr>
        <w:t>情况表</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102"/>
        <w:gridCol w:w="1038"/>
        <w:gridCol w:w="992"/>
        <w:gridCol w:w="1276"/>
        <w:gridCol w:w="1134"/>
        <w:gridCol w:w="2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dxa"/>
            <w:vMerge w:val="restart"/>
            <w:tcBorders>
              <w:top w:val="single" w:color="auto" w:sz="12" w:space="0"/>
              <w:left w:val="nil"/>
            </w:tcBorders>
            <w:vAlign w:val="center"/>
          </w:tcPr>
          <w:p>
            <w:pPr>
              <w:pStyle w:val="63"/>
              <w:rPr>
                <w:b/>
              </w:rPr>
            </w:pPr>
            <w:r>
              <w:rPr>
                <w:rFonts w:hint="eastAsia"/>
                <w:b/>
              </w:rPr>
              <w:t>占地</w:t>
            </w:r>
            <w:r>
              <w:rPr>
                <w:b/>
              </w:rPr>
              <w:t>类</w:t>
            </w:r>
            <w:r>
              <w:rPr>
                <w:rFonts w:hint="eastAsia"/>
                <w:b/>
              </w:rPr>
              <w:t>别</w:t>
            </w:r>
          </w:p>
        </w:tc>
        <w:tc>
          <w:tcPr>
            <w:tcW w:w="1102" w:type="dxa"/>
            <w:vMerge w:val="restart"/>
            <w:tcBorders>
              <w:top w:val="single" w:color="auto" w:sz="12" w:space="0"/>
            </w:tcBorders>
            <w:vAlign w:val="center"/>
          </w:tcPr>
          <w:p>
            <w:pPr>
              <w:pStyle w:val="63"/>
              <w:rPr>
                <w:b/>
              </w:rPr>
            </w:pPr>
            <w:r>
              <w:rPr>
                <w:rFonts w:hint="eastAsia"/>
                <w:b/>
              </w:rPr>
              <w:t>项目</w:t>
            </w:r>
          </w:p>
        </w:tc>
        <w:tc>
          <w:tcPr>
            <w:tcW w:w="1038" w:type="dxa"/>
            <w:vMerge w:val="restart"/>
            <w:tcBorders>
              <w:top w:val="single" w:color="auto" w:sz="12" w:space="0"/>
            </w:tcBorders>
            <w:vAlign w:val="center"/>
          </w:tcPr>
          <w:p>
            <w:pPr>
              <w:pStyle w:val="63"/>
              <w:rPr>
                <w:rFonts w:cs="Times New Roman"/>
                <w:b/>
              </w:rPr>
            </w:pPr>
            <w:r>
              <w:rPr>
                <w:rFonts w:hint="eastAsia" w:cs="Times New Roman"/>
                <w:b/>
              </w:rPr>
              <w:t>单位</w:t>
            </w:r>
          </w:p>
        </w:tc>
        <w:tc>
          <w:tcPr>
            <w:tcW w:w="992" w:type="dxa"/>
            <w:vMerge w:val="restart"/>
            <w:tcBorders>
              <w:top w:val="single" w:color="auto" w:sz="12" w:space="0"/>
            </w:tcBorders>
            <w:vAlign w:val="center"/>
          </w:tcPr>
          <w:p>
            <w:pPr>
              <w:pStyle w:val="63"/>
              <w:rPr>
                <w:rFonts w:cs="Times New Roman"/>
                <w:b/>
              </w:rPr>
            </w:pPr>
            <w:r>
              <w:rPr>
                <w:rFonts w:hint="eastAsia" w:cs="Times New Roman"/>
                <w:b/>
              </w:rPr>
              <w:t>总数量</w:t>
            </w:r>
          </w:p>
        </w:tc>
        <w:tc>
          <w:tcPr>
            <w:tcW w:w="2410" w:type="dxa"/>
            <w:gridSpan w:val="2"/>
            <w:tcBorders>
              <w:top w:val="single" w:color="auto" w:sz="12" w:space="0"/>
            </w:tcBorders>
            <w:vAlign w:val="center"/>
          </w:tcPr>
          <w:p>
            <w:pPr>
              <w:pStyle w:val="63"/>
              <w:rPr>
                <w:b/>
              </w:rPr>
            </w:pPr>
            <w:r>
              <w:rPr>
                <w:rFonts w:hint="eastAsia"/>
                <w:b/>
              </w:rPr>
              <w:t>其中</w:t>
            </w:r>
          </w:p>
        </w:tc>
        <w:tc>
          <w:tcPr>
            <w:tcW w:w="2318" w:type="dxa"/>
            <w:vMerge w:val="restart"/>
            <w:tcBorders>
              <w:top w:val="single" w:color="auto" w:sz="12" w:space="0"/>
            </w:tcBorders>
            <w:vAlign w:val="center"/>
          </w:tcPr>
          <w:p>
            <w:pPr>
              <w:pStyle w:val="63"/>
              <w:rPr>
                <w:b/>
              </w:rPr>
            </w:pPr>
            <w:r>
              <w:rPr>
                <w:rFonts w:hint="eastAsia"/>
                <w: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dxa"/>
            <w:vMerge w:val="continue"/>
            <w:tcBorders>
              <w:left w:val="nil"/>
            </w:tcBorders>
            <w:vAlign w:val="center"/>
          </w:tcPr>
          <w:p>
            <w:pPr>
              <w:pStyle w:val="63"/>
              <w:rPr>
                <w:b/>
              </w:rPr>
            </w:pPr>
          </w:p>
        </w:tc>
        <w:tc>
          <w:tcPr>
            <w:tcW w:w="1102" w:type="dxa"/>
            <w:vMerge w:val="continue"/>
            <w:vAlign w:val="center"/>
          </w:tcPr>
          <w:p>
            <w:pPr>
              <w:pStyle w:val="63"/>
              <w:rPr>
                <w:b/>
              </w:rPr>
            </w:pPr>
          </w:p>
        </w:tc>
        <w:tc>
          <w:tcPr>
            <w:tcW w:w="1038" w:type="dxa"/>
            <w:vMerge w:val="continue"/>
            <w:vAlign w:val="center"/>
          </w:tcPr>
          <w:p>
            <w:pPr>
              <w:pStyle w:val="63"/>
              <w:rPr>
                <w:rFonts w:cs="Times New Roman"/>
                <w:b/>
              </w:rPr>
            </w:pPr>
          </w:p>
        </w:tc>
        <w:tc>
          <w:tcPr>
            <w:tcW w:w="992" w:type="dxa"/>
            <w:vMerge w:val="continue"/>
            <w:vAlign w:val="center"/>
          </w:tcPr>
          <w:p>
            <w:pPr>
              <w:pStyle w:val="63"/>
              <w:rPr>
                <w:rFonts w:cs="Times New Roman"/>
                <w:b/>
              </w:rPr>
            </w:pPr>
          </w:p>
        </w:tc>
        <w:tc>
          <w:tcPr>
            <w:tcW w:w="1276" w:type="dxa"/>
            <w:vAlign w:val="center"/>
          </w:tcPr>
          <w:p>
            <w:pPr>
              <w:pStyle w:val="63"/>
              <w:rPr>
                <w:b/>
              </w:rPr>
            </w:pPr>
            <w:r>
              <w:rPr>
                <w:b/>
              </w:rPr>
              <w:t>耕地</w:t>
            </w:r>
            <w:r>
              <w:rPr>
                <w:rFonts w:hint="eastAsia"/>
                <w:b/>
              </w:rPr>
              <w:t>（永久基本</w:t>
            </w:r>
            <w:r>
              <w:rPr>
                <w:b/>
              </w:rPr>
              <w:t>农田</w:t>
            </w:r>
            <w:r>
              <w:rPr>
                <w:rFonts w:hint="eastAsia"/>
                <w:b/>
              </w:rPr>
              <w:t>）</w:t>
            </w:r>
          </w:p>
        </w:tc>
        <w:tc>
          <w:tcPr>
            <w:tcW w:w="1134" w:type="dxa"/>
            <w:vAlign w:val="center"/>
          </w:tcPr>
          <w:p>
            <w:pPr>
              <w:pStyle w:val="63"/>
              <w:rPr>
                <w:b/>
              </w:rPr>
            </w:pPr>
            <w:r>
              <w:rPr>
                <w:rFonts w:hint="eastAsia"/>
                <w:b/>
              </w:rPr>
              <w:t>林地</w:t>
            </w:r>
          </w:p>
        </w:tc>
        <w:tc>
          <w:tcPr>
            <w:tcW w:w="2318" w:type="dxa"/>
            <w:vMerge w:val="continue"/>
            <w:vAlign w:val="center"/>
          </w:tcPr>
          <w:p>
            <w:pPr>
              <w:pStyle w:val="63"/>
              <w:rPr>
                <w:b/>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dxa"/>
            <w:vMerge w:val="restart"/>
            <w:tcBorders>
              <w:left w:val="nil"/>
            </w:tcBorders>
            <w:vAlign w:val="center"/>
          </w:tcPr>
          <w:p>
            <w:pPr>
              <w:pStyle w:val="63"/>
            </w:pPr>
            <w:r>
              <w:rPr>
                <w:rFonts w:hint="eastAsia"/>
              </w:rPr>
              <w:t>永久占地</w:t>
            </w:r>
          </w:p>
        </w:tc>
        <w:tc>
          <w:tcPr>
            <w:tcW w:w="1102" w:type="dxa"/>
            <w:vAlign w:val="center"/>
          </w:tcPr>
          <w:p>
            <w:pPr>
              <w:pStyle w:val="63"/>
            </w:pPr>
            <w:r>
              <w:rPr>
                <w:rFonts w:hint="eastAsia"/>
              </w:rPr>
              <w:t>标志桩</w:t>
            </w:r>
          </w:p>
        </w:tc>
        <w:tc>
          <w:tcPr>
            <w:tcW w:w="1038" w:type="dxa"/>
            <w:vAlign w:val="center"/>
          </w:tcPr>
          <w:p>
            <w:pPr>
              <w:pStyle w:val="63"/>
              <w:rPr>
                <w:rFonts w:cs="Times New Roman"/>
              </w:rPr>
            </w:pPr>
            <w:r>
              <w:rPr>
                <w:rFonts w:cs="Times New Roman"/>
              </w:rPr>
              <w:t>m</w:t>
            </w:r>
            <w:r>
              <w:rPr>
                <w:rFonts w:hint="eastAsia" w:cs="Times New Roman"/>
                <w:vertAlign w:val="superscript"/>
              </w:rPr>
              <w:t>2</w:t>
            </w:r>
          </w:p>
        </w:tc>
        <w:tc>
          <w:tcPr>
            <w:tcW w:w="992" w:type="dxa"/>
            <w:vAlign w:val="center"/>
          </w:tcPr>
          <w:p>
            <w:pPr>
              <w:pStyle w:val="63"/>
              <w:rPr>
                <w:rFonts w:cs="Times New Roman"/>
              </w:rPr>
            </w:pPr>
            <w:r>
              <w:rPr>
                <w:rFonts w:hint="eastAsia" w:cs="Times New Roman"/>
              </w:rPr>
              <w:t>18</w:t>
            </w:r>
          </w:p>
        </w:tc>
        <w:tc>
          <w:tcPr>
            <w:tcW w:w="1276" w:type="dxa"/>
            <w:vAlign w:val="center"/>
          </w:tcPr>
          <w:p>
            <w:pPr>
              <w:pStyle w:val="63"/>
            </w:pPr>
            <w:r>
              <w:rPr>
                <w:rFonts w:hint="eastAsia"/>
              </w:rPr>
              <w:t>4</w:t>
            </w:r>
          </w:p>
        </w:tc>
        <w:tc>
          <w:tcPr>
            <w:tcW w:w="1134" w:type="dxa"/>
            <w:vAlign w:val="center"/>
          </w:tcPr>
          <w:p>
            <w:pPr>
              <w:pStyle w:val="63"/>
            </w:pPr>
            <w:r>
              <w:rPr>
                <w:rFonts w:hint="eastAsia"/>
              </w:rPr>
              <w:t>14</w:t>
            </w:r>
          </w:p>
        </w:tc>
        <w:tc>
          <w:tcPr>
            <w:tcW w:w="2318" w:type="dxa"/>
            <w:vAlign w:val="center"/>
          </w:tcPr>
          <w:p>
            <w:pPr>
              <w:pStyle w:val="63"/>
            </w:pPr>
            <w:r>
              <w:rPr>
                <w:rFonts w:hint="eastAsia"/>
              </w:rPr>
              <w:t>占地1㎡/个，</w:t>
            </w:r>
            <w:r>
              <w:t>共</w:t>
            </w:r>
            <w:r>
              <w:rPr>
                <w:rFonts w:hint="eastAsia"/>
              </w:rPr>
              <w:t>18个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dxa"/>
            <w:vMerge w:val="continue"/>
            <w:tcBorders>
              <w:left w:val="nil"/>
            </w:tcBorders>
            <w:vAlign w:val="center"/>
          </w:tcPr>
          <w:p>
            <w:pPr>
              <w:pStyle w:val="63"/>
            </w:pPr>
          </w:p>
        </w:tc>
        <w:tc>
          <w:tcPr>
            <w:tcW w:w="1102" w:type="dxa"/>
            <w:vAlign w:val="center"/>
          </w:tcPr>
          <w:p>
            <w:pPr>
              <w:pStyle w:val="63"/>
            </w:pPr>
            <w:r>
              <w:rPr>
                <w:rFonts w:hint="eastAsia"/>
              </w:rPr>
              <w:t>警示牌</w:t>
            </w:r>
          </w:p>
        </w:tc>
        <w:tc>
          <w:tcPr>
            <w:tcW w:w="1038" w:type="dxa"/>
            <w:vAlign w:val="center"/>
          </w:tcPr>
          <w:p>
            <w:pPr>
              <w:pStyle w:val="63"/>
              <w:rPr>
                <w:rFonts w:cs="Times New Roman"/>
              </w:rPr>
            </w:pPr>
            <w:r>
              <w:rPr>
                <w:rFonts w:cs="Times New Roman"/>
              </w:rPr>
              <w:t>m</w:t>
            </w:r>
            <w:r>
              <w:rPr>
                <w:rFonts w:hint="eastAsia" w:cs="Times New Roman"/>
                <w:vertAlign w:val="superscript"/>
              </w:rPr>
              <w:t>2</w:t>
            </w:r>
          </w:p>
        </w:tc>
        <w:tc>
          <w:tcPr>
            <w:tcW w:w="992" w:type="dxa"/>
            <w:vAlign w:val="center"/>
          </w:tcPr>
          <w:p>
            <w:pPr>
              <w:pStyle w:val="63"/>
              <w:rPr>
                <w:rFonts w:cs="Times New Roman"/>
              </w:rPr>
            </w:pPr>
            <w:r>
              <w:rPr>
                <w:rFonts w:hint="eastAsia" w:cs="Times New Roman"/>
              </w:rPr>
              <w:t>4</w:t>
            </w:r>
          </w:p>
        </w:tc>
        <w:tc>
          <w:tcPr>
            <w:tcW w:w="1276" w:type="dxa"/>
            <w:vAlign w:val="center"/>
          </w:tcPr>
          <w:p>
            <w:pPr>
              <w:pStyle w:val="63"/>
            </w:pPr>
            <w:r>
              <w:rPr>
                <w:rFonts w:hint="eastAsia"/>
              </w:rPr>
              <w:t>2</w:t>
            </w:r>
          </w:p>
        </w:tc>
        <w:tc>
          <w:tcPr>
            <w:tcW w:w="1134" w:type="dxa"/>
            <w:vAlign w:val="center"/>
          </w:tcPr>
          <w:p>
            <w:pPr>
              <w:pStyle w:val="63"/>
            </w:pPr>
            <w:r>
              <w:rPr>
                <w:rFonts w:hint="eastAsia"/>
              </w:rPr>
              <w:t>2</w:t>
            </w:r>
          </w:p>
        </w:tc>
        <w:tc>
          <w:tcPr>
            <w:tcW w:w="2318" w:type="dxa"/>
            <w:vAlign w:val="center"/>
          </w:tcPr>
          <w:p>
            <w:pPr>
              <w:pStyle w:val="63"/>
            </w:pPr>
            <w:r>
              <w:rPr>
                <w:rFonts w:hint="eastAsia"/>
              </w:rPr>
              <w:t>占地1㎡/个，共4个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dxa"/>
            <w:vMerge w:val="restart"/>
            <w:tcBorders>
              <w:left w:val="nil"/>
            </w:tcBorders>
            <w:vAlign w:val="center"/>
          </w:tcPr>
          <w:p>
            <w:pPr>
              <w:pStyle w:val="63"/>
            </w:pPr>
            <w:r>
              <w:rPr>
                <w:rFonts w:hint="eastAsia"/>
              </w:rPr>
              <w:t>临时占地</w:t>
            </w:r>
          </w:p>
        </w:tc>
        <w:tc>
          <w:tcPr>
            <w:tcW w:w="1102" w:type="dxa"/>
            <w:vAlign w:val="center"/>
          </w:tcPr>
          <w:p>
            <w:pPr>
              <w:pStyle w:val="63"/>
            </w:pPr>
            <w:r>
              <w:rPr>
                <w:rFonts w:hint="eastAsia"/>
              </w:rPr>
              <w:t>作业带</w:t>
            </w:r>
          </w:p>
        </w:tc>
        <w:tc>
          <w:tcPr>
            <w:tcW w:w="1038" w:type="dxa"/>
            <w:vAlign w:val="center"/>
          </w:tcPr>
          <w:p>
            <w:pPr>
              <w:pStyle w:val="63"/>
              <w:rPr>
                <w:rFonts w:cs="Times New Roman"/>
              </w:rPr>
            </w:pPr>
            <w:r>
              <w:rPr>
                <w:rFonts w:cs="Times New Roman"/>
              </w:rPr>
              <w:t>m</w:t>
            </w:r>
            <w:r>
              <w:rPr>
                <w:rFonts w:hint="eastAsia" w:cs="Times New Roman"/>
                <w:vertAlign w:val="superscript"/>
              </w:rPr>
              <w:t>2</w:t>
            </w:r>
          </w:p>
        </w:tc>
        <w:tc>
          <w:tcPr>
            <w:tcW w:w="992" w:type="dxa"/>
            <w:vAlign w:val="center"/>
          </w:tcPr>
          <w:p>
            <w:pPr>
              <w:pStyle w:val="63"/>
              <w:rPr>
                <w:rFonts w:cs="Times New Roman"/>
              </w:rPr>
            </w:pPr>
            <w:r>
              <w:rPr>
                <w:rFonts w:hint="eastAsia" w:cs="Times New Roman"/>
              </w:rPr>
              <w:t>24000</w:t>
            </w:r>
          </w:p>
        </w:tc>
        <w:tc>
          <w:tcPr>
            <w:tcW w:w="1276" w:type="dxa"/>
            <w:vAlign w:val="center"/>
          </w:tcPr>
          <w:p>
            <w:pPr>
              <w:pStyle w:val="63"/>
            </w:pPr>
            <w:r>
              <w:rPr>
                <w:rFonts w:hint="eastAsia"/>
              </w:rPr>
              <w:t>5046</w:t>
            </w:r>
          </w:p>
        </w:tc>
        <w:tc>
          <w:tcPr>
            <w:tcW w:w="1134" w:type="dxa"/>
            <w:vAlign w:val="center"/>
          </w:tcPr>
          <w:p>
            <w:pPr>
              <w:pStyle w:val="63"/>
            </w:pPr>
            <w:r>
              <w:rPr>
                <w:rFonts w:hint="eastAsia"/>
              </w:rPr>
              <w:t>18954</w:t>
            </w:r>
          </w:p>
        </w:tc>
        <w:tc>
          <w:tcPr>
            <w:tcW w:w="2318" w:type="dxa"/>
            <w:vAlign w:val="center"/>
          </w:tcPr>
          <w:p>
            <w:pPr>
              <w:pStyle w:val="63"/>
            </w:pPr>
            <w:r>
              <w:t>宽</w:t>
            </w:r>
            <w:r>
              <w:rPr>
                <w:rFonts w:hint="eastAsia"/>
              </w:rPr>
              <w:t>12</w:t>
            </w:r>
            <w:r>
              <w:t>m，长</w:t>
            </w:r>
            <w:r>
              <w:rPr>
                <w:rFonts w:hint="eastAsia"/>
              </w:rPr>
              <w:t>2000</w:t>
            </w:r>
            <w:r>
              <w:t>m</w:t>
            </w:r>
            <w:r>
              <w:rPr>
                <w:rFonts w:hint="eastAsi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dxa"/>
            <w:vMerge w:val="continue"/>
            <w:tcBorders>
              <w:left w:val="nil"/>
            </w:tcBorders>
            <w:vAlign w:val="center"/>
          </w:tcPr>
          <w:p>
            <w:pPr>
              <w:pStyle w:val="63"/>
            </w:pPr>
          </w:p>
        </w:tc>
        <w:tc>
          <w:tcPr>
            <w:tcW w:w="1102" w:type="dxa"/>
            <w:vAlign w:val="center"/>
          </w:tcPr>
          <w:p>
            <w:pPr>
              <w:pStyle w:val="63"/>
            </w:pPr>
            <w:r>
              <w:rPr>
                <w:rFonts w:hint="eastAsia"/>
              </w:rPr>
              <w:t>施工便道</w:t>
            </w:r>
          </w:p>
        </w:tc>
        <w:tc>
          <w:tcPr>
            <w:tcW w:w="1038" w:type="dxa"/>
            <w:vAlign w:val="center"/>
          </w:tcPr>
          <w:p>
            <w:pPr>
              <w:pStyle w:val="63"/>
              <w:rPr>
                <w:rFonts w:cs="Times New Roman"/>
              </w:rPr>
            </w:pPr>
            <w:r>
              <w:rPr>
                <w:rFonts w:cs="Times New Roman"/>
              </w:rPr>
              <w:t>m</w:t>
            </w:r>
            <w:r>
              <w:rPr>
                <w:rFonts w:hint="eastAsia" w:cs="Times New Roman"/>
                <w:vertAlign w:val="superscript"/>
              </w:rPr>
              <w:t>2</w:t>
            </w:r>
          </w:p>
        </w:tc>
        <w:tc>
          <w:tcPr>
            <w:tcW w:w="992" w:type="dxa"/>
            <w:vAlign w:val="center"/>
          </w:tcPr>
          <w:p>
            <w:pPr>
              <w:pStyle w:val="63"/>
              <w:rPr>
                <w:rFonts w:cs="Times New Roman"/>
              </w:rPr>
            </w:pPr>
            <w:r>
              <w:rPr>
                <w:rFonts w:cs="Times New Roman"/>
              </w:rPr>
              <w:t>2400</w:t>
            </w:r>
          </w:p>
        </w:tc>
        <w:tc>
          <w:tcPr>
            <w:tcW w:w="1276" w:type="dxa"/>
            <w:vAlign w:val="center"/>
          </w:tcPr>
          <w:p>
            <w:pPr>
              <w:pStyle w:val="63"/>
            </w:pPr>
            <w:r>
              <w:rPr>
                <w:rFonts w:hint="eastAsia"/>
              </w:rPr>
              <w:t>1200</w:t>
            </w:r>
          </w:p>
        </w:tc>
        <w:tc>
          <w:tcPr>
            <w:tcW w:w="1134" w:type="dxa"/>
            <w:vAlign w:val="center"/>
          </w:tcPr>
          <w:p>
            <w:pPr>
              <w:pStyle w:val="63"/>
            </w:pPr>
            <w:r>
              <w:rPr>
                <w:rFonts w:hint="eastAsia"/>
              </w:rPr>
              <w:t>1200</w:t>
            </w:r>
          </w:p>
        </w:tc>
        <w:tc>
          <w:tcPr>
            <w:tcW w:w="2318" w:type="dxa"/>
            <w:vAlign w:val="center"/>
          </w:tcPr>
          <w:p>
            <w:pPr>
              <w:pStyle w:val="63"/>
            </w:pPr>
            <w:r>
              <w:t>宽</w:t>
            </w:r>
            <w:r>
              <w:rPr>
                <w:rFonts w:hint="eastAsia"/>
              </w:rPr>
              <w:t>4</w:t>
            </w:r>
            <w:r>
              <w:t>.5m</w:t>
            </w:r>
            <w:r>
              <w:rPr>
                <w:rFonts w:hint="eastAsia"/>
              </w:rPr>
              <w:t>,新建2</w:t>
            </w:r>
            <w:r>
              <w:t>00m</w:t>
            </w:r>
            <w:r>
              <w:rPr>
                <w:rFonts w:hint="eastAsia"/>
              </w:rPr>
              <w:t>，维修</w:t>
            </w:r>
            <w:r>
              <w:t>1000m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2" w:type="dxa"/>
            <w:vMerge w:val="continue"/>
            <w:tcBorders>
              <w:left w:val="nil"/>
            </w:tcBorders>
            <w:vAlign w:val="center"/>
          </w:tcPr>
          <w:p>
            <w:pPr>
              <w:pStyle w:val="63"/>
            </w:pPr>
          </w:p>
        </w:tc>
        <w:tc>
          <w:tcPr>
            <w:tcW w:w="1102" w:type="dxa"/>
            <w:vAlign w:val="center"/>
          </w:tcPr>
          <w:p>
            <w:pPr>
              <w:pStyle w:val="63"/>
            </w:pPr>
            <w:r>
              <w:rPr>
                <w:rFonts w:hint="eastAsia"/>
              </w:rPr>
              <w:t>堆管场地</w:t>
            </w:r>
          </w:p>
        </w:tc>
        <w:tc>
          <w:tcPr>
            <w:tcW w:w="1038" w:type="dxa"/>
            <w:vAlign w:val="center"/>
          </w:tcPr>
          <w:p>
            <w:pPr>
              <w:pStyle w:val="63"/>
              <w:rPr>
                <w:rFonts w:cs="Times New Roman"/>
              </w:rPr>
            </w:pPr>
            <w:r>
              <w:rPr>
                <w:rFonts w:cs="Times New Roman"/>
              </w:rPr>
              <w:t>m</w:t>
            </w:r>
            <w:r>
              <w:rPr>
                <w:rFonts w:hint="eastAsia" w:cs="Times New Roman"/>
                <w:vertAlign w:val="superscript"/>
              </w:rPr>
              <w:t>2</w:t>
            </w:r>
          </w:p>
        </w:tc>
        <w:tc>
          <w:tcPr>
            <w:tcW w:w="992" w:type="dxa"/>
            <w:vAlign w:val="center"/>
          </w:tcPr>
          <w:p>
            <w:pPr>
              <w:pStyle w:val="63"/>
              <w:rPr>
                <w:rFonts w:cs="Times New Roman"/>
              </w:rPr>
            </w:pPr>
            <w:r>
              <w:rPr>
                <w:rFonts w:hint="eastAsia" w:cs="Times New Roman"/>
              </w:rPr>
              <w:t>800</w:t>
            </w:r>
          </w:p>
        </w:tc>
        <w:tc>
          <w:tcPr>
            <w:tcW w:w="1276" w:type="dxa"/>
            <w:vAlign w:val="center"/>
          </w:tcPr>
          <w:p>
            <w:pPr>
              <w:pStyle w:val="63"/>
            </w:pPr>
            <w:r>
              <w:rPr>
                <w:rFonts w:hint="eastAsia"/>
              </w:rPr>
              <w:t>0</w:t>
            </w:r>
          </w:p>
        </w:tc>
        <w:tc>
          <w:tcPr>
            <w:tcW w:w="1134" w:type="dxa"/>
            <w:vAlign w:val="center"/>
          </w:tcPr>
          <w:p>
            <w:pPr>
              <w:pStyle w:val="63"/>
            </w:pPr>
            <w:r>
              <w:rPr>
                <w:rFonts w:hint="eastAsia"/>
              </w:rPr>
              <w:t>800</w:t>
            </w:r>
          </w:p>
        </w:tc>
        <w:tc>
          <w:tcPr>
            <w:tcW w:w="2318" w:type="dxa"/>
            <w:vAlign w:val="center"/>
          </w:tcPr>
          <w:p>
            <w:pPr>
              <w:pStyle w:val="63"/>
            </w:pPr>
            <w:r>
              <w:rPr>
                <w:rFonts w:hint="eastAsia"/>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4" w:type="dxa"/>
            <w:gridSpan w:val="2"/>
            <w:tcBorders>
              <w:left w:val="nil"/>
            </w:tcBorders>
            <w:vAlign w:val="center"/>
          </w:tcPr>
          <w:p>
            <w:pPr>
              <w:pStyle w:val="63"/>
            </w:pPr>
            <w:r>
              <w:rPr>
                <w:rFonts w:hint="eastAsia"/>
              </w:rPr>
              <w:t>合计</w:t>
            </w:r>
          </w:p>
        </w:tc>
        <w:tc>
          <w:tcPr>
            <w:tcW w:w="1038" w:type="dxa"/>
            <w:vAlign w:val="center"/>
          </w:tcPr>
          <w:p>
            <w:pPr>
              <w:pStyle w:val="63"/>
              <w:rPr>
                <w:rFonts w:cs="Times New Roman"/>
              </w:rPr>
            </w:pPr>
            <w:r>
              <w:rPr>
                <w:rFonts w:cs="Times New Roman"/>
              </w:rPr>
              <w:t>m</w:t>
            </w:r>
            <w:r>
              <w:rPr>
                <w:rFonts w:hint="eastAsia" w:cs="Times New Roman"/>
                <w:vertAlign w:val="superscript"/>
              </w:rPr>
              <w:t>2</w:t>
            </w:r>
          </w:p>
        </w:tc>
        <w:tc>
          <w:tcPr>
            <w:tcW w:w="992" w:type="dxa"/>
            <w:vAlign w:val="center"/>
          </w:tcPr>
          <w:p>
            <w:pPr>
              <w:pStyle w:val="63"/>
              <w:rPr>
                <w:rFonts w:cs="Times New Roman"/>
              </w:rPr>
            </w:pPr>
            <w:r>
              <w:rPr>
                <w:rFonts w:cs="Times New Roman"/>
              </w:rPr>
              <w:t>27222</w:t>
            </w:r>
          </w:p>
        </w:tc>
        <w:tc>
          <w:tcPr>
            <w:tcW w:w="1276" w:type="dxa"/>
            <w:vAlign w:val="center"/>
          </w:tcPr>
          <w:p>
            <w:pPr>
              <w:pStyle w:val="63"/>
            </w:pPr>
            <w:r>
              <w:rPr>
                <w:rFonts w:hint="eastAsia"/>
              </w:rPr>
              <w:t>6252</w:t>
            </w:r>
          </w:p>
        </w:tc>
        <w:tc>
          <w:tcPr>
            <w:tcW w:w="1134" w:type="dxa"/>
            <w:vAlign w:val="center"/>
          </w:tcPr>
          <w:p>
            <w:pPr>
              <w:pStyle w:val="63"/>
            </w:pPr>
            <w:r>
              <w:rPr>
                <w:rFonts w:hint="eastAsia"/>
              </w:rPr>
              <w:t>20970</w:t>
            </w:r>
          </w:p>
        </w:tc>
        <w:tc>
          <w:tcPr>
            <w:tcW w:w="2318" w:type="dxa"/>
            <w:vAlign w:val="center"/>
          </w:tcPr>
          <w:p>
            <w:pPr>
              <w:pStyle w:val="63"/>
            </w:pPr>
            <w:r>
              <w:rPr>
                <w:rFonts w:hint="eastAsia"/>
              </w:rPr>
              <w:t>其中永久</w:t>
            </w:r>
            <w:r>
              <w:t>占地</w:t>
            </w:r>
            <w:r>
              <w:rPr>
                <w:rFonts w:hint="eastAsia"/>
              </w:rPr>
              <w:t>22</w:t>
            </w:r>
            <w:r>
              <w:rPr>
                <w:rFonts w:cs="Times New Roman"/>
              </w:rPr>
              <w:t xml:space="preserve"> m</w:t>
            </w:r>
            <w:r>
              <w:rPr>
                <w:rFonts w:hint="eastAsia" w:cs="Times New Roman"/>
                <w:vertAlign w:val="superscript"/>
              </w:rPr>
              <w:t>2</w:t>
            </w:r>
            <w:r>
              <w:rPr>
                <w:rFonts w:hint="eastAsia" w:cs="Times New Roman"/>
              </w:rPr>
              <w:t>，临时</w:t>
            </w:r>
            <w:r>
              <w:rPr>
                <w:rFonts w:cs="Times New Roman"/>
              </w:rPr>
              <w:t>占地272</w:t>
            </w:r>
            <w:r>
              <w:rPr>
                <w:rFonts w:hint="eastAsia" w:cs="Times New Roman"/>
              </w:rPr>
              <w:t>00</w:t>
            </w:r>
            <w:r>
              <w:rPr>
                <w:rFonts w:cs="Times New Roman"/>
              </w:rPr>
              <w:t xml:space="preserve"> m</w:t>
            </w:r>
            <w:r>
              <w:rPr>
                <w:rFonts w:hint="eastAsia" w:cs="Times New Roman"/>
                <w:vertAlign w:val="superscript"/>
              </w:rPr>
              <w:t>2</w:t>
            </w:r>
          </w:p>
        </w:tc>
      </w:tr>
    </w:tbl>
    <w:p>
      <w:pPr>
        <w:pStyle w:val="248"/>
        <w:ind w:firstLine="480"/>
      </w:pPr>
      <w:r>
        <w:rPr>
          <w:rFonts w:hint="eastAsia"/>
        </w:rPr>
        <w:t>由上表</w:t>
      </w:r>
      <w:r>
        <w:t>可知，</w:t>
      </w:r>
      <w:r>
        <w:rPr>
          <w:rFonts w:hint="eastAsia"/>
        </w:rPr>
        <w:t>本项目</w:t>
      </w:r>
      <w:r>
        <w:t>占地类型以林地</w:t>
      </w:r>
      <w:r>
        <w:rPr>
          <w:rFonts w:hint="eastAsia"/>
        </w:rPr>
        <w:t>、耕地</w:t>
      </w:r>
      <w:r>
        <w:t>为主</w:t>
      </w:r>
      <w:r>
        <w:rPr>
          <w:rFonts w:hint="eastAsia"/>
        </w:rPr>
        <w:t>，</w:t>
      </w:r>
      <w:r>
        <w:t>总计占用耕地0.6252hm</w:t>
      </w:r>
      <w:r>
        <w:rPr>
          <w:vertAlign w:val="superscript"/>
        </w:rPr>
        <w:t>2</w:t>
      </w:r>
      <w:r>
        <w:t>，</w:t>
      </w:r>
      <w:r>
        <w:rPr>
          <w:rFonts w:hint="eastAsia"/>
        </w:rPr>
        <w:t>占有</w:t>
      </w:r>
      <w:r>
        <w:t>的耕地</w:t>
      </w:r>
      <w:r>
        <w:rPr>
          <w:rFonts w:hint="eastAsia"/>
        </w:rPr>
        <w:t>全部</w:t>
      </w:r>
      <w:r>
        <w:t>为</w:t>
      </w:r>
      <w:r>
        <w:rPr>
          <w:rFonts w:hint="eastAsia"/>
        </w:rPr>
        <w:t>永久</w:t>
      </w:r>
      <w:r>
        <w:t>基本农田</w:t>
      </w:r>
      <w:r>
        <w:rPr>
          <w:rFonts w:hint="eastAsia"/>
        </w:rPr>
        <w:t>，</w:t>
      </w:r>
      <w:r>
        <w:t>占用林地</w:t>
      </w:r>
      <w:r>
        <w:rPr>
          <w:rFonts w:hint="eastAsia"/>
        </w:rPr>
        <w:t>2.097</w:t>
      </w:r>
      <w:r>
        <w:t>hm</w:t>
      </w:r>
      <w:r>
        <w:rPr>
          <w:vertAlign w:val="superscript"/>
        </w:rPr>
        <w:t>2</w:t>
      </w:r>
      <w:r>
        <w:rPr>
          <w:rFonts w:hint="eastAsia"/>
        </w:rPr>
        <w:t>。占地绝大</w:t>
      </w:r>
      <w:r>
        <w:t>部分为</w:t>
      </w:r>
      <w:r>
        <w:rPr>
          <w:rFonts w:hint="eastAsia"/>
        </w:rPr>
        <w:t>临时</w:t>
      </w:r>
      <w:r>
        <w:t>占地，</w:t>
      </w:r>
      <w:r>
        <w:rPr>
          <w:rFonts w:hint="eastAsia"/>
        </w:rPr>
        <w:t>永久</w:t>
      </w:r>
      <w:r>
        <w:t>占地仅</w:t>
      </w:r>
      <w:r>
        <w:rPr>
          <w:rFonts w:hint="eastAsia"/>
        </w:rPr>
        <w:t>22</w:t>
      </w:r>
      <w:r>
        <w:t>m</w:t>
      </w:r>
      <w:r>
        <w:rPr>
          <w:vertAlign w:val="superscript"/>
        </w:rPr>
        <w:t>2</w:t>
      </w:r>
      <w:r>
        <w:rPr>
          <w:rFonts w:hint="eastAsia"/>
        </w:rPr>
        <w:t>，其中占用</w:t>
      </w:r>
      <w:r>
        <w:t>耕地（</w:t>
      </w:r>
      <w:r>
        <w:rPr>
          <w:rFonts w:hint="eastAsia"/>
        </w:rPr>
        <w:t>永久</w:t>
      </w:r>
      <w:r>
        <w:t>基本农田）</w:t>
      </w:r>
      <w:r>
        <w:rPr>
          <w:rFonts w:hint="eastAsia"/>
        </w:rPr>
        <w:t>6</w:t>
      </w:r>
      <w:r>
        <w:t xml:space="preserve"> m</w:t>
      </w:r>
      <w:r>
        <w:rPr>
          <w:vertAlign w:val="superscript"/>
        </w:rPr>
        <w:t>2</w:t>
      </w:r>
      <w:r>
        <w:rPr>
          <w:rFonts w:hint="eastAsia"/>
        </w:rPr>
        <w:t>，林地16</w:t>
      </w:r>
      <w:r>
        <w:t xml:space="preserve"> m</w:t>
      </w:r>
      <w:r>
        <w:rPr>
          <w:vertAlign w:val="superscript"/>
        </w:rPr>
        <w:t>2</w:t>
      </w:r>
      <w:r>
        <w:rPr>
          <w:rFonts w:hint="eastAsia"/>
        </w:rPr>
        <w:t>。</w:t>
      </w:r>
    </w:p>
    <w:p>
      <w:pPr>
        <w:pStyle w:val="214"/>
        <w:ind w:firstLine="480"/>
      </w:pPr>
      <w:r>
        <w:rPr>
          <w:rFonts w:hint="eastAsia"/>
        </w:rPr>
        <w:t>对本项目涉及的占地，由建设单位、当地政府和被占地村民等协商解决，通过货币方式进行支付补偿。</w:t>
      </w:r>
    </w:p>
    <w:p>
      <w:pPr>
        <w:pStyle w:val="4"/>
      </w:pPr>
      <w:r>
        <w:rPr>
          <w:rFonts w:hint="eastAsia"/>
        </w:rPr>
        <w:t xml:space="preserve"> </w:t>
      </w:r>
      <w:bookmarkStart w:id="109" w:name="_Toc96680649"/>
      <w:r>
        <w:rPr>
          <w:rFonts w:hint="eastAsia"/>
        </w:rPr>
        <w:t>土石方工程</w:t>
      </w:r>
      <w:bookmarkEnd w:id="109"/>
    </w:p>
    <w:p>
      <w:pPr>
        <w:wordWrap w:val="0"/>
        <w:ind w:firstLine="480"/>
        <w:rPr>
          <w:rFonts w:cs="Times New Roman"/>
        </w:rPr>
      </w:pPr>
      <w:r>
        <w:rPr>
          <w:rFonts w:hint="eastAsia"/>
        </w:rPr>
        <w:t>施工过程中的弃土、弃渣土石方主要来自管沟开挖、穿越、修建施工便道。</w:t>
      </w:r>
      <w:r>
        <w:rPr>
          <w:rFonts w:cs="Times New Roman"/>
        </w:rPr>
        <w:t>根据项目设计资料，工程管线施工过程中约产生</w:t>
      </w:r>
      <w:r>
        <w:rPr>
          <w:rFonts w:hint="eastAsia" w:cs="Times New Roman"/>
        </w:rPr>
        <w:t>20178</w:t>
      </w:r>
      <w:r>
        <w:rPr>
          <w:rFonts w:cs="Times New Roman"/>
        </w:rPr>
        <w:t>m</w:t>
      </w:r>
      <w:r>
        <w:rPr>
          <w:rFonts w:cs="Times New Roman"/>
          <w:vertAlign w:val="superscript"/>
        </w:rPr>
        <w:t>3</w:t>
      </w:r>
      <w:r>
        <w:rPr>
          <w:rFonts w:cs="Times New Roman"/>
        </w:rPr>
        <w:t>土石方。</w:t>
      </w:r>
    </w:p>
    <w:p>
      <w:pPr>
        <w:wordWrap w:val="0"/>
        <w:ind w:firstLine="480"/>
        <w:rPr>
          <w:rFonts w:cs="Times New Roman"/>
        </w:rPr>
      </w:pPr>
      <w:r>
        <w:rPr>
          <w:rFonts w:cs="Times New Roman"/>
        </w:rPr>
        <w:t>根据《输气管道工程设计规范》GB50251-2015的规定，天然气管道工程在回填完成后管沟面回填高度应高于原地表300mm，以便让地表土进行自然沉降从而确保天然气管道的埋深及输送安全。根据此规定，天然气管道在埋设于地下所占有的回填空间则有了弥补，故可以实现线路管道的土石方挖填基本平衡。</w:t>
      </w:r>
    </w:p>
    <w:p>
      <w:pPr>
        <w:wordWrap w:val="0"/>
        <w:ind w:firstLine="480"/>
        <w:rPr>
          <w:rFonts w:cs="Times New Roman"/>
        </w:rPr>
      </w:pPr>
      <w:r>
        <w:rPr>
          <w:rFonts w:cs="Times New Roman"/>
        </w:rPr>
        <w:t>石方大部分回填，较大块石二次利用于线路构筑物，作干砌块石挡墙或护坡；根据以往管道工程施工经验，管道工程土石方主要来自边坡开挖、路基回填，基本挖填平衡，无弃方产生。</w:t>
      </w:r>
    </w:p>
    <w:p>
      <w:pPr>
        <w:pStyle w:val="214"/>
        <w:ind w:firstLine="480"/>
      </w:pPr>
      <w:r>
        <w:t>穿越公路时，会产生多余土方。该部分多余土方主要为泥土和碎石，就近用于地方乡道建设填料或道路护坡，无弃方产生。</w:t>
      </w:r>
    </w:p>
    <w:p>
      <w:pPr>
        <w:pStyle w:val="214"/>
        <w:ind w:firstLine="480"/>
      </w:pPr>
      <w:r>
        <w:t>修建施工便道开挖出的土方就近调配，基本能做到挖填平衡，无弃方。</w:t>
      </w:r>
    </w:p>
    <w:p>
      <w:pPr>
        <w:pStyle w:val="214"/>
        <w:ind w:firstLine="480"/>
      </w:pPr>
      <w:r>
        <w:rPr>
          <w:rFonts w:hint="eastAsia"/>
        </w:rPr>
        <w:t>项目建设土石方平衡情况详见下表。</w:t>
      </w:r>
    </w:p>
    <w:p>
      <w:pPr>
        <w:pStyle w:val="227"/>
        <w:rPr>
          <w:bCs/>
          <w:sz w:val="21"/>
        </w:rPr>
      </w:pPr>
      <w:r>
        <w:t>表</w:t>
      </w:r>
      <w:r>
        <w:fldChar w:fldCharType="begin"/>
      </w:r>
      <w:r>
        <w:instrText xml:space="preserve"> STYLEREF 2 \s </w:instrText>
      </w:r>
      <w:r>
        <w:fldChar w:fldCharType="separate"/>
      </w:r>
      <w:r>
        <w:t>2.9</w:t>
      </w:r>
      <w:r>
        <w:fldChar w:fldCharType="end"/>
      </w:r>
      <w:r>
        <w:noBreakHyphen/>
      </w:r>
      <w:r>
        <w:fldChar w:fldCharType="begin"/>
      </w:r>
      <w:r>
        <w:instrText xml:space="preserve"> SEQ 表 \* ARABIC \s 2 </w:instrText>
      </w:r>
      <w:r>
        <w:fldChar w:fldCharType="separate"/>
      </w:r>
      <w:r>
        <w:t>1</w:t>
      </w:r>
      <w:r>
        <w:fldChar w:fldCharType="end"/>
      </w:r>
      <w:r>
        <w:rPr>
          <w:rFonts w:hint="eastAsia"/>
          <w:bCs/>
          <w:sz w:val="21"/>
        </w:rPr>
        <w:t xml:space="preserve"> </w:t>
      </w:r>
      <w:r>
        <w:rPr>
          <w:bCs/>
          <w:sz w:val="21"/>
        </w:rPr>
        <w:t xml:space="preserve"> 项目施工期土石方平衡一览表（m</w:t>
      </w:r>
      <w:r>
        <w:rPr>
          <w:bCs/>
          <w:sz w:val="21"/>
          <w:vertAlign w:val="superscript"/>
        </w:rPr>
        <w:t>3</w:t>
      </w:r>
      <w:r>
        <w:rPr>
          <w:bCs/>
          <w:sz w:val="21"/>
        </w:rPr>
        <w:t>）</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12" w:space="0"/>
              <w:left w:val="nil"/>
            </w:tcBorders>
          </w:tcPr>
          <w:p>
            <w:pPr>
              <w:pStyle w:val="63"/>
              <w:rPr>
                <w:b/>
              </w:rPr>
            </w:pPr>
            <w:r>
              <w:rPr>
                <w:rFonts w:hint="eastAsia"/>
                <w:b/>
              </w:rPr>
              <w:t>管线名称</w:t>
            </w:r>
          </w:p>
        </w:tc>
        <w:tc>
          <w:tcPr>
            <w:tcW w:w="2130" w:type="dxa"/>
            <w:tcBorders>
              <w:top w:val="single" w:color="auto" w:sz="12" w:space="0"/>
            </w:tcBorders>
          </w:tcPr>
          <w:p>
            <w:pPr>
              <w:pStyle w:val="63"/>
              <w:rPr>
                <w:b/>
              </w:rPr>
            </w:pPr>
            <w:r>
              <w:rPr>
                <w:rFonts w:hint="eastAsia"/>
                <w:b/>
              </w:rPr>
              <w:t>挖方量</w:t>
            </w:r>
          </w:p>
        </w:tc>
        <w:tc>
          <w:tcPr>
            <w:tcW w:w="2131" w:type="dxa"/>
            <w:tcBorders>
              <w:top w:val="single" w:color="auto" w:sz="12" w:space="0"/>
            </w:tcBorders>
          </w:tcPr>
          <w:p>
            <w:pPr>
              <w:pStyle w:val="63"/>
              <w:rPr>
                <w:b/>
              </w:rPr>
            </w:pPr>
            <w:r>
              <w:rPr>
                <w:rFonts w:hint="eastAsia"/>
                <w:b/>
              </w:rPr>
              <w:t>回填量</w:t>
            </w:r>
          </w:p>
        </w:tc>
        <w:tc>
          <w:tcPr>
            <w:tcW w:w="2131" w:type="dxa"/>
            <w:tcBorders>
              <w:top w:val="single" w:color="auto" w:sz="12" w:space="0"/>
            </w:tcBorders>
          </w:tcPr>
          <w:p>
            <w:pPr>
              <w:pStyle w:val="63"/>
              <w:rPr>
                <w:b/>
              </w:rPr>
            </w:pPr>
            <w:r>
              <w:rPr>
                <w:rFonts w:hint="eastAsia"/>
                <w:b/>
              </w:rPr>
              <w:t>弃方量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Borders>
              <w:left w:val="nil"/>
            </w:tcBorders>
          </w:tcPr>
          <w:p>
            <w:pPr>
              <w:pStyle w:val="63"/>
            </w:pPr>
            <w:r>
              <w:rPr>
                <w:rFonts w:hint="eastAsia"/>
              </w:rPr>
              <w:t>项目管线全线</w:t>
            </w:r>
          </w:p>
        </w:tc>
        <w:tc>
          <w:tcPr>
            <w:tcW w:w="2130" w:type="dxa"/>
          </w:tcPr>
          <w:p>
            <w:pPr>
              <w:pStyle w:val="63"/>
            </w:pPr>
            <w:r>
              <w:rPr>
                <w:rFonts w:hint="eastAsia"/>
              </w:rPr>
              <w:t>20178</w:t>
            </w:r>
          </w:p>
        </w:tc>
        <w:tc>
          <w:tcPr>
            <w:tcW w:w="2131" w:type="dxa"/>
          </w:tcPr>
          <w:p>
            <w:pPr>
              <w:pStyle w:val="63"/>
            </w:pPr>
            <w:r>
              <w:rPr>
                <w:rFonts w:hint="eastAsia"/>
              </w:rPr>
              <w:t>20178</w:t>
            </w:r>
          </w:p>
        </w:tc>
        <w:tc>
          <w:tcPr>
            <w:tcW w:w="2131" w:type="dxa"/>
          </w:tcPr>
          <w:p>
            <w:pPr>
              <w:pStyle w:val="63"/>
            </w:pPr>
            <w:r>
              <w:rPr>
                <w:rFonts w:hint="eastAsia"/>
              </w:rPr>
              <w:t>0</w:t>
            </w:r>
          </w:p>
        </w:tc>
      </w:tr>
    </w:tbl>
    <w:p>
      <w:pPr>
        <w:wordWrap w:val="0"/>
        <w:ind w:firstLine="482"/>
        <w:rPr>
          <w:rFonts w:cs="Times New Roman"/>
          <w:b/>
          <w:bCs/>
        </w:rPr>
      </w:pPr>
      <w:r>
        <w:rPr>
          <w:rFonts w:cs="Times New Roman"/>
          <w:b/>
          <w:bCs/>
        </w:rPr>
        <w:t>防治措施：</w:t>
      </w:r>
    </w:p>
    <w:p>
      <w:pPr>
        <w:wordWrap w:val="0"/>
        <w:ind w:firstLine="480"/>
        <w:rPr>
          <w:rFonts w:cs="Times New Roman"/>
        </w:rPr>
      </w:pPr>
      <w:r>
        <w:rPr>
          <w:rFonts w:cs="Times New Roman"/>
        </w:rPr>
        <w:t>管线采取分段施工方式，管沟开挖产生的堆土均临时堆放在管沟两侧，用于管沟回填。</w:t>
      </w:r>
    </w:p>
    <w:p>
      <w:pPr>
        <w:pStyle w:val="4"/>
      </w:pPr>
      <w:r>
        <w:rPr>
          <w:rFonts w:hint="eastAsia"/>
        </w:rPr>
        <w:t xml:space="preserve"> </w:t>
      </w:r>
      <w:bookmarkStart w:id="110" w:name="_Toc96680650"/>
      <w:r>
        <w:rPr>
          <w:rFonts w:hint="eastAsia"/>
        </w:rPr>
        <w:t>环保工程</w:t>
      </w:r>
      <w:bookmarkEnd w:id="110"/>
    </w:p>
    <w:p>
      <w:pPr>
        <w:pStyle w:val="214"/>
        <w:ind w:firstLine="480"/>
      </w:pPr>
      <w:r>
        <w:t>施工过程中做好护坡、堡坎和排水设施。</w:t>
      </w:r>
    </w:p>
    <w:p>
      <w:pPr>
        <w:pStyle w:val="4"/>
      </w:pPr>
      <w:r>
        <w:rPr>
          <w:rFonts w:hint="eastAsia"/>
        </w:rPr>
        <w:t xml:space="preserve"> </w:t>
      </w:r>
      <w:bookmarkStart w:id="111" w:name="_Toc96680651"/>
      <w:r>
        <w:rPr>
          <w:rFonts w:hint="eastAsia"/>
        </w:rPr>
        <w:t>拆迁安置工程</w:t>
      </w:r>
      <w:bookmarkEnd w:id="111"/>
    </w:p>
    <w:p>
      <w:pPr>
        <w:pStyle w:val="214"/>
        <w:ind w:firstLine="480"/>
      </w:pPr>
      <w:r>
        <w:t>本项目不涉及环保拆迁。</w:t>
      </w:r>
    </w:p>
    <w:p>
      <w:pPr>
        <w:pStyle w:val="214"/>
        <w:ind w:firstLine="480"/>
      </w:pPr>
      <w:r>
        <w:t>天然气管道工程涉及的拆迁对象为拟建管道沿线两侧各5m范围内的民房等，由于本项目管道选线避开了人员密集的城镇规划区，管道沿线两侧各5m范围内无民房，因此，本项目管线周边无工程拆迁。</w:t>
      </w:r>
    </w:p>
    <w:p>
      <w:pPr>
        <w:pStyle w:val="4"/>
      </w:pPr>
      <w:r>
        <w:rPr>
          <w:rFonts w:hint="eastAsia"/>
        </w:rPr>
        <w:t xml:space="preserve"> </w:t>
      </w:r>
      <w:bookmarkStart w:id="112" w:name="_Toc96680652"/>
      <w:r>
        <w:rPr>
          <w:rFonts w:hint="eastAsia"/>
        </w:rPr>
        <w:t>劳动定员及工作制度</w:t>
      </w:r>
      <w:bookmarkEnd w:id="112"/>
    </w:p>
    <w:p>
      <w:pPr>
        <w:ind w:firstLine="480"/>
        <w:rPr>
          <w:rFonts w:cs="Times New Roman"/>
          <w:kern w:val="0"/>
          <w:szCs w:val="24"/>
        </w:rPr>
      </w:pPr>
      <w:r>
        <w:rPr>
          <w:rFonts w:cs="Times New Roman"/>
          <w:kern w:val="0"/>
          <w:szCs w:val="24"/>
        </w:rPr>
        <w:t>本项目</w:t>
      </w:r>
      <w:r>
        <w:rPr>
          <w:rFonts w:hint="eastAsia" w:cs="Times New Roman"/>
          <w:kern w:val="0"/>
          <w:szCs w:val="24"/>
        </w:rPr>
        <w:t>施工期</w:t>
      </w:r>
      <w:r>
        <w:rPr>
          <w:rFonts w:cs="Times New Roman"/>
          <w:kern w:val="0"/>
          <w:szCs w:val="24"/>
        </w:rPr>
        <w:t>总工期</w:t>
      </w:r>
      <w:r>
        <w:rPr>
          <w:rFonts w:hint="eastAsia" w:cs="Times New Roman"/>
          <w:kern w:val="0"/>
          <w:szCs w:val="24"/>
        </w:rPr>
        <w:t>3</w:t>
      </w:r>
      <w:r>
        <w:rPr>
          <w:rFonts w:cs="Times New Roman"/>
          <w:kern w:val="0"/>
          <w:szCs w:val="24"/>
        </w:rPr>
        <w:t>个月，工程按照多工区、分段施工，施工高峰期人数约</w:t>
      </w:r>
      <w:r>
        <w:rPr>
          <w:rFonts w:hint="eastAsia" w:cs="Times New Roman"/>
          <w:kern w:val="0"/>
          <w:szCs w:val="24"/>
        </w:rPr>
        <w:t>30</w:t>
      </w:r>
      <w:r>
        <w:rPr>
          <w:rFonts w:cs="Times New Roman"/>
          <w:kern w:val="0"/>
          <w:szCs w:val="24"/>
        </w:rPr>
        <w:t>人，人员由专业施工队伍和附近农民工组成。</w:t>
      </w:r>
    </w:p>
    <w:p>
      <w:pPr>
        <w:pStyle w:val="214"/>
        <w:ind w:firstLine="480"/>
      </w:pPr>
      <w:r>
        <w:rPr>
          <w:rFonts w:hint="eastAsia"/>
        </w:rPr>
        <w:t>运营期</w:t>
      </w:r>
      <w:r>
        <w:t>管线巡查由运营单位统一管理，不再单独新增管理人员</w:t>
      </w:r>
      <w:bookmarkStart w:id="113" w:name="_Toc476903377"/>
      <w:bookmarkEnd w:id="113"/>
      <w:bookmarkStart w:id="114" w:name="_Toc466451227"/>
      <w:bookmarkEnd w:id="114"/>
      <w:r>
        <w:t>。</w:t>
      </w:r>
      <w:bookmarkEnd w:id="71"/>
    </w:p>
    <w:p>
      <w:pPr>
        <w:ind w:firstLine="480"/>
        <w:rPr>
          <w:rFonts w:cs="Times New Roman"/>
        </w:rPr>
        <w:sectPr>
          <w:pgSz w:w="11906" w:h="16838"/>
          <w:pgMar w:top="1440" w:right="1800" w:bottom="1440" w:left="1800" w:header="851" w:footer="794" w:gutter="0"/>
          <w:cols w:space="425" w:num="1"/>
          <w:docGrid w:type="lines" w:linePitch="326" w:charSpace="0"/>
        </w:sectPr>
      </w:pPr>
    </w:p>
    <w:p>
      <w:pPr>
        <w:pStyle w:val="3"/>
        <w:rPr>
          <w:rFonts w:cs="Times New Roman"/>
        </w:rPr>
      </w:pPr>
      <w:r>
        <w:rPr>
          <w:rFonts w:hint="eastAsia" w:cs="Times New Roman"/>
        </w:rPr>
        <w:t xml:space="preserve"> </w:t>
      </w:r>
      <w:bookmarkStart w:id="115" w:name="_Toc96680653"/>
      <w:r>
        <w:rPr>
          <w:rFonts w:cs="Times New Roman"/>
        </w:rPr>
        <w:t>选址、选线的环境可行性</w:t>
      </w:r>
      <w:bookmarkEnd w:id="115"/>
    </w:p>
    <w:p>
      <w:pPr>
        <w:pStyle w:val="4"/>
      </w:pPr>
      <w:r>
        <w:rPr>
          <w:rFonts w:hint="eastAsia"/>
        </w:rPr>
        <w:t xml:space="preserve"> </w:t>
      </w:r>
      <w:bookmarkStart w:id="116" w:name="_Toc96680654"/>
      <w:r>
        <w:rPr>
          <w:rFonts w:hint="eastAsia"/>
        </w:rPr>
        <w:t>线路路由的选线原则和确定程序</w:t>
      </w:r>
      <w:bookmarkEnd w:id="116"/>
    </w:p>
    <w:p>
      <w:pPr>
        <w:ind w:firstLine="468"/>
        <w:rPr>
          <w:spacing w:val="-3"/>
        </w:rPr>
      </w:pPr>
      <w:r>
        <w:rPr>
          <w:rFonts w:hint="eastAsia"/>
          <w:spacing w:val="-3"/>
        </w:rPr>
        <w:t>管道线路工程的特点决定了其对周围环境的影响是线性影响。路由的选择和确定，将对管道沿线周围敏感区域的影响起到决定性的作用，同时对是否符合管道沿线各城镇发展规划、环境保护规划、生态保护规划等也起到了决定性的作用。因此，确定了线路的路由也就确定了其对沿线周围环境的影响程度。</w:t>
      </w:r>
    </w:p>
    <w:p>
      <w:pPr>
        <w:pStyle w:val="102"/>
        <w:ind w:firstLine="468"/>
        <w:rPr>
          <w:spacing w:val="-3"/>
        </w:rPr>
      </w:pPr>
      <w:r>
        <w:rPr>
          <w:rFonts w:hint="eastAsia"/>
          <w:spacing w:val="-3"/>
        </w:rPr>
        <w:t>本管道工程吸取了以往输气管道的建设经验，特别是在保护环境方面，尽量在线路的确定时能避免对环境影响的就尽量避免，采取避绕或改线等措施，以减少对管道沿线环境敏感区域的影响。</w:t>
      </w:r>
    </w:p>
    <w:p>
      <w:pPr>
        <w:pStyle w:val="5"/>
      </w:pPr>
      <w:r>
        <w:rPr>
          <w:rFonts w:hint="eastAsia"/>
        </w:rPr>
        <w:t xml:space="preserve"> </w:t>
      </w:r>
      <w:bookmarkStart w:id="117" w:name="_Toc96680655"/>
      <w:r>
        <w:rPr>
          <w:rFonts w:hint="eastAsia"/>
        </w:rPr>
        <w:t>隐患治理原则</w:t>
      </w:r>
      <w:bookmarkEnd w:id="117"/>
    </w:p>
    <w:p>
      <w:pPr>
        <w:pStyle w:val="214"/>
        <w:ind w:firstLine="480"/>
      </w:pPr>
      <w:r>
        <w:rPr>
          <w:rFonts w:hint="eastAsia"/>
        </w:rPr>
        <w:t>本项目为针对滑坡导致原有管段破坏而采取改线措施的隐患治理工程。本工程的隐患治理原则：</w:t>
      </w:r>
    </w:p>
    <w:p>
      <w:pPr>
        <w:pStyle w:val="214"/>
        <w:ind w:firstLine="480"/>
        <w:rPr>
          <w:rFonts w:ascii="宋体" w:hAnsi="宋体" w:cs="宋体"/>
        </w:rPr>
      </w:pPr>
      <w:r>
        <w:t>(1)</w:t>
      </w:r>
      <w:r>
        <w:rPr>
          <w:rFonts w:hint="eastAsia" w:ascii="宋体" w:hAnsi="宋体" w:cs="宋体"/>
        </w:rPr>
        <w:t xml:space="preserve">根据隐患点情况及其周边敷设条件采用管线改线敷设方式进行改造。 </w:t>
      </w:r>
    </w:p>
    <w:p>
      <w:pPr>
        <w:pStyle w:val="214"/>
        <w:ind w:firstLine="480"/>
        <w:rPr>
          <w:rFonts w:ascii="宋体" w:hAnsi="宋体" w:cs="宋体"/>
        </w:rPr>
      </w:pPr>
      <w:r>
        <w:t>(2)</w:t>
      </w:r>
      <w:r>
        <w:rPr>
          <w:rFonts w:hint="eastAsia" w:ascii="宋体" w:hAnsi="宋体" w:cs="宋体"/>
        </w:rPr>
        <w:t xml:space="preserve">隐患治理要结合规划，将被崩坡积范围内的管线迁出，避开滑坡地质风险区，管线迁建位置需得到规划部门认可，避免二次迁建。 </w:t>
      </w:r>
    </w:p>
    <w:p>
      <w:pPr>
        <w:pStyle w:val="214"/>
        <w:ind w:firstLine="480"/>
        <w:rPr>
          <w:rFonts w:ascii="宋体" w:hAnsi="宋体" w:cs="宋体"/>
        </w:rPr>
      </w:pPr>
      <w:r>
        <w:t>(3)</w:t>
      </w:r>
      <w:r>
        <w:rPr>
          <w:rFonts w:hint="eastAsia" w:ascii="宋体" w:hAnsi="宋体" w:cs="宋体"/>
        </w:rPr>
        <w:t xml:space="preserve">隐患治理应符合规范，迁建管线距离建构筑物、道路及水系符合规划的要求。 </w:t>
      </w:r>
    </w:p>
    <w:p>
      <w:pPr>
        <w:pStyle w:val="214"/>
        <w:ind w:firstLine="480"/>
        <w:rPr>
          <w:spacing w:val="-3"/>
        </w:rPr>
      </w:pPr>
      <w:r>
        <w:t>(4)</w:t>
      </w:r>
      <w:r>
        <w:rPr>
          <w:rFonts w:hint="eastAsia" w:ascii="宋体" w:hAnsi="宋体" w:cs="宋体"/>
        </w:rPr>
        <w:t>充分进行现场调研，结合当地规划，合理选择管道路由。</w:t>
      </w:r>
    </w:p>
    <w:p>
      <w:pPr>
        <w:pStyle w:val="5"/>
      </w:pPr>
      <w:r>
        <w:rPr>
          <w:rFonts w:hint="eastAsia"/>
        </w:rPr>
        <w:t xml:space="preserve"> </w:t>
      </w:r>
      <w:bookmarkStart w:id="118" w:name="_Toc96680656"/>
      <w:r>
        <w:rPr>
          <w:rFonts w:hint="eastAsia"/>
        </w:rPr>
        <w:t>路由选择原则</w:t>
      </w:r>
      <w:bookmarkEnd w:id="118"/>
    </w:p>
    <w:p>
      <w:pPr>
        <w:pStyle w:val="102"/>
        <w:ind w:firstLine="468"/>
        <w:rPr>
          <w:spacing w:val="-3"/>
        </w:rPr>
      </w:pPr>
      <w:r>
        <w:rPr>
          <w:rFonts w:hint="eastAsia"/>
          <w:spacing w:val="-3"/>
        </w:rPr>
        <w:t>本项目为针对滑坡导致原有管段破坏而采取改线措施的隐患治理工程。改线路由</w:t>
      </w:r>
      <w:r>
        <w:rPr>
          <w:rFonts w:hint="eastAsia"/>
        </w:rPr>
        <w:t>结合沿线交通、水利和环境敏感区的现状与规划，以及沿线地区的地质、地形、水文等自然条件，通过综合分析和多方案技术比较，确定了项目线路走向的敷设。在初设阶段，设计单位对沿线所在地通江县的总体规划进行了深入解读，初设线路总体走向方案经技术、经济比较，并结合了各专项评价和各职能部门（规划、国土、环保、水利等）意见，使本工程管道路由选址符合沿线规划要求。</w:t>
      </w:r>
    </w:p>
    <w:p>
      <w:pPr>
        <w:pStyle w:val="102"/>
        <w:ind w:firstLine="480"/>
        <w:rPr>
          <w:spacing w:val="-3"/>
        </w:rPr>
      </w:pPr>
      <w:r>
        <w:rPr>
          <w:rFonts w:hint="eastAsia"/>
        </w:rPr>
        <w:t>线路在可能的情况下尽量靠近和利用现有的公路，以方便运输、施工和生产维护管理及职工生活。选择有利地形，尽量避开施工难度较大和不良工程地质段，以方便施工，减少线路保护工程量，确保管道长期、安全、可靠运行。线路走向应与所经地区的农田、水利、交通等工程规划一致。线路走向尽量避开人口稠密区。必须通过村镇时，严格按《输气管道工程设计规范》（G</w:t>
      </w:r>
      <w:r>
        <w:t>B50251-2015</w:t>
      </w:r>
      <w:r>
        <w:rPr>
          <w:rFonts w:hint="eastAsia"/>
        </w:rPr>
        <w:t>）关于地区等级划分的要求进行设计，并尽可能避开多年生经济作物区域和重要的农田基本建设设施。</w:t>
      </w:r>
    </w:p>
    <w:p>
      <w:pPr>
        <w:ind w:firstLine="480"/>
      </w:pPr>
      <w:r>
        <w:rPr>
          <w:rFonts w:hint="eastAsia"/>
        </w:rPr>
        <w:t>根据《输气管道工程设计规范》（G</w:t>
      </w:r>
      <w:r>
        <w:t>B50251-2015</w:t>
      </w:r>
      <w:r>
        <w:rPr>
          <w:rFonts w:hint="eastAsia"/>
        </w:rPr>
        <w:t>）的有关规定，结合本工程管道所经地区的地形、地貌、环境、工程地质条件、交通等的发展情况，确定本工程线路及优化原则如下：</w:t>
      </w:r>
    </w:p>
    <w:p>
      <w:pPr>
        <w:pStyle w:val="6"/>
      </w:pPr>
      <w:r>
        <w:rPr>
          <w:rFonts w:hint="eastAsia"/>
        </w:rPr>
        <w:t xml:space="preserve"> 基本选线原则</w:t>
      </w:r>
    </w:p>
    <w:p>
      <w:pPr>
        <w:ind w:firstLine="480"/>
      </w:pPr>
      <w:r>
        <w:t>（</w:t>
      </w:r>
      <w:r>
        <w:rPr>
          <w:rFonts w:eastAsia="Times New Roman" w:cs="Times New Roman"/>
        </w:rPr>
        <w:t>1</w:t>
      </w:r>
      <w:r>
        <w:t>）严格执行国家、地方、行业有关法律、法规、规定及相关标准、规范要求。</w:t>
      </w:r>
    </w:p>
    <w:p>
      <w:pPr>
        <w:ind w:firstLine="480"/>
      </w:pPr>
      <w:r>
        <w:t>（</w:t>
      </w:r>
      <w:r>
        <w:rPr>
          <w:rFonts w:eastAsia="Times New Roman" w:cs="Times New Roman"/>
        </w:rPr>
        <w:t>2</w:t>
      </w:r>
      <w:r>
        <w:t>）线路走向应根据地形、工程地质以及交通运输、动力等条件，经多方案对比后确定。</w:t>
      </w:r>
    </w:p>
    <w:p>
      <w:pPr>
        <w:ind w:firstLine="480"/>
      </w:pPr>
      <w:r>
        <w:t>（</w:t>
      </w:r>
      <w:r>
        <w:rPr>
          <w:rFonts w:eastAsia="Times New Roman" w:cs="Times New Roman"/>
        </w:rPr>
        <w:t>3</w:t>
      </w:r>
      <w:r>
        <w:t>）</w:t>
      </w:r>
      <w:r>
        <w:rPr>
          <w:rFonts w:hint="eastAsia"/>
        </w:rPr>
        <w:t>线路在可能的情况下尽量靠近和利用现有公路，以方便运输、施工和生产维护，</w:t>
      </w:r>
      <w:r>
        <w:t>宜避开多年生经济作物区域和重要的农田基本建设设施。</w:t>
      </w:r>
    </w:p>
    <w:p>
      <w:pPr>
        <w:ind w:firstLine="480"/>
      </w:pPr>
      <w:r>
        <w:t>（</w:t>
      </w:r>
      <w:r>
        <w:rPr>
          <w:rFonts w:eastAsia="Times New Roman" w:cs="Times New Roman"/>
        </w:rPr>
        <w:t>4</w:t>
      </w:r>
      <w:r>
        <w:t>）</w:t>
      </w:r>
      <w:r>
        <w:rPr>
          <w:spacing w:val="-3"/>
        </w:rPr>
        <w:t>线路必须避开重要的军事设施、易燃易爆仓库、国家重点文物保护区。</w:t>
      </w:r>
    </w:p>
    <w:p>
      <w:pPr>
        <w:ind w:firstLine="468"/>
        <w:rPr>
          <w:spacing w:val="-3"/>
        </w:rPr>
      </w:pPr>
      <w:r>
        <w:rPr>
          <w:spacing w:val="-3"/>
        </w:rPr>
        <w:t>（</w:t>
      </w:r>
      <w:r>
        <w:rPr>
          <w:rFonts w:eastAsia="Times New Roman" w:cs="Times New Roman"/>
          <w:spacing w:val="-3"/>
        </w:rPr>
        <w:t>5</w:t>
      </w:r>
      <w:r>
        <w:rPr>
          <w:spacing w:val="-3"/>
        </w:rPr>
        <w:t>）</w:t>
      </w:r>
      <w:r>
        <w:t>线路应避开城镇规划区、自然保护区、重点文物保护区等区域。当受</w:t>
      </w:r>
      <w:r>
        <w:rPr>
          <w:spacing w:val="-3"/>
        </w:rPr>
        <w:t>条件限制，管道需要在上述区域内通过时，必须征得主管部门同意，并采取安全</w:t>
      </w:r>
      <w:r>
        <w:rPr>
          <w:spacing w:val="-111"/>
        </w:rPr>
        <w:t xml:space="preserve"> </w:t>
      </w:r>
      <w:r>
        <w:t>保护措施。</w:t>
      </w:r>
    </w:p>
    <w:p>
      <w:pPr>
        <w:ind w:firstLine="480"/>
      </w:pPr>
      <w:r>
        <w:t>（</w:t>
      </w:r>
      <w:r>
        <w:rPr>
          <w:rFonts w:eastAsia="Times New Roman" w:cs="Times New Roman"/>
        </w:rPr>
        <w:t>6</w:t>
      </w:r>
      <w:r>
        <w:t>）选线中始终将管道安全放在首位，管线尽量避开地质灾害严重地段，</w:t>
      </w:r>
      <w:r>
        <w:rPr>
          <w:spacing w:val="-3"/>
        </w:rPr>
        <w:t>如滑坡体、崩塌、泥石流、塌陷等不良工程地质区；尽量避开矿产资源区，地震</w:t>
      </w:r>
      <w:r>
        <w:rPr>
          <w:spacing w:val="-112"/>
        </w:rPr>
        <w:t xml:space="preserve"> </w:t>
      </w:r>
      <w:r>
        <w:t>高烈度区和大型活动断裂带。避开有爆炸、火灾危险性的场所及强腐蚀性地段。</w:t>
      </w:r>
    </w:p>
    <w:p>
      <w:pPr>
        <w:ind w:firstLine="480"/>
      </w:pPr>
      <w:r>
        <w:t>（</w:t>
      </w:r>
      <w:r>
        <w:rPr>
          <w:rFonts w:eastAsia="Times New Roman" w:cs="Times New Roman"/>
        </w:rPr>
        <w:t>7</w:t>
      </w:r>
      <w:r>
        <w:t>）在地震动峰值加速度等于或大于</w:t>
      </w:r>
      <w:r>
        <w:rPr>
          <w:spacing w:val="-77"/>
        </w:rPr>
        <w:t xml:space="preserve"> </w:t>
      </w:r>
      <w:r>
        <w:rPr>
          <w:rFonts w:eastAsia="Times New Roman" w:cs="Times New Roman"/>
        </w:rPr>
        <w:t>0.1g</w:t>
      </w:r>
      <w:r>
        <w:t>的地区，管道宜从断层位移较小</w:t>
      </w:r>
      <w:r>
        <w:rPr>
          <w:spacing w:val="-3"/>
        </w:rPr>
        <w:t>和较窄的地区通过，并应采取必要的工程措施。管道不宜敷设在由于发生地震而</w:t>
      </w:r>
      <w:r>
        <w:rPr>
          <w:spacing w:val="-109"/>
        </w:rPr>
        <w:t xml:space="preserve"> </w:t>
      </w:r>
      <w:r>
        <w:rPr>
          <w:spacing w:val="-3"/>
        </w:rPr>
        <w:t>可能引起滑坡、山崩、地陷、地裂、泥石流以及沙土液化等地段。当避开有困难</w:t>
      </w:r>
      <w:r>
        <w:rPr>
          <w:spacing w:val="-112"/>
        </w:rPr>
        <w:t xml:space="preserve"> </w:t>
      </w:r>
      <w:r>
        <w:t>时，应选择合适的位置和方式通过。</w:t>
      </w:r>
    </w:p>
    <w:p>
      <w:pPr>
        <w:ind w:firstLine="480"/>
      </w:pPr>
      <w:r>
        <w:t>（</w:t>
      </w:r>
      <w:r>
        <w:rPr>
          <w:rFonts w:eastAsia="Times New Roman" w:cs="Times New Roman"/>
        </w:rPr>
        <w:t>8</w:t>
      </w:r>
      <w:r>
        <w:t>）充分考虑大口径管道的施工特点，线路选择应尽量顺直、地势平缓，以缩短线路长度，减少热煨弯管用量，并尽量减少与天然和人工障碍物交叉。</w:t>
      </w:r>
    </w:p>
    <w:p>
      <w:pPr>
        <w:ind w:firstLine="480"/>
      </w:pPr>
      <w:r>
        <w:t>（</w:t>
      </w:r>
      <w:r>
        <w:rPr>
          <w:rFonts w:eastAsia="Times New Roman" w:cs="Times New Roman"/>
        </w:rPr>
        <w:t>9</w:t>
      </w:r>
      <w:r>
        <w:t>）</w:t>
      </w:r>
      <w:r>
        <w:rPr>
          <w:spacing w:val="-3"/>
        </w:rPr>
        <w:t>管道路由必须和沿线城市规划相结合，与现有交通、电力、通信设施</w:t>
      </w:r>
      <w:r>
        <w:t>保持一定距离，为管道运营创造和谐环境</w:t>
      </w:r>
      <w:r>
        <w:rPr>
          <w:rFonts w:cs="Times New Roman"/>
        </w:rPr>
        <w:t>。</w:t>
      </w:r>
    </w:p>
    <w:p>
      <w:pPr>
        <w:ind w:firstLine="468"/>
        <w:rPr>
          <w:rFonts w:cs="Times New Roman"/>
        </w:rPr>
      </w:pPr>
      <w:r>
        <w:rPr>
          <w:spacing w:val="-3"/>
        </w:rPr>
        <w:t>（</w:t>
      </w:r>
      <w:r>
        <w:rPr>
          <w:rFonts w:eastAsia="Times New Roman" w:cs="Times New Roman"/>
          <w:spacing w:val="-3"/>
        </w:rPr>
        <w:t>10</w:t>
      </w:r>
      <w:r>
        <w:rPr>
          <w:spacing w:val="-3"/>
        </w:rPr>
        <w:t>）</w:t>
      </w:r>
      <w:r>
        <w:t>有条件的情况下，尽量靠近或沿现有道路敷设（按有关规范、标准规 定，保持一定间距），以便于施工和管理，在与其他现有管道并行的地段，一般</w:t>
      </w:r>
      <w:r>
        <w:rPr>
          <w:spacing w:val="-112"/>
        </w:rPr>
        <w:t xml:space="preserve"> </w:t>
      </w:r>
      <w:r>
        <w:t>按照并行、保持一定间距设计，并按照大口径管道的特点做线路优化。</w:t>
      </w:r>
    </w:p>
    <w:p>
      <w:pPr>
        <w:ind w:firstLine="480"/>
      </w:pPr>
      <w:r>
        <w:t>（</w:t>
      </w:r>
      <w:r>
        <w:rPr>
          <w:rFonts w:eastAsia="Times New Roman" w:cs="Times New Roman"/>
        </w:rPr>
        <w:t>11</w:t>
      </w:r>
      <w:r>
        <w:t>）考虑管道服役年限内，管道拟通过地区的可能发展变化，合理确定线位与地区等级，避开了人口稠密的四级地区。</w:t>
      </w:r>
    </w:p>
    <w:p>
      <w:pPr>
        <w:ind w:firstLine="480"/>
      </w:pPr>
      <w:r>
        <w:t>（</w:t>
      </w:r>
      <w:r>
        <w:rPr>
          <w:rFonts w:eastAsia="Times New Roman" w:cs="Times New Roman"/>
        </w:rPr>
        <w:t>12</w:t>
      </w:r>
      <w:r>
        <w:t>）尽量减少对自然环境的破坏，防止水土流失，注重自然环境和生态平 衡的恢复，保护沿线人文景观，使工程建设与自然环境相协调。</w:t>
      </w:r>
    </w:p>
    <w:p>
      <w:pPr>
        <w:pStyle w:val="6"/>
      </w:pPr>
      <w:r>
        <w:rPr>
          <w:rFonts w:hint="eastAsia"/>
        </w:rPr>
        <w:t xml:space="preserve"> 特殊路段</w:t>
      </w:r>
    </w:p>
    <w:p>
      <w:pPr>
        <w:ind w:firstLine="482"/>
        <w:rPr>
          <w:b/>
        </w:rPr>
      </w:pPr>
      <w:r>
        <w:rPr>
          <w:rFonts w:hint="eastAsia"/>
          <w:b/>
        </w:rPr>
        <w:t>（1）低山、丘陵地区</w:t>
      </w:r>
    </w:p>
    <w:p>
      <w:pPr>
        <w:ind w:firstLine="480"/>
      </w:pPr>
      <w:r>
        <w:rPr>
          <w:rFonts w:hint="eastAsia"/>
        </w:rPr>
        <w:t>①在条件允许的情况下，尽量取直，力求节省管线长度；</w:t>
      </w:r>
    </w:p>
    <w:p>
      <w:pPr>
        <w:ind w:firstLine="480"/>
      </w:pPr>
      <w:r>
        <w:rPr>
          <w:rFonts w:hint="eastAsia"/>
        </w:rPr>
        <w:t>②注意管线与地上、地下各类建构筑物之间的距离；</w:t>
      </w:r>
    </w:p>
    <w:p>
      <w:pPr>
        <w:ind w:firstLine="480"/>
      </w:pPr>
      <w:r>
        <w:rPr>
          <w:rFonts w:hint="eastAsia"/>
        </w:rPr>
        <w:t>③注意城镇规划、道路规划、水利规划；</w:t>
      </w:r>
    </w:p>
    <w:p>
      <w:pPr>
        <w:ind w:firstLine="480"/>
      </w:pPr>
      <w:r>
        <w:rPr>
          <w:rFonts w:hint="eastAsia"/>
        </w:rPr>
        <w:t>④尽可能避开人口密集区。</w:t>
      </w:r>
    </w:p>
    <w:p>
      <w:pPr>
        <w:ind w:firstLine="482"/>
        <w:rPr>
          <w:b/>
        </w:rPr>
      </w:pPr>
      <w:r>
        <w:rPr>
          <w:rFonts w:hint="eastAsia"/>
          <w:b/>
        </w:rPr>
        <w:t>（2）深丘地区</w:t>
      </w:r>
    </w:p>
    <w:p>
      <w:pPr>
        <w:ind w:firstLine="480"/>
      </w:pPr>
      <w:r>
        <w:rPr>
          <w:rFonts w:hint="eastAsia"/>
        </w:rPr>
        <w:t>①本工程不经过大的山区，部分深丘地区，且本区域主要为林地。管道通过深丘段尽量选择在线路短、坡度平缓、山形完整的地段敷设，避开陡坡峡谷、陡崖三角面等地质构造不稳定的场地；</w:t>
      </w:r>
    </w:p>
    <w:p>
      <w:pPr>
        <w:ind w:firstLine="480"/>
      </w:pPr>
      <w:r>
        <w:rPr>
          <w:rFonts w:hint="eastAsia"/>
        </w:rPr>
        <w:t>②若山脊线与管线走向一致且山脊宽、顺直、施工方便时，应考虑选择走山脊；</w:t>
      </w:r>
    </w:p>
    <w:p>
      <w:pPr>
        <w:ind w:firstLine="480"/>
      </w:pPr>
      <w:r>
        <w:rPr>
          <w:rFonts w:hint="eastAsia"/>
        </w:rPr>
        <w:t>③深丘区管线尽量选择可通行的河谷地段;若河谷宽且平坦，则管线可考虑在河床高阶地敷设:若谷地地形狭窄，建构筑物拥挤，则应另辟路线；</w:t>
      </w:r>
    </w:p>
    <w:p>
      <w:pPr>
        <w:ind w:firstLine="480"/>
      </w:pPr>
      <w:r>
        <w:rPr>
          <w:rFonts w:hint="eastAsia"/>
        </w:rPr>
        <w:t>④线路需通过纵坡时，应选择纵向坡度较缓(不宜超过40°)，且坡长较短的线路：</w:t>
      </w:r>
    </w:p>
    <w:p>
      <w:pPr>
        <w:ind w:firstLine="480"/>
      </w:pPr>
      <w:r>
        <w:rPr>
          <w:rFonts w:hint="eastAsia"/>
        </w:rPr>
        <w:t>⑤线路尽可能不沿丘陵等高线平行敷设，若必须通过时，应选择纵向坡度较缓(不宜超过30°)和削山开挖后岩层稳定的地方通过；</w:t>
      </w:r>
    </w:p>
    <w:p>
      <w:pPr>
        <w:ind w:firstLine="480"/>
      </w:pPr>
      <w:r>
        <w:rPr>
          <w:rFonts w:hint="eastAsia"/>
        </w:rPr>
        <w:t>⑧管线应尽量避免在滑坡、泥石流、陡坡、陡坎等易造成管道失稳地带通过;</w:t>
      </w:r>
    </w:p>
    <w:p>
      <w:pPr>
        <w:ind w:firstLine="480"/>
      </w:pPr>
      <w:r>
        <w:rPr>
          <w:rFonts w:hint="eastAsia"/>
        </w:rPr>
        <w:t>⑦对于滑:坡地段，管线应从滑坡的后缘外，距滑坡体边界线一定距离绕过滑坡，否则应从滑动面下方通过或从上部架空通过；</w:t>
      </w:r>
    </w:p>
    <w:p>
      <w:pPr>
        <w:ind w:firstLine="480"/>
      </w:pPr>
      <w:r>
        <w:rPr>
          <w:rFonts w:hint="eastAsia"/>
        </w:rPr>
        <w:t>⑧尽量减少对沿线森林植被的破坏；</w:t>
      </w:r>
    </w:p>
    <w:p>
      <w:pPr>
        <w:ind w:firstLine="480"/>
      </w:pPr>
      <w:r>
        <w:rPr>
          <w:rFonts w:hint="eastAsia"/>
        </w:rPr>
        <w:t>⑨尽量利用现有道路，为管道施工和维护创造条件。</w:t>
      </w:r>
    </w:p>
    <w:p>
      <w:pPr>
        <w:ind w:firstLine="482"/>
        <w:rPr>
          <w:b/>
        </w:rPr>
      </w:pPr>
      <w:r>
        <w:rPr>
          <w:rFonts w:hint="eastAsia"/>
          <w:b/>
        </w:rPr>
        <w:t>（3）管道通过矿产资源段</w:t>
      </w:r>
    </w:p>
    <w:p>
      <w:pPr>
        <w:ind w:firstLine="480"/>
      </w:pPr>
      <w:r>
        <w:rPr>
          <w:rFonts w:hint="eastAsia"/>
        </w:rPr>
        <w:t>①管道线路尽量避绕矿产资源区；</w:t>
      </w:r>
    </w:p>
    <w:p>
      <w:pPr>
        <w:ind w:firstLine="480"/>
      </w:pPr>
      <w:r>
        <w:rPr>
          <w:rFonts w:hint="eastAsia"/>
        </w:rPr>
        <w:t>②对于受地形及其它因素限制无法避绕的矿产资源区，应选择对矿区影响较小地段通过，并尽量减少压覆长度；</w:t>
      </w:r>
    </w:p>
    <w:p>
      <w:pPr>
        <w:ind w:firstLine="480"/>
      </w:pPr>
      <w:r>
        <w:rPr>
          <w:rFonts w:hint="eastAsia"/>
        </w:rPr>
        <w:t>③对管道压覆矿区段线路，应结合压覆矿产评估单位资料对管道通过矿区安全性进行初步判定。</w:t>
      </w:r>
    </w:p>
    <w:p>
      <w:pPr>
        <w:ind w:firstLine="482"/>
        <w:rPr>
          <w:b/>
        </w:rPr>
      </w:pPr>
      <w:r>
        <w:rPr>
          <w:rFonts w:hint="eastAsia"/>
          <w:b/>
        </w:rPr>
        <w:t>（4）其它原则</w:t>
      </w:r>
    </w:p>
    <w:p>
      <w:pPr>
        <w:ind w:firstLine="480"/>
      </w:pPr>
      <w:r>
        <w:rPr>
          <w:rFonts w:hint="eastAsia"/>
        </w:rPr>
        <w:t>①应尽量避开原始林带区域以减少对森林植被破坏，在可能的情况下尽量选择植被稀疏带区域，尽量靠近公路；</w:t>
      </w:r>
    </w:p>
    <w:p>
      <w:pPr>
        <w:ind w:firstLine="480"/>
      </w:pPr>
      <w:r>
        <w:rPr>
          <w:rFonts w:hint="eastAsia"/>
        </w:rPr>
        <w:t>②应尽量避开自然保护区、风景名胜区、旅游区和军事区。</w:t>
      </w:r>
    </w:p>
    <w:p>
      <w:pPr>
        <w:pStyle w:val="5"/>
      </w:pPr>
      <w:r>
        <w:rPr>
          <w:rFonts w:hint="eastAsia"/>
        </w:rPr>
        <w:t xml:space="preserve"> </w:t>
      </w:r>
      <w:bookmarkStart w:id="119" w:name="_Toc96680657"/>
      <w:r>
        <w:rPr>
          <w:rFonts w:hint="eastAsia"/>
        </w:rPr>
        <w:t>路由确定程序</w:t>
      </w:r>
      <w:bookmarkEnd w:id="119"/>
    </w:p>
    <w:p>
      <w:pPr>
        <w:ind w:firstLine="480"/>
      </w:pPr>
      <w:r>
        <w:rPr>
          <w:rFonts w:cs="Times New Roman"/>
        </w:rPr>
        <w:t>本管道工程线路路由的确定程序为：首先对可研提出的初步路由走向和比选线路，由环评单位与设计单位一起进行初步调研和评价。对管道线路进行踏勘，走访沿线重点区域和区县的环保局、规划局、文物局等相关部门，听取当地政府部门的意见和建议。其次根据环保要求，结合线路的路由，对可研及初步设计提出线路走向意见。最后对局部路由的比选再进行现场调研和踏勘，以确定最优化的线路方案。</w:t>
      </w:r>
    </w:p>
    <w:p>
      <w:pPr>
        <w:pStyle w:val="4"/>
      </w:pPr>
      <w:r>
        <w:rPr>
          <w:rFonts w:hint="eastAsia"/>
        </w:rPr>
        <w:t xml:space="preserve"> </w:t>
      </w:r>
      <w:bookmarkStart w:id="120" w:name="_Toc96680658"/>
      <w:r>
        <w:rPr>
          <w:rFonts w:hint="eastAsia"/>
        </w:rPr>
        <w:t>工程路由比选</w:t>
      </w:r>
      <w:bookmarkEnd w:id="120"/>
    </w:p>
    <w:p>
      <w:pPr>
        <w:pStyle w:val="5"/>
      </w:pPr>
      <w:r>
        <w:rPr>
          <w:rFonts w:hint="eastAsia"/>
        </w:rPr>
        <w:t xml:space="preserve"> </w:t>
      </w:r>
      <w:bookmarkStart w:id="121" w:name="_Toc96680659"/>
      <w:r>
        <w:rPr>
          <w:rFonts w:hint="eastAsia"/>
        </w:rPr>
        <w:t>线路总体走向方案</w:t>
      </w:r>
      <w:bookmarkEnd w:id="121"/>
    </w:p>
    <w:p>
      <w:pPr>
        <w:ind w:firstLine="480"/>
      </w:pPr>
      <w:r>
        <w:rPr>
          <w:rFonts w:hint="eastAsia"/>
        </w:rPr>
        <w:t>线路总体方案为绕开滑坡区域等不稳定地质区域，使管段重新连接恢复供气。</w:t>
      </w:r>
    </w:p>
    <w:p>
      <w:pPr>
        <w:pStyle w:val="5"/>
      </w:pPr>
      <w:bookmarkStart w:id="122" w:name="_Toc26038"/>
      <w:bookmarkStart w:id="123" w:name="_Toc89009642"/>
      <w:r>
        <w:rPr>
          <w:rFonts w:hint="eastAsia"/>
        </w:rPr>
        <w:t xml:space="preserve"> </w:t>
      </w:r>
      <w:bookmarkStart w:id="124" w:name="_Toc96680660"/>
      <w:r>
        <w:rPr>
          <w:rFonts w:hint="eastAsia"/>
        </w:rPr>
        <w:t>线路总体方案比选</w:t>
      </w:r>
      <w:bookmarkEnd w:id="122"/>
      <w:bookmarkEnd w:id="123"/>
      <w:bookmarkEnd w:id="124"/>
    </w:p>
    <w:p>
      <w:pPr>
        <w:ind w:firstLine="482"/>
        <w:rPr>
          <w:b/>
          <w:bCs/>
        </w:rPr>
      </w:pPr>
      <w:r>
        <w:rPr>
          <w:rFonts w:hint="eastAsia"/>
          <w:b/>
          <w:bCs/>
        </w:rPr>
        <w:t>（1）线路走向方案</w:t>
      </w:r>
    </w:p>
    <w:p>
      <w:pPr>
        <w:ind w:firstLine="480"/>
      </w:pPr>
      <w:r>
        <w:rPr>
          <w:rFonts w:hint="eastAsia"/>
        </w:rPr>
        <w:t>本项目设计有两个路线方案分别为方案一、方案二，两个方案路由见下图。</w:t>
      </w:r>
    </w:p>
    <w:p>
      <w:pPr>
        <w:pStyle w:val="56"/>
      </w:pPr>
      <w:r>
        <w:t>******</w:t>
      </w:r>
    </w:p>
    <w:p>
      <w:pPr>
        <w:pStyle w:val="250"/>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两个方案</w:t>
      </w:r>
      <w:r>
        <w:t>路由</w:t>
      </w:r>
      <w:r>
        <w:rPr>
          <w:rFonts w:hint="eastAsia"/>
        </w:rPr>
        <w:t>图</w:t>
      </w:r>
    </w:p>
    <w:p>
      <w:pPr>
        <w:ind w:firstLine="480"/>
      </w:pPr>
      <w:r>
        <w:rPr>
          <w:rFonts w:hint="eastAsia"/>
        </w:rPr>
        <w:t>两个方案比选情况如下。</w:t>
      </w:r>
    </w:p>
    <w:p>
      <w:pPr>
        <w:pStyle w:val="73"/>
      </w:pPr>
      <w:r>
        <w:t>表</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1</w:t>
      </w:r>
      <w:r>
        <w:fldChar w:fldCharType="end"/>
      </w:r>
      <w:r>
        <w:t xml:space="preserve">  </w:t>
      </w:r>
      <w:r>
        <w:rPr>
          <w:rFonts w:hint="eastAsia"/>
        </w:rPr>
        <w:t>线路比选方案优缺点一览表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132"/>
        <w:gridCol w:w="2129"/>
        <w:gridCol w:w="3403"/>
        <w:gridCol w:w="1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5" w:type="pct"/>
            <w:tcBorders>
              <w:top w:val="single" w:color="auto" w:sz="12" w:space="0"/>
              <w:left w:val="nil"/>
            </w:tcBorders>
          </w:tcPr>
          <w:p>
            <w:pPr>
              <w:pStyle w:val="2"/>
              <w:ind w:left="0" w:leftChars="0" w:firstLine="0" w:firstLineChars="0"/>
              <w:jc w:val="center"/>
              <w:rPr>
                <w:b/>
              </w:rPr>
            </w:pPr>
            <w:r>
              <w:rPr>
                <w:rFonts w:hint="eastAsia"/>
                <w:b/>
              </w:rPr>
              <w:t>序号</w:t>
            </w:r>
          </w:p>
        </w:tc>
        <w:tc>
          <w:tcPr>
            <w:tcW w:w="664" w:type="pct"/>
            <w:tcBorders>
              <w:top w:val="single" w:color="auto" w:sz="12" w:space="0"/>
            </w:tcBorders>
          </w:tcPr>
          <w:p>
            <w:pPr>
              <w:pStyle w:val="2"/>
              <w:ind w:left="0" w:leftChars="0" w:firstLine="0" w:firstLineChars="0"/>
              <w:jc w:val="center"/>
              <w:rPr>
                <w:b/>
              </w:rPr>
            </w:pPr>
            <w:r>
              <w:rPr>
                <w:rFonts w:hint="eastAsia"/>
                <w:b/>
              </w:rPr>
              <w:t>比较内容</w:t>
            </w:r>
          </w:p>
        </w:tc>
        <w:tc>
          <w:tcPr>
            <w:tcW w:w="1248" w:type="pct"/>
            <w:tcBorders>
              <w:top w:val="single" w:color="auto" w:sz="12" w:space="0"/>
            </w:tcBorders>
          </w:tcPr>
          <w:p>
            <w:pPr>
              <w:pStyle w:val="2"/>
              <w:ind w:left="0" w:leftChars="0" w:firstLine="0" w:firstLineChars="0"/>
              <w:jc w:val="center"/>
              <w:rPr>
                <w:b/>
              </w:rPr>
            </w:pPr>
            <w:r>
              <w:rPr>
                <w:rFonts w:hint="eastAsia"/>
                <w:b/>
              </w:rPr>
              <w:t>方案一</w:t>
            </w:r>
          </w:p>
        </w:tc>
        <w:tc>
          <w:tcPr>
            <w:tcW w:w="1995" w:type="pct"/>
            <w:tcBorders>
              <w:top w:val="single" w:color="auto" w:sz="12" w:space="0"/>
            </w:tcBorders>
          </w:tcPr>
          <w:p>
            <w:pPr>
              <w:pStyle w:val="2"/>
              <w:ind w:left="0" w:leftChars="0" w:firstLine="0" w:firstLineChars="0"/>
              <w:jc w:val="center"/>
              <w:rPr>
                <w:b/>
              </w:rPr>
            </w:pPr>
            <w:r>
              <w:rPr>
                <w:rFonts w:hint="eastAsia"/>
                <w:b/>
              </w:rPr>
              <w:t>方案二</w:t>
            </w:r>
          </w:p>
        </w:tc>
        <w:tc>
          <w:tcPr>
            <w:tcW w:w="698" w:type="pct"/>
            <w:tcBorders>
              <w:top w:val="single" w:color="auto" w:sz="12" w:space="0"/>
            </w:tcBorders>
          </w:tcPr>
          <w:p>
            <w:pPr>
              <w:pStyle w:val="2"/>
              <w:ind w:left="0" w:leftChars="0" w:firstLine="0" w:firstLineChars="0"/>
              <w:jc w:val="center"/>
              <w:rPr>
                <w:b/>
              </w:rPr>
            </w:pPr>
            <w:r>
              <w:rPr>
                <w:rFonts w:hint="eastAsia"/>
                <w:b/>
              </w:rPr>
              <w:t>比选结果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left w:val="nil"/>
            </w:tcBorders>
            <w:vAlign w:val="center"/>
          </w:tcPr>
          <w:p>
            <w:pPr>
              <w:pStyle w:val="2"/>
              <w:ind w:left="0" w:leftChars="0" w:firstLine="0" w:firstLineChars="0"/>
              <w:jc w:val="center"/>
            </w:pPr>
            <w:r>
              <w:rPr>
                <w:rFonts w:hint="eastAsia"/>
              </w:rPr>
              <w:t>1</w:t>
            </w:r>
          </w:p>
        </w:tc>
        <w:tc>
          <w:tcPr>
            <w:tcW w:w="664" w:type="pct"/>
            <w:vAlign w:val="center"/>
          </w:tcPr>
          <w:p>
            <w:pPr>
              <w:pStyle w:val="63"/>
            </w:pPr>
            <w:r>
              <w:rPr>
                <w:rFonts w:hint="eastAsia"/>
              </w:rPr>
              <w:t>线路长度</w:t>
            </w:r>
          </w:p>
        </w:tc>
        <w:tc>
          <w:tcPr>
            <w:tcW w:w="1248" w:type="pct"/>
            <w:vAlign w:val="center"/>
          </w:tcPr>
          <w:p>
            <w:pPr>
              <w:pStyle w:val="63"/>
              <w:jc w:val="left"/>
            </w:pPr>
            <w:r>
              <w:rPr>
                <w:rFonts w:hint="eastAsia"/>
              </w:rPr>
              <w:t>2000m，其中</w:t>
            </w:r>
            <w:r>
              <w:rPr>
                <w:rFonts w:hint="eastAsia" w:ascii="宋体" w:hAnsi="宋体" w:cs="宋体"/>
                <w:kern w:val="0"/>
              </w:rPr>
              <w:t>林地占</w:t>
            </w:r>
            <w:r>
              <w:rPr>
                <w:rFonts w:cs="Times New Roman"/>
                <w:kern w:val="0"/>
              </w:rPr>
              <w:t>1700m</w:t>
            </w:r>
            <w:r>
              <w:rPr>
                <w:rFonts w:hint="eastAsia" w:ascii="宋体" w:hAnsi="宋体" w:cs="宋体"/>
                <w:kern w:val="0"/>
              </w:rPr>
              <w:t>，耕地占</w:t>
            </w:r>
            <w:r>
              <w:rPr>
                <w:kern w:val="0"/>
                <w:szCs w:val="21"/>
              </w:rPr>
              <w:t>300m</w:t>
            </w:r>
          </w:p>
        </w:tc>
        <w:tc>
          <w:tcPr>
            <w:tcW w:w="1995" w:type="pct"/>
            <w:vAlign w:val="center"/>
          </w:tcPr>
          <w:p>
            <w:pPr>
              <w:pStyle w:val="63"/>
              <w:jc w:val="left"/>
            </w:pPr>
            <w:r>
              <w:rPr>
                <w:rFonts w:hint="eastAsia"/>
              </w:rPr>
              <w:t>1960m，其中</w:t>
            </w:r>
            <w:r>
              <w:rPr>
                <w:rFonts w:hint="eastAsia" w:ascii="宋体" w:hAnsi="宋体" w:cs="宋体"/>
                <w:kern w:val="0"/>
              </w:rPr>
              <w:t>林地占</w:t>
            </w:r>
            <w:r>
              <w:rPr>
                <w:rFonts w:hint="eastAsia" w:cs="Times New Roman"/>
                <w:kern w:val="0"/>
              </w:rPr>
              <w:t>166</w:t>
            </w:r>
            <w:r>
              <w:rPr>
                <w:rFonts w:cs="Times New Roman"/>
                <w:kern w:val="0"/>
              </w:rPr>
              <w:t>0m</w:t>
            </w:r>
            <w:r>
              <w:rPr>
                <w:rFonts w:hint="eastAsia" w:ascii="宋体" w:hAnsi="宋体" w:cs="宋体"/>
                <w:kern w:val="0"/>
              </w:rPr>
              <w:t>，耕地占</w:t>
            </w:r>
            <w:r>
              <w:rPr>
                <w:kern w:val="0"/>
                <w:szCs w:val="21"/>
              </w:rPr>
              <w:t>300m</w:t>
            </w:r>
          </w:p>
        </w:tc>
        <w:tc>
          <w:tcPr>
            <w:tcW w:w="698" w:type="pct"/>
            <w:vAlign w:val="center"/>
          </w:tcPr>
          <w:p>
            <w:pPr>
              <w:pStyle w:val="63"/>
            </w:pPr>
            <w:r>
              <w:rPr>
                <w:rFonts w:hint="eastAsia"/>
              </w:rPr>
              <w:t>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left w:val="nil"/>
            </w:tcBorders>
            <w:vAlign w:val="center"/>
          </w:tcPr>
          <w:p>
            <w:pPr>
              <w:pStyle w:val="2"/>
              <w:ind w:left="0" w:leftChars="0" w:firstLine="0" w:firstLineChars="0"/>
              <w:jc w:val="center"/>
            </w:pPr>
            <w:r>
              <w:rPr>
                <w:rFonts w:hint="eastAsia"/>
              </w:rPr>
              <w:t>2</w:t>
            </w:r>
          </w:p>
        </w:tc>
        <w:tc>
          <w:tcPr>
            <w:tcW w:w="664" w:type="pct"/>
            <w:vAlign w:val="center"/>
          </w:tcPr>
          <w:p>
            <w:pPr>
              <w:pStyle w:val="2"/>
              <w:ind w:left="0" w:leftChars="0" w:firstLine="0" w:firstLineChars="0"/>
              <w:jc w:val="center"/>
            </w:pPr>
            <w:r>
              <w:rPr>
                <w:rFonts w:hint="eastAsia"/>
              </w:rPr>
              <w:t>地质条件</w:t>
            </w:r>
          </w:p>
        </w:tc>
        <w:tc>
          <w:tcPr>
            <w:tcW w:w="1248" w:type="pct"/>
            <w:vAlign w:val="center"/>
          </w:tcPr>
          <w:p>
            <w:pPr>
              <w:pStyle w:val="2"/>
              <w:ind w:left="0" w:leftChars="0" w:firstLine="0" w:firstLineChars="0"/>
              <w:jc w:val="left"/>
            </w:pPr>
            <w:r>
              <w:rPr>
                <w:rFonts w:hint="eastAsia"/>
                <w:szCs w:val="21"/>
              </w:rPr>
              <w:t>避开崩坡积区域以及冲沟</w:t>
            </w:r>
          </w:p>
        </w:tc>
        <w:tc>
          <w:tcPr>
            <w:tcW w:w="1995" w:type="pct"/>
            <w:vAlign w:val="center"/>
          </w:tcPr>
          <w:p>
            <w:pPr>
              <w:widowControl/>
              <w:spacing w:line="240" w:lineRule="auto"/>
              <w:ind w:firstLine="0" w:firstLineChars="0"/>
              <w:jc w:val="left"/>
            </w:pPr>
            <w:r>
              <w:rPr>
                <w:rFonts w:cs="Times New Roman"/>
                <w:kern w:val="0"/>
                <w:sz w:val="21"/>
              </w:rPr>
              <w:t>170m</w:t>
            </w:r>
            <w:r>
              <w:rPr>
                <w:rFonts w:hint="eastAsia" w:ascii="宋体" w:hAnsi="宋体" w:cs="宋体"/>
                <w:kern w:val="0"/>
                <w:sz w:val="21"/>
              </w:rPr>
              <w:t>管</w:t>
            </w:r>
            <w:r>
              <w:rPr>
                <w:rFonts w:hint="eastAsia" w:cs="Times New Roman"/>
                <w:sz w:val="21"/>
              </w:rPr>
              <w:t>道路由处于崩坡积区域内以及冲击平台；30m管段经过</w:t>
            </w:r>
            <w:r>
              <w:rPr>
                <w:rFonts w:hint="eastAsia" w:ascii="宋体" w:hAnsi="宋体" w:cs="宋体"/>
                <w:kern w:val="0"/>
                <w:sz w:val="21"/>
              </w:rPr>
              <w:t>斜坡石板段</w:t>
            </w:r>
          </w:p>
        </w:tc>
        <w:tc>
          <w:tcPr>
            <w:tcW w:w="698" w:type="pct"/>
            <w:vAlign w:val="center"/>
          </w:tcPr>
          <w:p>
            <w:pPr>
              <w:pStyle w:val="2"/>
              <w:ind w:left="0" w:leftChars="0" w:firstLine="0" w:firstLineChars="0"/>
              <w:jc w:val="center"/>
            </w:pPr>
            <w:r>
              <w:rPr>
                <w:rFonts w:hint="eastAsia"/>
              </w:rPr>
              <w:t>方案一优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left w:val="nil"/>
            </w:tcBorders>
            <w:vAlign w:val="center"/>
          </w:tcPr>
          <w:p>
            <w:pPr>
              <w:pStyle w:val="2"/>
              <w:ind w:left="0" w:leftChars="0" w:firstLine="0" w:firstLineChars="0"/>
              <w:jc w:val="center"/>
            </w:pPr>
            <w:r>
              <w:rPr>
                <w:rFonts w:hint="eastAsia"/>
              </w:rPr>
              <w:t>3</w:t>
            </w:r>
          </w:p>
        </w:tc>
        <w:tc>
          <w:tcPr>
            <w:tcW w:w="664" w:type="pct"/>
            <w:vAlign w:val="center"/>
          </w:tcPr>
          <w:p>
            <w:pPr>
              <w:pStyle w:val="2"/>
              <w:ind w:left="0" w:leftChars="0" w:firstLine="0" w:firstLineChars="0"/>
              <w:jc w:val="center"/>
            </w:pPr>
            <w:r>
              <w:rPr>
                <w:rFonts w:hint="eastAsia"/>
              </w:rPr>
              <w:t>大气环境影响、声环境影响</w:t>
            </w:r>
          </w:p>
        </w:tc>
        <w:tc>
          <w:tcPr>
            <w:tcW w:w="1248" w:type="pct"/>
            <w:vAlign w:val="center"/>
          </w:tcPr>
          <w:p>
            <w:pPr>
              <w:pStyle w:val="2"/>
              <w:ind w:left="0" w:leftChars="0" w:firstLine="0" w:firstLineChars="0"/>
              <w:jc w:val="left"/>
              <w:rPr>
                <w:szCs w:val="21"/>
              </w:rPr>
            </w:pPr>
            <w:r>
              <w:rPr>
                <w:rFonts w:hint="eastAsia"/>
                <w:szCs w:val="21"/>
              </w:rPr>
              <w:t>无需爆破，不产生</w:t>
            </w:r>
            <w:r>
              <w:rPr>
                <w:rFonts w:hint="eastAsia" w:ascii="宋体" w:hAnsi="宋体" w:cs="宋体"/>
                <w:kern w:val="0"/>
              </w:rPr>
              <w:t>爆破粉尘，无爆破噪声</w:t>
            </w:r>
          </w:p>
        </w:tc>
        <w:tc>
          <w:tcPr>
            <w:tcW w:w="1995" w:type="pct"/>
            <w:vAlign w:val="center"/>
          </w:tcPr>
          <w:p>
            <w:pPr>
              <w:widowControl/>
              <w:spacing w:line="240" w:lineRule="auto"/>
              <w:ind w:firstLine="0" w:firstLineChars="0"/>
              <w:jc w:val="left"/>
              <w:rPr>
                <w:rFonts w:cs="Times New Roman"/>
                <w:kern w:val="0"/>
                <w:sz w:val="21"/>
              </w:rPr>
            </w:pPr>
            <w:r>
              <w:rPr>
                <w:rFonts w:hint="eastAsia" w:ascii="宋体" w:hAnsi="宋体" w:cs="宋体"/>
                <w:kern w:val="0"/>
                <w:sz w:val="21"/>
              </w:rPr>
              <w:t>斜坡石板段需要爆破开挖管沟敷设管道，产生爆破粉尘和爆破噪声</w:t>
            </w:r>
          </w:p>
        </w:tc>
        <w:tc>
          <w:tcPr>
            <w:tcW w:w="698" w:type="pct"/>
            <w:vAlign w:val="center"/>
          </w:tcPr>
          <w:p>
            <w:pPr>
              <w:pStyle w:val="2"/>
              <w:ind w:left="0" w:leftChars="0" w:firstLine="0" w:firstLineChars="0"/>
              <w:jc w:val="center"/>
            </w:pPr>
            <w:r>
              <w:rPr>
                <w:rFonts w:hint="eastAsia"/>
              </w:rPr>
              <w:t>方案一优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left w:val="nil"/>
            </w:tcBorders>
            <w:vAlign w:val="center"/>
          </w:tcPr>
          <w:p>
            <w:pPr>
              <w:pStyle w:val="2"/>
              <w:ind w:left="0" w:leftChars="0" w:firstLine="0" w:firstLineChars="0"/>
              <w:jc w:val="center"/>
            </w:pPr>
            <w:r>
              <w:rPr>
                <w:rFonts w:hint="eastAsia"/>
              </w:rPr>
              <w:t>4</w:t>
            </w:r>
          </w:p>
        </w:tc>
        <w:tc>
          <w:tcPr>
            <w:tcW w:w="664" w:type="pct"/>
            <w:vAlign w:val="center"/>
          </w:tcPr>
          <w:p>
            <w:pPr>
              <w:pStyle w:val="2"/>
              <w:ind w:left="0" w:leftChars="0" w:firstLine="0" w:firstLineChars="0"/>
              <w:jc w:val="center"/>
            </w:pPr>
            <w:r>
              <w:rPr>
                <w:rFonts w:hint="eastAsia"/>
              </w:rPr>
              <w:t>环境风险</w:t>
            </w:r>
          </w:p>
        </w:tc>
        <w:tc>
          <w:tcPr>
            <w:tcW w:w="1248" w:type="pct"/>
            <w:vAlign w:val="center"/>
          </w:tcPr>
          <w:p>
            <w:pPr>
              <w:pStyle w:val="2"/>
              <w:ind w:left="0" w:leftChars="0" w:firstLine="0" w:firstLineChars="0"/>
              <w:jc w:val="left"/>
            </w:pPr>
            <w:r>
              <w:rPr>
                <w:rFonts w:hint="eastAsia"/>
              </w:rPr>
              <w:t>管线避开了</w:t>
            </w:r>
            <w:r>
              <w:rPr>
                <w:rFonts w:hint="eastAsia"/>
                <w:szCs w:val="21"/>
              </w:rPr>
              <w:t>崩坡积区域以及冲沟，</w:t>
            </w:r>
            <w:r>
              <w:rPr>
                <w:rFonts w:hint="eastAsia"/>
              </w:rPr>
              <w:t>环境风险相对较小</w:t>
            </w:r>
          </w:p>
        </w:tc>
        <w:tc>
          <w:tcPr>
            <w:tcW w:w="1995" w:type="pct"/>
            <w:vAlign w:val="center"/>
          </w:tcPr>
          <w:p>
            <w:pPr>
              <w:pStyle w:val="2"/>
              <w:ind w:left="0" w:leftChars="0" w:firstLine="0" w:firstLineChars="0"/>
              <w:jc w:val="left"/>
            </w:pPr>
            <w:r>
              <w:rPr>
                <w:kern w:val="0"/>
              </w:rPr>
              <w:t>170m</w:t>
            </w:r>
            <w:r>
              <w:rPr>
                <w:rFonts w:hint="eastAsia" w:ascii="宋体" w:hAnsi="宋体" w:cs="宋体"/>
                <w:kern w:val="0"/>
              </w:rPr>
              <w:t>管</w:t>
            </w:r>
            <w:r>
              <w:rPr>
                <w:rFonts w:hint="eastAsia"/>
              </w:rPr>
              <w:t>道路由处于崩坡积区域内</w:t>
            </w:r>
            <w:r>
              <w:rPr>
                <w:rFonts w:hint="eastAsia"/>
                <w:szCs w:val="21"/>
              </w:rPr>
              <w:t>以及冲击平台，存在安全及环境风险</w:t>
            </w:r>
          </w:p>
        </w:tc>
        <w:tc>
          <w:tcPr>
            <w:tcW w:w="698" w:type="pct"/>
            <w:vAlign w:val="center"/>
          </w:tcPr>
          <w:p>
            <w:pPr>
              <w:pStyle w:val="2"/>
              <w:ind w:left="0" w:leftChars="0" w:firstLine="0" w:firstLineChars="0"/>
              <w:jc w:val="center"/>
            </w:pPr>
            <w:r>
              <w:rPr>
                <w:rFonts w:hint="eastAsia"/>
              </w:rPr>
              <w:t>方案一优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left w:val="nil"/>
            </w:tcBorders>
            <w:vAlign w:val="center"/>
          </w:tcPr>
          <w:p>
            <w:pPr>
              <w:pStyle w:val="2"/>
              <w:ind w:left="0" w:leftChars="0" w:firstLine="0" w:firstLineChars="0"/>
              <w:jc w:val="center"/>
            </w:pPr>
            <w:r>
              <w:rPr>
                <w:rFonts w:hint="eastAsia"/>
              </w:rPr>
              <w:t>5</w:t>
            </w:r>
          </w:p>
        </w:tc>
        <w:tc>
          <w:tcPr>
            <w:tcW w:w="664" w:type="pct"/>
            <w:vAlign w:val="center"/>
          </w:tcPr>
          <w:p>
            <w:pPr>
              <w:pStyle w:val="2"/>
              <w:ind w:left="0" w:leftChars="0" w:firstLine="0" w:firstLineChars="0"/>
              <w:jc w:val="center"/>
            </w:pPr>
            <w:r>
              <w:rPr>
                <w:rFonts w:hint="eastAsia"/>
              </w:rPr>
              <w:t>工程投资</w:t>
            </w:r>
          </w:p>
        </w:tc>
        <w:tc>
          <w:tcPr>
            <w:tcW w:w="1248" w:type="pct"/>
            <w:vAlign w:val="center"/>
          </w:tcPr>
          <w:p>
            <w:pPr>
              <w:pStyle w:val="2"/>
              <w:ind w:left="0" w:leftChars="0" w:firstLine="0" w:firstLineChars="0"/>
              <w:jc w:val="center"/>
            </w:pPr>
            <w:r>
              <w:t>857.88</w:t>
            </w:r>
            <w:r>
              <w:rPr>
                <w:rFonts w:hint="eastAsia"/>
              </w:rPr>
              <w:t>万元</w:t>
            </w:r>
          </w:p>
        </w:tc>
        <w:tc>
          <w:tcPr>
            <w:tcW w:w="1995" w:type="pct"/>
            <w:vAlign w:val="center"/>
          </w:tcPr>
          <w:p>
            <w:pPr>
              <w:pStyle w:val="2"/>
              <w:ind w:left="0" w:leftChars="0" w:firstLine="0" w:firstLineChars="0"/>
              <w:jc w:val="center"/>
            </w:pPr>
            <w:r>
              <w:rPr>
                <w:rFonts w:hint="eastAsia"/>
              </w:rPr>
              <w:t>1230.05万元</w:t>
            </w:r>
          </w:p>
        </w:tc>
        <w:tc>
          <w:tcPr>
            <w:tcW w:w="698" w:type="pct"/>
            <w:vAlign w:val="center"/>
          </w:tcPr>
          <w:p>
            <w:pPr>
              <w:pStyle w:val="2"/>
              <w:ind w:left="0" w:leftChars="0" w:firstLine="0" w:firstLineChars="0"/>
              <w:jc w:val="center"/>
            </w:pPr>
            <w:r>
              <w:rPr>
                <w:rFonts w:hint="eastAsia"/>
              </w:rPr>
              <w:t>方案一优</w:t>
            </w:r>
          </w:p>
        </w:tc>
      </w:tr>
    </w:tbl>
    <w:p>
      <w:pPr>
        <w:pStyle w:val="248"/>
        <w:ind w:firstLine="480"/>
      </w:pPr>
      <w:r>
        <w:rPr>
          <w:rFonts w:hint="eastAsia"/>
        </w:rPr>
        <w:t>由上表可知，从地质条件、环境影响及工程投资多方面考虑，方案一为最优方案。</w:t>
      </w:r>
    </w:p>
    <w:p>
      <w:pPr>
        <w:pStyle w:val="4"/>
      </w:pPr>
      <w:r>
        <w:rPr>
          <w:rFonts w:hint="eastAsia"/>
        </w:rPr>
        <w:t xml:space="preserve"> </w:t>
      </w:r>
      <w:bookmarkStart w:id="125" w:name="_Toc96680661"/>
      <w:r>
        <w:rPr>
          <w:rFonts w:hint="eastAsia"/>
        </w:rPr>
        <w:t>选线的环境可行性分析</w:t>
      </w:r>
      <w:bookmarkEnd w:id="125"/>
    </w:p>
    <w:p>
      <w:pPr>
        <w:wordWrap w:val="0"/>
        <w:ind w:firstLine="480"/>
        <w:rPr>
          <w:rFonts w:cs="Times New Roman"/>
        </w:rPr>
      </w:pPr>
      <w:r>
        <w:rPr>
          <w:rFonts w:cs="Times New Roman"/>
        </w:rPr>
        <w:t>本项目为管道建设工程，不涉及站场、阀室等的建设。</w:t>
      </w:r>
    </w:p>
    <w:p>
      <w:pPr>
        <w:wordWrap w:val="0"/>
        <w:ind w:firstLine="480"/>
        <w:rPr>
          <w:rFonts w:cs="Times New Roman"/>
        </w:rPr>
      </w:pPr>
      <w:r>
        <w:rPr>
          <w:rFonts w:cs="Times New Roman"/>
        </w:rPr>
        <w:t>管线均位于通江县涪阳镇境内，位于农村地区。</w:t>
      </w:r>
      <w:r>
        <w:rPr>
          <w:rFonts w:hint="eastAsia" w:cs="宋体"/>
          <w:kern w:val="0"/>
          <w:szCs w:val="24"/>
        </w:rPr>
        <w:t>项目建成后，将完成河巴线活水沟村滑坡段管线的隐患治理，恢复当地居民供气。</w:t>
      </w:r>
      <w:r>
        <w:rPr>
          <w:rFonts w:cs="Times New Roman"/>
        </w:rPr>
        <w:t>本项目部分建设范围内人类活动频繁，在项目沿线无明显的环境制约因素，主要是占用了林地、耕地等，对城镇建成区影响较小。本项目建成后，立即恢复原有地貌，对管道穿越地区影响甚小。且经过</w:t>
      </w:r>
      <w:r>
        <w:rPr>
          <w:rFonts w:hint="eastAsia"/>
        </w:rPr>
        <w:t>通江自然资源和规划局</w:t>
      </w:r>
      <w:r>
        <w:rPr>
          <w:rFonts w:cs="Times New Roman"/>
        </w:rPr>
        <w:t>核实，本项目位于城镇规划区外。</w:t>
      </w:r>
    </w:p>
    <w:p>
      <w:pPr>
        <w:pStyle w:val="214"/>
        <w:ind w:firstLine="480"/>
      </w:pPr>
      <w:r>
        <w:t>根据项目与基本农田位置关系图、土地利用现状图及项目与天然公益林位置关系图，项目区域主要为林地、耕地和居民点。项目选线已最大可能避让了基本农田，已尽可能减少对占用基本农田的影响。</w:t>
      </w:r>
    </w:p>
    <w:p>
      <w:pPr>
        <w:pStyle w:val="214"/>
        <w:ind w:firstLine="480"/>
      </w:pPr>
      <w:r>
        <w:t>综上，项目管道选线符合环保要求，选线方案可行。</w:t>
      </w:r>
    </w:p>
    <w:p>
      <w:pPr>
        <w:pStyle w:val="4"/>
      </w:pPr>
      <w:bookmarkStart w:id="126" w:name="_Toc89009648"/>
      <w:bookmarkStart w:id="127" w:name="_Toc3816"/>
      <w:r>
        <w:rPr>
          <w:rFonts w:hint="eastAsia"/>
        </w:rPr>
        <w:t xml:space="preserve"> </w:t>
      </w:r>
      <w:bookmarkStart w:id="128" w:name="_Toc96680662"/>
      <w:r>
        <w:rPr>
          <w:rFonts w:hint="eastAsia"/>
        </w:rPr>
        <w:t>环境保护目标的保护性</w:t>
      </w:r>
      <w:bookmarkEnd w:id="126"/>
      <w:bookmarkEnd w:id="127"/>
      <w:bookmarkEnd w:id="128"/>
    </w:p>
    <w:p>
      <w:pPr>
        <w:pStyle w:val="5"/>
      </w:pPr>
      <w:bookmarkStart w:id="129" w:name="_Toc3689"/>
      <w:bookmarkStart w:id="130" w:name="_Toc89009649"/>
      <w:r>
        <w:rPr>
          <w:rFonts w:hint="eastAsia"/>
        </w:rPr>
        <w:t xml:space="preserve"> </w:t>
      </w:r>
      <w:bookmarkStart w:id="131" w:name="_Toc96680663"/>
      <w:r>
        <w:rPr>
          <w:rFonts w:hint="eastAsia"/>
        </w:rPr>
        <w:t>对大气环境环保目标的保护性</w:t>
      </w:r>
      <w:bookmarkEnd w:id="129"/>
      <w:bookmarkEnd w:id="130"/>
      <w:bookmarkEnd w:id="131"/>
    </w:p>
    <w:p>
      <w:pPr>
        <w:ind w:firstLine="480"/>
        <w:rPr>
          <w:rFonts w:cs="宋体"/>
          <w:kern w:val="0"/>
          <w:szCs w:val="24"/>
        </w:rPr>
      </w:pPr>
      <w:r>
        <w:rPr>
          <w:rFonts w:hint="eastAsia" w:cs="宋体"/>
          <w:kern w:val="0"/>
          <w:szCs w:val="24"/>
        </w:rPr>
        <w:t>本项目管道正常运行期间不排放大气污染物，项目运营对大气环境保护目标影响轻微，对大气环境保护目标的影响属可接受范围。</w:t>
      </w:r>
    </w:p>
    <w:p>
      <w:pPr>
        <w:pStyle w:val="5"/>
      </w:pPr>
      <w:bookmarkStart w:id="132" w:name="_Toc23636"/>
      <w:bookmarkStart w:id="133" w:name="_Toc89009650"/>
      <w:r>
        <w:rPr>
          <w:rFonts w:hint="eastAsia"/>
        </w:rPr>
        <w:t xml:space="preserve"> </w:t>
      </w:r>
      <w:bookmarkStart w:id="134" w:name="_Toc96680664"/>
      <w:r>
        <w:rPr>
          <w:rFonts w:hint="eastAsia"/>
        </w:rPr>
        <w:t>对水环境环保目标的保护性</w:t>
      </w:r>
      <w:bookmarkEnd w:id="132"/>
      <w:bookmarkEnd w:id="133"/>
      <w:bookmarkEnd w:id="134"/>
    </w:p>
    <w:p>
      <w:pPr>
        <w:ind w:firstLine="480"/>
        <w:rPr>
          <w:rFonts w:cs="宋体"/>
          <w:kern w:val="0"/>
          <w:szCs w:val="24"/>
        </w:rPr>
      </w:pPr>
      <w:r>
        <w:rPr>
          <w:rFonts w:hint="eastAsia" w:cs="宋体"/>
          <w:kern w:val="0"/>
          <w:szCs w:val="24"/>
        </w:rPr>
        <w:t>本工程不涉及河流的穿跨越，施工期和运营期不外排废水至地表水体，不会对当地地表水产生影响。</w:t>
      </w:r>
    </w:p>
    <w:p>
      <w:pPr>
        <w:pStyle w:val="5"/>
      </w:pPr>
      <w:bookmarkStart w:id="135" w:name="_Toc20411"/>
      <w:bookmarkStart w:id="136" w:name="_Toc89009651"/>
      <w:r>
        <w:rPr>
          <w:rFonts w:hint="eastAsia"/>
        </w:rPr>
        <w:t xml:space="preserve"> </w:t>
      </w:r>
      <w:bookmarkStart w:id="137" w:name="_Toc96680665"/>
      <w:r>
        <w:rPr>
          <w:rFonts w:hint="eastAsia"/>
        </w:rPr>
        <w:t>对声环境环保目标的保护性</w:t>
      </w:r>
      <w:bookmarkEnd w:id="135"/>
      <w:bookmarkEnd w:id="136"/>
      <w:bookmarkEnd w:id="137"/>
    </w:p>
    <w:p>
      <w:pPr>
        <w:ind w:firstLine="480"/>
        <w:rPr>
          <w:rFonts w:cs="宋体"/>
          <w:kern w:val="0"/>
          <w:szCs w:val="24"/>
        </w:rPr>
      </w:pPr>
      <w:r>
        <w:rPr>
          <w:rFonts w:hint="eastAsia" w:cs="宋体"/>
          <w:kern w:val="0"/>
          <w:szCs w:val="24"/>
        </w:rPr>
        <w:t>项目天然气管道采用埋地敷设方式，在正常运行过程中天然气管道不会产生噪声污染。接口处的阀门等会因节流或流速改变造成部件的机械振动而产生一定噪声，其噪声值较低，对环境影响较小。</w:t>
      </w:r>
    </w:p>
    <w:p>
      <w:pPr>
        <w:ind w:firstLine="480"/>
        <w:rPr>
          <w:rFonts w:cs="宋体"/>
          <w:kern w:val="0"/>
          <w:szCs w:val="24"/>
        </w:rPr>
      </w:pPr>
      <w:r>
        <w:rPr>
          <w:rFonts w:hint="eastAsia" w:cs="宋体"/>
          <w:kern w:val="0"/>
          <w:szCs w:val="24"/>
        </w:rPr>
        <w:t>因此，项目的建设对声环境保护目标的影响属可接受范围。</w:t>
      </w:r>
    </w:p>
    <w:p>
      <w:pPr>
        <w:pStyle w:val="5"/>
      </w:pPr>
      <w:bookmarkStart w:id="138" w:name="_Toc22210"/>
      <w:bookmarkStart w:id="139" w:name="_Toc89009652"/>
      <w:r>
        <w:rPr>
          <w:rFonts w:hint="eastAsia"/>
        </w:rPr>
        <w:t xml:space="preserve"> </w:t>
      </w:r>
      <w:bookmarkStart w:id="140" w:name="_Toc96680666"/>
      <w:r>
        <w:rPr>
          <w:rFonts w:hint="eastAsia"/>
        </w:rPr>
        <w:t>对生态环境环保目标的保护性</w:t>
      </w:r>
      <w:bookmarkEnd w:id="138"/>
      <w:bookmarkEnd w:id="139"/>
      <w:bookmarkEnd w:id="140"/>
    </w:p>
    <w:p>
      <w:pPr>
        <w:ind w:firstLine="480"/>
        <w:rPr>
          <w:rFonts w:cs="宋体"/>
          <w:kern w:val="0"/>
          <w:szCs w:val="24"/>
        </w:rPr>
      </w:pPr>
      <w:r>
        <w:rPr>
          <w:rFonts w:hint="eastAsia" w:cs="宋体"/>
          <w:kern w:val="0"/>
          <w:szCs w:val="24"/>
        </w:rPr>
        <w:t>工程对生态环境的影响集中在施工期，随着项目水保及生态防护措施的落实，区域生态环境将逐步恢复至原状。</w:t>
      </w:r>
    </w:p>
    <w:p>
      <w:pPr>
        <w:ind w:firstLine="480"/>
        <w:rPr>
          <w:rFonts w:cs="宋体"/>
          <w:kern w:val="0"/>
          <w:szCs w:val="24"/>
        </w:rPr>
      </w:pPr>
      <w:r>
        <w:rPr>
          <w:rFonts w:hint="eastAsia" w:cs="宋体"/>
          <w:kern w:val="0"/>
          <w:szCs w:val="24"/>
        </w:rPr>
        <w:t>因此，项目的建设对生态环境保护目标的影响属可接受范围。</w:t>
      </w:r>
    </w:p>
    <w:p>
      <w:pPr>
        <w:pStyle w:val="4"/>
      </w:pPr>
      <w:bookmarkStart w:id="141" w:name="_Toc29671"/>
      <w:bookmarkStart w:id="142" w:name="_Toc89009653"/>
      <w:r>
        <w:rPr>
          <w:rFonts w:hint="eastAsia"/>
        </w:rPr>
        <w:t xml:space="preserve"> </w:t>
      </w:r>
      <w:bookmarkStart w:id="143" w:name="_Toc96680667"/>
      <w:r>
        <w:rPr>
          <w:rFonts w:hint="eastAsia"/>
        </w:rPr>
        <w:t>小结</w:t>
      </w:r>
      <w:bookmarkEnd w:id="141"/>
      <w:bookmarkEnd w:id="142"/>
      <w:bookmarkEnd w:id="143"/>
    </w:p>
    <w:p>
      <w:pPr>
        <w:ind w:firstLine="480"/>
      </w:pPr>
      <w:r>
        <w:rPr>
          <w:rFonts w:hint="eastAsia" w:cs="宋体"/>
          <w:kern w:val="0"/>
          <w:szCs w:val="24"/>
        </w:rPr>
        <w:t>从上述分析可知，本项目的选址、选线符合国家的相关法律法规，符合国家的产业政策和相关规划，项目建成后所在区域的环境功能不会发生大的改变，对环境敏感目标的影响属可接受的范围，本项目的选址、选线从环保角度认为可行。</w:t>
      </w:r>
    </w:p>
    <w:p>
      <w:pPr>
        <w:ind w:firstLine="480"/>
      </w:pPr>
    </w:p>
    <w:p>
      <w:pPr>
        <w:pStyle w:val="2"/>
        <w:ind w:left="900" w:hanging="420"/>
      </w:pPr>
    </w:p>
    <w:p>
      <w:pPr>
        <w:pStyle w:val="2"/>
        <w:ind w:left="900" w:hanging="420"/>
        <w:sectPr>
          <w:headerReference r:id="rId26" w:type="default"/>
          <w:pgSz w:w="11906" w:h="16838"/>
          <w:pgMar w:top="1440" w:right="1797" w:bottom="1440" w:left="1797" w:header="851" w:footer="794" w:gutter="0"/>
          <w:cols w:space="425" w:num="1"/>
          <w:docGrid w:type="lines" w:linePitch="326" w:charSpace="0"/>
        </w:sectPr>
      </w:pPr>
    </w:p>
    <w:p>
      <w:pPr>
        <w:pStyle w:val="3"/>
        <w:rPr>
          <w:rFonts w:cs="Times New Roman"/>
        </w:rPr>
      </w:pPr>
      <w:bookmarkStart w:id="144" w:name="_Toc89009654"/>
      <w:bookmarkStart w:id="145" w:name="_Toc96680668"/>
      <w:r>
        <w:rPr>
          <w:rFonts w:cs="Times New Roman"/>
        </w:rPr>
        <w:t>工程分析</w:t>
      </w:r>
      <w:bookmarkEnd w:id="144"/>
      <w:bookmarkEnd w:id="145"/>
    </w:p>
    <w:p>
      <w:pPr>
        <w:ind w:firstLine="480"/>
        <w:rPr>
          <w:rFonts w:cs="Times New Roman"/>
        </w:rPr>
      </w:pPr>
      <w:r>
        <w:rPr>
          <w:rFonts w:cs="Times New Roman"/>
        </w:rPr>
        <w:t>根据项目的工程特点，建设项目的环境影响因素可分为施工期和营运期两个阶段。工程施工期的主要工程活动是开挖管沟、敷设管道、覆土回填，营运期主要工程活动为天然气输送。</w:t>
      </w:r>
    </w:p>
    <w:p>
      <w:pPr>
        <w:pStyle w:val="4"/>
        <w:rPr>
          <w:rFonts w:cs="Times New Roman"/>
        </w:rPr>
      </w:pPr>
      <w:bookmarkStart w:id="146" w:name="_Toc89009655"/>
      <w:r>
        <w:rPr>
          <w:rFonts w:hint="eastAsia" w:cs="Times New Roman"/>
        </w:rPr>
        <w:t xml:space="preserve"> </w:t>
      </w:r>
      <w:bookmarkStart w:id="147" w:name="_Toc96680669"/>
      <w:r>
        <w:rPr>
          <w:rFonts w:hint="eastAsia" w:cs="Times New Roman"/>
        </w:rPr>
        <w:t>施工期</w:t>
      </w:r>
      <w:bookmarkEnd w:id="146"/>
      <w:r>
        <w:rPr>
          <w:rFonts w:hint="eastAsia" w:cs="Times New Roman"/>
        </w:rPr>
        <w:t>工艺流程及产污</w:t>
      </w:r>
      <w:r>
        <w:rPr>
          <w:rFonts w:cs="Times New Roman"/>
        </w:rPr>
        <w:t>分析</w:t>
      </w:r>
      <w:bookmarkEnd w:id="147"/>
    </w:p>
    <w:p>
      <w:pPr>
        <w:pStyle w:val="5"/>
        <w:rPr>
          <w:rFonts w:cs="Times New Roman"/>
        </w:rPr>
      </w:pPr>
      <w:bookmarkStart w:id="148" w:name="_Toc89009656"/>
      <w:r>
        <w:rPr>
          <w:rFonts w:hint="eastAsia" w:cs="Times New Roman"/>
        </w:rPr>
        <w:t xml:space="preserve"> </w:t>
      </w:r>
      <w:bookmarkStart w:id="149" w:name="_Toc96680670"/>
      <w:r>
        <w:rPr>
          <w:rFonts w:cs="Times New Roman"/>
        </w:rPr>
        <w:t>施工期主要工艺</w:t>
      </w:r>
      <w:bookmarkEnd w:id="148"/>
      <w:bookmarkEnd w:id="149"/>
    </w:p>
    <w:p>
      <w:pPr>
        <w:ind w:firstLine="480"/>
      </w:pPr>
      <w:r>
        <w:rPr>
          <w:rFonts w:cs="Times New Roman"/>
        </w:rPr>
        <w:t>施工期根据工程特点，本工程管线主要采用直埋敷设、挖沟穿越公路等施工工艺。结合沿线地形地貌特征，为最大限度的降低工程建设对生态环境的影响，一般区域具体机械施工条件的地方采用人工和机械相结合的作业方式，不能采用机械施工的区域采用人工开挖。</w:t>
      </w:r>
      <w:r>
        <w:t>项目管道施工工艺流程及产污情况详见下图：</w:t>
      </w:r>
    </w:p>
    <w:p>
      <w:pPr>
        <w:pStyle w:val="56"/>
      </w:pPr>
      <w:r>
        <w:object>
          <v:shape id="_x0000_i1026" o:spt="75" type="#_x0000_t75" style="height:356.85pt;width:334.95pt;" o:ole="t" filled="f" coordsize="21600,21600">
            <v:path/>
            <v:fill on="f" focussize="0,0"/>
            <v:stroke/>
            <v:imagedata r:id="rId51" o:title=""/>
            <o:lock v:ext="edit" aspectratio="t"/>
            <w10:wrap type="none"/>
            <w10:anchorlock/>
          </v:shape>
          <o:OLEObject Type="Embed" ProgID="Visio.Drawing.15" ShapeID="_x0000_i1026" DrawAspect="Content" ObjectID="_1468075726" r:id="rId50">
            <o:LockedField>false</o:LockedField>
          </o:OLEObject>
        </w:object>
      </w:r>
    </w:p>
    <w:p>
      <w:pPr>
        <w:pStyle w:val="73"/>
        <w:rPr>
          <w:rFonts w:cs="Times New Roman"/>
        </w:rPr>
      </w:pPr>
      <w:r>
        <w:rPr>
          <w:rFonts w:cs="Times New Roman"/>
        </w:rPr>
        <w:t>图</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4.1</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2 </w:instrText>
      </w:r>
      <w:r>
        <w:rPr>
          <w:rFonts w:cs="Times New Roman"/>
        </w:rPr>
        <w:fldChar w:fldCharType="separate"/>
      </w:r>
      <w:r>
        <w:rPr>
          <w:rFonts w:cs="Times New Roman"/>
        </w:rPr>
        <w:t>1</w:t>
      </w:r>
      <w:r>
        <w:rPr>
          <w:rFonts w:cs="Times New Roman"/>
        </w:rPr>
        <w:fldChar w:fldCharType="end"/>
      </w:r>
      <w:r>
        <w:rPr>
          <w:rFonts w:cs="Times New Roman"/>
        </w:rPr>
        <w:t xml:space="preserve">  项目施工期工艺流程及产污位置图</w:t>
      </w:r>
    </w:p>
    <w:p>
      <w:pPr>
        <w:ind w:firstLine="482"/>
        <w:rPr>
          <w:rFonts w:cs="Times New Roman"/>
          <w:b/>
          <w:bCs/>
        </w:rPr>
      </w:pPr>
      <w:r>
        <w:rPr>
          <w:rFonts w:cs="Times New Roman"/>
          <w:b/>
          <w:bCs/>
        </w:rPr>
        <w:t>（1）施工作业带清理平整或</w:t>
      </w:r>
      <w:r>
        <w:rPr>
          <w:rFonts w:hint="eastAsia" w:cs="Times New Roman"/>
          <w:b/>
          <w:bCs/>
        </w:rPr>
        <w:t>修整</w:t>
      </w:r>
      <w:r>
        <w:rPr>
          <w:rFonts w:cs="Times New Roman"/>
          <w:b/>
          <w:bCs/>
        </w:rPr>
        <w:t>施工便道</w:t>
      </w:r>
    </w:p>
    <w:p>
      <w:pPr>
        <w:ind w:firstLine="480"/>
        <w:rPr>
          <w:rFonts w:cs="Times New Roman"/>
        </w:rPr>
      </w:pPr>
      <w:r>
        <w:rPr>
          <w:rFonts w:cs="Times New Roman"/>
        </w:rPr>
        <w:t>首先要对施工作业带进行清理和平整，并修</w:t>
      </w:r>
      <w:r>
        <w:rPr>
          <w:rFonts w:hint="eastAsia" w:cs="Times New Roman"/>
        </w:rPr>
        <w:t>整</w:t>
      </w:r>
      <w:r>
        <w:rPr>
          <w:rFonts w:cs="Times New Roman"/>
        </w:rPr>
        <w:t>必要的施工道路，以便施工人员、车辆和机械设备通行。本工程施工作业带宽度为12m，以减少施工占地</w:t>
      </w:r>
      <w:r>
        <w:rPr>
          <w:rFonts w:hint="eastAsia"/>
        </w:rPr>
        <w:t>，应严格控制管道施工作业带宽度</w:t>
      </w:r>
      <w:r>
        <w:rPr>
          <w:rFonts w:cs="Times New Roman"/>
        </w:rPr>
        <w:t>。管路沿线新建施工便道。一般采用机械化施工方式，由推土机进行清理，特殊地段由人工完成。</w:t>
      </w:r>
    </w:p>
    <w:p>
      <w:pPr>
        <w:ind w:firstLine="482"/>
        <w:rPr>
          <w:rFonts w:cs="Times New Roman"/>
          <w:b/>
          <w:bCs/>
        </w:rPr>
      </w:pPr>
      <w:r>
        <w:rPr>
          <w:rFonts w:cs="Times New Roman"/>
          <w:b/>
          <w:bCs/>
        </w:rPr>
        <w:t>（2）开挖管沟</w:t>
      </w:r>
    </w:p>
    <w:p>
      <w:pPr>
        <w:ind w:firstLine="480"/>
        <w:rPr>
          <w:rFonts w:cs="Times New Roman"/>
        </w:rPr>
      </w:pPr>
      <w:r>
        <w:rPr>
          <w:rFonts w:cs="Times New Roman"/>
        </w:rPr>
        <w:t>在地势平坦、交通便利等可利用机械作业的地段，管沟的挖掘一般由挖掘机来完成，在特殊地段由人工开挖完成。依据管道的直径、管道的固定方法、当地的地质条件等确定管沟的开挖参数。管沟的宽度为管径和加宽余量之和。挖出来的土石方暂时堆放到焊接施工对面一侧供后续回填。一般线路段管道设计埋设深度为管顶覆土1.2m。</w:t>
      </w:r>
    </w:p>
    <w:p>
      <w:pPr>
        <w:ind w:firstLine="482"/>
        <w:rPr>
          <w:rFonts w:cs="Times New Roman"/>
          <w:b/>
          <w:bCs/>
        </w:rPr>
      </w:pPr>
      <w:r>
        <w:rPr>
          <w:rFonts w:cs="Times New Roman"/>
          <w:b/>
          <w:bCs/>
        </w:rPr>
        <w:t>（3）</w:t>
      </w:r>
      <w:r>
        <w:rPr>
          <w:rFonts w:hint="eastAsia" w:cs="Times New Roman"/>
          <w:b/>
          <w:bCs/>
        </w:rPr>
        <w:t>管道组</w:t>
      </w:r>
      <w:r>
        <w:rPr>
          <w:rFonts w:cs="Times New Roman"/>
          <w:b/>
          <w:bCs/>
        </w:rPr>
        <w:t>焊</w:t>
      </w:r>
    </w:p>
    <w:p>
      <w:pPr>
        <w:ind w:firstLine="480"/>
      </w:pPr>
      <w:r>
        <w:rPr>
          <w:rFonts w:cs="Times New Roman"/>
        </w:rPr>
        <w:t>用运输车辆和起重设备进行管材的卸车、搬运和布管，然后进行</w:t>
      </w:r>
      <w:r>
        <w:rPr>
          <w:rFonts w:ascii="宋体" w:hAnsi="宋体" w:cs="Times New Roman"/>
        </w:rPr>
        <w:t>组装焊接新管线</w:t>
      </w:r>
    </w:p>
    <w:p>
      <w:pPr>
        <w:ind w:firstLine="482"/>
        <w:rPr>
          <w:rFonts w:cs="Times New Roman"/>
          <w:b/>
          <w:bCs/>
        </w:rPr>
      </w:pPr>
      <w:r>
        <w:rPr>
          <w:rFonts w:cs="Times New Roman"/>
          <w:b/>
          <w:bCs/>
        </w:rPr>
        <w:t>（</w:t>
      </w:r>
      <w:r>
        <w:rPr>
          <w:rFonts w:hint="eastAsia" w:cs="Times New Roman"/>
          <w:b/>
          <w:bCs/>
        </w:rPr>
        <w:t>4</w:t>
      </w:r>
      <w:r>
        <w:rPr>
          <w:rFonts w:cs="Times New Roman"/>
          <w:b/>
          <w:bCs/>
        </w:rPr>
        <w:t>）</w:t>
      </w:r>
      <w:r>
        <w:rPr>
          <w:rFonts w:hint="eastAsia" w:cs="Times New Roman"/>
          <w:b/>
          <w:bCs/>
        </w:rPr>
        <w:t>下</w:t>
      </w:r>
      <w:r>
        <w:rPr>
          <w:rFonts w:cs="Times New Roman"/>
          <w:b/>
          <w:bCs/>
        </w:rPr>
        <w:t>管入沟</w:t>
      </w:r>
      <w:r>
        <w:rPr>
          <w:rFonts w:hint="eastAsia" w:cs="Times New Roman"/>
          <w:b/>
          <w:bCs/>
        </w:rPr>
        <w:t>、</w:t>
      </w:r>
      <w:r>
        <w:rPr>
          <w:rFonts w:cs="Times New Roman"/>
          <w:b/>
          <w:bCs/>
        </w:rPr>
        <w:t>布管、焊接和防腐</w:t>
      </w:r>
    </w:p>
    <w:p>
      <w:pPr>
        <w:ind w:firstLine="480"/>
        <w:rPr>
          <w:rFonts w:cs="Times New Roman"/>
        </w:rPr>
      </w:pPr>
      <w:r>
        <w:rPr>
          <w:rFonts w:cs="Times New Roman"/>
        </w:rPr>
        <w:t>在管道下沟之前，首先进行管沟的清理工作，去除石块，在石方段还要铺垫细纱土，然后将管道吊起下沟。然后进行管子检查、刷管、对口、焊接、焊口检查的辅管作业。管道的防腐一般在委托的加工工厂内完成，现场需要进行涂层的检查和修补及接口防腐等工作。</w:t>
      </w:r>
    </w:p>
    <w:p>
      <w:pPr>
        <w:ind w:firstLine="482"/>
        <w:rPr>
          <w:rFonts w:cs="Times New Roman"/>
          <w:b/>
          <w:bCs/>
        </w:rPr>
      </w:pPr>
      <w:r>
        <w:rPr>
          <w:rFonts w:cs="Times New Roman"/>
          <w:b/>
          <w:bCs/>
        </w:rPr>
        <w:t>（5）管沟回填</w:t>
      </w:r>
    </w:p>
    <w:p>
      <w:pPr>
        <w:ind w:firstLine="480"/>
        <w:rPr>
          <w:rFonts w:cs="Times New Roman"/>
        </w:rPr>
      </w:pPr>
      <w:r>
        <w:rPr>
          <w:rFonts w:cs="Times New Roman"/>
        </w:rPr>
        <w:t>管沟的回填包括管沟回填和肥土层恢复，采用机械设备进行回填，恢复施工带的地形、地貌，减少对农业耕地的影响。管顶覆细土达0.3m后再以原状土回填，回填土需超过自然地面至少0.3m。在管沟的回填过程中，严格按照回填操作规范进行，以避免在回填操作过程中破坏管道的绝缘防腐层，留下事故隐患。</w:t>
      </w:r>
    </w:p>
    <w:p>
      <w:pPr>
        <w:ind w:firstLine="482"/>
        <w:rPr>
          <w:rFonts w:cs="Times New Roman"/>
          <w:b/>
          <w:bCs/>
        </w:rPr>
      </w:pPr>
      <w:r>
        <w:rPr>
          <w:rFonts w:cs="Times New Roman"/>
          <w:b/>
          <w:bCs/>
        </w:rPr>
        <w:t>（6）清管、测径及试压</w:t>
      </w:r>
    </w:p>
    <w:p>
      <w:pPr>
        <w:ind w:firstLine="480"/>
        <w:rPr>
          <w:rFonts w:cs="Times New Roman"/>
        </w:rPr>
      </w:pPr>
      <w:r>
        <w:rPr>
          <w:rFonts w:cs="Times New Roman"/>
        </w:rPr>
        <w:t>为确保管道安全和合格，埋地管道要进行分段清管、测径和试压。清管和测径先后进行合格后再进行试压工作。清管和测径均采用清管器，使用压缩空气推动清管器。清管和测径结束后进行分段试压，试压介质优先采用清洁水。管线试压严格按相关规范执行。</w:t>
      </w:r>
    </w:p>
    <w:p>
      <w:pPr>
        <w:ind w:firstLine="482"/>
        <w:rPr>
          <w:rFonts w:cs="Times New Roman"/>
          <w:b/>
          <w:bCs/>
        </w:rPr>
      </w:pPr>
      <w:r>
        <w:rPr>
          <w:rFonts w:hint="eastAsia" w:cs="Times New Roman"/>
          <w:b/>
          <w:bCs/>
        </w:rPr>
        <w:t>（</w:t>
      </w:r>
      <w:r>
        <w:rPr>
          <w:rFonts w:cs="Times New Roman"/>
          <w:b/>
          <w:bCs/>
        </w:rPr>
        <w:t>7</w:t>
      </w:r>
      <w:r>
        <w:rPr>
          <w:rFonts w:hint="eastAsia" w:cs="Times New Roman"/>
          <w:b/>
          <w:bCs/>
        </w:rPr>
        <w:t>）旧管线处理、临时管线拆除回收</w:t>
      </w:r>
    </w:p>
    <w:p>
      <w:pPr>
        <w:ind w:firstLine="480"/>
        <w:rPr>
          <w:rFonts w:cs="Times New Roman"/>
        </w:rPr>
      </w:pPr>
      <w:r>
        <w:rPr>
          <w:rFonts w:hint="eastAsia" w:cs="Times New Roman"/>
        </w:rPr>
        <w:t>对原废弃段管线进行无害化弃置处理，包括废弃管段清理和注氮封堵。</w:t>
      </w:r>
      <w:r>
        <w:rPr>
          <w:rFonts w:hint="eastAsia" w:ascii="宋体" w:hAnsi="宋体" w:cs="宋体"/>
          <w:kern w:val="0"/>
          <w:szCs w:val="24"/>
        </w:rPr>
        <w:t>根据现场踏勘，原管道周边环境主要为基本农田及荒地，为避免已废弃输气管道产生安全隐患，氮气封堵进行处理，完成后原土回填</w:t>
      </w:r>
      <w:r>
        <w:rPr>
          <w:rFonts w:hint="eastAsia" w:cs="Times New Roman"/>
        </w:rPr>
        <w:t>。</w:t>
      </w:r>
    </w:p>
    <w:p>
      <w:pPr>
        <w:ind w:firstLine="480"/>
        <w:rPr>
          <w:rFonts w:cs="Times New Roman"/>
        </w:rPr>
      </w:pPr>
      <w:r>
        <w:rPr>
          <w:rFonts w:hint="eastAsia" w:cs="Times New Roman"/>
        </w:rPr>
        <w:t xml:space="preserve">对临时管道和视频监控系统进行拆除回收。 </w:t>
      </w:r>
    </w:p>
    <w:p>
      <w:pPr>
        <w:pStyle w:val="6"/>
        <w:jc w:val="both"/>
        <w:rPr>
          <w:rFonts w:cs="Times New Roman"/>
        </w:rPr>
      </w:pPr>
      <w:r>
        <w:rPr>
          <w:rFonts w:hint="eastAsia" w:cs="Times New Roman"/>
        </w:rPr>
        <w:t xml:space="preserve"> </w:t>
      </w:r>
      <w:r>
        <w:rPr>
          <w:rFonts w:cs="Times New Roman"/>
        </w:rPr>
        <w:t>施工组织方案</w:t>
      </w:r>
    </w:p>
    <w:p>
      <w:pPr>
        <w:ind w:firstLine="480"/>
        <w:rPr>
          <w:rFonts w:cs="Times New Roman"/>
        </w:rPr>
      </w:pPr>
      <w:r>
        <w:rPr>
          <w:rFonts w:cs="Times New Roman"/>
        </w:rPr>
        <w:t>为减少管道施工对环境的影响，项目采用分段开挖、分段回填、分段施工的组织方案。由于本项目现属于初设阶段，具体的施工组织方案将由专业的天然气管道施工单位在施工前进行详细的编制。</w:t>
      </w:r>
    </w:p>
    <w:p>
      <w:pPr>
        <w:ind w:firstLine="480"/>
        <w:rPr>
          <w:rFonts w:cs="Times New Roman"/>
        </w:rPr>
      </w:pPr>
      <w:r>
        <w:rPr>
          <w:rFonts w:cs="Times New Roman"/>
        </w:rPr>
        <w:t>本项目施工现场不设置施工营地，均租住当地农户或旅馆，施工现场根据实际情况设置移动式厕所，此部分生活污水经与附近农户协商，用作农肥，不外排。因此，本次环评要求施工单位在施工过程中严格按照环评及其批复的要求进行文明施工，减少对环境造成的影响，要求加强对施工单位的监管，避免生活污水生活垃圾等的乱排乱放。</w:t>
      </w:r>
    </w:p>
    <w:p>
      <w:pPr>
        <w:pStyle w:val="6"/>
        <w:jc w:val="both"/>
        <w:rPr>
          <w:rFonts w:cs="Times New Roman"/>
        </w:rPr>
      </w:pPr>
      <w:r>
        <w:rPr>
          <w:rFonts w:hint="eastAsia" w:cs="Times New Roman"/>
        </w:rPr>
        <w:t xml:space="preserve"> </w:t>
      </w:r>
      <w:r>
        <w:rPr>
          <w:rFonts w:cs="Times New Roman"/>
        </w:rPr>
        <w:t>管道敷设</w:t>
      </w:r>
    </w:p>
    <w:p>
      <w:pPr>
        <w:ind w:firstLine="480"/>
        <w:rPr>
          <w:rFonts w:cs="Times New Roman"/>
          <w:kern w:val="0"/>
          <w:szCs w:val="24"/>
        </w:rPr>
      </w:pPr>
      <w:r>
        <w:rPr>
          <w:rFonts w:cs="Times New Roman"/>
          <w:kern w:val="0"/>
          <w:szCs w:val="24"/>
        </w:rPr>
        <w:t>本项目管道敷设应严格按照《油气长输管道工程施工及验收规范》（GB50369-2014）、《油气输送管道穿越工程施工规范》（GB50424-2015）等相关规范和标准执行。</w:t>
      </w:r>
    </w:p>
    <w:p>
      <w:pPr>
        <w:ind w:firstLine="482"/>
        <w:rPr>
          <w:rFonts w:cs="Times New Roman"/>
          <w:b/>
        </w:rPr>
      </w:pPr>
      <w:r>
        <w:rPr>
          <w:rFonts w:hint="eastAsia" w:cs="Times New Roman"/>
          <w:b/>
        </w:rPr>
        <w:t>（1）一般地段敷设</w:t>
      </w:r>
    </w:p>
    <w:p>
      <w:pPr>
        <w:ind w:firstLine="480"/>
      </w:pPr>
      <w:r>
        <w:rPr>
          <w:rFonts w:cs="Times New Roman"/>
        </w:rPr>
        <w:t>1</w:t>
      </w:r>
      <w:r>
        <w:rPr>
          <w:rFonts w:hint="eastAsia"/>
        </w:rPr>
        <w:t>）对于一般地段管顶覆土深度不小于</w:t>
      </w:r>
      <w:r>
        <w:rPr>
          <w:rFonts w:cs="Times New Roman"/>
        </w:rPr>
        <w:t>1.2m</w:t>
      </w:r>
      <w:r>
        <w:rPr>
          <w:rFonts w:hint="eastAsia"/>
        </w:rPr>
        <w:t xml:space="preserve">。 </w:t>
      </w:r>
    </w:p>
    <w:p>
      <w:pPr>
        <w:ind w:firstLine="480"/>
      </w:pPr>
      <w:r>
        <w:rPr>
          <w:rFonts w:cs="Times New Roman"/>
        </w:rPr>
        <w:t>2</w:t>
      </w:r>
      <w:r>
        <w:rPr>
          <w:rFonts w:hint="eastAsia"/>
        </w:rPr>
        <w:t>）石方、砾石地段管底应超挖</w:t>
      </w:r>
      <w:r>
        <w:rPr>
          <w:rFonts w:cs="Times New Roman"/>
        </w:rPr>
        <w:t>0.3m</w:t>
      </w:r>
      <w:r>
        <w:rPr>
          <w:rFonts w:hint="eastAsia"/>
        </w:rPr>
        <w:t>，并回填细土至管顶以上</w:t>
      </w:r>
      <w:r>
        <w:rPr>
          <w:rFonts w:cs="Times New Roman"/>
        </w:rPr>
        <w:t>0.3m</w:t>
      </w:r>
      <w:r>
        <w:rPr>
          <w:rFonts w:hint="eastAsia"/>
        </w:rPr>
        <w:t xml:space="preserve">； </w:t>
      </w:r>
    </w:p>
    <w:p>
      <w:pPr>
        <w:ind w:firstLine="480"/>
      </w:pPr>
      <w:r>
        <w:rPr>
          <w:rFonts w:cs="Times New Roman"/>
        </w:rPr>
        <w:t>3</w:t>
      </w:r>
      <w:r>
        <w:rPr>
          <w:rFonts w:hint="eastAsia"/>
        </w:rPr>
        <w:t xml:space="preserve">）对地下水位高于设计埋深段，设计采取必要的稳管措施，管沟底宽和边坡按不同地段的地质条件及焊接方式确定； </w:t>
      </w:r>
    </w:p>
    <w:p>
      <w:pPr>
        <w:ind w:firstLine="480"/>
      </w:pPr>
      <w:r>
        <w:rPr>
          <w:rFonts w:cs="Times New Roman"/>
        </w:rPr>
        <w:t>4</w:t>
      </w:r>
      <w:r>
        <w:rPr>
          <w:rFonts w:hint="eastAsia"/>
        </w:rPr>
        <w:t>）对无最大冲刷深度资料的小型穿越（包括河流、沟渠）的穿越段，管顶埋深应根据河底坡降和汇水条件、地质条件进行分析确定。为确保安全，应适当加大管道埋深，且满足《油气输送管道穿越工程设计规范》</w:t>
      </w:r>
      <w:r>
        <w:rPr>
          <w:rFonts w:cs="Times New Roman"/>
        </w:rPr>
        <w:t>GB 50423-2013</w:t>
      </w:r>
      <w:r>
        <w:rPr>
          <w:rFonts w:hint="eastAsia"/>
        </w:rPr>
        <w:t xml:space="preserve">要求； </w:t>
      </w:r>
    </w:p>
    <w:p>
      <w:pPr>
        <w:ind w:firstLine="480"/>
      </w:pPr>
      <w:r>
        <w:rPr>
          <w:rFonts w:cs="Times New Roman"/>
        </w:rPr>
        <w:t>5</w:t>
      </w:r>
      <w:r>
        <w:rPr>
          <w:rFonts w:hint="eastAsia"/>
        </w:rPr>
        <w:t xml:space="preserve">）回填后将地貌恢复原貌，特别是在耕作区，表层的熟土在管沟开挖时应单独堆放，管沟回填时将其覆盖在表层，保护宝贵的表层熟土，不影响地表的农业耕作；管道的施工应选择在旱季，以减小施工难度，加快施工的进度； </w:t>
      </w:r>
    </w:p>
    <w:p>
      <w:pPr>
        <w:ind w:firstLine="480"/>
        <w:rPr>
          <w:rFonts w:cs="Times New Roman"/>
          <w:b/>
          <w:szCs w:val="22"/>
        </w:rPr>
      </w:pPr>
      <w:r>
        <w:rPr>
          <w:rFonts w:cs="Times New Roman"/>
        </w:rPr>
        <w:t>6</w:t>
      </w:r>
      <w:r>
        <w:rPr>
          <w:rFonts w:hint="eastAsia"/>
        </w:rPr>
        <w:t>）对于特殊地质地段，应根据相应的地质条件，应适当加大管道埋深或采用非开挖穿越方式。</w:t>
      </w:r>
    </w:p>
    <w:p>
      <w:pPr>
        <w:ind w:firstLine="480"/>
        <w:rPr>
          <w:rFonts w:cs="Times New Roman"/>
          <w:szCs w:val="22"/>
        </w:rPr>
      </w:pPr>
      <w:r>
        <w:rPr>
          <w:rFonts w:hint="eastAsia"/>
        </w:rPr>
        <w:t>7）本工程采用沟下手工电弧焊，岩石沟底加宽余量平均取</w:t>
      </w:r>
      <w:r>
        <w:rPr>
          <w:rFonts w:cs="Times New Roman"/>
        </w:rPr>
        <w:t>1m</w:t>
      </w:r>
      <w:r>
        <w:rPr>
          <w:rFonts w:hint="eastAsia"/>
        </w:rPr>
        <w:t>。管径</w:t>
      </w:r>
      <w:r>
        <w:rPr>
          <w:rFonts w:cs="Times New Roman"/>
        </w:rPr>
        <w:t>D273</w:t>
      </w:r>
      <w:r>
        <w:rPr>
          <w:rFonts w:hint="eastAsia"/>
        </w:rPr>
        <w:t>，管沟底部宽度取</w:t>
      </w:r>
      <w:r>
        <w:rPr>
          <w:rFonts w:cs="Times New Roman"/>
        </w:rPr>
        <w:t>1.3m</w:t>
      </w:r>
      <w:r>
        <w:rPr>
          <w:rFonts w:hint="eastAsia"/>
        </w:rPr>
        <w:t>，坡比选取</w:t>
      </w:r>
      <w:r>
        <w:rPr>
          <w:rFonts w:cs="Times New Roman"/>
        </w:rPr>
        <w:t>0.5</w:t>
      </w:r>
      <w:r>
        <w:rPr>
          <w:rFonts w:hint="eastAsia"/>
        </w:rPr>
        <w:t>。</w:t>
      </w:r>
    </w:p>
    <w:p>
      <w:pPr>
        <w:ind w:firstLine="480"/>
        <w:rPr>
          <w:rFonts w:ascii="宋体" w:hAnsi="宋体" w:cs="宋体"/>
          <w:kern w:val="0"/>
          <w:szCs w:val="24"/>
        </w:rPr>
      </w:pPr>
      <w:r>
        <w:rPr>
          <w:rFonts w:hint="eastAsia" w:cs="Times New Roman"/>
          <w:szCs w:val="22"/>
        </w:rPr>
        <w:t>8）</w:t>
      </w:r>
      <w:r>
        <w:rPr>
          <w:rFonts w:hint="eastAsia" w:ascii="宋体" w:hAnsi="宋体" w:cs="宋体"/>
          <w:kern w:val="0"/>
          <w:szCs w:val="24"/>
        </w:rPr>
        <w:t>结合同类项目实际施工经验，确定本项目输气管道施工作业带，旱地宽度</w:t>
      </w:r>
      <w:r>
        <w:rPr>
          <w:rFonts w:cs="Times New Roman"/>
          <w:kern w:val="0"/>
          <w:szCs w:val="24"/>
        </w:rPr>
        <w:t>12m</w:t>
      </w:r>
      <w:r>
        <w:rPr>
          <w:rFonts w:hint="eastAsia" w:ascii="宋体" w:hAnsi="宋体" w:cs="宋体"/>
          <w:kern w:val="0"/>
          <w:szCs w:val="24"/>
        </w:rPr>
        <w:t>，林地及经济作物宽度</w:t>
      </w:r>
      <w:r>
        <w:rPr>
          <w:rFonts w:cs="Times New Roman"/>
          <w:kern w:val="0"/>
          <w:szCs w:val="24"/>
        </w:rPr>
        <w:t>10m</w:t>
      </w:r>
      <w:r>
        <w:rPr>
          <w:rFonts w:hint="eastAsia" w:ascii="宋体" w:hAnsi="宋体" w:cs="宋体"/>
          <w:kern w:val="0"/>
          <w:szCs w:val="24"/>
        </w:rPr>
        <w:t>。</w:t>
      </w:r>
    </w:p>
    <w:p>
      <w:pPr>
        <w:ind w:firstLine="480"/>
        <w:rPr>
          <w:rFonts w:ascii="宋体" w:hAnsi="宋体" w:cs="宋体"/>
          <w:kern w:val="0"/>
          <w:szCs w:val="24"/>
        </w:rPr>
      </w:pPr>
      <w:r>
        <w:rPr>
          <w:rFonts w:hint="eastAsia"/>
        </w:rPr>
        <w:t>9）在施工作业带范围内，对于影响施工机具通行或施工作业的石块、杂草、树木应清理干净，沟、坎应予平整，有积水的地势低洼段应排水填平。作业带清理、平整时，应注意对农田、苗木、植被及其配套设施的保护，减少或防止产生水土流失，应尽量减少破坏地表植被；</w:t>
      </w:r>
      <w:r>
        <w:rPr>
          <w:rFonts w:hint="eastAsia" w:ascii="宋体" w:hAnsi="宋体" w:cs="宋体"/>
          <w:kern w:val="0"/>
          <w:szCs w:val="24"/>
        </w:rPr>
        <w:t>为节省占地，应严格控制管道施工作业带宽度。根据不同的地形、地貌情况，采用不同的组焊、下沟方式。</w:t>
      </w:r>
    </w:p>
    <w:p>
      <w:pPr>
        <w:pStyle w:val="214"/>
        <w:ind w:firstLine="480"/>
      </w:pPr>
      <w:r>
        <w:rPr>
          <w:rFonts w:hint="eastAsia"/>
        </w:rPr>
        <w:t>10）在耕作区开挖管沟时，应将表层耕作土与下层土分别堆放。下层土放置在靠近管沟一侧。</w:t>
      </w:r>
    </w:p>
    <w:p>
      <w:pPr>
        <w:pStyle w:val="214"/>
        <w:ind w:firstLine="420"/>
      </w:pPr>
      <w:r>
        <w:rPr>
          <w:rFonts w:hint="eastAsia"/>
          <w:sz w:val="21"/>
        </w:rPr>
        <w:t>11）</w:t>
      </w:r>
      <w:r>
        <w:rPr>
          <w:rFonts w:hint="eastAsia"/>
        </w:rPr>
        <w:t>管道下沟前，</w:t>
      </w:r>
      <w:r>
        <w:rPr>
          <w:rFonts w:hint="eastAsia" w:ascii="宋体" w:hAnsi="宋体" w:cs="宋体"/>
        </w:rPr>
        <w:t>应检查管沟的深度、标高和断面尺寸，并应符合设计要求。对管体防腐层应用高压电火花检漏仪进行</w:t>
      </w:r>
      <w:r>
        <w:t>100%</w:t>
      </w:r>
      <w:r>
        <w:rPr>
          <w:rFonts w:hint="eastAsia" w:ascii="宋体" w:hAnsi="宋体" w:cs="宋体"/>
        </w:rPr>
        <w:t>检查，检漏电压</w:t>
      </w:r>
      <w:r>
        <w:t>15kV</w:t>
      </w:r>
      <w:r>
        <w:rPr>
          <w:rFonts w:hint="eastAsia" w:ascii="宋体" w:hAnsi="宋体" w:cs="宋体"/>
        </w:rPr>
        <w:t>，如有破损和针孔应及时修补。冬季施工时，下沟应选择在晴天中午气温较高时。</w:t>
      </w:r>
      <w:r>
        <w:rPr>
          <w:rFonts w:hint="eastAsia"/>
        </w:rPr>
        <w:t>石方地段管沟，应预先在沟底垫</w:t>
      </w:r>
      <w:r>
        <w:t>300mm</w:t>
      </w:r>
      <w:r>
        <w:rPr>
          <w:rFonts w:hint="eastAsia"/>
        </w:rPr>
        <w:t>厚细土，细土的最大粒径不应大于</w:t>
      </w:r>
      <w:r>
        <w:t>20mm</w:t>
      </w:r>
      <w:r>
        <w:rPr>
          <w:rFonts w:hint="eastAsia"/>
        </w:rPr>
        <w:t>。</w:t>
      </w:r>
    </w:p>
    <w:p>
      <w:pPr>
        <w:ind w:firstLine="480"/>
      </w:pPr>
      <w:r>
        <w:rPr>
          <w:rFonts w:hint="eastAsia"/>
        </w:rPr>
        <w:t>12）管道下沟后应及时进行管沟回填，</w:t>
      </w:r>
      <w:r>
        <w:rPr>
          <w:rFonts w:hint="eastAsia" w:ascii="宋体" w:hAnsi="宋体" w:cs="宋体"/>
          <w:kern w:val="0"/>
          <w:szCs w:val="24"/>
        </w:rPr>
        <w:t>农耕区及其他植被区的管沟应将表层耕（腐）质土和下层土分别堆放，管沟回填时应将耕（腐）质土回填到表层。管沟回填土在不影响土地复耕或水土保持的情况下宜高出地面</w:t>
      </w:r>
      <w:r>
        <w:rPr>
          <w:rFonts w:cs="Times New Roman"/>
          <w:kern w:val="0"/>
          <w:szCs w:val="24"/>
        </w:rPr>
        <w:t>0.3m</w:t>
      </w:r>
      <w:r>
        <w:rPr>
          <w:rFonts w:hint="eastAsia" w:ascii="宋体" w:hAnsi="宋体" w:cs="宋体"/>
          <w:kern w:val="0"/>
          <w:szCs w:val="24"/>
        </w:rPr>
        <w:t>，管沟挖出土应全部回填于沟上。在管道出土端和弯头两侧，回填土应分层夯实。</w:t>
      </w:r>
    </w:p>
    <w:p>
      <w:pPr>
        <w:ind w:firstLine="482"/>
        <w:rPr>
          <w:rFonts w:cs="Times New Roman"/>
          <w:b/>
        </w:rPr>
      </w:pPr>
      <w:r>
        <w:rPr>
          <w:rFonts w:hint="eastAsia" w:cs="Times New Roman"/>
          <w:b/>
        </w:rPr>
        <w:t>（2）特殊地段敷设</w:t>
      </w:r>
    </w:p>
    <w:p>
      <w:pPr>
        <w:ind w:firstLine="480"/>
      </w:pPr>
      <w:r>
        <w:rPr>
          <w:rFonts w:hint="eastAsia"/>
        </w:rPr>
        <w:t>1）穿越经济作物区</w:t>
      </w:r>
    </w:p>
    <w:p>
      <w:pPr>
        <w:ind w:firstLine="480"/>
      </w:pPr>
      <w:r>
        <w:rPr>
          <w:rFonts w:hint="eastAsia"/>
        </w:rPr>
        <w:t>管道经过经济作物区时，为减少管道施工对经济作物区的影响，考虑采取以下措施：a.</w:t>
      </w:r>
      <w:r>
        <w:rPr>
          <w:rFonts w:hint="eastAsia" w:ascii="宋体" w:hAnsi="宋体" w:cs="宋体"/>
          <w:kern w:val="0"/>
          <w:szCs w:val="24"/>
        </w:rPr>
        <w:t>应尽量减小施工作业带宽度，宜采用沟下组焊方式减小施工作业带宽度，减少对经济作物区的影响；b.管沟开挖时，表层</w:t>
      </w:r>
      <w:r>
        <w:rPr>
          <w:rFonts w:cs="Times New Roman"/>
          <w:kern w:val="0"/>
          <w:szCs w:val="24"/>
        </w:rPr>
        <w:t>50cm</w:t>
      </w:r>
      <w:r>
        <w:rPr>
          <w:rFonts w:hint="eastAsia" w:ascii="宋体" w:hAnsi="宋体" w:cs="宋体"/>
          <w:kern w:val="0"/>
          <w:szCs w:val="24"/>
        </w:rPr>
        <w:t>耕植土剥离保护，将表土集中堆放在管沟一侧稍远处，生土堆放于表土内侧，表层土与生土采用土工布隔离堆放，施工完成后对作业带进行复耕；c.在施工时间安排上，尽量在经济作物收获的季节开工，尽量在经济作物区多开标段，缩短各标段的里程数，尽快完成经济作物区的施工，对经济作物区进行复耕。</w:t>
      </w:r>
    </w:p>
    <w:p>
      <w:pPr>
        <w:ind w:firstLine="480"/>
      </w:pPr>
      <w:r>
        <w:rPr>
          <w:rFonts w:hint="eastAsia"/>
        </w:rPr>
        <w:t>2）穿越林地</w:t>
      </w:r>
    </w:p>
    <w:p>
      <w:pPr>
        <w:ind w:firstLine="480"/>
      </w:pPr>
      <w:r>
        <w:rPr>
          <w:rFonts w:hint="eastAsia" w:ascii="宋体" w:hAnsi="宋体" w:cs="宋体"/>
          <w:kern w:val="0"/>
          <w:szCs w:val="24"/>
        </w:rPr>
        <w:t>管线多处穿越林地，为尽量减少对林地的破坏，管线施工需严格控制作业带宽度，尽量缩窄，宜</w:t>
      </w:r>
      <w:r>
        <w:rPr>
          <w:rFonts w:hint="eastAsia" w:ascii="宋体" w:hAnsi="宋体" w:cs="宋体"/>
          <w:kern w:val="0"/>
        </w:rPr>
        <w:t>采用沟下组焊方式减少作业带宽度，减少对林地的影响。</w:t>
      </w:r>
      <w:r>
        <w:rPr>
          <w:rFonts w:hint="eastAsia" w:ascii="宋体" w:hAnsi="宋体" w:cs="宋体"/>
          <w:kern w:val="0"/>
          <w:szCs w:val="24"/>
        </w:rPr>
        <w:t>施工过程中需采取相关的林地防火措施，以保护森林资源，维护生态</w:t>
      </w:r>
      <w:r>
        <w:rPr>
          <w:rFonts w:hint="eastAsia"/>
        </w:rPr>
        <w:t>安全，保障人民生命财产安全。</w:t>
      </w:r>
    </w:p>
    <w:p>
      <w:pPr>
        <w:ind w:firstLine="480"/>
      </w:pPr>
      <w:r>
        <w:rPr>
          <w:rFonts w:hint="eastAsia"/>
        </w:rPr>
        <w:t>3）与输电线路交叉</w:t>
      </w:r>
    </w:p>
    <w:p>
      <w:pPr>
        <w:pStyle w:val="214"/>
        <w:ind w:firstLine="480"/>
      </w:pPr>
      <w:r>
        <w:rPr>
          <w:rFonts w:hint="eastAsia"/>
        </w:rPr>
        <w:t>管线设计需采取特殊保护措施，保证管道的安全。管道与</w:t>
      </w:r>
      <w:r>
        <w:t>110kV</w:t>
      </w:r>
      <w:r>
        <w:rPr>
          <w:rFonts w:hint="eastAsia"/>
        </w:rPr>
        <w:t>及以上高压交流输电线路的交叉角度不宜小于</w:t>
      </w:r>
      <w:r>
        <w:t>55</w:t>
      </w:r>
      <w:r>
        <w:rPr>
          <w:rFonts w:hint="eastAsia"/>
        </w:rPr>
        <w:t>°。在不能满足要求时，宜根据工程实际情况进行管道安全评估，结合防护措施，交叉角度可适当减小。在施工中应加强施工人员、施工机具设备的安全绝缘措施。</w:t>
      </w:r>
    </w:p>
    <w:p>
      <w:pPr>
        <w:pStyle w:val="214"/>
        <w:ind w:firstLine="480"/>
      </w:pPr>
      <w:r>
        <w:rPr>
          <w:rFonts w:hint="eastAsia" w:cstheme="minorBidi"/>
          <w:szCs w:val="21"/>
        </w:rPr>
        <w:t>4）</w:t>
      </w:r>
      <w:r>
        <w:rPr>
          <w:rFonts w:hint="eastAsia"/>
        </w:rPr>
        <w:t>与其他管道并行、交叉</w:t>
      </w:r>
    </w:p>
    <w:p>
      <w:pPr>
        <w:pStyle w:val="214"/>
        <w:ind w:firstLine="480"/>
        <w:rPr>
          <w:rFonts w:cstheme="minorBidi"/>
          <w:szCs w:val="21"/>
        </w:rPr>
      </w:pPr>
      <w:r>
        <w:rPr>
          <w:rFonts w:hint="eastAsia"/>
        </w:rPr>
        <w:t>本工程管道沿途无管道并行、交叉，与其他管道并行、交叉应符合相关规定的要求，并征得相关管理部门同意，采取一定的管道保护措施。</w:t>
      </w:r>
    </w:p>
    <w:p>
      <w:pPr>
        <w:pStyle w:val="6"/>
      </w:pPr>
      <w:r>
        <w:rPr>
          <w:rFonts w:hint="eastAsia"/>
        </w:rPr>
        <w:t xml:space="preserve"> 管道焊接、清管、试压、干燥、置换</w:t>
      </w:r>
    </w:p>
    <w:p>
      <w:pPr>
        <w:pStyle w:val="214"/>
        <w:ind w:firstLine="482"/>
        <w:rPr>
          <w:b/>
        </w:rPr>
      </w:pPr>
      <w:r>
        <w:rPr>
          <w:rFonts w:hint="eastAsia"/>
          <w:b/>
        </w:rPr>
        <w:t>（1）管道焊接及检测</w:t>
      </w:r>
    </w:p>
    <w:p>
      <w:pPr>
        <w:pStyle w:val="214"/>
        <w:ind w:firstLine="480"/>
      </w:pPr>
      <w:r>
        <w:rPr>
          <w:rFonts w:hint="eastAsia"/>
        </w:rPr>
        <w:t xml:space="preserve">管道焊接方式要综合考虑管道直径、材质和壁厚情况、管道经过区域的地形地貌及管道建设的工期要求等因素确定。 </w:t>
      </w:r>
    </w:p>
    <w:p>
      <w:pPr>
        <w:pStyle w:val="214"/>
        <w:ind w:firstLine="480"/>
      </w:pPr>
      <w:r>
        <w:t>1</w:t>
      </w:r>
      <w:r>
        <w:rPr>
          <w:rFonts w:hint="eastAsia"/>
        </w:rPr>
        <w:t xml:space="preserve">）考虑到沿线地形、地貌和沿途气候等外界环境因素，同时也考虑到管道直径、壁厚和材质等因素，本项目可采用手工或半自动焊接方式。 </w:t>
      </w:r>
    </w:p>
    <w:p>
      <w:pPr>
        <w:pStyle w:val="214"/>
        <w:ind w:firstLine="480"/>
      </w:pPr>
      <w:r>
        <w:t>2</w:t>
      </w:r>
      <w:r>
        <w:rPr>
          <w:rFonts w:hint="eastAsia"/>
        </w:rPr>
        <w:t>）管道焊缝质量在外观检查合格后需进行无损探伤检查，本项目采用</w:t>
      </w:r>
      <w:r>
        <w:t>100%</w:t>
      </w:r>
      <w:r>
        <w:rPr>
          <w:rFonts w:hint="eastAsia"/>
        </w:rPr>
        <w:t>超声波探伤和</w:t>
      </w:r>
      <w:r>
        <w:t>100%X</w:t>
      </w:r>
      <w:r>
        <w:rPr>
          <w:rFonts w:hint="eastAsia"/>
        </w:rPr>
        <w:t>射线探伤。对二级及以上等级公路的管道焊缝、弯头与直管段连接焊缝、未经试压的管道焊缝，除了均应进行</w:t>
      </w:r>
      <w:r>
        <w:t>100%</w:t>
      </w:r>
      <w:r>
        <w:rPr>
          <w:rFonts w:hint="eastAsia"/>
        </w:rPr>
        <w:t>的超声波探伤外，还应增加</w:t>
      </w:r>
      <w:r>
        <w:t>100%</w:t>
      </w:r>
      <w:r>
        <w:rPr>
          <w:rFonts w:hint="eastAsia"/>
        </w:rPr>
        <w:t>的</w:t>
      </w:r>
      <w:r>
        <w:t>X</w:t>
      </w:r>
      <w:r>
        <w:rPr>
          <w:rFonts w:hint="eastAsia"/>
        </w:rPr>
        <w:t>射线探伤进行复查。检查标准按《石油天然气钢质管道无损检测》（</w:t>
      </w:r>
      <w:r>
        <w:t>SY/T 4109-2013</w:t>
      </w:r>
      <w:r>
        <w:rPr>
          <w:rFonts w:hint="eastAsia"/>
        </w:rPr>
        <w:t xml:space="preserve">）标准达到Ⅱ级为合格。 </w:t>
      </w:r>
    </w:p>
    <w:p>
      <w:pPr>
        <w:pStyle w:val="214"/>
        <w:ind w:firstLine="480"/>
      </w:pPr>
      <w:r>
        <w:rPr>
          <w:rFonts w:hint="eastAsia"/>
        </w:rPr>
        <w:t>当环境条件不能满足焊接工艺规程所规定的条件时，必须按要求采取措施后才能进行焊接。</w:t>
      </w:r>
    </w:p>
    <w:p>
      <w:pPr>
        <w:pStyle w:val="214"/>
        <w:ind w:firstLine="482"/>
        <w:rPr>
          <w:b/>
        </w:rPr>
      </w:pPr>
      <w:r>
        <w:rPr>
          <w:rFonts w:hint="eastAsia"/>
          <w:b/>
        </w:rPr>
        <w:t>（2）管道清扫</w:t>
      </w:r>
    </w:p>
    <w:p>
      <w:pPr>
        <w:pStyle w:val="214"/>
        <w:ind w:firstLine="480"/>
        <w:rPr>
          <w:b/>
        </w:rPr>
      </w:pPr>
      <w:r>
        <w:rPr>
          <w:rFonts w:hint="eastAsia"/>
        </w:rPr>
        <w:t>为保证管道在建设中不进入杂物，保持整个管道系统的清洁，宜在整个管道建设的下述环节安排管道清扫：单根管道在组焊前，应先进行人工清扫；管道施工完成后应采用清管器对全线进行清管。</w:t>
      </w:r>
    </w:p>
    <w:p>
      <w:pPr>
        <w:pStyle w:val="214"/>
        <w:ind w:firstLine="482"/>
        <w:rPr>
          <w:b/>
        </w:rPr>
      </w:pPr>
      <w:r>
        <w:rPr>
          <w:rFonts w:hint="eastAsia"/>
          <w:b/>
        </w:rPr>
        <w:t>（3）管道试压</w:t>
      </w:r>
    </w:p>
    <w:p>
      <w:pPr>
        <w:pStyle w:val="214"/>
        <w:ind w:firstLine="480"/>
      </w:pPr>
      <w:r>
        <w:rPr>
          <w:rFonts w:hint="eastAsia"/>
        </w:rPr>
        <w:t>本项目强度试压和严密性试压介质为无腐蚀性洁净水，一般线路段试验要求见下表。二级以下公路穿越管段可与所在线路段合并进行试压。</w:t>
      </w:r>
    </w:p>
    <w:p>
      <w:pPr>
        <w:pStyle w:val="73"/>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1</w:t>
      </w:r>
      <w:r>
        <w:fldChar w:fldCharType="end"/>
      </w:r>
      <w:r>
        <w:t xml:space="preserve">  </w:t>
      </w:r>
      <w:r>
        <w:rPr>
          <w:rFonts w:hint="eastAsia"/>
        </w:rPr>
        <w:t>单独试压段试验压力值、稳压时间及允许压降值</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43"/>
        <w:gridCol w:w="2843"/>
        <w:gridCol w:w="2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7" w:type="pct"/>
            <w:tcBorders>
              <w:top w:val="single" w:color="auto" w:sz="12" w:space="0"/>
              <w:left w:val="nil"/>
            </w:tcBorders>
          </w:tcPr>
          <w:p>
            <w:pPr>
              <w:pStyle w:val="63"/>
              <w:rPr>
                <w:b/>
              </w:rPr>
            </w:pPr>
            <w:r>
              <w:rPr>
                <w:rFonts w:hint="eastAsia"/>
                <w:b/>
              </w:rPr>
              <w:t>单独试压段</w:t>
            </w:r>
          </w:p>
        </w:tc>
        <w:tc>
          <w:tcPr>
            <w:tcW w:w="1667" w:type="pct"/>
            <w:tcBorders>
              <w:top w:val="single" w:color="auto" w:sz="12" w:space="0"/>
            </w:tcBorders>
          </w:tcPr>
          <w:p>
            <w:pPr>
              <w:pStyle w:val="63"/>
              <w:rPr>
                <w:b/>
              </w:rPr>
            </w:pPr>
            <w:r>
              <w:rPr>
                <w:rFonts w:hint="eastAsia"/>
                <w:b/>
              </w:rPr>
              <w:t>强度试验</w:t>
            </w:r>
          </w:p>
        </w:tc>
        <w:tc>
          <w:tcPr>
            <w:tcW w:w="1666" w:type="pct"/>
            <w:tcBorders>
              <w:top w:val="single" w:color="auto" w:sz="12" w:space="0"/>
            </w:tcBorders>
          </w:tcPr>
          <w:p>
            <w:pPr>
              <w:pStyle w:val="63"/>
              <w:rPr>
                <w:b/>
              </w:rPr>
            </w:pPr>
            <w:r>
              <w:rPr>
                <w:rFonts w:hint="eastAsia"/>
                <w:b/>
              </w:rPr>
              <w:t>严密性试验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7" w:type="pct"/>
            <w:tcBorders>
              <w:left w:val="nil"/>
            </w:tcBorders>
          </w:tcPr>
          <w:p>
            <w:pPr>
              <w:pStyle w:val="63"/>
            </w:pPr>
            <w:r>
              <w:rPr>
                <w:rFonts w:hint="eastAsia"/>
              </w:rPr>
              <w:t>压力值（MPa）</w:t>
            </w:r>
          </w:p>
        </w:tc>
        <w:tc>
          <w:tcPr>
            <w:tcW w:w="1667" w:type="pct"/>
          </w:tcPr>
          <w:p>
            <w:pPr>
              <w:pStyle w:val="63"/>
            </w:pPr>
            <w:r>
              <w:rPr>
                <w:rFonts w:hint="eastAsia"/>
              </w:rPr>
              <w:t>1.5倍设计压力</w:t>
            </w:r>
          </w:p>
        </w:tc>
        <w:tc>
          <w:tcPr>
            <w:tcW w:w="1666" w:type="pct"/>
          </w:tcPr>
          <w:p>
            <w:pPr>
              <w:pStyle w:val="63"/>
            </w:pPr>
            <w:r>
              <w:rPr>
                <w:rFonts w:hint="eastAsia"/>
                <w:szCs w:val="21"/>
              </w:rPr>
              <w:t>设计压力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7" w:type="pct"/>
            <w:tcBorders>
              <w:left w:val="nil"/>
            </w:tcBorders>
          </w:tcPr>
          <w:p>
            <w:pPr>
              <w:pStyle w:val="63"/>
            </w:pPr>
            <w:r>
              <w:rPr>
                <w:rFonts w:hint="eastAsia"/>
              </w:rPr>
              <w:t>稳压时间（h）</w:t>
            </w:r>
          </w:p>
        </w:tc>
        <w:tc>
          <w:tcPr>
            <w:tcW w:w="1667" w:type="pct"/>
          </w:tcPr>
          <w:p>
            <w:pPr>
              <w:pStyle w:val="63"/>
            </w:pPr>
            <w:r>
              <w:rPr>
                <w:rFonts w:hint="eastAsia"/>
              </w:rPr>
              <w:t>4</w:t>
            </w:r>
          </w:p>
        </w:tc>
        <w:tc>
          <w:tcPr>
            <w:tcW w:w="1666" w:type="pct"/>
          </w:tcPr>
          <w:p>
            <w:pPr>
              <w:pStyle w:val="63"/>
            </w:pPr>
            <w:r>
              <w:rPr>
                <w:rFonts w:hint="eastAsia"/>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7" w:type="pct"/>
            <w:tcBorders>
              <w:left w:val="nil"/>
            </w:tcBorders>
          </w:tcPr>
          <w:p>
            <w:pPr>
              <w:pStyle w:val="63"/>
            </w:pPr>
            <w:r>
              <w:rPr>
                <w:rFonts w:hint="eastAsia"/>
              </w:rPr>
              <w:t>合格标准</w:t>
            </w:r>
          </w:p>
        </w:tc>
        <w:tc>
          <w:tcPr>
            <w:tcW w:w="1667" w:type="pct"/>
          </w:tcPr>
          <w:p>
            <w:pPr>
              <w:pStyle w:val="63"/>
            </w:pPr>
            <w:r>
              <w:rPr>
                <w:rFonts w:hint="eastAsia"/>
              </w:rPr>
              <w:t>无渗漏</w:t>
            </w:r>
          </w:p>
        </w:tc>
        <w:tc>
          <w:tcPr>
            <w:tcW w:w="1666" w:type="pct"/>
          </w:tcPr>
          <w:p>
            <w:pPr>
              <w:pStyle w:val="63"/>
            </w:pPr>
            <w:r>
              <w:rPr>
                <w:rFonts w:hint="eastAsia"/>
                <w:szCs w:val="21"/>
              </w:rPr>
              <w:t>压降不大于</w:t>
            </w:r>
            <w:r>
              <w:rPr>
                <w:rFonts w:cs="Times New Roman"/>
                <w:szCs w:val="21"/>
              </w:rPr>
              <w:t>1%</w:t>
            </w:r>
            <w:r>
              <w:rPr>
                <w:rFonts w:hint="eastAsia"/>
                <w:szCs w:val="21"/>
              </w:rPr>
              <w:t>试验压力</w:t>
            </w:r>
          </w:p>
        </w:tc>
      </w:tr>
    </w:tbl>
    <w:p>
      <w:pPr>
        <w:pStyle w:val="214"/>
        <w:ind w:firstLine="480"/>
      </w:pPr>
      <w:r>
        <w:rPr>
          <w:rFonts w:hint="eastAsia"/>
        </w:rPr>
        <w:t>试压合格后，应将管道内积水清扫干净，清扫出的污物应排放到规定区域，清扫以不再排出游离水为合格，合格后方可排放。</w:t>
      </w:r>
    </w:p>
    <w:p>
      <w:pPr>
        <w:pStyle w:val="214"/>
        <w:ind w:firstLine="482"/>
        <w:rPr>
          <w:b/>
        </w:rPr>
      </w:pPr>
      <w:r>
        <w:rPr>
          <w:rFonts w:hint="eastAsia"/>
          <w:b/>
        </w:rPr>
        <w:t>（4）管道干燥</w:t>
      </w:r>
    </w:p>
    <w:p>
      <w:pPr>
        <w:pStyle w:val="214"/>
        <w:ind w:firstLine="480"/>
      </w:pPr>
      <w:r>
        <w:rPr>
          <w:rFonts w:hint="eastAsia"/>
        </w:rPr>
        <w:t>管道干燥可采用干空气法（用露点低于</w:t>
      </w:r>
      <w:r>
        <w:t>-40</w:t>
      </w:r>
      <w:r>
        <w:rPr>
          <w:rFonts w:hint="eastAsia"/>
        </w:rPr>
        <w:t>℃的干燥空气）。</w:t>
      </w:r>
    </w:p>
    <w:p>
      <w:pPr>
        <w:pStyle w:val="214"/>
        <w:ind w:firstLine="480"/>
      </w:pPr>
      <w:r>
        <w:rPr>
          <w:rFonts w:hint="eastAsia"/>
        </w:rPr>
        <w:t>干燥前，应用清管器清扫管道内残余水，用泡沫清管器清扫检验之后采用干燥压缩空气进行吹</w:t>
      </w:r>
      <w:r>
        <w:rPr>
          <w:rFonts w:hint="eastAsia" w:ascii="宋体" w:hAnsi="宋体" w:cs="宋体"/>
        </w:rPr>
        <w:t>扫。干燥空气吹扫时，在管道末端配置水露点分析仪，干燥后排出气体水露点应连续</w:t>
      </w:r>
      <w:r>
        <w:t>4h</w:t>
      </w:r>
      <w:r>
        <w:rPr>
          <w:rFonts w:hint="eastAsia" w:ascii="宋体" w:hAnsi="宋体" w:cs="宋体"/>
        </w:rPr>
        <w:t>比管道输送条件下最低环境温度至少低</w:t>
      </w:r>
      <w:r>
        <w:t>5</w:t>
      </w:r>
      <w:r>
        <w:rPr>
          <w:rFonts w:hint="eastAsia" w:ascii="宋体" w:hAnsi="宋体" w:cs="宋体"/>
        </w:rPr>
        <w:t>℃。</w:t>
      </w:r>
    </w:p>
    <w:p>
      <w:pPr>
        <w:pStyle w:val="214"/>
        <w:ind w:firstLine="482"/>
        <w:rPr>
          <w:b/>
        </w:rPr>
      </w:pPr>
      <w:r>
        <w:rPr>
          <w:rFonts w:hint="eastAsia"/>
          <w:b/>
        </w:rPr>
        <w:t>（5）氮气置换</w:t>
      </w:r>
    </w:p>
    <w:p>
      <w:pPr>
        <w:pStyle w:val="214"/>
        <w:ind w:firstLine="480"/>
      </w:pPr>
      <w:r>
        <w:rPr>
          <w:rFonts w:hint="eastAsia"/>
        </w:rPr>
        <w:t>1）氮气置换空气</w:t>
      </w:r>
    </w:p>
    <w:p>
      <w:pPr>
        <w:pStyle w:val="214"/>
        <w:ind w:firstLine="480"/>
      </w:pPr>
      <w:r>
        <w:rPr>
          <w:rFonts w:hint="eastAsia"/>
        </w:rPr>
        <w:t>管道内空气的置换应在强度试压、严密性试压、吹扫清管、干燥合格后进行。应采用低压氮气或其他无腐蚀、无毒害性的惰性气体作为介质，站间进行全线置换。置换过程中置换气体应排至放空系统放空。放空口应远离交通线和居民点，应以放空口为中心设立半径为</w:t>
      </w:r>
      <w:r>
        <w:t>300m</w:t>
      </w:r>
      <w:r>
        <w:rPr>
          <w:rFonts w:hint="eastAsia"/>
        </w:rPr>
        <w:t>的隔离区。放空隔离区内不允许有烟火和静电火花产生。置换管道末端、阀室以及站场应配备气体含量检测设备，当置换管道末端放空管口气体含氧量不大于</w:t>
      </w:r>
      <w:r>
        <w:t>2%</w:t>
      </w:r>
      <w:r>
        <w:rPr>
          <w:rFonts w:hint="eastAsia"/>
        </w:rPr>
        <w:t>时即可认为置换合格。</w:t>
      </w:r>
    </w:p>
    <w:p>
      <w:pPr>
        <w:pStyle w:val="214"/>
        <w:ind w:firstLine="480"/>
      </w:pPr>
      <w:r>
        <w:rPr>
          <w:rFonts w:hint="eastAsia"/>
        </w:rPr>
        <w:t>2）天然气置换氮气</w:t>
      </w:r>
    </w:p>
    <w:p>
      <w:pPr>
        <w:pStyle w:val="214"/>
        <w:ind w:firstLine="480"/>
      </w:pPr>
      <w:r>
        <w:rPr>
          <w:rFonts w:hint="eastAsia"/>
        </w:rPr>
        <w:t>当天然气与氮气进行置换时，置换过程中管道内气流速度不应大于</w:t>
      </w:r>
      <w:r>
        <w:t>5m/s</w:t>
      </w:r>
      <w:r>
        <w:rPr>
          <w:rFonts w:hint="eastAsia"/>
        </w:rPr>
        <w:t>，同时，置换管道末端以及站场应配备气体含量检测设备，当天然气中甲烷含量与上游来气天然气甲烷含量连续三次一致，并点火稳定燃烧</w:t>
      </w:r>
      <w:r>
        <w:t>15</w:t>
      </w:r>
      <w:r>
        <w:rPr>
          <w:rFonts w:hint="eastAsia"/>
        </w:rPr>
        <w:t>分钟后，视为置换合格。</w:t>
      </w:r>
    </w:p>
    <w:p>
      <w:pPr>
        <w:ind w:firstLine="482"/>
        <w:rPr>
          <w:b/>
        </w:rPr>
      </w:pPr>
      <w:r>
        <w:rPr>
          <w:rFonts w:hint="eastAsia"/>
          <w:b/>
        </w:rPr>
        <w:t>（6）投运</w:t>
      </w:r>
    </w:p>
    <w:p>
      <w:pPr>
        <w:ind w:firstLine="480"/>
      </w:pPr>
      <w:r>
        <w:rPr>
          <w:rFonts w:hint="eastAsia"/>
        </w:rPr>
        <w:t>管道管理单位应根据《天然气管道运行规范》（SY/T5922-2012）相关规定制定投运方案及相应的安全应急预案，经相关部门审查通过后实施。</w:t>
      </w:r>
    </w:p>
    <w:p>
      <w:pPr>
        <w:pStyle w:val="5"/>
      </w:pPr>
      <w:r>
        <w:rPr>
          <w:rFonts w:hint="eastAsia"/>
        </w:rPr>
        <w:t xml:space="preserve"> </w:t>
      </w:r>
      <w:bookmarkStart w:id="150" w:name="_Toc96680671"/>
      <w:r>
        <w:rPr>
          <w:rFonts w:hint="eastAsia"/>
        </w:rPr>
        <w:t>施工期产污环节分析</w:t>
      </w:r>
      <w:bookmarkEnd w:id="150"/>
    </w:p>
    <w:p>
      <w:pPr>
        <w:ind w:firstLine="480"/>
      </w:pPr>
      <w:r>
        <w:rPr>
          <w:rFonts w:hint="eastAsia"/>
        </w:rPr>
        <w:t>本工程管道施工采用分段施工，施工队伍除建设方的施工技术人员外，其余均雇佣当地的民工，施工技术人员的吃住一般依托当地的旅馆和饭店，民工则在家中吃住，施工现场不设施工营地。</w:t>
      </w:r>
    </w:p>
    <w:p>
      <w:pPr>
        <w:ind w:firstLine="480"/>
      </w:pPr>
      <w:r>
        <w:rPr>
          <w:rFonts w:hint="eastAsia"/>
        </w:rPr>
        <w:t>本工程施工期对环境的影响主要来自地面开挖、回填、土石方堆放和运输车辆行驶产生的扬尘（粉尘）及施工机械、运输车辆排放的尾气、管道焊接烟尘；管线敷设过程中开挖管沟并回填与临时施工便道建设等施工活动中施工机械、车辆、人员践踏等对土壤的扰动和植被的破坏；工程占地对土地利用类型的改变以及对农业生产的影响；河流等穿跨越对地表水体水质的影响。此外，施工期间各种机械、车辆产生噪声、施工产生的固体废物、管道试压产生的废水、施工人员生活污水、施工人员生活垃圾，挖土、堆土过程中产生扬尘等污染物等，也将对环境产生一定的影响。</w:t>
      </w:r>
    </w:p>
    <w:p>
      <w:pPr>
        <w:ind w:firstLine="482"/>
        <w:rPr>
          <w:b/>
        </w:rPr>
      </w:pPr>
      <w:r>
        <w:rPr>
          <w:rFonts w:hint="eastAsia"/>
          <w:b/>
        </w:rPr>
        <w:t>（1）施工作业带清理、施工便道建设和管沟开挖、回填及土石方堆放</w:t>
      </w:r>
    </w:p>
    <w:p>
      <w:pPr>
        <w:ind w:firstLine="480"/>
      </w:pPr>
      <w:r>
        <w:rPr>
          <w:rFonts w:hint="eastAsia"/>
        </w:rPr>
        <w:t>由于施工带管道施工中大量用到重型机械，并不断受机械的碾压和掘土机翻动，因此土壤表层稳定结构被破坏，下层土壤紧实化，植被地上部分基本被破坏。尤其是在管道敷设后，土壤和下面的母质层都受到翻动干扰，地上植被也全部被破坏。</w:t>
      </w:r>
    </w:p>
    <w:p>
      <w:pPr>
        <w:ind w:firstLine="480"/>
      </w:pPr>
      <w:r>
        <w:rPr>
          <w:rFonts w:hint="eastAsia"/>
        </w:rPr>
        <w:t>本项目管道经过主要生态系统为为农业生态系统。在施工中，施工作业带的范围内的土壤和植被将受到扰动和破坏，尤其是在开挖管沟2~3m范围内，植被破坏严重，开挖管沟造成的土体扰动将使土壤的结构、组成及理化特性等发生变化，进而影响植被的恢复。该区段施工活动主要表现为对农业生产的影响，一般将直接造成一季农作物的损失或减产，至于因施工造成土壤肥力下降带来的影响将会持续一段时间。另外，线路还将穿越林地，将破坏一定量的植被等。</w:t>
      </w:r>
    </w:p>
    <w:p>
      <w:pPr>
        <w:ind w:firstLine="482"/>
        <w:rPr>
          <w:b/>
        </w:rPr>
      </w:pPr>
      <w:r>
        <w:rPr>
          <w:rFonts w:hint="eastAsia"/>
          <w:b/>
        </w:rPr>
        <w:t>（2）管道穿越工程</w:t>
      </w:r>
    </w:p>
    <w:p>
      <w:pPr>
        <w:pStyle w:val="214"/>
        <w:ind w:firstLine="480"/>
      </w:pPr>
      <w:r>
        <w:rPr>
          <w:rFonts w:hint="eastAsia"/>
        </w:rPr>
        <w:t>本项目管线无高速公路、铁路等穿越情况，主要的穿越为一处乡村公路。乡村公路穿越方式为挖沟法加钢筋混凝套管穿越。穿越工程将破坏地表植被和土壤结构，造成水土流失。由于穿越工程施工期较短，且对生态环境的影响属于短期行为，施工结束影响就可以消失，施工中需要安排好进度，搞好施工管理，解决好弃土问题，不会对生态环境带来大的影响。</w:t>
      </w:r>
    </w:p>
    <w:p>
      <w:pPr>
        <w:pStyle w:val="214"/>
        <w:ind w:firstLine="482"/>
        <w:rPr>
          <w:b/>
        </w:rPr>
      </w:pPr>
      <w:r>
        <w:rPr>
          <w:rFonts w:hint="eastAsia"/>
          <w:b/>
        </w:rPr>
        <w:t>（3）管道施工的弃土</w:t>
      </w:r>
    </w:p>
    <w:p>
      <w:pPr>
        <w:pStyle w:val="214"/>
        <w:ind w:firstLine="480"/>
      </w:pPr>
      <w:r>
        <w:t>弃土主要来自两部分：一是管道敷设置换的土方；二是开挖造成土壤松散，回填后剩余的土方。项目施工期土石方量约为</w:t>
      </w:r>
      <w:r>
        <w:rPr>
          <w:rFonts w:hint="eastAsia"/>
        </w:rPr>
        <w:t>20178</w:t>
      </w:r>
      <w:r>
        <w:t>m</w:t>
      </w:r>
      <w:r>
        <w:rPr>
          <w:vertAlign w:val="superscript"/>
        </w:rPr>
        <w:t>2</w:t>
      </w:r>
      <w:r>
        <w:t>，其中土方量为</w:t>
      </w:r>
      <w:r>
        <w:rPr>
          <w:rFonts w:hint="eastAsia"/>
        </w:rPr>
        <w:t>6915.6</w:t>
      </w:r>
      <w:r>
        <w:t>m</w:t>
      </w:r>
      <w:r>
        <w:rPr>
          <w:vertAlign w:val="superscript"/>
        </w:rPr>
        <w:t>3</w:t>
      </w:r>
      <w:r>
        <w:t>，石方量</w:t>
      </w:r>
      <w:r>
        <w:rPr>
          <w:rFonts w:hint="eastAsia"/>
        </w:rPr>
        <w:t>13262.4</w:t>
      </w:r>
      <w:r>
        <w:t>m</w:t>
      </w:r>
      <w:r>
        <w:rPr>
          <w:vertAlign w:val="superscript"/>
        </w:rPr>
        <w:t>3</w:t>
      </w:r>
      <w:r>
        <w:t>。土石方全部用于管沟回填、护坡和堡坎工程，基本能做到挖填平衡，无弃土产生。</w:t>
      </w:r>
    </w:p>
    <w:p>
      <w:pPr>
        <w:pStyle w:val="214"/>
        <w:ind w:firstLine="482"/>
        <w:rPr>
          <w:b/>
        </w:rPr>
      </w:pPr>
      <w:r>
        <w:rPr>
          <w:rFonts w:hint="eastAsia"/>
          <w:b/>
        </w:rPr>
        <w:t>（4）施工期对周边民居的环境影响</w:t>
      </w:r>
    </w:p>
    <w:p>
      <w:pPr>
        <w:ind w:firstLine="480"/>
      </w:pPr>
      <w:r>
        <w:rPr>
          <w:rFonts w:hint="eastAsia"/>
        </w:rPr>
        <w:t>本工程采用分段、分节点施工的方式进行，即管线部分为分段施工，每一段的施工时间较短，不超过一个月。施工过程对沿线民居的影响主要在大气和声环境两个方面。大气的影响主要表现在施工扬尘、施工机械废气等方面，由于施工期较短，影响时间不长，施工结束则影响就消失，属可接范围。声环境的影响则主要表现在施工机具的噪声对沿线民居的影响，由于施工期较短，影响时间不长，施工结束则影响就消失，也属可接范围。</w:t>
      </w:r>
    </w:p>
    <w:p>
      <w:pPr>
        <w:pStyle w:val="5"/>
      </w:pPr>
      <w:bookmarkStart w:id="151" w:name="_Toc89009658"/>
      <w:r>
        <w:rPr>
          <w:rFonts w:hint="eastAsia"/>
        </w:rPr>
        <w:t xml:space="preserve"> </w:t>
      </w:r>
      <w:bookmarkStart w:id="152" w:name="_Toc96680672"/>
      <w:r>
        <w:rPr>
          <w:rFonts w:hint="eastAsia"/>
        </w:rPr>
        <w:t>施工期污染及非污染因素分析</w:t>
      </w:r>
      <w:bookmarkEnd w:id="151"/>
      <w:bookmarkEnd w:id="152"/>
    </w:p>
    <w:p>
      <w:pPr>
        <w:pStyle w:val="214"/>
        <w:ind w:firstLine="480"/>
      </w:pPr>
      <w:r>
        <w:rPr>
          <w:rFonts w:hint="eastAsia"/>
        </w:rPr>
        <w:t>由上述施工工艺特征分析可知，管道在施工过程中由于运输、施工作业带的整理、管沟的开挖、布管等施工活动将不可避免地会以周围环境产生不利影响。一种影响是对土壤扰动和自然植被等的破坏，这种影响是比较持久的，在管道施工完成后的一段时间内仍将存在。另一种是在施工过程中产生的“三废”排放对环境造成的影响，这种影响是短暂的，待施工结束后将随之消失。</w:t>
      </w:r>
    </w:p>
    <w:p>
      <w:pPr>
        <w:pStyle w:val="6"/>
      </w:pPr>
      <w:r>
        <w:rPr>
          <w:rFonts w:hint="eastAsia"/>
        </w:rPr>
        <w:t xml:space="preserve"> 废气</w:t>
      </w:r>
    </w:p>
    <w:p>
      <w:pPr>
        <w:pStyle w:val="214"/>
        <w:ind w:firstLine="480"/>
      </w:pPr>
      <w:r>
        <w:rPr>
          <w:rFonts w:hint="eastAsia"/>
        </w:rPr>
        <w:t>本工程施工期主要的大气污染物是扬尘、施工机械、车辆排放的废气、管道焊接产生的焊接烟尘及老</w:t>
      </w:r>
      <w:r>
        <w:t>管线的</w:t>
      </w:r>
      <w:r>
        <w:rPr>
          <w:rFonts w:hint="eastAsia"/>
        </w:rPr>
        <w:t>放空</w:t>
      </w:r>
      <w:r>
        <w:t>废气</w:t>
      </w:r>
      <w:r>
        <w:rPr>
          <w:rFonts w:hint="eastAsia"/>
        </w:rPr>
        <w:t>。其中，扬尘和粉尘主要来源于材料运输撒落和运输产生的二次粉尘。本项目住宿均租用附近农户或旅馆，吃饭均在附近城镇餐馆就餐或餐馆打包就餐，不涉及食堂。</w:t>
      </w:r>
    </w:p>
    <w:p>
      <w:pPr>
        <w:pStyle w:val="214"/>
        <w:ind w:firstLine="482"/>
        <w:rPr>
          <w:b/>
        </w:rPr>
      </w:pPr>
      <w:r>
        <w:rPr>
          <w:rFonts w:hint="eastAsia"/>
          <w:b/>
        </w:rPr>
        <w:t>（1）扬尘</w:t>
      </w:r>
    </w:p>
    <w:p>
      <w:pPr>
        <w:ind w:firstLine="480"/>
      </w:pPr>
      <w:r>
        <w:rPr>
          <w:rFonts w:hint="eastAsia"/>
        </w:rPr>
        <w:t>施工期间产生的扬尘污染主要取决于施工作业方式、材料的堆放及风力等因素，其中受风力因素影响较大。随着风速的增大，施工扬尘产生的污染程度和超标范围也将随之增强和扩大。在工程施工期间，伴随着土石方的挖掘、装卸和运输等施工活动，其扬尘产生的污染将对周围的大气环境带来不利的影响，主要来源于：</w:t>
      </w:r>
    </w:p>
    <w:p>
      <w:pPr>
        <w:ind w:firstLine="480"/>
      </w:pPr>
      <w:r>
        <w:rPr>
          <w:rFonts w:hint="eastAsia"/>
        </w:rPr>
        <w:t>①土方的挖掘、堆放、清运、回填和场地平整等过程产生的粉尘；</w:t>
      </w:r>
    </w:p>
    <w:p>
      <w:pPr>
        <w:ind w:firstLine="480"/>
      </w:pPr>
      <w:r>
        <w:rPr>
          <w:rFonts w:hint="eastAsia"/>
        </w:rPr>
        <w:t>②建筑材料如水泥、砂子以及土方等在装卸、运输、堆放等过程中，因风力作用而产生的扬尘污染；</w:t>
      </w:r>
    </w:p>
    <w:p>
      <w:pPr>
        <w:ind w:firstLine="480"/>
      </w:pPr>
      <w:r>
        <w:rPr>
          <w:rFonts w:hint="eastAsia"/>
        </w:rPr>
        <w:t>③运输车辆往来造成地面扬尘；</w:t>
      </w:r>
    </w:p>
    <w:p>
      <w:pPr>
        <w:ind w:firstLine="480"/>
      </w:pPr>
      <w:r>
        <w:rPr>
          <w:rFonts w:hint="eastAsia"/>
        </w:rPr>
        <w:t>④施工垃圾堆放及清运过程中产生扬尘。</w:t>
      </w:r>
    </w:p>
    <w:p>
      <w:pPr>
        <w:pStyle w:val="214"/>
        <w:ind w:firstLine="0" w:firstLineChars="0"/>
        <w:rPr>
          <w:b/>
        </w:rPr>
      </w:pPr>
      <w:r>
        <w:rPr>
          <w:rFonts w:hint="eastAsia"/>
          <w:b/>
        </w:rPr>
        <w:t xml:space="preserve">    （2）机械废气</w:t>
      </w:r>
    </w:p>
    <w:p>
      <w:pPr>
        <w:ind w:firstLine="480"/>
      </w:pPr>
      <w:r>
        <w:rPr>
          <w:rFonts w:hint="eastAsia"/>
        </w:rPr>
        <w:t>项目施工期间运输车辆、燃油机械有尾气产生，施工期少量焊接等亦会有废气产生，主要污染物有NO</w:t>
      </w:r>
      <w:r>
        <w:rPr>
          <w:rFonts w:hint="eastAsia"/>
          <w:vertAlign w:val="subscript"/>
        </w:rPr>
        <w:t>2</w:t>
      </w:r>
      <w:r>
        <w:rPr>
          <w:rFonts w:hint="eastAsia"/>
        </w:rPr>
        <w:t>、CO、SO</w:t>
      </w:r>
      <w:r>
        <w:rPr>
          <w:rFonts w:hint="eastAsia"/>
          <w:vertAlign w:val="subscript"/>
        </w:rPr>
        <w:t>2</w:t>
      </w:r>
      <w:r>
        <w:rPr>
          <w:rFonts w:hint="eastAsia"/>
        </w:rPr>
        <w:t>和CmHn等。本项目汽车运输和施工机具尾气主要对作业点周围和运输路线两侧局部范围产生影响。由于开挖埋管过程为逐段进行，施工期较短，在加强管理的情况下，开挖过程产生的扬尘较少。由于废气量较小，且施工现场均在野外，有利于空气的扩散，同时废气污染原具有间歇性和流动性，因此对局部地区的环境影响较轻。</w:t>
      </w:r>
    </w:p>
    <w:p>
      <w:pPr>
        <w:pStyle w:val="214"/>
        <w:ind w:firstLine="482"/>
        <w:rPr>
          <w:b/>
        </w:rPr>
      </w:pPr>
      <w:r>
        <w:rPr>
          <w:rFonts w:hint="eastAsia"/>
          <w:b/>
        </w:rPr>
        <w:t>（3）焊接烟尘</w:t>
      </w:r>
    </w:p>
    <w:p>
      <w:pPr>
        <w:ind w:firstLine="480"/>
      </w:pPr>
      <w:r>
        <w:rPr>
          <w:rFonts w:hint="eastAsia"/>
        </w:rPr>
        <w:t>管道施工焊接会产生焊接烟尘，本项目采用氩弧焊打底，加手工焊填充盖面的方式。焊接烟尘</w:t>
      </w:r>
      <w:r>
        <w:t>主要污染物为烟尘，产生量较少，呈无组织排放。</w:t>
      </w:r>
    </w:p>
    <w:p>
      <w:pPr>
        <w:pStyle w:val="214"/>
        <w:ind w:firstLine="482"/>
        <w:rPr>
          <w:b/>
        </w:rPr>
      </w:pPr>
      <w:r>
        <w:rPr>
          <w:rFonts w:hint="eastAsia"/>
          <w:b/>
        </w:rPr>
        <w:t>（4）放空</w:t>
      </w:r>
      <w:r>
        <w:rPr>
          <w:b/>
        </w:rPr>
        <w:t>废气</w:t>
      </w:r>
    </w:p>
    <w:p>
      <w:pPr>
        <w:pStyle w:val="214"/>
        <w:ind w:firstLine="480"/>
      </w:pPr>
      <w:r>
        <w:rPr>
          <w:rFonts w:hint="eastAsia"/>
        </w:rPr>
        <w:t>新老</w:t>
      </w:r>
      <w:r>
        <w:t>管线连接前，需对老管线内天然气进行放空。</w:t>
      </w:r>
      <w:r>
        <w:rPr>
          <w:rFonts w:hint="eastAsia"/>
        </w:rPr>
        <w:t>放空作业</w:t>
      </w:r>
      <w:r>
        <w:t>把管线内的</w:t>
      </w:r>
      <w:r>
        <w:rPr>
          <w:rFonts w:hint="eastAsia"/>
        </w:rPr>
        <w:t>约5</w:t>
      </w:r>
      <w:r>
        <w:t>00m³天然气</w:t>
      </w:r>
      <w:r>
        <w:rPr>
          <w:rFonts w:hint="eastAsia"/>
        </w:rPr>
        <w:t>依托草池站设置放空立管燃烧后排入大气,排放的废气中主要污染物为NO</w:t>
      </w:r>
      <w:r>
        <w:rPr>
          <w:vertAlign w:val="subscript"/>
        </w:rPr>
        <w:t>x</w:t>
      </w:r>
      <w:r>
        <w:rPr>
          <w:rFonts w:hint="eastAsia"/>
        </w:rPr>
        <w:t>、烟尘。</w:t>
      </w:r>
    </w:p>
    <w:p>
      <w:pPr>
        <w:pStyle w:val="250"/>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2</w:t>
      </w:r>
      <w:r>
        <w:fldChar w:fldCharType="end"/>
      </w:r>
      <w:r>
        <w:t xml:space="preserve">  </w:t>
      </w:r>
      <w:r>
        <w:rPr>
          <w:rFonts w:hint="eastAsia"/>
        </w:rPr>
        <w:t>放空燃气</w:t>
      </w:r>
      <w:r>
        <w:t>产污系数一览表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437"/>
        <w:gridCol w:w="1648"/>
        <w:gridCol w:w="1276"/>
        <w:gridCol w:w="4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843" w:type="pct"/>
            <w:tcBorders>
              <w:top w:val="single" w:color="auto" w:sz="12" w:space="0"/>
              <w:left w:val="nil"/>
              <w:bottom w:val="single" w:color="auto" w:sz="4" w:space="0"/>
              <w:right w:val="single" w:color="auto" w:sz="2" w:space="0"/>
            </w:tcBorders>
            <w:vAlign w:val="center"/>
          </w:tcPr>
          <w:p>
            <w:pPr>
              <w:pStyle w:val="63"/>
              <w:rPr>
                <w:b/>
                <w:bCs/>
                <w:szCs w:val="21"/>
              </w:rPr>
            </w:pPr>
            <w:r>
              <w:rPr>
                <w:rFonts w:ascii="宋体" w:hAnsi="宋体"/>
                <w:b/>
                <w:bCs/>
                <w:szCs w:val="21"/>
              </w:rPr>
              <w:t>污染物指标</w:t>
            </w:r>
          </w:p>
        </w:tc>
        <w:tc>
          <w:tcPr>
            <w:tcW w:w="966" w:type="pct"/>
            <w:tcBorders>
              <w:top w:val="single" w:color="auto" w:sz="12" w:space="0"/>
              <w:left w:val="single" w:color="auto" w:sz="2" w:space="0"/>
              <w:bottom w:val="single" w:color="auto" w:sz="4" w:space="0"/>
              <w:right w:val="single" w:color="auto" w:sz="2" w:space="0"/>
            </w:tcBorders>
            <w:vAlign w:val="center"/>
          </w:tcPr>
          <w:p>
            <w:pPr>
              <w:pStyle w:val="63"/>
              <w:rPr>
                <w:b/>
                <w:bCs/>
                <w:szCs w:val="21"/>
              </w:rPr>
            </w:pPr>
            <w:r>
              <w:rPr>
                <w:rFonts w:ascii="宋体" w:hAnsi="宋体"/>
                <w:b/>
                <w:bCs/>
                <w:szCs w:val="21"/>
              </w:rPr>
              <w:t>单位</w:t>
            </w:r>
          </w:p>
        </w:tc>
        <w:tc>
          <w:tcPr>
            <w:tcW w:w="748" w:type="pct"/>
            <w:tcBorders>
              <w:top w:val="single" w:color="auto" w:sz="12" w:space="0"/>
              <w:left w:val="single" w:color="auto" w:sz="2" w:space="0"/>
              <w:bottom w:val="single" w:color="auto" w:sz="4" w:space="0"/>
              <w:right w:val="single" w:color="auto" w:sz="2" w:space="0"/>
            </w:tcBorders>
            <w:vAlign w:val="center"/>
          </w:tcPr>
          <w:p>
            <w:pPr>
              <w:pStyle w:val="63"/>
              <w:rPr>
                <w:b/>
                <w:bCs/>
                <w:szCs w:val="21"/>
              </w:rPr>
            </w:pPr>
            <w:r>
              <w:rPr>
                <w:rFonts w:ascii="宋体" w:hAnsi="宋体"/>
                <w:b/>
                <w:bCs/>
                <w:szCs w:val="21"/>
              </w:rPr>
              <w:t>产污系数</w:t>
            </w:r>
          </w:p>
        </w:tc>
        <w:tc>
          <w:tcPr>
            <w:tcW w:w="2443" w:type="pct"/>
            <w:tcBorders>
              <w:top w:val="single" w:color="auto" w:sz="12" w:space="0"/>
              <w:left w:val="single" w:color="auto" w:sz="2" w:space="0"/>
              <w:bottom w:val="single" w:color="auto" w:sz="4" w:space="0"/>
              <w:right w:val="nil"/>
            </w:tcBorders>
          </w:tcPr>
          <w:p>
            <w:pPr>
              <w:pStyle w:val="63"/>
              <w:rPr>
                <w:b/>
                <w:bCs/>
                <w:szCs w:val="21"/>
              </w:rPr>
            </w:pPr>
            <w:r>
              <w:rPr>
                <w:rFonts w:ascii="宋体" w:hAnsi="宋体"/>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843" w:type="pct"/>
            <w:tcBorders>
              <w:top w:val="single" w:color="auto" w:sz="4" w:space="0"/>
              <w:left w:val="nil"/>
              <w:bottom w:val="single" w:color="auto" w:sz="4" w:space="0"/>
              <w:right w:val="single" w:color="auto" w:sz="2" w:space="0"/>
            </w:tcBorders>
            <w:vAlign w:val="center"/>
          </w:tcPr>
          <w:p>
            <w:pPr>
              <w:pStyle w:val="63"/>
              <w:rPr>
                <w:szCs w:val="21"/>
              </w:rPr>
            </w:pPr>
            <w:r>
              <w:rPr>
                <w:rFonts w:ascii="宋体" w:hAnsi="宋体"/>
                <w:szCs w:val="21"/>
              </w:rPr>
              <w:t>工业废气量</w:t>
            </w:r>
          </w:p>
        </w:tc>
        <w:tc>
          <w:tcPr>
            <w:tcW w:w="966" w:type="pct"/>
            <w:tcBorders>
              <w:top w:val="single" w:color="auto" w:sz="4" w:space="0"/>
              <w:left w:val="single" w:color="auto" w:sz="2" w:space="0"/>
              <w:bottom w:val="single" w:color="auto" w:sz="4" w:space="0"/>
              <w:right w:val="single" w:color="auto" w:sz="2" w:space="0"/>
            </w:tcBorders>
            <w:vAlign w:val="center"/>
          </w:tcPr>
          <w:p>
            <w:pPr>
              <w:pStyle w:val="63"/>
              <w:rPr>
                <w:rFonts w:ascii="宋体" w:hAnsi="宋体"/>
                <w:szCs w:val="21"/>
              </w:rPr>
            </w:pPr>
            <w:r>
              <w:rPr>
                <w:rFonts w:ascii="宋体" w:hAnsi="宋体"/>
                <w:szCs w:val="21"/>
              </w:rPr>
              <w:t>标立方米/</w:t>
            </w:r>
            <w:r>
              <w:rPr>
                <w:rFonts w:hint="eastAsia" w:ascii="宋体" w:hAnsi="宋体"/>
                <w:szCs w:val="21"/>
              </w:rPr>
              <w:t>万</w:t>
            </w:r>
            <w:r>
              <w:rPr>
                <w:rFonts w:ascii="宋体" w:hAnsi="宋体"/>
                <w:szCs w:val="21"/>
              </w:rPr>
              <w:t>立方米-原料</w:t>
            </w:r>
          </w:p>
        </w:tc>
        <w:tc>
          <w:tcPr>
            <w:tcW w:w="748" w:type="pct"/>
            <w:tcBorders>
              <w:top w:val="single" w:color="auto" w:sz="4" w:space="0"/>
              <w:left w:val="single" w:color="auto" w:sz="2" w:space="0"/>
              <w:bottom w:val="single" w:color="auto" w:sz="4" w:space="0"/>
              <w:right w:val="single" w:color="auto" w:sz="2" w:space="0"/>
            </w:tcBorders>
            <w:vAlign w:val="center"/>
          </w:tcPr>
          <w:p>
            <w:pPr>
              <w:pStyle w:val="63"/>
              <w:rPr>
                <w:rFonts w:ascii="宋体" w:hAnsi="宋体"/>
                <w:szCs w:val="21"/>
              </w:rPr>
            </w:pPr>
            <w:r>
              <w:rPr>
                <w:rFonts w:ascii="宋体" w:hAnsi="宋体"/>
                <w:szCs w:val="21"/>
              </w:rPr>
              <w:t>107753</w:t>
            </w:r>
          </w:p>
        </w:tc>
        <w:tc>
          <w:tcPr>
            <w:tcW w:w="2443" w:type="pct"/>
            <w:tcBorders>
              <w:top w:val="single" w:color="auto" w:sz="4" w:space="0"/>
              <w:left w:val="single" w:color="auto" w:sz="2" w:space="0"/>
              <w:bottom w:val="single" w:color="auto" w:sz="4" w:space="0"/>
              <w:right w:val="nil"/>
            </w:tcBorders>
            <w:vAlign w:val="center"/>
          </w:tcPr>
          <w:p>
            <w:pPr>
              <w:pStyle w:val="63"/>
              <w:rPr>
                <w:szCs w:val="21"/>
              </w:rPr>
            </w:pPr>
            <w:r>
              <w:rPr>
                <w:rFonts w:ascii="宋体" w:hAnsi="宋体"/>
                <w:szCs w:val="21"/>
              </w:rPr>
              <w:t>《第二次全国污染普查产排污核算系数手册（试用版）》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662" w:hRule="atLeast"/>
        </w:trPr>
        <w:tc>
          <w:tcPr>
            <w:tcW w:w="843" w:type="pct"/>
            <w:tcBorders>
              <w:top w:val="single" w:color="auto" w:sz="4" w:space="0"/>
              <w:left w:val="nil"/>
              <w:bottom w:val="single" w:color="auto" w:sz="4" w:space="0"/>
              <w:right w:val="single" w:color="auto" w:sz="2" w:space="0"/>
            </w:tcBorders>
            <w:vAlign w:val="center"/>
          </w:tcPr>
          <w:p>
            <w:pPr>
              <w:pStyle w:val="63"/>
              <w:rPr>
                <w:szCs w:val="21"/>
              </w:rPr>
            </w:pPr>
            <w:r>
              <w:rPr>
                <w:rFonts w:ascii="宋体" w:hAnsi="宋体"/>
                <w:szCs w:val="21"/>
              </w:rPr>
              <w:t>氮氧化物</w:t>
            </w:r>
          </w:p>
        </w:tc>
        <w:tc>
          <w:tcPr>
            <w:tcW w:w="966" w:type="pct"/>
            <w:tcBorders>
              <w:top w:val="single" w:color="auto" w:sz="4" w:space="0"/>
              <w:left w:val="single" w:color="auto" w:sz="2" w:space="0"/>
              <w:bottom w:val="single" w:color="auto" w:sz="4" w:space="0"/>
              <w:right w:val="single" w:color="auto" w:sz="2" w:space="0"/>
            </w:tcBorders>
            <w:vAlign w:val="center"/>
          </w:tcPr>
          <w:p>
            <w:pPr>
              <w:pStyle w:val="63"/>
              <w:rPr>
                <w:rFonts w:ascii="宋体" w:hAnsi="宋体"/>
                <w:szCs w:val="21"/>
              </w:rPr>
            </w:pPr>
            <w:r>
              <w:rPr>
                <w:rFonts w:ascii="宋体" w:hAnsi="宋体"/>
                <w:szCs w:val="21"/>
              </w:rPr>
              <w:t>千克/万立方米-原料</w:t>
            </w:r>
          </w:p>
        </w:tc>
        <w:tc>
          <w:tcPr>
            <w:tcW w:w="748" w:type="pct"/>
            <w:tcBorders>
              <w:top w:val="single" w:color="auto" w:sz="4" w:space="0"/>
              <w:left w:val="single" w:color="auto" w:sz="2" w:space="0"/>
              <w:right w:val="single" w:color="auto" w:sz="2" w:space="0"/>
            </w:tcBorders>
            <w:vAlign w:val="center"/>
          </w:tcPr>
          <w:p>
            <w:pPr>
              <w:pStyle w:val="63"/>
              <w:rPr>
                <w:rFonts w:ascii="宋体" w:hAnsi="宋体"/>
                <w:szCs w:val="21"/>
              </w:rPr>
            </w:pPr>
            <w:r>
              <w:rPr>
                <w:rFonts w:hint="eastAsia" w:ascii="宋体" w:hAnsi="宋体"/>
                <w:szCs w:val="21"/>
              </w:rPr>
              <w:t>18.71</w:t>
            </w:r>
          </w:p>
        </w:tc>
        <w:tc>
          <w:tcPr>
            <w:tcW w:w="2443" w:type="pct"/>
            <w:tcBorders>
              <w:top w:val="single" w:color="auto" w:sz="4" w:space="0"/>
              <w:left w:val="single" w:color="auto" w:sz="2" w:space="0"/>
              <w:bottom w:val="single" w:color="auto" w:sz="4" w:space="0"/>
              <w:right w:val="nil"/>
            </w:tcBorders>
            <w:vAlign w:val="center"/>
          </w:tcPr>
          <w:p>
            <w:pPr>
              <w:pStyle w:val="63"/>
              <w:rPr>
                <w:rFonts w:ascii="宋体" w:hAnsi="宋体"/>
                <w:szCs w:val="21"/>
              </w:rPr>
            </w:pPr>
            <w:r>
              <w:rPr>
                <w:rFonts w:hint="eastAsia" w:ascii="宋体" w:hAnsi="宋体"/>
                <w:szCs w:val="21"/>
              </w:rPr>
              <w:t>《第一次全国污染源普查工业污染物产排污系数手册》工业锅炉产排污系数表</w:t>
            </w:r>
            <w:r>
              <w:rPr>
                <w:rFonts w:ascii="宋体" w:hAnsi="宋体"/>
                <w:szCs w:val="21"/>
              </w:rPr>
              <w:t>-</w:t>
            </w:r>
            <w:r>
              <w:rPr>
                <w:rFonts w:hint="eastAsia" w:ascii="宋体" w:hAnsi="宋体"/>
                <w:szCs w:val="21"/>
              </w:rPr>
              <w:t>燃气工业锅炉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843" w:type="pct"/>
            <w:tcBorders>
              <w:top w:val="single" w:color="auto" w:sz="4" w:space="0"/>
              <w:left w:val="nil"/>
              <w:bottom w:val="single" w:color="auto" w:sz="12" w:space="0"/>
              <w:right w:val="single" w:color="auto" w:sz="2" w:space="0"/>
            </w:tcBorders>
            <w:vAlign w:val="center"/>
          </w:tcPr>
          <w:p>
            <w:pPr>
              <w:pStyle w:val="63"/>
              <w:rPr>
                <w:szCs w:val="21"/>
              </w:rPr>
            </w:pPr>
            <w:r>
              <w:rPr>
                <w:rFonts w:ascii="宋体" w:hAnsi="宋体"/>
                <w:szCs w:val="21"/>
              </w:rPr>
              <w:t>颗粒物</w:t>
            </w:r>
          </w:p>
        </w:tc>
        <w:tc>
          <w:tcPr>
            <w:tcW w:w="966" w:type="pct"/>
            <w:tcBorders>
              <w:top w:val="single" w:color="auto" w:sz="4" w:space="0"/>
              <w:left w:val="single" w:color="auto" w:sz="2" w:space="0"/>
              <w:bottom w:val="single" w:color="auto" w:sz="12" w:space="0"/>
              <w:right w:val="single" w:color="auto" w:sz="2" w:space="0"/>
            </w:tcBorders>
            <w:vAlign w:val="center"/>
          </w:tcPr>
          <w:p>
            <w:pPr>
              <w:pStyle w:val="63"/>
              <w:rPr>
                <w:rFonts w:ascii="宋体" w:hAnsi="宋体"/>
                <w:szCs w:val="21"/>
              </w:rPr>
            </w:pPr>
            <w:r>
              <w:rPr>
                <w:rFonts w:ascii="宋体" w:hAnsi="宋体"/>
                <w:szCs w:val="21"/>
              </w:rPr>
              <w:t>mg/立方米-原料</w:t>
            </w:r>
          </w:p>
        </w:tc>
        <w:tc>
          <w:tcPr>
            <w:tcW w:w="748" w:type="pct"/>
            <w:tcBorders>
              <w:top w:val="single" w:color="auto" w:sz="4" w:space="0"/>
              <w:left w:val="single" w:color="auto" w:sz="2" w:space="0"/>
              <w:bottom w:val="single" w:color="auto" w:sz="12" w:space="0"/>
              <w:right w:val="single" w:color="auto" w:sz="2" w:space="0"/>
            </w:tcBorders>
            <w:vAlign w:val="center"/>
          </w:tcPr>
          <w:p>
            <w:pPr>
              <w:pStyle w:val="63"/>
              <w:rPr>
                <w:rFonts w:ascii="宋体" w:hAnsi="宋体"/>
                <w:szCs w:val="21"/>
              </w:rPr>
            </w:pPr>
            <w:r>
              <w:rPr>
                <w:rFonts w:ascii="宋体" w:hAnsi="宋体"/>
                <w:szCs w:val="21"/>
              </w:rPr>
              <w:t>103.9</w:t>
            </w:r>
          </w:p>
        </w:tc>
        <w:tc>
          <w:tcPr>
            <w:tcW w:w="2443" w:type="pct"/>
            <w:tcBorders>
              <w:top w:val="single" w:color="auto" w:sz="4" w:space="0"/>
              <w:left w:val="single" w:color="auto" w:sz="2" w:space="0"/>
              <w:bottom w:val="single" w:color="auto" w:sz="4" w:space="0"/>
              <w:right w:val="nil"/>
            </w:tcBorders>
            <w:vAlign w:val="center"/>
          </w:tcPr>
          <w:p>
            <w:pPr>
              <w:pStyle w:val="63"/>
              <w:rPr>
                <w:rFonts w:ascii="宋体" w:hAnsi="宋体"/>
                <w:szCs w:val="21"/>
              </w:rPr>
            </w:pPr>
            <w:r>
              <w:rPr>
                <w:rFonts w:ascii="宋体" w:hAnsi="宋体"/>
                <w:szCs w:val="21"/>
              </w:rPr>
              <w:t>《第二次全国污染普查产排污核算系数手册（试用版）》燃气发电机</w:t>
            </w:r>
          </w:p>
        </w:tc>
      </w:tr>
    </w:tbl>
    <w:p>
      <w:pPr>
        <w:pStyle w:val="214"/>
        <w:ind w:firstLine="480"/>
      </w:pPr>
      <w:r>
        <w:rPr>
          <w:rFonts w:hint="eastAsia"/>
        </w:rPr>
        <w:t>根据放空</w:t>
      </w:r>
      <w:r>
        <w:t>天然气总量及上表产污系数</w:t>
      </w:r>
      <w:r>
        <w:rPr>
          <w:rFonts w:hint="eastAsia"/>
        </w:rPr>
        <w:t>，</w:t>
      </w:r>
      <w:r>
        <w:t>计算放空</w:t>
      </w:r>
      <w:r>
        <w:rPr>
          <w:rFonts w:hint="eastAsia"/>
        </w:rPr>
        <w:t>燃气</w:t>
      </w:r>
      <w:r>
        <w:t>产污量见下表。</w:t>
      </w:r>
    </w:p>
    <w:p>
      <w:pPr>
        <w:pStyle w:val="250"/>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3</w:t>
      </w:r>
      <w:r>
        <w:fldChar w:fldCharType="end"/>
      </w:r>
      <w:r>
        <w:t xml:space="preserve">  </w:t>
      </w:r>
      <w:r>
        <w:rPr>
          <w:rFonts w:hint="eastAsia"/>
        </w:rPr>
        <w:t>放空燃气污染物产生</w:t>
      </w:r>
      <w:r>
        <w:t>量</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85"/>
        <w:gridCol w:w="2185"/>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vAlign w:val="center"/>
          </w:tcPr>
          <w:p>
            <w:pPr>
              <w:widowControl/>
              <w:spacing w:line="240" w:lineRule="auto"/>
              <w:ind w:firstLine="0" w:firstLineChars="0"/>
              <w:jc w:val="center"/>
              <w:rPr>
                <w:b/>
                <w:bCs/>
                <w:sz w:val="21"/>
              </w:rPr>
            </w:pPr>
            <w:r>
              <w:rPr>
                <w:rFonts w:hint="eastAsia"/>
                <w:b/>
                <w:bCs/>
                <w:sz w:val="21"/>
              </w:rPr>
              <w:t>污染物</w:t>
            </w:r>
          </w:p>
        </w:tc>
        <w:tc>
          <w:tcPr>
            <w:tcW w:w="1281" w:type="pct"/>
            <w:vAlign w:val="center"/>
          </w:tcPr>
          <w:p>
            <w:pPr>
              <w:pStyle w:val="63"/>
              <w:rPr>
                <w:bCs/>
              </w:rPr>
            </w:pPr>
            <w:r>
              <w:rPr>
                <w:rFonts w:ascii="宋体" w:hAnsi="宋体"/>
                <w:bCs/>
              </w:rPr>
              <w:t>烟气量</w:t>
            </w:r>
            <w:r>
              <w:rPr>
                <w:rFonts w:hint="eastAsia" w:ascii="宋体" w:hAnsi="宋体"/>
                <w:bCs/>
              </w:rPr>
              <w:t>/</w:t>
            </w:r>
            <w:r>
              <w:rPr>
                <w:bCs/>
              </w:rPr>
              <w:t>m</w:t>
            </w:r>
            <w:r>
              <w:rPr>
                <w:bCs/>
                <w:vertAlign w:val="superscript"/>
              </w:rPr>
              <w:t>3</w:t>
            </w:r>
          </w:p>
        </w:tc>
        <w:tc>
          <w:tcPr>
            <w:tcW w:w="1248" w:type="pct"/>
            <w:vAlign w:val="center"/>
          </w:tcPr>
          <w:p>
            <w:pPr>
              <w:pStyle w:val="63"/>
              <w:rPr>
                <w:b/>
                <w:bCs/>
              </w:rPr>
            </w:pPr>
            <w:r>
              <w:rPr>
                <w:rFonts w:ascii="宋体" w:hAnsi="宋体"/>
              </w:rPr>
              <w:t>颗粒物</w:t>
            </w:r>
            <w:r>
              <w:rPr>
                <w:rFonts w:hint="eastAsia"/>
              </w:rPr>
              <w:t>/kg</w:t>
            </w:r>
          </w:p>
        </w:tc>
        <w:tc>
          <w:tcPr>
            <w:tcW w:w="1248" w:type="pct"/>
          </w:tcPr>
          <w:p>
            <w:pPr>
              <w:pStyle w:val="63"/>
              <w:rPr>
                <w:rFonts w:ascii="宋体" w:hAnsi="宋体"/>
              </w:rPr>
            </w:pPr>
            <w:r>
              <w:t>NO</w:t>
            </w:r>
            <w:r>
              <w:rPr>
                <w:vertAlign w:val="subscript"/>
              </w:rPr>
              <w:t>X</w:t>
            </w:r>
            <w:r>
              <w:rPr>
                <w:rFonts w:hint="eastAsia"/>
              </w:rPr>
              <w:t>/kg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vAlign w:val="center"/>
          </w:tcPr>
          <w:p>
            <w:pPr>
              <w:pStyle w:val="63"/>
            </w:pPr>
            <w:r>
              <w:rPr>
                <w:rFonts w:ascii="宋体" w:hAnsi="宋体"/>
                <w:b/>
                <w:bCs/>
              </w:rPr>
              <w:t>产生量</w:t>
            </w:r>
            <w:r>
              <w:t xml:space="preserve"> </w:t>
            </w:r>
          </w:p>
        </w:tc>
        <w:tc>
          <w:tcPr>
            <w:tcW w:w="1281" w:type="pct"/>
            <w:vAlign w:val="center"/>
          </w:tcPr>
          <w:p>
            <w:pPr>
              <w:pStyle w:val="63"/>
            </w:pPr>
            <w:r>
              <w:t>5388</w:t>
            </w:r>
          </w:p>
        </w:tc>
        <w:tc>
          <w:tcPr>
            <w:tcW w:w="1248" w:type="pct"/>
            <w:vAlign w:val="center"/>
          </w:tcPr>
          <w:p>
            <w:pPr>
              <w:pStyle w:val="63"/>
            </w:pPr>
            <w:r>
              <w:rPr>
                <w:rFonts w:hint="eastAsia"/>
              </w:rPr>
              <w:t>0</w:t>
            </w:r>
            <w:r>
              <w:t>.052</w:t>
            </w:r>
          </w:p>
        </w:tc>
        <w:tc>
          <w:tcPr>
            <w:tcW w:w="1248" w:type="pct"/>
          </w:tcPr>
          <w:p>
            <w:pPr>
              <w:pStyle w:val="63"/>
            </w:pPr>
            <w:r>
              <w:rPr>
                <w:rFonts w:hint="eastAsia"/>
              </w:rPr>
              <w:t>0.9355</w:t>
            </w:r>
          </w:p>
        </w:tc>
      </w:tr>
    </w:tbl>
    <w:p>
      <w:pPr>
        <w:pStyle w:val="214"/>
        <w:ind w:firstLine="480"/>
      </w:pPr>
      <w:r>
        <w:rPr>
          <w:rFonts w:hint="eastAsia"/>
        </w:rPr>
        <w:t>根据</w:t>
      </w:r>
      <w:r>
        <w:t>上表</w:t>
      </w:r>
      <w:r>
        <w:rPr>
          <w:rFonts w:hint="eastAsia"/>
        </w:rPr>
        <w:t>计算</w:t>
      </w:r>
      <w:r>
        <w:t>结果，</w:t>
      </w:r>
      <w:r>
        <w:rPr>
          <w:rFonts w:hint="eastAsia"/>
        </w:rPr>
        <w:t>放空作业</w:t>
      </w:r>
      <w:r>
        <w:t>时管道内的天然气</w:t>
      </w:r>
      <w:r>
        <w:rPr>
          <w:rFonts w:hint="eastAsia"/>
        </w:rPr>
        <w:t>经</w:t>
      </w:r>
      <w:r>
        <w:t>燃烧后，产生的颗粒物及氮氧化物的量很少</w:t>
      </w:r>
      <w:r>
        <w:rPr>
          <w:rFonts w:hint="eastAsia"/>
        </w:rPr>
        <w:t>，</w:t>
      </w:r>
      <w:r>
        <w:t>对</w:t>
      </w:r>
      <w:r>
        <w:rPr>
          <w:rFonts w:hint="eastAsia"/>
        </w:rPr>
        <w:t>大气</w:t>
      </w:r>
      <w:r>
        <w:t>环境影响</w:t>
      </w:r>
      <w:r>
        <w:rPr>
          <w:rFonts w:hint="eastAsia"/>
        </w:rPr>
        <w:t>甚微</w:t>
      </w:r>
      <w:r>
        <w:t>。</w:t>
      </w:r>
    </w:p>
    <w:p>
      <w:pPr>
        <w:pStyle w:val="6"/>
      </w:pPr>
      <w:r>
        <w:rPr>
          <w:rFonts w:hint="eastAsia"/>
        </w:rPr>
        <w:t xml:space="preserve"> </w:t>
      </w:r>
      <w:r>
        <w:t>废水</w:t>
      </w:r>
    </w:p>
    <w:p>
      <w:pPr>
        <w:ind w:firstLine="480"/>
        <w:rPr>
          <w:rFonts w:cs="Times New Roman"/>
          <w:b/>
        </w:rPr>
      </w:pPr>
      <w:r>
        <w:rPr>
          <w:rFonts w:hint="eastAsia"/>
        </w:rPr>
        <w:t>管道施工期废水主要来自施工人员在施工作业中产生的生活污水，车辆、机械设备的冲洗废水，管道安装完后清管试压排放的废水。</w:t>
      </w:r>
    </w:p>
    <w:p>
      <w:pPr>
        <w:ind w:firstLine="482"/>
        <w:rPr>
          <w:rFonts w:cs="Times New Roman"/>
          <w:b/>
        </w:rPr>
      </w:pPr>
      <w:r>
        <w:rPr>
          <w:rFonts w:hint="eastAsia" w:cs="Times New Roman"/>
          <w:b/>
        </w:rPr>
        <w:t>（1）生活污水</w:t>
      </w:r>
    </w:p>
    <w:p>
      <w:pPr>
        <w:ind w:firstLine="480"/>
        <w:rPr>
          <w:rFonts w:cs="Times New Roman"/>
          <w:b/>
        </w:rPr>
      </w:pPr>
      <w:r>
        <w:rPr>
          <w:rFonts w:hint="eastAsia"/>
        </w:rPr>
        <w:t>本项目施工高峰期施工人员30人，生活用水量以80L/人·d，排污系数0.85计，则施工期生活污水产生量为2.04m</w:t>
      </w:r>
      <w:r>
        <w:rPr>
          <w:rFonts w:hint="eastAsia"/>
          <w:vertAlign w:val="superscript"/>
        </w:rPr>
        <w:t>3</w:t>
      </w:r>
      <w:r>
        <w:rPr>
          <w:rFonts w:hint="eastAsia"/>
        </w:rPr>
        <w:t>/d。主要污染物为CODcr、BOD</w:t>
      </w:r>
      <w:r>
        <w:rPr>
          <w:rFonts w:hint="eastAsia"/>
          <w:vertAlign w:val="subscript"/>
        </w:rPr>
        <w:t>5</w:t>
      </w:r>
      <w:r>
        <w:rPr>
          <w:rFonts w:hint="eastAsia"/>
        </w:rPr>
        <w:t>、NH</w:t>
      </w:r>
      <w:r>
        <w:rPr>
          <w:rFonts w:hint="eastAsia"/>
          <w:vertAlign w:val="subscript"/>
        </w:rPr>
        <w:t>3</w:t>
      </w:r>
      <w:r>
        <w:rPr>
          <w:rFonts w:hint="eastAsia"/>
        </w:rPr>
        <w:t>-N、SS，污水中主要污染物浓度为：CODcr：250mg/L、BOD</w:t>
      </w:r>
      <w:r>
        <w:rPr>
          <w:rFonts w:hint="eastAsia"/>
          <w:vertAlign w:val="subscript"/>
        </w:rPr>
        <w:t>5</w:t>
      </w:r>
      <w:r>
        <w:rPr>
          <w:rFonts w:hint="eastAsia"/>
        </w:rPr>
        <w:t>：180mg/L、NH</w:t>
      </w:r>
      <w:r>
        <w:rPr>
          <w:rFonts w:hint="eastAsia"/>
          <w:vertAlign w:val="subscript"/>
        </w:rPr>
        <w:t>3</w:t>
      </w:r>
      <w:r>
        <w:rPr>
          <w:rFonts w:hint="eastAsia"/>
        </w:rPr>
        <w:t>-N：25mg/L、SS：150mg/L。</w:t>
      </w:r>
    </w:p>
    <w:p>
      <w:pPr>
        <w:pStyle w:val="53"/>
        <w:ind w:firstLine="482"/>
      </w:pPr>
      <w:r>
        <w:rPr>
          <w:rFonts w:hint="eastAsia"/>
        </w:rPr>
        <w:t>防治措施：</w:t>
      </w:r>
    </w:p>
    <w:p>
      <w:pPr>
        <w:ind w:firstLine="480"/>
      </w:pPr>
      <w:r>
        <w:rPr>
          <w:rFonts w:hint="eastAsia"/>
        </w:rPr>
        <w:t>项目施工期不设置旱厕，上述人员产生的生活污水利用周边农户已有化粪池进行收集处置，据调查目前周边农户将化粪池处理后的生活污水用于农田施肥，综合利用，不外排。项目采取分段施工，具有较大的分散性，局部排放量很小，因此，对项目区域地表水影响较小。</w:t>
      </w:r>
    </w:p>
    <w:p>
      <w:pPr>
        <w:ind w:firstLine="482"/>
        <w:rPr>
          <w:b/>
          <w:bCs/>
        </w:rPr>
      </w:pPr>
      <w:r>
        <w:rPr>
          <w:rFonts w:hint="eastAsia"/>
          <w:b/>
        </w:rPr>
        <w:t>（2）</w:t>
      </w:r>
      <w:r>
        <w:rPr>
          <w:rFonts w:hint="eastAsia"/>
          <w:b/>
          <w:bCs/>
        </w:rPr>
        <w:t>试压废水</w:t>
      </w:r>
    </w:p>
    <w:p>
      <w:pPr>
        <w:ind w:firstLine="480"/>
      </w:pPr>
      <w:r>
        <w:rPr>
          <w:rFonts w:hint="eastAsia"/>
        </w:rPr>
        <w:t>管道工程分段试压测试管道的强度和严密性，本项目工程管道试压使用洁净水分段进行试压。项目管道总计约2km，管道试压废水总量约</w:t>
      </w:r>
      <w:r>
        <w:t>98</w:t>
      </w:r>
      <w:r>
        <w:rPr>
          <w:rFonts w:hint="eastAsia"/>
        </w:rPr>
        <w:t>m</w:t>
      </w:r>
      <w:r>
        <w:rPr>
          <w:rFonts w:hint="eastAsia"/>
          <w:vertAlign w:val="superscript"/>
        </w:rPr>
        <w:t>3</w:t>
      </w:r>
      <w:r>
        <w:rPr>
          <w:rFonts w:hint="eastAsia"/>
        </w:rPr>
        <w:t>。</w:t>
      </w:r>
    </w:p>
    <w:p>
      <w:pPr>
        <w:ind w:firstLine="482"/>
        <w:rPr>
          <w:b/>
          <w:bCs/>
        </w:rPr>
      </w:pPr>
      <w:r>
        <w:rPr>
          <w:rFonts w:hint="eastAsia"/>
          <w:b/>
          <w:bCs/>
        </w:rPr>
        <w:t>防治措施：</w:t>
      </w:r>
    </w:p>
    <w:p>
      <w:pPr>
        <w:ind w:firstLine="480"/>
      </w:pPr>
      <w:r>
        <w:rPr>
          <w:rFonts w:hint="eastAsia"/>
        </w:rPr>
        <w:t>由于在试压前已用压缩空气进行过清管处理，试压废水中除含有少量悬浮物外，没有其他污染物。由于污染物相对简单，这部分废水在排水口处挖一个沉淀池，处置方式一般是在分段试压末端经沉淀池沉淀后用于施工场地、施工便道及临时材料堆场洒水降尘。</w:t>
      </w:r>
    </w:p>
    <w:p>
      <w:pPr>
        <w:pStyle w:val="6"/>
      </w:pPr>
      <w:r>
        <w:rPr>
          <w:rFonts w:hint="eastAsia"/>
        </w:rPr>
        <w:t xml:space="preserve"> 噪声</w:t>
      </w:r>
    </w:p>
    <w:p>
      <w:pPr>
        <w:ind w:firstLine="480"/>
      </w:pPr>
      <w:r>
        <w:rPr>
          <w:rFonts w:hint="eastAsia"/>
        </w:rPr>
        <w:t>施工期噪声主要来自于各种施工机械、设备和车辆运输产生的作业噪声。施工过程中，不同的阶段会使用不同的机械设备，使施工现场产生的噪声具有强度较高、无规则、不连续等特点。其强度与施工机械的功率、工作状态等因素有关，施工机械噪声源类比强度见下表。</w:t>
      </w:r>
    </w:p>
    <w:p>
      <w:pPr>
        <w:pStyle w:val="73"/>
        <w:ind w:firstLine="480"/>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4</w:t>
      </w:r>
      <w:r>
        <w:fldChar w:fldCharType="end"/>
      </w:r>
      <w:r>
        <w:t xml:space="preserve">  施工噪声声源强度</w:t>
      </w:r>
    </w:p>
    <w:tbl>
      <w:tblPr>
        <w:tblStyle w:val="246"/>
        <w:tblW w:w="83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551"/>
        <w:gridCol w:w="1985"/>
        <w:gridCol w:w="28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59" w:type="dxa"/>
            <w:tcBorders>
              <w:top w:val="single" w:color="auto" w:sz="12" w:space="0"/>
              <w:left w:val="nil"/>
            </w:tcBorders>
            <w:vAlign w:val="center"/>
          </w:tcPr>
          <w:p>
            <w:pPr>
              <w:pStyle w:val="63"/>
              <w:rPr>
                <w:b/>
              </w:rPr>
            </w:pPr>
            <w:r>
              <w:rPr>
                <w:b/>
              </w:rPr>
              <w:t>序号</w:t>
            </w:r>
          </w:p>
        </w:tc>
        <w:tc>
          <w:tcPr>
            <w:tcW w:w="2551" w:type="dxa"/>
            <w:tcBorders>
              <w:top w:val="single" w:color="auto" w:sz="12" w:space="0"/>
            </w:tcBorders>
            <w:vAlign w:val="center"/>
          </w:tcPr>
          <w:p>
            <w:pPr>
              <w:pStyle w:val="63"/>
              <w:rPr>
                <w:b/>
              </w:rPr>
            </w:pPr>
            <w:r>
              <w:rPr>
                <w:b/>
              </w:rPr>
              <w:t>机械、车辆类型</w:t>
            </w:r>
          </w:p>
        </w:tc>
        <w:tc>
          <w:tcPr>
            <w:tcW w:w="1985" w:type="dxa"/>
            <w:tcBorders>
              <w:top w:val="single" w:color="auto" w:sz="12" w:space="0"/>
            </w:tcBorders>
            <w:vAlign w:val="center"/>
          </w:tcPr>
          <w:p>
            <w:pPr>
              <w:pStyle w:val="63"/>
              <w:rPr>
                <w:b/>
              </w:rPr>
            </w:pPr>
            <w:r>
              <w:rPr>
                <w:b/>
              </w:rPr>
              <w:t>测点位置（</w:t>
            </w:r>
            <w:r>
              <w:rPr>
                <w:rFonts w:hint="eastAsia"/>
                <w:b/>
              </w:rPr>
              <w:t>m</w:t>
            </w:r>
            <w:r>
              <w:rPr>
                <w:b/>
              </w:rPr>
              <w:t>）</w:t>
            </w:r>
          </w:p>
        </w:tc>
        <w:tc>
          <w:tcPr>
            <w:tcW w:w="2897" w:type="dxa"/>
            <w:tcBorders>
              <w:top w:val="single" w:color="auto" w:sz="12" w:space="0"/>
            </w:tcBorders>
            <w:vAlign w:val="center"/>
          </w:tcPr>
          <w:p>
            <w:pPr>
              <w:pStyle w:val="63"/>
              <w:rPr>
                <w:b/>
              </w:rPr>
            </w:pPr>
            <w:r>
              <w:rPr>
                <w:rFonts w:hint="eastAsia"/>
                <w:b/>
              </w:rPr>
              <w:t>噪声值（</w:t>
            </w:r>
            <w:r>
              <w:rPr>
                <w:b/>
              </w:rPr>
              <w:t>dB</w:t>
            </w:r>
            <w:r>
              <w:rPr>
                <w:rFonts w:hint="eastAsia"/>
                <w:b/>
              </w:rPr>
              <w:t>（</w:t>
            </w:r>
            <w:r>
              <w:rPr>
                <w:b/>
              </w:rPr>
              <w:t>A</w:t>
            </w:r>
            <w:r>
              <w:rPr>
                <w:rFonts w:hint="eastAsia"/>
                <w:b/>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59" w:type="dxa"/>
            <w:tcBorders>
              <w:left w:val="nil"/>
            </w:tcBorders>
          </w:tcPr>
          <w:p>
            <w:pPr>
              <w:pStyle w:val="63"/>
            </w:pPr>
            <w:r>
              <w:rPr>
                <w:rFonts w:hint="eastAsia"/>
              </w:rPr>
              <w:t>1</w:t>
            </w:r>
          </w:p>
        </w:tc>
        <w:tc>
          <w:tcPr>
            <w:tcW w:w="2551" w:type="dxa"/>
          </w:tcPr>
          <w:p>
            <w:pPr>
              <w:pStyle w:val="63"/>
            </w:pPr>
            <w:r>
              <w:rPr>
                <w:rFonts w:hint="eastAsia"/>
              </w:rPr>
              <w:t>挖掘机</w:t>
            </w:r>
          </w:p>
        </w:tc>
        <w:tc>
          <w:tcPr>
            <w:tcW w:w="1985" w:type="dxa"/>
          </w:tcPr>
          <w:p>
            <w:pPr>
              <w:pStyle w:val="63"/>
            </w:pPr>
            <w:r>
              <w:t>5</w:t>
            </w:r>
          </w:p>
        </w:tc>
        <w:tc>
          <w:tcPr>
            <w:tcW w:w="2897" w:type="dxa"/>
          </w:tcPr>
          <w:p>
            <w:pPr>
              <w:pStyle w:val="63"/>
            </w:pPr>
            <w:r>
              <w:rPr>
                <w:rFonts w:hint="eastAsia"/>
              </w:rPr>
              <w:t>8</w:t>
            </w:r>
            <w: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59" w:type="dxa"/>
            <w:tcBorders>
              <w:left w:val="nil"/>
            </w:tcBorders>
          </w:tcPr>
          <w:p>
            <w:pPr>
              <w:pStyle w:val="63"/>
            </w:pPr>
            <w:r>
              <w:rPr>
                <w:rFonts w:hint="eastAsia"/>
              </w:rPr>
              <w:t>2</w:t>
            </w:r>
          </w:p>
        </w:tc>
        <w:tc>
          <w:tcPr>
            <w:tcW w:w="2551" w:type="dxa"/>
          </w:tcPr>
          <w:p>
            <w:pPr>
              <w:pStyle w:val="63"/>
            </w:pPr>
            <w:r>
              <w:rPr>
                <w:rFonts w:hint="eastAsia"/>
              </w:rPr>
              <w:t>推土机</w:t>
            </w:r>
          </w:p>
        </w:tc>
        <w:tc>
          <w:tcPr>
            <w:tcW w:w="1985" w:type="dxa"/>
          </w:tcPr>
          <w:p>
            <w:pPr>
              <w:pStyle w:val="63"/>
            </w:pPr>
            <w:r>
              <w:rPr>
                <w:rFonts w:hint="eastAsia"/>
              </w:rPr>
              <w:t>5</w:t>
            </w:r>
          </w:p>
        </w:tc>
        <w:tc>
          <w:tcPr>
            <w:tcW w:w="2897" w:type="dxa"/>
          </w:tcPr>
          <w:p>
            <w:pPr>
              <w:pStyle w:val="63"/>
            </w:pPr>
            <w:r>
              <w:rPr>
                <w:rFonts w:hint="eastAsia"/>
              </w:rPr>
              <w:t>8</w:t>
            </w:r>
            <w: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59" w:type="dxa"/>
            <w:tcBorders>
              <w:left w:val="nil"/>
            </w:tcBorders>
          </w:tcPr>
          <w:p>
            <w:pPr>
              <w:pStyle w:val="63"/>
            </w:pPr>
            <w:r>
              <w:rPr>
                <w:rFonts w:hint="eastAsia"/>
              </w:rPr>
              <w:t>3</w:t>
            </w:r>
          </w:p>
        </w:tc>
        <w:tc>
          <w:tcPr>
            <w:tcW w:w="2551" w:type="dxa"/>
          </w:tcPr>
          <w:p>
            <w:pPr>
              <w:pStyle w:val="63"/>
            </w:pPr>
            <w:r>
              <w:rPr>
                <w:rFonts w:hint="eastAsia"/>
              </w:rPr>
              <w:t>电焊机</w:t>
            </w:r>
          </w:p>
        </w:tc>
        <w:tc>
          <w:tcPr>
            <w:tcW w:w="1985" w:type="dxa"/>
          </w:tcPr>
          <w:p>
            <w:pPr>
              <w:pStyle w:val="63"/>
            </w:pPr>
            <w:r>
              <w:rPr>
                <w:rFonts w:hint="eastAsia"/>
              </w:rPr>
              <w:t>1</w:t>
            </w:r>
          </w:p>
        </w:tc>
        <w:tc>
          <w:tcPr>
            <w:tcW w:w="2897" w:type="dxa"/>
          </w:tcPr>
          <w:p>
            <w:pPr>
              <w:pStyle w:val="63"/>
            </w:pPr>
            <w:r>
              <w:rPr>
                <w:rFonts w:hint="eastAsia"/>
              </w:rPr>
              <w:t>8</w:t>
            </w:r>
            <w: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59" w:type="dxa"/>
            <w:tcBorders>
              <w:left w:val="nil"/>
            </w:tcBorders>
          </w:tcPr>
          <w:p>
            <w:pPr>
              <w:pStyle w:val="63"/>
            </w:pPr>
            <w:r>
              <w:rPr>
                <w:rFonts w:hint="eastAsia"/>
              </w:rPr>
              <w:t>4</w:t>
            </w:r>
          </w:p>
        </w:tc>
        <w:tc>
          <w:tcPr>
            <w:tcW w:w="2551" w:type="dxa"/>
          </w:tcPr>
          <w:p>
            <w:pPr>
              <w:pStyle w:val="63"/>
            </w:pPr>
            <w:r>
              <w:t>轮式装载车</w:t>
            </w:r>
          </w:p>
        </w:tc>
        <w:tc>
          <w:tcPr>
            <w:tcW w:w="1985" w:type="dxa"/>
          </w:tcPr>
          <w:p>
            <w:pPr>
              <w:pStyle w:val="63"/>
            </w:pPr>
            <w:r>
              <w:rPr>
                <w:rFonts w:hint="eastAsia"/>
              </w:rPr>
              <w:t>5</w:t>
            </w:r>
          </w:p>
        </w:tc>
        <w:tc>
          <w:tcPr>
            <w:tcW w:w="2897" w:type="dxa"/>
          </w:tcPr>
          <w:p>
            <w:pPr>
              <w:pStyle w:val="63"/>
            </w:pPr>
            <w:r>
              <w:rPr>
                <w:rFonts w:hint="eastAsia"/>
              </w:rPr>
              <w:t>9</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59" w:type="dxa"/>
            <w:tcBorders>
              <w:left w:val="nil"/>
            </w:tcBorders>
          </w:tcPr>
          <w:p>
            <w:pPr>
              <w:pStyle w:val="63"/>
            </w:pPr>
            <w:r>
              <w:rPr>
                <w:rFonts w:hint="eastAsia"/>
              </w:rPr>
              <w:t>5</w:t>
            </w:r>
          </w:p>
        </w:tc>
        <w:tc>
          <w:tcPr>
            <w:tcW w:w="2551" w:type="dxa"/>
          </w:tcPr>
          <w:p>
            <w:pPr>
              <w:pStyle w:val="63"/>
            </w:pPr>
            <w:r>
              <w:rPr>
                <w:rFonts w:hint="eastAsia"/>
              </w:rPr>
              <w:t>吊管机</w:t>
            </w:r>
          </w:p>
        </w:tc>
        <w:tc>
          <w:tcPr>
            <w:tcW w:w="1985" w:type="dxa"/>
          </w:tcPr>
          <w:p>
            <w:pPr>
              <w:pStyle w:val="63"/>
            </w:pPr>
            <w:r>
              <w:rPr>
                <w:rFonts w:hint="eastAsia"/>
              </w:rPr>
              <w:t>5</w:t>
            </w:r>
          </w:p>
        </w:tc>
        <w:tc>
          <w:tcPr>
            <w:tcW w:w="2897" w:type="dxa"/>
          </w:tcPr>
          <w:p>
            <w:pPr>
              <w:pStyle w:val="63"/>
            </w:pPr>
            <w:r>
              <w:rPr>
                <w:rFonts w:hint="eastAsia"/>
              </w:rPr>
              <w:t>8</w:t>
            </w: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59" w:type="dxa"/>
            <w:tcBorders>
              <w:left w:val="nil"/>
            </w:tcBorders>
          </w:tcPr>
          <w:p>
            <w:pPr>
              <w:pStyle w:val="63"/>
            </w:pPr>
            <w:r>
              <w:t>6</w:t>
            </w:r>
          </w:p>
        </w:tc>
        <w:tc>
          <w:tcPr>
            <w:tcW w:w="2551" w:type="dxa"/>
          </w:tcPr>
          <w:p>
            <w:pPr>
              <w:pStyle w:val="63"/>
            </w:pPr>
            <w:r>
              <w:rPr>
                <w:rFonts w:hint="eastAsia"/>
              </w:rPr>
              <w:t>柴油发电机</w:t>
            </w:r>
          </w:p>
        </w:tc>
        <w:tc>
          <w:tcPr>
            <w:tcW w:w="1985" w:type="dxa"/>
          </w:tcPr>
          <w:p>
            <w:pPr>
              <w:pStyle w:val="63"/>
            </w:pPr>
            <w:r>
              <w:rPr>
                <w:rFonts w:hint="eastAsia"/>
              </w:rPr>
              <w:t>1</w:t>
            </w:r>
          </w:p>
        </w:tc>
        <w:tc>
          <w:tcPr>
            <w:tcW w:w="2897" w:type="dxa"/>
          </w:tcPr>
          <w:p>
            <w:pPr>
              <w:pStyle w:val="63"/>
            </w:pPr>
            <w:r>
              <w:rPr>
                <w:rFonts w:hint="eastAsia"/>
              </w:rPr>
              <w:t>9</w:t>
            </w:r>
            <w:r>
              <w:t>8</w:t>
            </w:r>
          </w:p>
        </w:tc>
      </w:tr>
    </w:tbl>
    <w:p>
      <w:pPr>
        <w:pStyle w:val="53"/>
        <w:ind w:firstLine="482"/>
      </w:pPr>
      <w:r>
        <w:rPr>
          <w:rFonts w:hint="eastAsia"/>
        </w:rPr>
        <w:t>防治措施：</w:t>
      </w:r>
    </w:p>
    <w:p>
      <w:pPr>
        <w:ind w:firstLine="480"/>
      </w:pPr>
      <w:r>
        <w:rPr>
          <w:rFonts w:hint="eastAsia"/>
        </w:rPr>
        <w:t>①合理安排作业时间，避开敏感时段施工，避免大量高噪声设备同时运行；严禁夜间（22:00-6:00）、午间（12:00-2:00）进行施工作业，确保噪声不扰民。若必须连续施工作业的工点，施工单位应视具体情况及时与环保部门取得联系，按规定申领夜间施工证，同时发布公告最大限度地争取民众支持。</w:t>
      </w:r>
    </w:p>
    <w:p>
      <w:pPr>
        <w:ind w:firstLine="480"/>
      </w:pPr>
      <w:r>
        <w:rPr>
          <w:rFonts w:hint="eastAsia"/>
        </w:rPr>
        <w:t>②施工设备尽量采用先进低噪声设备，对产生噪声的施工设备加强维护和维修工作。</w:t>
      </w:r>
    </w:p>
    <w:p>
      <w:pPr>
        <w:ind w:firstLine="480"/>
      </w:pPr>
      <w:r>
        <w:rPr>
          <w:rFonts w:hint="eastAsia"/>
        </w:rPr>
        <w:t>③优化运输方案，机械车辆途经居住区时必须减速慢行，禁鸣喇叭。</w:t>
      </w:r>
    </w:p>
    <w:p>
      <w:pPr>
        <w:ind w:firstLine="480"/>
      </w:pPr>
      <w:r>
        <w:rPr>
          <w:rFonts w:hint="eastAsia"/>
        </w:rPr>
        <w:t>④合理布置施工场地，适当控制机械作业密度，条件允许时拉开一定距离，避免形成噪声叠加。</w:t>
      </w:r>
    </w:p>
    <w:p>
      <w:pPr>
        <w:ind w:firstLine="480"/>
      </w:pPr>
      <w:r>
        <w:rPr>
          <w:rFonts w:hint="eastAsia"/>
        </w:rPr>
        <w:t>⑤对于敏感地点附近的施工作业，修建临时隔声屏障等。</w:t>
      </w:r>
    </w:p>
    <w:p>
      <w:pPr>
        <w:ind w:firstLine="480"/>
      </w:pPr>
      <w:r>
        <w:rPr>
          <w:rFonts w:hint="eastAsia"/>
        </w:rPr>
        <w:t>⑥采用集中力量、逐段施工方法，缩短施工周期，减轻施工噪声对局部地段声环境的影响。</w:t>
      </w:r>
    </w:p>
    <w:p>
      <w:pPr>
        <w:pStyle w:val="6"/>
      </w:pPr>
      <w:r>
        <w:rPr>
          <w:rFonts w:hint="eastAsia"/>
        </w:rPr>
        <w:t xml:space="preserve"> 固体废物</w:t>
      </w:r>
    </w:p>
    <w:p>
      <w:pPr>
        <w:ind w:firstLine="480"/>
      </w:pPr>
      <w:r>
        <w:rPr>
          <w:rFonts w:hint="eastAsia"/>
        </w:rPr>
        <w:t>施工期产生的固体废物主要为生活垃圾、施工废料、清管废渣以及工程弃土弃渣等。</w:t>
      </w:r>
    </w:p>
    <w:p>
      <w:pPr>
        <w:ind w:firstLine="482"/>
        <w:rPr>
          <w:b/>
        </w:rPr>
      </w:pPr>
      <w:r>
        <w:rPr>
          <w:rFonts w:hint="eastAsia"/>
          <w:b/>
        </w:rPr>
        <w:t>（1）生活垃圾</w:t>
      </w:r>
    </w:p>
    <w:p>
      <w:pPr>
        <w:ind w:firstLine="480"/>
      </w:pPr>
      <w:r>
        <w:rPr>
          <w:rFonts w:hint="eastAsia"/>
        </w:rPr>
        <w:t>本项目的生活垃圾主要是施工作业人员和工地管理人员在施工现场产生的塑料、废纸和果皮等，高峰时施工场地人数30人，生活垃圾按0.5kg/d·人计算，则施工期生活垃圾产生量约为15kg/d。</w:t>
      </w:r>
    </w:p>
    <w:p>
      <w:pPr>
        <w:pStyle w:val="53"/>
        <w:ind w:firstLine="482"/>
      </w:pPr>
      <w:r>
        <w:rPr>
          <w:rFonts w:hint="eastAsia"/>
        </w:rPr>
        <w:t>防治措施：</w:t>
      </w:r>
    </w:p>
    <w:p>
      <w:pPr>
        <w:ind w:firstLine="480"/>
      </w:pPr>
      <w:r>
        <w:rPr>
          <w:rFonts w:hint="eastAsia"/>
        </w:rPr>
        <w:t>生活垃圾经袋装收集后，交由当地环卫部门统一清运处理。项目采取分段施工，具有较大的分散性，局部排放量很小。</w:t>
      </w:r>
    </w:p>
    <w:p>
      <w:pPr>
        <w:ind w:firstLine="482"/>
        <w:rPr>
          <w:b/>
        </w:rPr>
      </w:pPr>
      <w:r>
        <w:rPr>
          <w:rFonts w:hint="eastAsia"/>
          <w:b/>
        </w:rPr>
        <w:t>（2）施工废料</w:t>
      </w:r>
    </w:p>
    <w:p>
      <w:pPr>
        <w:ind w:firstLine="480"/>
      </w:pPr>
      <w:r>
        <w:rPr>
          <w:rFonts w:hint="eastAsia"/>
        </w:rPr>
        <w:t>施工废料主要包括焊接作业中产生的废焊条、焊接废渣及施工过程中产生的废混凝土等。根据类比调查，施工废料的产生量约0.2t/km，本项目管线共计2km，则项目管线施工过程中产生的施工废料量为0.4t。</w:t>
      </w:r>
    </w:p>
    <w:p>
      <w:pPr>
        <w:pStyle w:val="53"/>
        <w:ind w:firstLine="482"/>
      </w:pPr>
      <w:r>
        <w:rPr>
          <w:rFonts w:hint="eastAsia"/>
        </w:rPr>
        <w:t>防治措施：</w:t>
      </w:r>
    </w:p>
    <w:p>
      <w:pPr>
        <w:ind w:firstLine="480"/>
      </w:pPr>
      <w:r>
        <w:rPr>
          <w:rFonts w:hint="eastAsia"/>
        </w:rPr>
        <w:t>施工废料部分可回收利用，</w:t>
      </w:r>
      <w:r>
        <w:rPr>
          <w:rFonts w:cs="Times New Roman"/>
        </w:rPr>
        <w:t>不能利用的由施工队伍统一收集清运至周边合法建筑渣场处置</w:t>
      </w:r>
      <w:r>
        <w:rPr>
          <w:rFonts w:hint="eastAsia"/>
        </w:rPr>
        <w:t xml:space="preserve">。 </w:t>
      </w:r>
    </w:p>
    <w:p>
      <w:pPr>
        <w:ind w:firstLine="482"/>
        <w:rPr>
          <w:b/>
        </w:rPr>
      </w:pPr>
      <w:r>
        <w:rPr>
          <w:rFonts w:hint="eastAsia"/>
          <w:b/>
        </w:rPr>
        <w:t>（3）清管废渣</w:t>
      </w:r>
    </w:p>
    <w:p>
      <w:pPr>
        <w:ind w:firstLine="480"/>
      </w:pPr>
      <w:r>
        <w:rPr>
          <w:rFonts w:hint="eastAsia"/>
        </w:rPr>
        <w:t>本项目管道施工完成试运行前对管道进行清管、试压，清管时会产生少量废渣，主要为管道内的少量灰尘和铁锈，产生的量约为2kg/次，均属于一般固废。</w:t>
      </w:r>
    </w:p>
    <w:p>
      <w:pPr>
        <w:ind w:firstLine="482"/>
        <w:rPr>
          <w:b/>
        </w:rPr>
      </w:pPr>
      <w:r>
        <w:rPr>
          <w:rFonts w:hint="eastAsia"/>
          <w:b/>
        </w:rPr>
        <w:t>防治措施：</w:t>
      </w:r>
    </w:p>
    <w:p>
      <w:pPr>
        <w:ind w:firstLine="480"/>
      </w:pPr>
      <w:r>
        <w:rPr>
          <w:rFonts w:cs="Times New Roman"/>
        </w:rPr>
        <w:t>清管试压废渣</w:t>
      </w:r>
      <w:r>
        <w:t>统一收集清运至周边合法建筑渣场处置</w:t>
      </w:r>
      <w:r>
        <w:rPr>
          <w:rFonts w:cs="Times New Roman"/>
        </w:rPr>
        <w:t>。</w:t>
      </w:r>
    </w:p>
    <w:p>
      <w:pPr>
        <w:ind w:firstLine="482"/>
        <w:rPr>
          <w:b/>
        </w:rPr>
      </w:pPr>
      <w:r>
        <w:rPr>
          <w:rFonts w:hint="eastAsia"/>
          <w:b/>
        </w:rPr>
        <w:t>（4）工程弃土</w:t>
      </w:r>
    </w:p>
    <w:p>
      <w:pPr>
        <w:ind w:firstLine="480"/>
      </w:pPr>
      <w:r>
        <w:rPr>
          <w:rFonts w:hint="eastAsia"/>
        </w:rPr>
        <w:t>项目工程土石方主要来源于管沟开挖、穿越工程、修建施工便道等。</w:t>
      </w:r>
    </w:p>
    <w:p>
      <w:pPr>
        <w:ind w:firstLine="480"/>
      </w:pPr>
      <w:r>
        <w:rPr>
          <w:rFonts w:hint="eastAsia"/>
        </w:rPr>
        <w:t>根据《输气管道工程设计规范》（GB50251-2015）的规定，天然气管道工程在回填完成后管沟面回填高度应高于原地表300mm，以便让地表土进行自然沉降从而确保天然气管道的埋深及输送安全。根据此规定，天然气管道在埋设于地下所占有的回填空间则有了弥补，故可以实现线路管道的土石方挖填基本平衡。</w:t>
      </w:r>
    </w:p>
    <w:p>
      <w:pPr>
        <w:ind w:firstLine="480"/>
      </w:pPr>
      <w:r>
        <w:rPr>
          <w:rFonts w:hint="eastAsia"/>
        </w:rPr>
        <w:t>本工程在建设中土石方量依据各类施工工艺分段进行调配，按照地貌单元及不同施工工艺分别进行平衡，尽量做到各类施工工艺及各标段土石方平衡。</w:t>
      </w:r>
    </w:p>
    <w:p>
      <w:pPr>
        <w:ind w:firstLine="480"/>
      </w:pPr>
      <w:r>
        <w:t>1</w:t>
      </w:r>
      <w:r>
        <w:rPr>
          <w:rFonts w:hint="eastAsia"/>
        </w:rPr>
        <w:t>）在耕作区开挖时，熟土(表层耕作土)和生土(下层土)分开堆放，管沟回填按生、熟土顺序填放，保护耕作层。</w:t>
      </w:r>
    </w:p>
    <w:p>
      <w:pPr>
        <w:ind w:firstLine="480"/>
      </w:pPr>
      <w:r>
        <w:t>2</w:t>
      </w:r>
      <w:r>
        <w:rPr>
          <w:rFonts w:hint="eastAsia"/>
        </w:rPr>
        <w:t>）挖沟方式穿越等级公路，会产生多余土方。该部分多余土方主要为泥土和碎石，可以用于此次管道的回填，无弃方。</w:t>
      </w:r>
    </w:p>
    <w:p>
      <w:pPr>
        <w:ind w:firstLine="480"/>
      </w:pPr>
      <w:r>
        <w:rPr>
          <w:rFonts w:hint="eastAsia"/>
        </w:rPr>
        <w:t>根据项目建设土石方平衡情况，本项目基本无弃方。</w:t>
      </w:r>
    </w:p>
    <w:p>
      <w:pPr>
        <w:ind w:firstLine="482"/>
        <w:rPr>
          <w:b/>
        </w:rPr>
      </w:pPr>
      <w:r>
        <w:rPr>
          <w:rFonts w:hint="eastAsia"/>
          <w:b/>
        </w:rPr>
        <w:t>防治措施：</w:t>
      </w:r>
    </w:p>
    <w:p>
      <w:pPr>
        <w:ind w:firstLine="480"/>
        <w:rPr>
          <w:rFonts w:cs="Times New Roman"/>
          <w:b/>
        </w:rPr>
      </w:pPr>
      <w:r>
        <w:rPr>
          <w:rFonts w:hint="eastAsia"/>
        </w:rPr>
        <w:t>管线采取分段施工方式，管沟开挖产生的堆土均临时堆放在管沟两侧，用于管沟回填。</w:t>
      </w:r>
    </w:p>
    <w:p>
      <w:pPr>
        <w:pStyle w:val="6"/>
        <w:rPr>
          <w:rFonts w:cs="Times New Roman"/>
        </w:rPr>
      </w:pPr>
      <w:r>
        <w:rPr>
          <w:rFonts w:hint="eastAsia"/>
        </w:rPr>
        <w:t xml:space="preserve"> 生态环境</w:t>
      </w:r>
    </w:p>
    <w:p>
      <w:pPr>
        <w:ind w:firstLine="480"/>
      </w:pPr>
      <w:r>
        <w:rPr>
          <w:rFonts w:hint="eastAsia"/>
        </w:rPr>
        <w:t>本项目施工过程中，将对原有地形地貌、土壤植被等产生一定的破坏，导致施工场地附近土壤结构破坏，林地退化，降低了表层土壤的抗蚀性，造成新的水土流失，本工程虽然采取了一系列防护措施，但施工期间还是会对管线周边区域生态环境和自然景观造成一定程度的影响。</w:t>
      </w:r>
    </w:p>
    <w:p>
      <w:pPr>
        <w:ind w:firstLine="480"/>
      </w:pPr>
      <w:r>
        <w:rPr>
          <w:rFonts w:hint="eastAsia"/>
        </w:rPr>
        <w:t>建设项目施工临时用地类型以农用地、林地为主，其主要临时用地将对土地及地表植物产生短期的直接影响。由于工程影响范围内多为常规广泛生长的物种，植被具有一定的自我恢复能力，工程建设仅导致部分植被面积和常见植物类数量的损失，对建设区域的植被和植物资源影响不大。施工结束后，会对临时占地进行生态恢复，故本项目施工占地对土地基地表植被的影响是暂时的。</w:t>
      </w:r>
    </w:p>
    <w:p>
      <w:pPr>
        <w:ind w:firstLine="482"/>
        <w:rPr>
          <w:b/>
        </w:rPr>
      </w:pPr>
      <w:r>
        <w:rPr>
          <w:rFonts w:hint="eastAsia"/>
          <w:b/>
        </w:rPr>
        <w:t>防治措施：</w:t>
      </w:r>
    </w:p>
    <w:p>
      <w:pPr>
        <w:ind w:firstLine="480"/>
      </w:pPr>
      <w:r>
        <w:rPr>
          <w:rFonts w:hint="eastAsia"/>
        </w:rPr>
        <w:t>①线路方案选择过程中，在确定线路走向时，充分考虑对生态环境的保护，在满足线路走向和工艺要求的同时，线路尽量避开或减少了通过基本农田、林区地段；在无法避免的林地段施工时，要减少施工作业人员，尽量采用人工作业，少用机械，以减少对林木的破坏。不得破坏作业带以外的林木，同时，做好还林、补林和林木移栽工作措施。</w:t>
      </w:r>
    </w:p>
    <w:p>
      <w:pPr>
        <w:ind w:firstLine="480"/>
      </w:pPr>
      <w:r>
        <w:rPr>
          <w:rFonts w:hint="eastAsia"/>
        </w:rPr>
        <w:t>②通过农业区时，管道保持足够埋深，不影响耕作。表土开挖采取分层堆放，分层回填，对熟土的保护做到措施到位，尽量不造成熟土养分流失，减少营运期内对农作物生长造成的经济损失。</w:t>
      </w:r>
    </w:p>
    <w:p>
      <w:pPr>
        <w:ind w:firstLine="480"/>
      </w:pPr>
      <w:r>
        <w:rPr>
          <w:rFonts w:hint="eastAsia"/>
        </w:rPr>
        <w:t>③管沟开挖产生的多余土石方不随意丢弃，并采取相应的拦挡措施，防止水土流失。管道经过深沟、陡坎地段，做好护坡、堡坎和排泄水设施。</w:t>
      </w:r>
    </w:p>
    <w:p>
      <w:pPr>
        <w:ind w:firstLine="480"/>
      </w:pPr>
      <w:r>
        <w:rPr>
          <w:rFonts w:hint="eastAsia"/>
        </w:rPr>
        <w:t>④施工作业应避开暴雨季节，减少降雨引发的水土流失机率。应尽量避开农作物生长季节，减少农业生产的损失。</w:t>
      </w:r>
    </w:p>
    <w:p>
      <w:pPr>
        <w:ind w:firstLine="480"/>
      </w:pPr>
      <w:r>
        <w:rPr>
          <w:rFonts w:hint="eastAsia"/>
        </w:rPr>
        <w:t>⑤管道穿越道路时，要规范施工，严格管理，在施工前应制定出泥浆、土石方处置方案，应限制临时堆放占地面积和远距离转移。</w:t>
      </w:r>
    </w:p>
    <w:p>
      <w:pPr>
        <w:ind w:firstLine="480"/>
      </w:pPr>
      <w:r>
        <w:rPr>
          <w:rFonts w:hint="eastAsia"/>
        </w:rPr>
        <w:t>⑥加强施工管理，确保施工期间的环境管理，并接受当地环保、林业和水土保持主管部门的监督；</w:t>
      </w:r>
    </w:p>
    <w:p>
      <w:pPr>
        <w:ind w:firstLine="480"/>
      </w:pPr>
      <w:r>
        <w:rPr>
          <w:rFonts w:hint="eastAsia"/>
        </w:rPr>
        <w:t>⑦管沟开挖时对土壤实行分层开挖、分层堆放和分层回填的方法，并保证施工完成后恢复管道沿线的植被和地貌，对作业区外缘被破坏的植被进行复种，其覆盖率不得低于原有水平。</w:t>
      </w:r>
    </w:p>
    <w:p>
      <w:pPr>
        <w:ind w:firstLine="480"/>
      </w:pPr>
      <w:r>
        <w:rPr>
          <w:rFonts w:hint="eastAsia"/>
        </w:rPr>
        <w:t>⑧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p>
    <w:p>
      <w:pPr>
        <w:ind w:firstLine="480"/>
      </w:pPr>
      <w:r>
        <w:rPr>
          <w:rFonts w:hint="eastAsia"/>
        </w:rPr>
        <w:t>⑨施工中严格执行HSE管理，控制人员车辆行动，减少占地和对环境的破坏，施工结束后，施工单位应负责及时清理现场，按国务院的《土地复垦规定》进行复垦。凡受到施工车辆、机械破坏的地方都要及时恢复原貌，将施工期对生态环境的影响降到最低程度。</w:t>
      </w:r>
    </w:p>
    <w:p>
      <w:pPr>
        <w:ind w:firstLine="480"/>
      </w:pPr>
      <w:r>
        <w:rPr>
          <w:rFonts w:hint="eastAsia"/>
        </w:rPr>
        <w:t>⑩加大对作业带有机肥料的投入，增加土壤有机质含量，恢复土壤团粒结构，减轻对土壤的压实效应。</w:t>
      </w:r>
    </w:p>
    <w:p>
      <w:pPr>
        <w:pStyle w:val="6"/>
      </w:pPr>
      <w:r>
        <w:rPr>
          <w:rFonts w:hint="eastAsia"/>
        </w:rPr>
        <w:t xml:space="preserve"> </w:t>
      </w:r>
      <w:r>
        <w:t>交通及社会环境</w:t>
      </w:r>
    </w:p>
    <w:p>
      <w:pPr>
        <w:wordWrap w:val="0"/>
        <w:ind w:firstLine="480"/>
        <w:rPr>
          <w:rFonts w:cs="Times New Roman"/>
        </w:rPr>
      </w:pPr>
      <w:r>
        <w:rPr>
          <w:rFonts w:cs="Times New Roman"/>
        </w:rPr>
        <w:t>施工期间，大量建筑材料的调运、堆放及人员流动，会增加施工区的交通量及拥挤度，对现有交通造成干扰，影响沿线居民的出行和安全。</w:t>
      </w:r>
    </w:p>
    <w:p>
      <w:pPr>
        <w:wordWrap w:val="0"/>
        <w:ind w:firstLine="480"/>
        <w:rPr>
          <w:rFonts w:cs="Times New Roman"/>
        </w:rPr>
      </w:pPr>
      <w:r>
        <w:rPr>
          <w:rFonts w:cs="Times New Roman"/>
        </w:rPr>
        <w:t>本项目管线穿越乡道</w:t>
      </w:r>
      <w:r>
        <w:rPr>
          <w:rFonts w:hint="eastAsia" w:cs="Times New Roman"/>
        </w:rPr>
        <w:t>1</w:t>
      </w:r>
      <w:r>
        <w:rPr>
          <w:rFonts w:cs="Times New Roman"/>
        </w:rPr>
        <w:t>次，设计的穿越地段会对穿越路段的车辆行驶和居民出行造成影响，施工过程中应尽量实行半幅度施工，以保障交通不受太大影响。</w:t>
      </w:r>
    </w:p>
    <w:p>
      <w:pPr>
        <w:wordWrap w:val="0"/>
        <w:ind w:firstLine="482"/>
        <w:rPr>
          <w:rFonts w:cs="Times New Roman"/>
          <w:b/>
          <w:bCs/>
        </w:rPr>
      </w:pPr>
      <w:r>
        <w:rPr>
          <w:rFonts w:cs="Times New Roman"/>
          <w:b/>
          <w:bCs/>
        </w:rPr>
        <w:t>防治措施：</w:t>
      </w:r>
    </w:p>
    <w:p>
      <w:pPr>
        <w:wordWrap w:val="0"/>
        <w:ind w:firstLine="480"/>
        <w:rPr>
          <w:rFonts w:cs="Times New Roman"/>
        </w:rPr>
      </w:pPr>
      <w:r>
        <w:rPr>
          <w:rFonts w:hint="eastAsia" w:ascii="宋体" w:hAnsi="宋体"/>
        </w:rPr>
        <w:t>①</w:t>
      </w:r>
      <w:r>
        <w:rPr>
          <w:rFonts w:cs="Times New Roman"/>
        </w:rPr>
        <w:t>施工前地方政府部门应以宣传形式通知附近居民、机关、企业等团体，使他们有所准备，安排好出行计划。</w:t>
      </w:r>
    </w:p>
    <w:p>
      <w:pPr>
        <w:wordWrap w:val="0"/>
        <w:ind w:firstLine="480"/>
        <w:rPr>
          <w:rFonts w:cs="Times New Roman"/>
        </w:rPr>
      </w:pPr>
      <w:r>
        <w:rPr>
          <w:rFonts w:hint="eastAsia" w:ascii="宋体" w:hAnsi="宋体"/>
        </w:rPr>
        <w:t>②</w:t>
      </w:r>
      <w:r>
        <w:rPr>
          <w:rFonts w:cs="Times New Roman"/>
        </w:rPr>
        <w:t>施工方应在施工路段设置“前方施工、减慢车速”、“前方施工、绕道行驶”的警示牌。</w:t>
      </w:r>
    </w:p>
    <w:p>
      <w:pPr>
        <w:wordWrap w:val="0"/>
        <w:ind w:firstLine="480"/>
        <w:rPr>
          <w:rFonts w:cs="Times New Roman"/>
        </w:rPr>
      </w:pPr>
      <w:r>
        <w:rPr>
          <w:rFonts w:hint="eastAsia" w:ascii="宋体" w:hAnsi="宋体"/>
        </w:rPr>
        <w:t>③</w:t>
      </w:r>
      <w:r>
        <w:rPr>
          <w:rFonts w:cs="Times New Roman"/>
        </w:rPr>
        <w:t>为方便夜间过往车辆，减少事故发生概率，应在施工路段设置警示照明灯，用以引导车辆通行。</w:t>
      </w:r>
    </w:p>
    <w:p>
      <w:pPr>
        <w:ind w:firstLine="480"/>
      </w:pPr>
      <w:r>
        <w:rPr>
          <w:rFonts w:hint="eastAsia" w:ascii="宋体" w:hAnsi="宋体"/>
        </w:rPr>
        <w:t>④</w:t>
      </w:r>
      <w:r>
        <w:rPr>
          <w:rFonts w:cs="Times New Roman"/>
        </w:rPr>
        <w:t>本项目沿线对电力及通讯设施、水利排灌的影响，应注重听取和采纳公众合理意见，力求将影响降到最低，以求长远协调发展。</w:t>
      </w:r>
    </w:p>
    <w:p>
      <w:pPr>
        <w:pStyle w:val="6"/>
        <w:rPr>
          <w:rFonts w:cs="Times New Roman"/>
        </w:rPr>
      </w:pPr>
      <w:r>
        <w:rPr>
          <w:rFonts w:cs="Times New Roman"/>
        </w:rPr>
        <w:t xml:space="preserve"> 施工期污染物产排情况汇总</w:t>
      </w:r>
    </w:p>
    <w:p>
      <w:pPr>
        <w:pStyle w:val="214"/>
        <w:ind w:firstLine="480"/>
      </w:pPr>
      <w:r>
        <w:t>根据前文，施工期主要污染物产、排情况汇总见下表。</w:t>
      </w:r>
    </w:p>
    <w:p>
      <w:pPr>
        <w:pStyle w:val="73"/>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5</w:t>
      </w:r>
      <w:r>
        <w:fldChar w:fldCharType="end"/>
      </w:r>
      <w:r>
        <w:t xml:space="preserve">  施工期</w:t>
      </w:r>
      <w:r>
        <w:rPr>
          <w:rFonts w:hint="eastAsia"/>
          <w:bCs/>
          <w:sz w:val="21"/>
        </w:rPr>
        <w:t>主要污染源及污染物</w:t>
      </w:r>
    </w:p>
    <w:tbl>
      <w:tblPr>
        <w:tblStyle w:val="2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848"/>
        <w:gridCol w:w="1693"/>
        <w:gridCol w:w="1729"/>
        <w:gridCol w:w="1068"/>
        <w:gridCol w:w="2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12" w:space="0"/>
              <w:left w:val="nil"/>
            </w:tcBorders>
            <w:vAlign w:val="center"/>
          </w:tcPr>
          <w:p>
            <w:pPr>
              <w:pStyle w:val="63"/>
              <w:rPr>
                <w:b/>
              </w:rPr>
            </w:pPr>
            <w:r>
              <w:rPr>
                <w:rFonts w:hint="eastAsia"/>
                <w:b/>
              </w:rPr>
              <w:t>序号</w:t>
            </w:r>
          </w:p>
        </w:tc>
        <w:tc>
          <w:tcPr>
            <w:tcW w:w="851" w:type="dxa"/>
            <w:tcBorders>
              <w:top w:val="single" w:color="auto" w:sz="12" w:space="0"/>
            </w:tcBorders>
            <w:vAlign w:val="center"/>
          </w:tcPr>
          <w:p>
            <w:pPr>
              <w:pStyle w:val="63"/>
              <w:rPr>
                <w:b/>
              </w:rPr>
            </w:pPr>
            <w:r>
              <w:rPr>
                <w:rFonts w:hint="eastAsia"/>
                <w:b/>
              </w:rPr>
              <w:t>污染</w:t>
            </w:r>
          </w:p>
        </w:tc>
        <w:tc>
          <w:tcPr>
            <w:tcW w:w="1701" w:type="dxa"/>
            <w:tcBorders>
              <w:top w:val="single" w:color="auto" w:sz="12" w:space="0"/>
            </w:tcBorders>
            <w:vAlign w:val="center"/>
          </w:tcPr>
          <w:p>
            <w:pPr>
              <w:pStyle w:val="63"/>
              <w:rPr>
                <w:b/>
              </w:rPr>
            </w:pPr>
            <w:r>
              <w:rPr>
                <w:rFonts w:hint="eastAsia"/>
                <w:b/>
              </w:rPr>
              <w:t>污染源名称</w:t>
            </w:r>
          </w:p>
        </w:tc>
        <w:tc>
          <w:tcPr>
            <w:tcW w:w="1735" w:type="dxa"/>
            <w:tcBorders>
              <w:top w:val="single" w:color="auto" w:sz="12" w:space="0"/>
            </w:tcBorders>
            <w:vAlign w:val="center"/>
          </w:tcPr>
          <w:p>
            <w:pPr>
              <w:pStyle w:val="63"/>
              <w:rPr>
                <w:b/>
              </w:rPr>
            </w:pPr>
            <w:r>
              <w:rPr>
                <w:rFonts w:hint="eastAsia"/>
                <w:b/>
              </w:rPr>
              <w:t>主要污染物</w:t>
            </w:r>
          </w:p>
        </w:tc>
        <w:tc>
          <w:tcPr>
            <w:tcW w:w="816" w:type="dxa"/>
            <w:tcBorders>
              <w:top w:val="single" w:color="auto" w:sz="12" w:space="0"/>
            </w:tcBorders>
            <w:vAlign w:val="center"/>
          </w:tcPr>
          <w:p>
            <w:pPr>
              <w:pStyle w:val="63"/>
              <w:rPr>
                <w:b/>
              </w:rPr>
            </w:pPr>
            <w:r>
              <w:rPr>
                <w:rFonts w:hint="eastAsia"/>
                <w:b/>
              </w:rPr>
              <w:t>排放量</w:t>
            </w:r>
          </w:p>
        </w:tc>
        <w:tc>
          <w:tcPr>
            <w:tcW w:w="2528" w:type="dxa"/>
            <w:tcBorders>
              <w:top w:val="single" w:color="auto" w:sz="12" w:space="0"/>
            </w:tcBorders>
            <w:vAlign w:val="center"/>
          </w:tcPr>
          <w:p>
            <w:pPr>
              <w:pStyle w:val="63"/>
              <w:rPr>
                <w:b/>
              </w:rPr>
            </w:pPr>
            <w:r>
              <w:rPr>
                <w:rFonts w:hint="eastAsia"/>
                <w:b/>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1</w:t>
            </w:r>
          </w:p>
        </w:tc>
        <w:tc>
          <w:tcPr>
            <w:tcW w:w="851" w:type="dxa"/>
            <w:vMerge w:val="restart"/>
            <w:vAlign w:val="center"/>
          </w:tcPr>
          <w:p>
            <w:pPr>
              <w:pStyle w:val="63"/>
            </w:pPr>
            <w:r>
              <w:t>废气</w:t>
            </w:r>
          </w:p>
        </w:tc>
        <w:tc>
          <w:tcPr>
            <w:tcW w:w="1701" w:type="dxa"/>
            <w:vAlign w:val="center"/>
          </w:tcPr>
          <w:p>
            <w:pPr>
              <w:pStyle w:val="63"/>
            </w:pPr>
            <w:r>
              <w:rPr>
                <w:rFonts w:hint="eastAsia"/>
              </w:rPr>
              <w:t>施工扬尘</w:t>
            </w:r>
          </w:p>
        </w:tc>
        <w:tc>
          <w:tcPr>
            <w:tcW w:w="1735" w:type="dxa"/>
            <w:vAlign w:val="center"/>
          </w:tcPr>
          <w:p>
            <w:pPr>
              <w:pStyle w:val="63"/>
            </w:pPr>
            <w:r>
              <w:rPr>
                <w:rFonts w:hint="eastAsia"/>
              </w:rPr>
              <w:t>粉尘</w:t>
            </w:r>
          </w:p>
        </w:tc>
        <w:tc>
          <w:tcPr>
            <w:tcW w:w="816" w:type="dxa"/>
            <w:vAlign w:val="center"/>
          </w:tcPr>
          <w:p>
            <w:pPr>
              <w:pStyle w:val="63"/>
            </w:pPr>
            <w:r>
              <w:t>少量</w:t>
            </w:r>
          </w:p>
        </w:tc>
        <w:tc>
          <w:tcPr>
            <w:tcW w:w="2528" w:type="dxa"/>
            <w:vAlign w:val="center"/>
          </w:tcPr>
          <w:p>
            <w:pPr>
              <w:pStyle w:val="63"/>
            </w:pPr>
            <w:r>
              <w:rPr>
                <w:rFonts w:hint="eastAsia"/>
              </w:rPr>
              <w:t>设置围挡、洒水降尘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2</w:t>
            </w:r>
          </w:p>
        </w:tc>
        <w:tc>
          <w:tcPr>
            <w:tcW w:w="851" w:type="dxa"/>
            <w:vMerge w:val="continue"/>
            <w:vAlign w:val="center"/>
          </w:tcPr>
          <w:p>
            <w:pPr>
              <w:pStyle w:val="63"/>
            </w:pPr>
          </w:p>
        </w:tc>
        <w:tc>
          <w:tcPr>
            <w:tcW w:w="1701" w:type="dxa"/>
            <w:vAlign w:val="center"/>
          </w:tcPr>
          <w:p>
            <w:pPr>
              <w:pStyle w:val="63"/>
            </w:pPr>
            <w:r>
              <w:rPr>
                <w:rFonts w:hint="eastAsia"/>
              </w:rPr>
              <w:t>机械废气</w:t>
            </w:r>
          </w:p>
        </w:tc>
        <w:tc>
          <w:tcPr>
            <w:tcW w:w="1735" w:type="dxa"/>
            <w:vAlign w:val="center"/>
          </w:tcPr>
          <w:p>
            <w:pPr>
              <w:pStyle w:val="63"/>
            </w:pPr>
            <w:r>
              <w:rPr>
                <w:rFonts w:hint="eastAsia"/>
              </w:rPr>
              <w:t>NO</w:t>
            </w:r>
            <w:r>
              <w:rPr>
                <w:rFonts w:hint="eastAsia"/>
                <w:vertAlign w:val="subscript"/>
              </w:rPr>
              <w:t>2</w:t>
            </w:r>
            <w:r>
              <w:rPr>
                <w:rFonts w:hint="eastAsia"/>
              </w:rPr>
              <w:t>、CO、SO</w:t>
            </w:r>
            <w:r>
              <w:rPr>
                <w:rFonts w:hint="eastAsia"/>
                <w:vertAlign w:val="subscript"/>
              </w:rPr>
              <w:t>2</w:t>
            </w:r>
            <w:r>
              <w:rPr>
                <w:rFonts w:hint="eastAsia"/>
              </w:rPr>
              <w:t>和CmHn等</w:t>
            </w:r>
          </w:p>
        </w:tc>
        <w:tc>
          <w:tcPr>
            <w:tcW w:w="816" w:type="dxa"/>
            <w:vAlign w:val="center"/>
          </w:tcPr>
          <w:p>
            <w:pPr>
              <w:pStyle w:val="63"/>
            </w:pPr>
            <w:r>
              <w:t>少量</w:t>
            </w:r>
          </w:p>
        </w:tc>
        <w:tc>
          <w:tcPr>
            <w:tcW w:w="2528" w:type="dxa"/>
            <w:vAlign w:val="center"/>
          </w:tcPr>
          <w:p>
            <w:pPr>
              <w:pStyle w:val="63"/>
            </w:pPr>
            <w:r>
              <w:rPr>
                <w:rFonts w:hint="eastAsia"/>
              </w:rPr>
              <w:t>加强施工机械的保养维护等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3</w:t>
            </w:r>
          </w:p>
        </w:tc>
        <w:tc>
          <w:tcPr>
            <w:tcW w:w="851" w:type="dxa"/>
            <w:vMerge w:val="continue"/>
            <w:vAlign w:val="center"/>
          </w:tcPr>
          <w:p>
            <w:pPr>
              <w:pStyle w:val="63"/>
            </w:pPr>
          </w:p>
        </w:tc>
        <w:tc>
          <w:tcPr>
            <w:tcW w:w="1701" w:type="dxa"/>
            <w:vAlign w:val="center"/>
          </w:tcPr>
          <w:p>
            <w:pPr>
              <w:pStyle w:val="63"/>
            </w:pPr>
            <w:r>
              <w:rPr>
                <w:rFonts w:hint="eastAsia"/>
              </w:rPr>
              <w:t>焊接烟尘</w:t>
            </w:r>
          </w:p>
        </w:tc>
        <w:tc>
          <w:tcPr>
            <w:tcW w:w="1735" w:type="dxa"/>
            <w:vAlign w:val="center"/>
          </w:tcPr>
          <w:p>
            <w:pPr>
              <w:pStyle w:val="63"/>
            </w:pPr>
            <w:r>
              <w:rPr>
                <w:rFonts w:hint="eastAsia"/>
              </w:rPr>
              <w:t>焊接烟尘</w:t>
            </w:r>
          </w:p>
        </w:tc>
        <w:tc>
          <w:tcPr>
            <w:tcW w:w="816" w:type="dxa"/>
            <w:vAlign w:val="center"/>
          </w:tcPr>
          <w:p>
            <w:pPr>
              <w:pStyle w:val="63"/>
            </w:pPr>
            <w:r>
              <w:t>少量</w:t>
            </w:r>
          </w:p>
        </w:tc>
        <w:tc>
          <w:tcPr>
            <w:tcW w:w="2528" w:type="dxa"/>
            <w:vAlign w:val="center"/>
          </w:tcPr>
          <w:p>
            <w:pPr>
              <w:pStyle w:val="63"/>
            </w:pPr>
            <w:r>
              <w:rPr>
                <w:rFonts w:hint="eastAsia"/>
              </w:rPr>
              <w:t>加强施工场地通风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4</w:t>
            </w:r>
          </w:p>
        </w:tc>
        <w:tc>
          <w:tcPr>
            <w:tcW w:w="851" w:type="dxa"/>
            <w:vMerge w:val="continue"/>
            <w:vAlign w:val="center"/>
          </w:tcPr>
          <w:p>
            <w:pPr>
              <w:pStyle w:val="63"/>
            </w:pPr>
          </w:p>
        </w:tc>
        <w:tc>
          <w:tcPr>
            <w:tcW w:w="1701" w:type="dxa"/>
            <w:vAlign w:val="center"/>
          </w:tcPr>
          <w:p>
            <w:pPr>
              <w:pStyle w:val="63"/>
            </w:pPr>
            <w:r>
              <w:rPr>
                <w:rFonts w:hint="eastAsia"/>
              </w:rPr>
              <w:t>放空</w:t>
            </w:r>
            <w:r>
              <w:t>废气</w:t>
            </w:r>
          </w:p>
        </w:tc>
        <w:tc>
          <w:tcPr>
            <w:tcW w:w="1735" w:type="dxa"/>
            <w:vAlign w:val="center"/>
          </w:tcPr>
          <w:p>
            <w:pPr>
              <w:pStyle w:val="63"/>
            </w:pPr>
            <w:r>
              <w:rPr>
                <w:rFonts w:cs="Times New Roman"/>
              </w:rPr>
              <w:t>NO</w:t>
            </w:r>
            <w:r>
              <w:rPr>
                <w:rFonts w:cs="Times New Roman"/>
                <w:vertAlign w:val="subscript"/>
              </w:rPr>
              <w:t>X</w:t>
            </w:r>
            <w:r>
              <w:rPr>
                <w:rFonts w:cs="Times New Roman"/>
              </w:rPr>
              <w:t>、烟尘等</w:t>
            </w:r>
          </w:p>
        </w:tc>
        <w:tc>
          <w:tcPr>
            <w:tcW w:w="816" w:type="dxa"/>
            <w:vAlign w:val="center"/>
          </w:tcPr>
          <w:p>
            <w:pPr>
              <w:pStyle w:val="63"/>
            </w:pPr>
            <w:r>
              <w:rPr>
                <w:rFonts w:hint="eastAsia"/>
              </w:rPr>
              <w:t>少量</w:t>
            </w:r>
          </w:p>
        </w:tc>
        <w:tc>
          <w:tcPr>
            <w:tcW w:w="2528" w:type="dxa"/>
            <w:vAlign w:val="center"/>
          </w:tcPr>
          <w:p>
            <w:pPr>
              <w:pStyle w:val="63"/>
            </w:pPr>
            <w:r>
              <w:rPr>
                <w:rFonts w:hint="eastAsia"/>
              </w:rPr>
              <w:t>管内天然气依托草池站设置的15m高的放空立管燃烧后排入大气，排放的废气中主要污染物为NO</w:t>
            </w:r>
            <w:r>
              <w:rPr>
                <w:rFonts w:hint="eastAsia"/>
                <w:vertAlign w:val="subscript"/>
              </w:rPr>
              <w:t>2</w:t>
            </w:r>
            <w:r>
              <w:rPr>
                <w:rFonts w:hint="eastAsia"/>
              </w:rPr>
              <w:t>、烟尘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t>1</w:t>
            </w:r>
          </w:p>
        </w:tc>
        <w:tc>
          <w:tcPr>
            <w:tcW w:w="851" w:type="dxa"/>
            <w:vMerge w:val="restart"/>
            <w:vAlign w:val="center"/>
          </w:tcPr>
          <w:p>
            <w:pPr>
              <w:pStyle w:val="63"/>
            </w:pPr>
            <w:r>
              <w:rPr>
                <w:rFonts w:hint="eastAsia"/>
              </w:rPr>
              <w:t>水污染</w:t>
            </w:r>
          </w:p>
        </w:tc>
        <w:tc>
          <w:tcPr>
            <w:tcW w:w="1701" w:type="dxa"/>
            <w:vAlign w:val="center"/>
          </w:tcPr>
          <w:p>
            <w:pPr>
              <w:pStyle w:val="63"/>
            </w:pPr>
            <w:r>
              <w:rPr>
                <w:rFonts w:hint="eastAsia"/>
              </w:rPr>
              <w:t>生活污水</w:t>
            </w:r>
          </w:p>
        </w:tc>
        <w:tc>
          <w:tcPr>
            <w:tcW w:w="1735" w:type="dxa"/>
            <w:vAlign w:val="center"/>
          </w:tcPr>
          <w:p>
            <w:pPr>
              <w:pStyle w:val="63"/>
            </w:pPr>
            <w:r>
              <w:rPr>
                <w:rFonts w:hint="eastAsia"/>
              </w:rPr>
              <w:t>BOD、COD、</w:t>
            </w:r>
          </w:p>
          <w:p>
            <w:pPr>
              <w:pStyle w:val="63"/>
            </w:pPr>
            <w:r>
              <w:rPr>
                <w:rFonts w:hint="eastAsia"/>
              </w:rPr>
              <w:t>SS、氨氮、TP</w:t>
            </w:r>
          </w:p>
        </w:tc>
        <w:tc>
          <w:tcPr>
            <w:tcW w:w="816" w:type="dxa"/>
            <w:vAlign w:val="center"/>
          </w:tcPr>
          <w:p>
            <w:pPr>
              <w:pStyle w:val="63"/>
            </w:pPr>
            <w:r>
              <w:rPr>
                <w:rFonts w:hint="eastAsia"/>
              </w:rPr>
              <w:t>2.04</w:t>
            </w:r>
            <w:r>
              <w:t>m</w:t>
            </w:r>
            <w:r>
              <w:rPr>
                <w:vertAlign w:val="superscript"/>
              </w:rPr>
              <w:t>3</w:t>
            </w:r>
            <w:r>
              <w:t>/d</w:t>
            </w:r>
          </w:p>
        </w:tc>
        <w:tc>
          <w:tcPr>
            <w:tcW w:w="2528" w:type="dxa"/>
            <w:vAlign w:val="center"/>
          </w:tcPr>
          <w:p>
            <w:pPr>
              <w:pStyle w:val="63"/>
            </w:pPr>
            <w:r>
              <w:rPr>
                <w:rFonts w:hint="eastAsia"/>
              </w:rPr>
              <w:t>依托当地农户化粪池收集后用于农田施肥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75" w:type="dxa"/>
            <w:tcBorders>
              <w:left w:val="nil"/>
            </w:tcBorders>
            <w:vAlign w:val="center"/>
          </w:tcPr>
          <w:p>
            <w:pPr>
              <w:pStyle w:val="63"/>
            </w:pPr>
            <w:r>
              <w:t>2</w:t>
            </w:r>
          </w:p>
        </w:tc>
        <w:tc>
          <w:tcPr>
            <w:tcW w:w="851" w:type="dxa"/>
            <w:vMerge w:val="continue"/>
            <w:vAlign w:val="center"/>
          </w:tcPr>
          <w:p>
            <w:pPr>
              <w:pStyle w:val="63"/>
            </w:pPr>
          </w:p>
        </w:tc>
        <w:tc>
          <w:tcPr>
            <w:tcW w:w="1701" w:type="dxa"/>
            <w:vAlign w:val="center"/>
          </w:tcPr>
          <w:p>
            <w:pPr>
              <w:pStyle w:val="63"/>
            </w:pPr>
            <w:r>
              <w:rPr>
                <w:rFonts w:hint="eastAsia"/>
              </w:rPr>
              <w:t>管道试压废水</w:t>
            </w:r>
          </w:p>
        </w:tc>
        <w:tc>
          <w:tcPr>
            <w:tcW w:w="1735" w:type="dxa"/>
            <w:vAlign w:val="center"/>
          </w:tcPr>
          <w:p>
            <w:pPr>
              <w:pStyle w:val="63"/>
            </w:pPr>
            <w:r>
              <w:rPr>
                <w:rFonts w:hint="eastAsia"/>
              </w:rPr>
              <w:t>S</w:t>
            </w:r>
            <w:r>
              <w:t>S</w:t>
            </w:r>
          </w:p>
        </w:tc>
        <w:tc>
          <w:tcPr>
            <w:tcW w:w="816" w:type="dxa"/>
            <w:vAlign w:val="center"/>
          </w:tcPr>
          <w:p>
            <w:pPr>
              <w:pStyle w:val="63"/>
            </w:pPr>
            <w:r>
              <w:t>98</w:t>
            </w:r>
            <w:r>
              <w:rPr>
                <w:rFonts w:hint="eastAsia"/>
              </w:rPr>
              <w:t xml:space="preserve"> m</w:t>
            </w:r>
            <w:r>
              <w:rPr>
                <w:vertAlign w:val="superscript"/>
              </w:rPr>
              <w:t>3</w:t>
            </w:r>
          </w:p>
        </w:tc>
        <w:tc>
          <w:tcPr>
            <w:tcW w:w="2528" w:type="dxa"/>
            <w:vAlign w:val="center"/>
          </w:tcPr>
          <w:p>
            <w:pPr>
              <w:pStyle w:val="63"/>
              <w:jc w:val="both"/>
            </w:pPr>
            <w:r>
              <w:rPr>
                <w:rFonts w:hint="eastAsia"/>
              </w:rPr>
              <w:t>沉淀后用于施工</w:t>
            </w:r>
            <w:r>
              <w:t>现场洒水抑尘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4</w:t>
            </w:r>
          </w:p>
        </w:tc>
        <w:tc>
          <w:tcPr>
            <w:tcW w:w="851" w:type="dxa"/>
            <w:vAlign w:val="center"/>
          </w:tcPr>
          <w:p>
            <w:pPr>
              <w:pStyle w:val="63"/>
            </w:pPr>
            <w:r>
              <w:rPr>
                <w:rFonts w:hint="eastAsia"/>
              </w:rPr>
              <w:t>噪声</w:t>
            </w:r>
          </w:p>
        </w:tc>
        <w:tc>
          <w:tcPr>
            <w:tcW w:w="1701" w:type="dxa"/>
            <w:vAlign w:val="center"/>
          </w:tcPr>
          <w:p>
            <w:pPr>
              <w:pStyle w:val="63"/>
            </w:pPr>
            <w:r>
              <w:rPr>
                <w:rFonts w:hint="eastAsia"/>
              </w:rPr>
              <w:t>施工噪声</w:t>
            </w:r>
          </w:p>
        </w:tc>
        <w:tc>
          <w:tcPr>
            <w:tcW w:w="1735" w:type="dxa"/>
            <w:vAlign w:val="center"/>
          </w:tcPr>
          <w:p>
            <w:pPr>
              <w:pStyle w:val="63"/>
            </w:pPr>
            <w:r>
              <w:t>LAeq</w:t>
            </w:r>
          </w:p>
        </w:tc>
        <w:tc>
          <w:tcPr>
            <w:tcW w:w="816" w:type="dxa"/>
            <w:vAlign w:val="center"/>
          </w:tcPr>
          <w:p>
            <w:pPr>
              <w:pStyle w:val="63"/>
            </w:pPr>
            <w:r>
              <w:rPr>
                <w:rFonts w:hint="eastAsia"/>
              </w:rPr>
              <w:t>约81～</w:t>
            </w:r>
          </w:p>
          <w:p>
            <w:pPr>
              <w:pStyle w:val="63"/>
            </w:pPr>
            <w:r>
              <w:t>100dB(A)</w:t>
            </w:r>
          </w:p>
        </w:tc>
        <w:tc>
          <w:tcPr>
            <w:tcW w:w="2528" w:type="dxa"/>
            <w:vAlign w:val="center"/>
          </w:tcPr>
          <w:p>
            <w:pPr>
              <w:pStyle w:val="63"/>
            </w:pPr>
            <w:r>
              <w:rPr>
                <w:rFonts w:hint="eastAsia"/>
              </w:rPr>
              <w:t>尽量选用低噪设备，设置围挡等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5</w:t>
            </w:r>
          </w:p>
        </w:tc>
        <w:tc>
          <w:tcPr>
            <w:tcW w:w="851" w:type="dxa"/>
            <w:vMerge w:val="restart"/>
            <w:vAlign w:val="center"/>
          </w:tcPr>
          <w:p>
            <w:pPr>
              <w:pStyle w:val="63"/>
            </w:pPr>
            <w:r>
              <w:rPr>
                <w:rFonts w:hint="eastAsia"/>
              </w:rPr>
              <w:t>固废</w:t>
            </w:r>
          </w:p>
        </w:tc>
        <w:tc>
          <w:tcPr>
            <w:tcW w:w="1701" w:type="dxa"/>
            <w:vAlign w:val="center"/>
          </w:tcPr>
          <w:p>
            <w:pPr>
              <w:pStyle w:val="63"/>
            </w:pPr>
            <w:r>
              <w:rPr>
                <w:rFonts w:hint="eastAsia"/>
              </w:rPr>
              <w:t>生活垃圾</w:t>
            </w:r>
          </w:p>
        </w:tc>
        <w:tc>
          <w:tcPr>
            <w:tcW w:w="1735" w:type="dxa"/>
            <w:vAlign w:val="center"/>
          </w:tcPr>
          <w:p>
            <w:pPr>
              <w:pStyle w:val="63"/>
            </w:pPr>
            <w:r>
              <w:rPr>
                <w:rFonts w:hint="eastAsia"/>
              </w:rPr>
              <w:t>包装袋等</w:t>
            </w:r>
          </w:p>
        </w:tc>
        <w:tc>
          <w:tcPr>
            <w:tcW w:w="816" w:type="dxa"/>
            <w:vAlign w:val="center"/>
          </w:tcPr>
          <w:p>
            <w:pPr>
              <w:pStyle w:val="63"/>
            </w:pPr>
            <w:r>
              <w:rPr>
                <w:rFonts w:hint="eastAsia"/>
              </w:rPr>
              <w:t>15</w:t>
            </w:r>
            <w:r>
              <w:t>kg/d</w:t>
            </w:r>
          </w:p>
        </w:tc>
        <w:tc>
          <w:tcPr>
            <w:tcW w:w="2528" w:type="dxa"/>
            <w:vAlign w:val="center"/>
          </w:tcPr>
          <w:p>
            <w:pPr>
              <w:pStyle w:val="63"/>
            </w:pPr>
            <w:r>
              <w:rPr>
                <w:rFonts w:hint="eastAsia"/>
              </w:rPr>
              <w:t>交当地环卫部门处理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6</w:t>
            </w:r>
          </w:p>
        </w:tc>
        <w:tc>
          <w:tcPr>
            <w:tcW w:w="851" w:type="dxa"/>
            <w:vMerge w:val="continue"/>
            <w:vAlign w:val="center"/>
          </w:tcPr>
          <w:p>
            <w:pPr>
              <w:pStyle w:val="63"/>
            </w:pPr>
          </w:p>
        </w:tc>
        <w:tc>
          <w:tcPr>
            <w:tcW w:w="1701" w:type="dxa"/>
            <w:vAlign w:val="center"/>
          </w:tcPr>
          <w:p>
            <w:pPr>
              <w:pStyle w:val="63"/>
            </w:pPr>
            <w:r>
              <w:rPr>
                <w:rFonts w:hint="eastAsia"/>
              </w:rPr>
              <w:t>施工废料</w:t>
            </w:r>
          </w:p>
        </w:tc>
        <w:tc>
          <w:tcPr>
            <w:tcW w:w="1735" w:type="dxa"/>
            <w:vAlign w:val="center"/>
          </w:tcPr>
          <w:p>
            <w:pPr>
              <w:pStyle w:val="63"/>
            </w:pPr>
            <w:r>
              <w:rPr>
                <w:rFonts w:hint="eastAsia"/>
              </w:rPr>
              <w:t>焊条、废包装</w:t>
            </w:r>
          </w:p>
          <w:p>
            <w:pPr>
              <w:pStyle w:val="63"/>
            </w:pPr>
            <w:r>
              <w:rPr>
                <w:rFonts w:hint="eastAsia"/>
              </w:rPr>
              <w:t>物</w:t>
            </w:r>
          </w:p>
        </w:tc>
        <w:tc>
          <w:tcPr>
            <w:tcW w:w="816" w:type="dxa"/>
            <w:vAlign w:val="center"/>
          </w:tcPr>
          <w:p>
            <w:pPr>
              <w:pStyle w:val="63"/>
            </w:pPr>
            <w:r>
              <w:rPr>
                <w:rFonts w:hint="eastAsia"/>
              </w:rPr>
              <w:t>0.</w:t>
            </w:r>
            <w:r>
              <w:t>4</w:t>
            </w:r>
            <w:r>
              <w:rPr>
                <w:rFonts w:hint="eastAsia"/>
              </w:rPr>
              <w:t>t</w:t>
            </w:r>
          </w:p>
        </w:tc>
        <w:tc>
          <w:tcPr>
            <w:tcW w:w="2528" w:type="dxa"/>
            <w:vAlign w:val="center"/>
          </w:tcPr>
          <w:p>
            <w:pPr>
              <w:pStyle w:val="63"/>
              <w:jc w:val="both"/>
            </w:pPr>
            <w:r>
              <w:rPr>
                <w:rFonts w:hint="eastAsia"/>
              </w:rPr>
              <w:t>部分回收利用，其余作为建渣委托当地环卫部门有偿清运处置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tcBorders>
              <w:left w:val="nil"/>
            </w:tcBorders>
            <w:vAlign w:val="center"/>
          </w:tcPr>
          <w:p>
            <w:pPr>
              <w:pStyle w:val="63"/>
            </w:pPr>
            <w:r>
              <w:rPr>
                <w:rFonts w:hint="eastAsia"/>
              </w:rPr>
              <w:t>7</w:t>
            </w:r>
          </w:p>
        </w:tc>
        <w:tc>
          <w:tcPr>
            <w:tcW w:w="851" w:type="dxa"/>
            <w:vMerge w:val="continue"/>
            <w:vAlign w:val="center"/>
          </w:tcPr>
          <w:p>
            <w:pPr>
              <w:pStyle w:val="63"/>
            </w:pPr>
          </w:p>
        </w:tc>
        <w:tc>
          <w:tcPr>
            <w:tcW w:w="1701" w:type="dxa"/>
            <w:vAlign w:val="center"/>
          </w:tcPr>
          <w:p>
            <w:pPr>
              <w:pStyle w:val="63"/>
            </w:pPr>
            <w:r>
              <w:rPr>
                <w:rFonts w:hint="eastAsia"/>
              </w:rPr>
              <w:t>清管废渣</w:t>
            </w:r>
          </w:p>
        </w:tc>
        <w:tc>
          <w:tcPr>
            <w:tcW w:w="1735" w:type="dxa"/>
            <w:vAlign w:val="center"/>
          </w:tcPr>
          <w:p>
            <w:pPr>
              <w:pStyle w:val="63"/>
            </w:pPr>
            <w:r>
              <w:rPr>
                <w:rFonts w:hint="eastAsia"/>
              </w:rPr>
              <w:t>灰尘和铁锈</w:t>
            </w:r>
          </w:p>
        </w:tc>
        <w:tc>
          <w:tcPr>
            <w:tcW w:w="816" w:type="dxa"/>
            <w:vAlign w:val="center"/>
          </w:tcPr>
          <w:p>
            <w:pPr>
              <w:pStyle w:val="63"/>
            </w:pPr>
            <w:r>
              <w:rPr>
                <w:rFonts w:hint="eastAsia"/>
              </w:rPr>
              <w:t>2kg/次</w:t>
            </w:r>
          </w:p>
        </w:tc>
        <w:tc>
          <w:tcPr>
            <w:tcW w:w="2528" w:type="dxa"/>
            <w:vAlign w:val="center"/>
          </w:tcPr>
          <w:p>
            <w:pPr>
              <w:pStyle w:val="63"/>
            </w:pPr>
            <w:r>
              <w:rPr>
                <w:szCs w:val="21"/>
              </w:rPr>
              <w:t>统一收集清运至周边合法建筑渣场处置</w:t>
            </w:r>
          </w:p>
        </w:tc>
      </w:tr>
    </w:tbl>
    <w:p>
      <w:pPr>
        <w:pStyle w:val="4"/>
      </w:pPr>
      <w:bookmarkStart w:id="153" w:name="_Toc436243296"/>
      <w:bookmarkEnd w:id="153"/>
      <w:bookmarkStart w:id="154" w:name="_Toc436899904"/>
      <w:bookmarkEnd w:id="154"/>
      <w:bookmarkStart w:id="155" w:name="_Toc437939718"/>
      <w:r>
        <w:t xml:space="preserve"> </w:t>
      </w:r>
      <w:bookmarkStart w:id="156" w:name="_Toc96680673"/>
      <w:r>
        <w:t>营运期</w:t>
      </w:r>
      <w:bookmarkEnd w:id="155"/>
      <w:r>
        <w:rPr>
          <w:rFonts w:hint="eastAsia"/>
        </w:rPr>
        <w:t>工艺流程及</w:t>
      </w:r>
      <w:r>
        <w:t>产污分析</w:t>
      </w:r>
      <w:bookmarkEnd w:id="156"/>
    </w:p>
    <w:p>
      <w:pPr>
        <w:ind w:firstLine="480"/>
      </w:pPr>
      <w:r>
        <w:rPr>
          <w:rFonts w:hint="eastAsia"/>
        </w:rPr>
        <w:t>本项目管线输送天然气为洁净天然气，不含硫化氢，天然气输送采用密闭输送，正常情况下管道沿线无泄漏。本项目管线正常营运过程中不产生废气、废水和固体废弃物，且管道采用埋地敷设，也几乎不产生气流噪声。仅当设备检修、清管以及事故状态下时，会产生少量天然气和少量固体废弃物，此部分天然气经设置的放空系统燃烧后直接排放，固废统一收集后，由环卫部门处理。</w:t>
      </w:r>
    </w:p>
    <w:p>
      <w:pPr>
        <w:pStyle w:val="5"/>
      </w:pPr>
      <w:r>
        <w:rPr>
          <w:rFonts w:hint="eastAsia"/>
        </w:rPr>
        <w:t xml:space="preserve"> </w:t>
      </w:r>
      <w:bookmarkStart w:id="157" w:name="_Toc96680674"/>
      <w:r>
        <w:t>废气</w:t>
      </w:r>
      <w:bookmarkEnd w:id="157"/>
    </w:p>
    <w:p>
      <w:pPr>
        <w:ind w:firstLine="480"/>
      </w:pPr>
      <w:r>
        <w:rPr>
          <w:rFonts w:hint="eastAsia"/>
        </w:rPr>
        <w:t>本项目管线所输送的介质为经净化后的洁净天然气，不含硫化氢，全线采用密闭输送，正常工况下生产装置无气体泄漏。仅在清管、检修作业以及事故状态下时排放少量天然气。</w:t>
      </w:r>
    </w:p>
    <w:p>
      <w:pPr>
        <w:pStyle w:val="214"/>
        <w:ind w:firstLine="482"/>
        <w:rPr>
          <w:b/>
        </w:rPr>
      </w:pPr>
      <w:r>
        <w:rPr>
          <w:rFonts w:hint="eastAsia"/>
          <w:b/>
        </w:rPr>
        <w:t>（1）清管、检修废气</w:t>
      </w:r>
    </w:p>
    <w:p>
      <w:pPr>
        <w:ind w:firstLine="480"/>
      </w:pPr>
      <w:r>
        <w:rPr>
          <w:rFonts w:hint="eastAsia"/>
        </w:rPr>
        <w:t>本管道工程在正常运行期间，管线每年将进行1~2次清管、检修作业，清管作业时收球筒有极少量的天然气产生，排放量约为10m</w:t>
      </w:r>
      <w:r>
        <w:rPr>
          <w:rFonts w:hint="eastAsia"/>
          <w:vertAlign w:val="superscript"/>
        </w:rPr>
        <w:t>3</w:t>
      </w:r>
      <w:r>
        <w:rPr>
          <w:rFonts w:hint="eastAsia"/>
        </w:rPr>
        <w:t>/次。</w:t>
      </w:r>
    </w:p>
    <w:p>
      <w:pPr>
        <w:ind w:firstLine="480"/>
      </w:pPr>
      <w:r>
        <w:rPr>
          <w:rFonts w:hint="eastAsia"/>
        </w:rPr>
        <w:t>清管、检修产生的废气依托草池站设置的放空管排放，排放的天然气经15m高的放空立管燃烧后排入大气，排放的废气中主要污染物为NO</w:t>
      </w:r>
      <w:r>
        <w:rPr>
          <w:vertAlign w:val="subscript"/>
        </w:rPr>
        <w:t>x</w:t>
      </w:r>
      <w:r>
        <w:rPr>
          <w:rFonts w:hint="eastAsia"/>
        </w:rPr>
        <w:t>、烟尘。</w:t>
      </w:r>
    </w:p>
    <w:p>
      <w:pPr>
        <w:pStyle w:val="214"/>
        <w:ind w:firstLine="482"/>
        <w:rPr>
          <w:b/>
        </w:rPr>
      </w:pPr>
      <w:r>
        <w:rPr>
          <w:rFonts w:hint="eastAsia"/>
          <w:b/>
        </w:rPr>
        <w:t>（2）事故状态排放废气</w:t>
      </w:r>
    </w:p>
    <w:p>
      <w:pPr>
        <w:pStyle w:val="214"/>
        <w:ind w:firstLine="480"/>
      </w:pPr>
      <w:r>
        <w:rPr>
          <w:rFonts w:hint="eastAsia"/>
        </w:rPr>
        <w:t>事故状态一般为系统超压情况，系统超压时将排放一定量的天然气。天然气超压放空系统放空的次数极少，发生的频率约为1次/年，每次持续时间约10~30min。超压排放的天然气依托草池站设置的15m高的放空立管燃烧后排入大气，排放的废气中主要污染物为NO</w:t>
      </w:r>
      <w:r>
        <w:rPr>
          <w:vertAlign w:val="subscript"/>
        </w:rPr>
        <w:t>x</w:t>
      </w:r>
      <w:r>
        <w:rPr>
          <w:rFonts w:hint="eastAsia"/>
        </w:rPr>
        <w:t>、烟尘。</w:t>
      </w:r>
    </w:p>
    <w:p>
      <w:pPr>
        <w:pStyle w:val="5"/>
      </w:pPr>
      <w:r>
        <w:rPr>
          <w:rFonts w:hint="eastAsia"/>
        </w:rPr>
        <w:t xml:space="preserve"> </w:t>
      </w:r>
      <w:bookmarkStart w:id="158" w:name="_Toc96680675"/>
      <w:r>
        <w:rPr>
          <w:rFonts w:hint="eastAsia"/>
        </w:rPr>
        <w:t>废水</w:t>
      </w:r>
      <w:bookmarkEnd w:id="158"/>
    </w:p>
    <w:p>
      <w:pPr>
        <w:pStyle w:val="214"/>
        <w:ind w:firstLine="480"/>
      </w:pPr>
      <w:r>
        <w:rPr>
          <w:rFonts w:hint="eastAsia"/>
        </w:rPr>
        <w:t>项目建成后，由运营单位调配人员进行巡线，不新增劳动定员，无新增生活废水产生。同时，项目管道输送的天然气，营运期无生产废水产生。</w:t>
      </w:r>
    </w:p>
    <w:p>
      <w:pPr>
        <w:pStyle w:val="5"/>
      </w:pPr>
      <w:r>
        <w:rPr>
          <w:rFonts w:hint="eastAsia"/>
        </w:rPr>
        <w:t xml:space="preserve"> </w:t>
      </w:r>
      <w:bookmarkStart w:id="159" w:name="_Toc96680676"/>
      <w:r>
        <w:rPr>
          <w:rFonts w:hint="eastAsia"/>
        </w:rPr>
        <w:t>噪声</w:t>
      </w:r>
      <w:bookmarkEnd w:id="159"/>
    </w:p>
    <w:p>
      <w:pPr>
        <w:ind w:firstLine="480"/>
      </w:pPr>
      <w:r>
        <w:rPr>
          <w:rFonts w:hint="eastAsia"/>
        </w:rPr>
        <w:t>本项目天然气管道采用埋地敷设方式，在正常运行过程中天然气管道不会产生噪声污染。</w:t>
      </w:r>
    </w:p>
    <w:p>
      <w:pPr>
        <w:ind w:firstLine="480"/>
      </w:pPr>
      <w:r>
        <w:rPr>
          <w:rFonts w:hint="eastAsia"/>
        </w:rPr>
        <w:t>接口处的阀门等会因节流或流速改变造成部件的机械振动而产生一定噪声，其噪声值较低，对环境影响较小。</w:t>
      </w:r>
    </w:p>
    <w:p>
      <w:pPr>
        <w:ind w:firstLine="480"/>
      </w:pPr>
      <w:r>
        <w:rPr>
          <w:rFonts w:hint="eastAsia"/>
        </w:rPr>
        <w:t>此外，在检修或清管放散时，放散系统会产生高压气流噪声，其值90dB(A)左右，但其持续时间较短，一般不超过十分钟，且检修频次低，约1-2次/年，因此对环境影响较小。</w:t>
      </w:r>
    </w:p>
    <w:p>
      <w:pPr>
        <w:pStyle w:val="5"/>
      </w:pPr>
      <w:r>
        <w:rPr>
          <w:rFonts w:hint="eastAsia"/>
        </w:rPr>
        <w:t xml:space="preserve"> </w:t>
      </w:r>
      <w:bookmarkStart w:id="160" w:name="_Toc96680677"/>
      <w:r>
        <w:rPr>
          <w:rFonts w:hint="eastAsia"/>
        </w:rPr>
        <w:t>固体废弃物</w:t>
      </w:r>
      <w:bookmarkEnd w:id="160"/>
    </w:p>
    <w:p>
      <w:pPr>
        <w:ind w:firstLine="480"/>
      </w:pPr>
      <w:r>
        <w:rPr>
          <w:rFonts w:hint="eastAsia"/>
        </w:rPr>
        <w:t>项目建成后，由建设单位调配人员进行巡线，不新增劳动定员，无新增生活垃圾产生。</w:t>
      </w:r>
    </w:p>
    <w:p>
      <w:pPr>
        <w:ind w:firstLine="480"/>
      </w:pPr>
      <w:r>
        <w:rPr>
          <w:rFonts w:hint="eastAsia"/>
        </w:rPr>
        <w:t>管道每年一般进行1～2次清管，全线清管装置为手动操作，密闭清管通球，清管固废产生量极少，项目工艺在每次清管作业时将产生约1~2kg的废渣，主要成分为铁锈和泥渣，为一般工业固废，于污水缓冲罐暂存，随污水一同拉运至袁家气田水处理站处理。</w:t>
      </w:r>
    </w:p>
    <w:p>
      <w:pPr>
        <w:pStyle w:val="5"/>
      </w:pPr>
      <w:bookmarkStart w:id="161" w:name="_Toc96680678"/>
      <w:bookmarkStart w:id="162" w:name="_Toc82517091"/>
      <w:bookmarkStart w:id="163" w:name="_Toc90396702"/>
      <w:bookmarkStart w:id="164" w:name="_Toc89009660"/>
      <w:r>
        <w:rPr>
          <w:rFonts w:hint="eastAsia"/>
        </w:rPr>
        <w:t xml:space="preserve"> </w:t>
      </w:r>
      <w:r>
        <w:t>运营期产污汇总</w:t>
      </w:r>
      <w:bookmarkEnd w:id="161"/>
      <w:bookmarkEnd w:id="162"/>
      <w:bookmarkEnd w:id="163"/>
    </w:p>
    <w:p>
      <w:pPr>
        <w:pStyle w:val="248"/>
        <w:ind w:firstLine="480"/>
        <w:rPr>
          <w:rFonts w:hAnsi="Times New Roman" w:cs="Times New Roman"/>
        </w:rPr>
      </w:pPr>
      <w:r>
        <w:rPr>
          <w:rFonts w:hint="eastAsia"/>
        </w:rPr>
        <w:t>本项目运营期</w:t>
      </w:r>
      <w:r>
        <w:t>主要</w:t>
      </w:r>
      <w:r>
        <w:rPr>
          <w:rFonts w:hint="eastAsia"/>
        </w:rPr>
        <w:t>产生</w:t>
      </w:r>
      <w:r>
        <w:t>废气和固废</w:t>
      </w:r>
      <w:r>
        <w:rPr>
          <w:rFonts w:hint="eastAsia"/>
        </w:rPr>
        <w:t>，</w:t>
      </w:r>
      <w:r>
        <w:rPr>
          <w:rFonts w:hAnsi="Times New Roman" w:cs="Times New Roman"/>
        </w:rPr>
        <w:t>产污环节汇总见下表。</w:t>
      </w:r>
    </w:p>
    <w:p>
      <w:pPr>
        <w:pStyle w:val="73"/>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1</w:t>
      </w:r>
      <w:r>
        <w:fldChar w:fldCharType="end"/>
      </w:r>
      <w:r>
        <w:t xml:space="preserve">  </w:t>
      </w:r>
      <w:r>
        <w:rPr>
          <w:rFonts w:hint="eastAsia"/>
        </w:rPr>
        <w:t>运营</w:t>
      </w:r>
      <w:r>
        <w:t>期</w:t>
      </w:r>
      <w:r>
        <w:rPr>
          <w:rFonts w:hint="eastAsia"/>
          <w:bCs/>
          <w:sz w:val="21"/>
        </w:rPr>
        <w:t>主要污染源及污染物</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1"/>
        <w:gridCol w:w="1417"/>
        <w:gridCol w:w="1418"/>
        <w:gridCol w:w="992"/>
        <w:gridCol w:w="3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75" w:type="dxa"/>
            <w:tcBorders>
              <w:top w:val="single" w:color="auto" w:sz="12" w:space="0"/>
              <w:left w:val="nil"/>
            </w:tcBorders>
            <w:vAlign w:val="center"/>
          </w:tcPr>
          <w:p>
            <w:pPr>
              <w:pStyle w:val="63"/>
              <w:rPr>
                <w:b/>
              </w:rPr>
            </w:pPr>
            <w:r>
              <w:rPr>
                <w:rFonts w:hint="eastAsia"/>
                <w:b/>
              </w:rPr>
              <w:t>序号</w:t>
            </w:r>
          </w:p>
        </w:tc>
        <w:tc>
          <w:tcPr>
            <w:tcW w:w="851" w:type="dxa"/>
            <w:tcBorders>
              <w:top w:val="single" w:color="auto" w:sz="12" w:space="0"/>
            </w:tcBorders>
            <w:vAlign w:val="center"/>
          </w:tcPr>
          <w:p>
            <w:pPr>
              <w:pStyle w:val="63"/>
              <w:rPr>
                <w:b/>
              </w:rPr>
            </w:pPr>
            <w:r>
              <w:rPr>
                <w:rFonts w:hint="eastAsia"/>
                <w:b/>
              </w:rPr>
              <w:t>污染</w:t>
            </w:r>
          </w:p>
        </w:tc>
        <w:tc>
          <w:tcPr>
            <w:tcW w:w="1417" w:type="dxa"/>
            <w:tcBorders>
              <w:top w:val="single" w:color="auto" w:sz="12" w:space="0"/>
            </w:tcBorders>
            <w:vAlign w:val="center"/>
          </w:tcPr>
          <w:p>
            <w:pPr>
              <w:pStyle w:val="63"/>
              <w:rPr>
                <w:b/>
              </w:rPr>
            </w:pPr>
            <w:r>
              <w:rPr>
                <w:rFonts w:hint="eastAsia"/>
                <w:b/>
              </w:rPr>
              <w:t>污染源名称</w:t>
            </w:r>
          </w:p>
        </w:tc>
        <w:tc>
          <w:tcPr>
            <w:tcW w:w="1418" w:type="dxa"/>
            <w:tcBorders>
              <w:top w:val="single" w:color="auto" w:sz="12" w:space="0"/>
            </w:tcBorders>
            <w:vAlign w:val="center"/>
          </w:tcPr>
          <w:p>
            <w:pPr>
              <w:pStyle w:val="63"/>
              <w:rPr>
                <w:b/>
              </w:rPr>
            </w:pPr>
            <w:r>
              <w:rPr>
                <w:rFonts w:hint="eastAsia"/>
                <w:b/>
              </w:rPr>
              <w:t>主要污染物</w:t>
            </w:r>
          </w:p>
        </w:tc>
        <w:tc>
          <w:tcPr>
            <w:tcW w:w="992" w:type="dxa"/>
            <w:tcBorders>
              <w:top w:val="single" w:color="auto" w:sz="12" w:space="0"/>
            </w:tcBorders>
            <w:vAlign w:val="center"/>
          </w:tcPr>
          <w:p>
            <w:pPr>
              <w:pStyle w:val="63"/>
              <w:rPr>
                <w:b/>
              </w:rPr>
            </w:pPr>
            <w:r>
              <w:rPr>
                <w:rFonts w:hint="eastAsia"/>
                <w:b/>
              </w:rPr>
              <w:t>排放量</w:t>
            </w:r>
          </w:p>
        </w:tc>
        <w:tc>
          <w:tcPr>
            <w:tcW w:w="3175" w:type="dxa"/>
            <w:tcBorders>
              <w:top w:val="single" w:color="auto" w:sz="12" w:space="0"/>
            </w:tcBorders>
            <w:vAlign w:val="center"/>
          </w:tcPr>
          <w:p>
            <w:pPr>
              <w:pStyle w:val="63"/>
              <w:rPr>
                <w:b/>
              </w:rPr>
            </w:pPr>
            <w:r>
              <w:rPr>
                <w:rFonts w:hint="eastAsia"/>
                <w:b/>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75" w:type="dxa"/>
            <w:tcBorders>
              <w:left w:val="nil"/>
            </w:tcBorders>
            <w:vAlign w:val="center"/>
          </w:tcPr>
          <w:p>
            <w:pPr>
              <w:pStyle w:val="63"/>
            </w:pPr>
            <w:r>
              <w:rPr>
                <w:rFonts w:hint="eastAsia"/>
              </w:rPr>
              <w:t>1</w:t>
            </w:r>
          </w:p>
        </w:tc>
        <w:tc>
          <w:tcPr>
            <w:tcW w:w="851" w:type="dxa"/>
            <w:vMerge w:val="restart"/>
            <w:vAlign w:val="center"/>
          </w:tcPr>
          <w:p>
            <w:pPr>
              <w:pStyle w:val="63"/>
            </w:pPr>
            <w:r>
              <w:rPr>
                <w:rFonts w:hint="eastAsia"/>
              </w:rPr>
              <w:t>废气</w:t>
            </w:r>
          </w:p>
        </w:tc>
        <w:tc>
          <w:tcPr>
            <w:tcW w:w="1417" w:type="dxa"/>
            <w:vAlign w:val="center"/>
          </w:tcPr>
          <w:p>
            <w:pPr>
              <w:pStyle w:val="63"/>
            </w:pPr>
            <w:r>
              <w:rPr>
                <w:rFonts w:hint="eastAsia"/>
              </w:rPr>
              <w:t>清管、检修、</w:t>
            </w:r>
            <w:r>
              <w:t>事故</w:t>
            </w:r>
            <w:r>
              <w:rPr>
                <w:rFonts w:cs="Times New Roman"/>
              </w:rPr>
              <w:t>放空燃烧废气</w:t>
            </w:r>
          </w:p>
        </w:tc>
        <w:tc>
          <w:tcPr>
            <w:tcW w:w="1418" w:type="dxa"/>
            <w:vAlign w:val="center"/>
          </w:tcPr>
          <w:p>
            <w:pPr>
              <w:pStyle w:val="63"/>
            </w:pPr>
            <w:r>
              <w:rPr>
                <w:rFonts w:cs="Times New Roman"/>
              </w:rPr>
              <w:t>NO</w:t>
            </w:r>
            <w:r>
              <w:rPr>
                <w:rFonts w:cs="Times New Roman"/>
                <w:vertAlign w:val="subscript"/>
              </w:rPr>
              <w:t>X</w:t>
            </w:r>
            <w:r>
              <w:rPr>
                <w:rFonts w:cs="Times New Roman"/>
              </w:rPr>
              <w:t>、烟尘等</w:t>
            </w:r>
          </w:p>
        </w:tc>
        <w:tc>
          <w:tcPr>
            <w:tcW w:w="992" w:type="dxa"/>
            <w:vAlign w:val="center"/>
          </w:tcPr>
          <w:p>
            <w:pPr>
              <w:pStyle w:val="63"/>
            </w:pPr>
            <w:r>
              <w:rPr>
                <w:rFonts w:hint="eastAsia"/>
              </w:rPr>
              <w:t>少量</w:t>
            </w:r>
          </w:p>
        </w:tc>
        <w:tc>
          <w:tcPr>
            <w:tcW w:w="3175" w:type="dxa"/>
            <w:vMerge w:val="restart"/>
            <w:vAlign w:val="center"/>
          </w:tcPr>
          <w:p>
            <w:pPr>
              <w:pStyle w:val="63"/>
            </w:pPr>
            <w:r>
              <w:rPr>
                <w:rFonts w:hint="eastAsia"/>
              </w:rPr>
              <w:t>依托草池站设置的15m高的放空立管燃烧后排入大气，排放的废气中主要污染物为NO</w:t>
            </w:r>
            <w:r>
              <w:rPr>
                <w:rFonts w:hint="eastAsia"/>
                <w:vertAlign w:val="subscript"/>
              </w:rPr>
              <w:t>2</w:t>
            </w:r>
            <w:r>
              <w:rPr>
                <w:rFonts w:hint="eastAsia"/>
              </w:rPr>
              <w:t>、烟尘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75" w:type="dxa"/>
            <w:tcBorders>
              <w:left w:val="nil"/>
            </w:tcBorders>
            <w:vAlign w:val="center"/>
          </w:tcPr>
          <w:p>
            <w:pPr>
              <w:pStyle w:val="63"/>
            </w:pPr>
            <w:r>
              <w:rPr>
                <w:rFonts w:hint="eastAsia"/>
              </w:rPr>
              <w:t>2</w:t>
            </w:r>
          </w:p>
        </w:tc>
        <w:tc>
          <w:tcPr>
            <w:tcW w:w="851" w:type="dxa"/>
            <w:vMerge w:val="continue"/>
            <w:vAlign w:val="center"/>
          </w:tcPr>
          <w:p>
            <w:pPr>
              <w:pStyle w:val="63"/>
            </w:pPr>
          </w:p>
        </w:tc>
        <w:tc>
          <w:tcPr>
            <w:tcW w:w="1417" w:type="dxa"/>
            <w:vAlign w:val="center"/>
          </w:tcPr>
          <w:p>
            <w:pPr>
              <w:pStyle w:val="63"/>
            </w:pPr>
            <w:r>
              <w:rPr>
                <w:rFonts w:hint="eastAsia"/>
              </w:rPr>
              <w:t>事故状态排放废气</w:t>
            </w:r>
          </w:p>
        </w:tc>
        <w:tc>
          <w:tcPr>
            <w:tcW w:w="1418" w:type="dxa"/>
            <w:vAlign w:val="center"/>
          </w:tcPr>
          <w:p>
            <w:pPr>
              <w:pStyle w:val="63"/>
            </w:pPr>
            <w:r>
              <w:rPr>
                <w:rFonts w:cs="Times New Roman"/>
              </w:rPr>
              <w:t>NO</w:t>
            </w:r>
            <w:r>
              <w:rPr>
                <w:rFonts w:cs="Times New Roman"/>
                <w:vertAlign w:val="subscript"/>
              </w:rPr>
              <w:t>X</w:t>
            </w:r>
            <w:r>
              <w:rPr>
                <w:rFonts w:cs="Times New Roman"/>
              </w:rPr>
              <w:t>、烟尘等</w:t>
            </w:r>
          </w:p>
        </w:tc>
        <w:tc>
          <w:tcPr>
            <w:tcW w:w="992" w:type="dxa"/>
            <w:vAlign w:val="center"/>
          </w:tcPr>
          <w:p>
            <w:pPr>
              <w:pStyle w:val="63"/>
            </w:pPr>
            <w:r>
              <w:rPr>
                <w:rFonts w:hint="eastAsia"/>
              </w:rPr>
              <w:t>少量</w:t>
            </w:r>
          </w:p>
        </w:tc>
        <w:tc>
          <w:tcPr>
            <w:tcW w:w="3175" w:type="dxa"/>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75" w:type="dxa"/>
            <w:tcBorders>
              <w:left w:val="nil"/>
            </w:tcBorders>
            <w:vAlign w:val="center"/>
          </w:tcPr>
          <w:p>
            <w:pPr>
              <w:pStyle w:val="63"/>
            </w:pPr>
            <w:r>
              <w:rPr>
                <w:rFonts w:hint="eastAsia"/>
              </w:rPr>
              <w:t>3</w:t>
            </w:r>
          </w:p>
        </w:tc>
        <w:tc>
          <w:tcPr>
            <w:tcW w:w="851" w:type="dxa"/>
            <w:vAlign w:val="center"/>
          </w:tcPr>
          <w:p>
            <w:pPr>
              <w:pStyle w:val="63"/>
            </w:pPr>
            <w:r>
              <w:rPr>
                <w:rFonts w:hint="eastAsia"/>
              </w:rPr>
              <w:t>固废</w:t>
            </w:r>
          </w:p>
        </w:tc>
        <w:tc>
          <w:tcPr>
            <w:tcW w:w="1417" w:type="dxa"/>
            <w:vAlign w:val="center"/>
          </w:tcPr>
          <w:p>
            <w:pPr>
              <w:pStyle w:val="63"/>
            </w:pPr>
            <w:r>
              <w:rPr>
                <w:rFonts w:hint="eastAsia"/>
              </w:rPr>
              <w:t>清管</w:t>
            </w:r>
            <w:r>
              <w:t>废渣</w:t>
            </w:r>
          </w:p>
        </w:tc>
        <w:tc>
          <w:tcPr>
            <w:tcW w:w="1418" w:type="dxa"/>
            <w:vAlign w:val="center"/>
          </w:tcPr>
          <w:p>
            <w:pPr>
              <w:pStyle w:val="63"/>
            </w:pPr>
            <w:r>
              <w:rPr>
                <w:rFonts w:hint="eastAsia"/>
              </w:rPr>
              <w:t>铁锈和泥渣</w:t>
            </w:r>
          </w:p>
        </w:tc>
        <w:tc>
          <w:tcPr>
            <w:tcW w:w="992" w:type="dxa"/>
            <w:vAlign w:val="center"/>
          </w:tcPr>
          <w:p>
            <w:pPr>
              <w:pStyle w:val="63"/>
            </w:pPr>
            <w:r>
              <w:rPr>
                <w:rFonts w:hint="eastAsia"/>
              </w:rPr>
              <w:t>1~2kg</w:t>
            </w:r>
            <w:r>
              <w:t>/</w:t>
            </w:r>
            <w:r>
              <w:rPr>
                <w:rFonts w:hint="eastAsia"/>
              </w:rPr>
              <w:t>次</w:t>
            </w:r>
          </w:p>
        </w:tc>
        <w:tc>
          <w:tcPr>
            <w:tcW w:w="3175" w:type="dxa"/>
            <w:vAlign w:val="center"/>
          </w:tcPr>
          <w:p>
            <w:pPr>
              <w:pStyle w:val="63"/>
            </w:pPr>
            <w:r>
              <w:rPr>
                <w:rFonts w:hint="eastAsia"/>
              </w:rPr>
              <w:t>污水缓冲罐暂存，随污水一同拉运至袁家气田水处理站处理</w:t>
            </w:r>
          </w:p>
        </w:tc>
      </w:tr>
    </w:tbl>
    <w:p>
      <w:pPr>
        <w:pStyle w:val="4"/>
      </w:pPr>
      <w:r>
        <w:rPr>
          <w:rFonts w:hint="eastAsia"/>
        </w:rPr>
        <w:t xml:space="preserve"> </w:t>
      </w:r>
      <w:bookmarkStart w:id="165" w:name="_Toc96680679"/>
      <w:r>
        <w:rPr>
          <w:rFonts w:hint="eastAsia"/>
        </w:rPr>
        <w:t>总量控制</w:t>
      </w:r>
      <w:bookmarkEnd w:id="164"/>
      <w:bookmarkEnd w:id="165"/>
    </w:p>
    <w:p>
      <w:pPr>
        <w:ind w:firstLine="480"/>
      </w:pPr>
      <w:r>
        <w:rPr>
          <w:rFonts w:hint="eastAsia"/>
        </w:rPr>
        <w:t>该拟建工程为天然气输送工程，采取密闭输送方式，正常情况下没有废气、废水排放。因此本项目不设置总量控制指标。</w:t>
      </w:r>
    </w:p>
    <w:p>
      <w:pPr>
        <w:ind w:firstLine="480"/>
        <w:rPr>
          <w:rFonts w:cs="Times New Roman"/>
        </w:rPr>
      </w:pPr>
    </w:p>
    <w:p>
      <w:pPr>
        <w:ind w:firstLine="960" w:firstLineChars="400"/>
        <w:rPr>
          <w:rFonts w:cs="Times New Roman"/>
        </w:rPr>
        <w:sectPr>
          <w:headerReference r:id="rId27" w:type="default"/>
          <w:pgSz w:w="11906" w:h="16838"/>
          <w:pgMar w:top="1440" w:right="1797" w:bottom="1440" w:left="1797" w:header="851" w:footer="794" w:gutter="0"/>
          <w:cols w:space="425" w:num="1"/>
          <w:docGrid w:type="lines" w:linePitch="326" w:charSpace="0"/>
        </w:sectPr>
      </w:pPr>
    </w:p>
    <w:p>
      <w:pPr>
        <w:pStyle w:val="3"/>
        <w:rPr>
          <w:rFonts w:cs="Times New Roman"/>
        </w:rPr>
      </w:pPr>
      <w:r>
        <w:rPr>
          <w:rFonts w:cs="Times New Roman"/>
        </w:rPr>
        <w:t xml:space="preserve"> </w:t>
      </w:r>
      <w:bookmarkStart w:id="166" w:name="_Toc96680680"/>
      <w:r>
        <w:rPr>
          <w:rFonts w:cs="Times New Roman"/>
        </w:rPr>
        <w:t>自然环境概况</w:t>
      </w:r>
      <w:bookmarkEnd w:id="166"/>
    </w:p>
    <w:p>
      <w:pPr>
        <w:pStyle w:val="4"/>
        <w:rPr>
          <w:rFonts w:cs="Times New Roman"/>
        </w:rPr>
      </w:pPr>
      <w:bookmarkStart w:id="167" w:name="_Toc57711018"/>
      <w:bookmarkStart w:id="168" w:name="_Toc65490416"/>
      <w:r>
        <w:rPr>
          <w:rFonts w:cs="Times New Roman"/>
        </w:rPr>
        <w:t xml:space="preserve"> </w:t>
      </w:r>
      <w:bookmarkStart w:id="169" w:name="_Toc96680681"/>
      <w:r>
        <w:rPr>
          <w:rFonts w:cs="Times New Roman"/>
        </w:rPr>
        <w:t>地理位置</w:t>
      </w:r>
      <w:bookmarkEnd w:id="167"/>
      <w:bookmarkEnd w:id="168"/>
      <w:bookmarkEnd w:id="169"/>
    </w:p>
    <w:p>
      <w:pPr>
        <w:ind w:firstLine="480"/>
        <w:rPr>
          <w:rFonts w:cs="Times New Roman"/>
        </w:rPr>
      </w:pPr>
      <w:r>
        <w:rPr>
          <w:rFonts w:cs="Times New Roman"/>
        </w:rPr>
        <w:t>本项目地理位置为四川省巴中市通江县境内。</w:t>
      </w:r>
    </w:p>
    <w:p>
      <w:pPr>
        <w:ind w:firstLine="480"/>
        <w:rPr>
          <w:rFonts w:cs="Times New Roman"/>
          <w:shd w:val="clear" w:color="auto" w:fill="FFFFFF"/>
        </w:rPr>
      </w:pPr>
      <w:r>
        <w:rPr>
          <w:rFonts w:cs="Times New Roman"/>
        </w:rPr>
        <w:t>通江县，是</w:t>
      </w:r>
      <w:r>
        <w:fldChar w:fldCharType="begin"/>
      </w:r>
      <w:r>
        <w:instrText xml:space="preserve"> HYPERLINK "https://baike.so.com/doc/2871728-3030429.html" \t "https://baike.so.com/doc/_blank" </w:instrText>
      </w:r>
      <w:r>
        <w:fldChar w:fldCharType="separate"/>
      </w:r>
      <w:r>
        <w:rPr>
          <w:rFonts w:cs="Times New Roman"/>
        </w:rPr>
        <w:t>四川省</w:t>
      </w:r>
      <w:r>
        <w:rPr>
          <w:rFonts w:cs="Times New Roman"/>
        </w:rPr>
        <w:fldChar w:fldCharType="end"/>
      </w:r>
      <w:r>
        <w:fldChar w:fldCharType="begin"/>
      </w:r>
      <w:r>
        <w:instrText xml:space="preserve"> HYPERLINK "https://baike.so.com/doc/5384366-5620775.html" \t "https://baike.so.com/doc/_blank" </w:instrText>
      </w:r>
      <w:r>
        <w:fldChar w:fldCharType="separate"/>
      </w:r>
      <w:r>
        <w:rPr>
          <w:rFonts w:cs="Times New Roman"/>
        </w:rPr>
        <w:t>巴中市</w:t>
      </w:r>
      <w:r>
        <w:rPr>
          <w:rFonts w:cs="Times New Roman"/>
        </w:rPr>
        <w:fldChar w:fldCharType="end"/>
      </w:r>
      <w:r>
        <w:rPr>
          <w:rFonts w:cs="Times New Roman"/>
        </w:rPr>
        <w:t>的一个下辖县，位于四川省巴中市东北部，米仓山东段南麓大巴山缺口处，介于北纬31°39′~32°33′，东经106°59′~107°46′之间。通江县幅员4116.58平方公里。县域东接万源市，南邻平昌县，西靠巴州、南江二区县，北连陕西省南郑、西乡、镇巴三县。通江县南距达州市150公里，距重庆市420公里；西距巴中市89公里，距省会成都市580公里，距广元市270公里；东距万源市180公里；北距陕西省镇巴县158公里；西北距南江县131公里。</w:t>
      </w:r>
    </w:p>
    <w:p>
      <w:pPr>
        <w:ind w:firstLine="480"/>
        <w:rPr>
          <w:rFonts w:cs="Times New Roman"/>
          <w:u w:val="single"/>
        </w:rPr>
      </w:pPr>
      <w:r>
        <w:rPr>
          <w:rFonts w:cs="Times New Roman"/>
          <w:u w:val="single"/>
        </w:rPr>
        <w:t>本项目位于四川省通江县涪阳镇活水沟村和</w:t>
      </w:r>
      <w:r>
        <w:rPr>
          <w:rFonts w:hint="eastAsia"/>
          <w:u w:val="single"/>
        </w:rPr>
        <w:t>斜滩河村</w:t>
      </w:r>
      <w:r>
        <w:rPr>
          <w:rFonts w:cs="Times New Roman"/>
          <w:u w:val="single"/>
        </w:rPr>
        <w:t>，地理位置见附图1。</w:t>
      </w:r>
    </w:p>
    <w:p>
      <w:pPr>
        <w:pStyle w:val="4"/>
        <w:rPr>
          <w:rFonts w:cs="Times New Roman"/>
        </w:rPr>
      </w:pPr>
      <w:bookmarkStart w:id="170" w:name="_Toc57711019"/>
      <w:bookmarkStart w:id="171" w:name="_Toc65490417"/>
      <w:r>
        <w:rPr>
          <w:rFonts w:cs="Times New Roman"/>
        </w:rPr>
        <w:t xml:space="preserve"> </w:t>
      </w:r>
      <w:bookmarkStart w:id="172" w:name="_Toc96680682"/>
      <w:r>
        <w:rPr>
          <w:rFonts w:cs="Times New Roman"/>
        </w:rPr>
        <w:t>地形、地貌</w:t>
      </w:r>
      <w:bookmarkEnd w:id="170"/>
      <w:bookmarkEnd w:id="171"/>
      <w:bookmarkEnd w:id="172"/>
    </w:p>
    <w:p>
      <w:pPr>
        <w:ind w:firstLine="480"/>
        <w:rPr>
          <w:rFonts w:cs="Times New Roman"/>
        </w:rPr>
      </w:pPr>
      <w:r>
        <w:rPr>
          <w:rFonts w:cs="Times New Roman"/>
        </w:rPr>
        <w:t>本项目涉及地理位置为四川省巴中市通江县。项目区域地形测绘图附图</w:t>
      </w:r>
      <w:r>
        <w:rPr>
          <w:rFonts w:hint="eastAsia" w:cs="Times New Roman"/>
        </w:rPr>
        <w:t>3</w:t>
      </w:r>
      <w:r>
        <w:rPr>
          <w:rFonts w:cs="Times New Roman"/>
        </w:rPr>
        <w:t>。</w:t>
      </w:r>
    </w:p>
    <w:p>
      <w:pPr>
        <w:ind w:firstLine="480"/>
        <w:rPr>
          <w:rFonts w:cs="Times New Roman"/>
        </w:rPr>
      </w:pPr>
      <w:r>
        <w:rPr>
          <w:rFonts w:cs="Times New Roman"/>
        </w:rPr>
        <w:t>通江县属中、低山区，包括中切割低山、中切割中山和深切割中山。呈“三山夹两谷”地形。地貌基本特征有三：低、中山界限明显，均受三个二级构造单元的构造线控制。涪阳-五龙山鼻状构造轴线，为通江县境低、中山的分界线，此线以南为中切割低山。川北台陷与米仓山、大巴山交界线，形成县境中切割中山与深切割中山的分界线，此线以北为深切割中山。米仓山台穹中楼子庙空山坝挠曲褶皱带之南端，为通江县境岩溶地貌的分界线，此线以北为中山岩溶地貌。切割深，多窄谷、峡谷。中切割低山切割一般600米，多“V”型谷、平底谷；中切割中山切割一般700~900米，多窄谷；深切割中山切割高达1200米以上，多峡谷。三级阶梯状构造，从北至南逐渐降低。北部深切割中山海拔1500~2000米；中部中切割中山海拔1300~1500米；南部中切割低山海拔800~1000米。</w:t>
      </w:r>
    </w:p>
    <w:p>
      <w:pPr>
        <w:pStyle w:val="214"/>
        <w:ind w:firstLine="480"/>
        <w:rPr>
          <w:u w:val="single"/>
        </w:rPr>
      </w:pPr>
      <w:r>
        <w:rPr>
          <w:rFonts w:hint="eastAsia"/>
          <w:u w:val="single"/>
        </w:rPr>
        <w:t>本项目</w:t>
      </w:r>
      <w:r>
        <w:rPr>
          <w:u w:val="single"/>
        </w:rPr>
        <w:t>评价区域属于</w:t>
      </w:r>
      <w:r>
        <w:rPr>
          <w:rFonts w:hint="eastAsia"/>
          <w:u w:val="single"/>
        </w:rPr>
        <w:t>勘察区属侵蚀、剥蚀低山丘陵地貌，陡斜坡地形，地形起伏大，相对高差超过</w:t>
      </w:r>
      <w:r>
        <w:rPr>
          <w:u w:val="single"/>
        </w:rPr>
        <w:t>200m</w:t>
      </w:r>
      <w:r>
        <w:rPr>
          <w:rFonts w:hint="eastAsia"/>
          <w:u w:val="single"/>
        </w:rPr>
        <w:t>，地表坡度总体</w:t>
      </w:r>
      <w:r>
        <w:rPr>
          <w:u w:val="single"/>
        </w:rPr>
        <w:t>13-38°</w:t>
      </w:r>
      <w:r>
        <w:rPr>
          <w:rFonts w:hint="eastAsia"/>
          <w:u w:val="single"/>
        </w:rPr>
        <w:t>；坡体植被覆盖严密，主要为松树林，局部为杂树林。</w:t>
      </w:r>
    </w:p>
    <w:p>
      <w:pPr>
        <w:pStyle w:val="4"/>
        <w:rPr>
          <w:rFonts w:cs="Times New Roman"/>
        </w:rPr>
      </w:pPr>
      <w:bookmarkStart w:id="173" w:name="_Toc57711020"/>
      <w:bookmarkStart w:id="174" w:name="_Toc65348223"/>
      <w:r>
        <w:rPr>
          <w:rFonts w:cs="Times New Roman"/>
        </w:rPr>
        <w:t xml:space="preserve"> </w:t>
      </w:r>
      <w:bookmarkStart w:id="175" w:name="_Toc96680683"/>
      <w:r>
        <w:rPr>
          <w:rFonts w:cs="Times New Roman"/>
        </w:rPr>
        <w:t>水文</w:t>
      </w:r>
      <w:bookmarkEnd w:id="173"/>
      <w:bookmarkEnd w:id="174"/>
      <w:bookmarkEnd w:id="175"/>
    </w:p>
    <w:p>
      <w:pPr>
        <w:pStyle w:val="5"/>
        <w:rPr>
          <w:rFonts w:cs="Times New Roman"/>
        </w:rPr>
      </w:pPr>
      <w:bookmarkStart w:id="176" w:name="_Toc65348224"/>
      <w:bookmarkStart w:id="177" w:name="_Toc60041123"/>
      <w:r>
        <w:rPr>
          <w:rFonts w:cs="Times New Roman"/>
        </w:rPr>
        <w:t xml:space="preserve"> </w:t>
      </w:r>
      <w:bookmarkStart w:id="178" w:name="_Toc96680684"/>
      <w:r>
        <w:rPr>
          <w:rFonts w:cs="Times New Roman"/>
        </w:rPr>
        <w:t>地表水</w:t>
      </w:r>
      <w:bookmarkEnd w:id="176"/>
      <w:bookmarkEnd w:id="177"/>
      <w:bookmarkEnd w:id="178"/>
    </w:p>
    <w:p>
      <w:pPr>
        <w:ind w:firstLine="480"/>
        <w:rPr>
          <w:rFonts w:cs="Times New Roman"/>
        </w:rPr>
      </w:pPr>
      <w:r>
        <w:rPr>
          <w:rFonts w:cs="Times New Roman"/>
        </w:rPr>
        <w:t>通江县属长江流域水系，境内有大通江、小通江、通江河、沙溪河、长滩河。通江县境内流域面积50平方公里以上的河流27条，其中流域面积在100平方公里以上的14条，流域面积在1000平方公里以上的4条。境内地表水多年平均径流总量为26.9亿立方米。其中境内地下水年出露量为2.260亿立方米。通江县过境地表水数量较大，多年平均年径量32.8亿立方米。通江县水能理论蕴藏总量36.70万千瓦，可开发水能资源20.22万千瓦，占总蕴藏量的55%。</w:t>
      </w:r>
    </w:p>
    <w:p>
      <w:pPr>
        <w:spacing w:line="520" w:lineRule="exact"/>
        <w:ind w:firstLine="480"/>
        <w:rPr>
          <w:rFonts w:cs="Times New Roman"/>
        </w:rPr>
      </w:pPr>
      <w:r>
        <w:rPr>
          <w:rFonts w:cs="Times New Roman"/>
          <w:u w:val="single"/>
        </w:rPr>
        <w:t>本项目评价区域内常年地表水体为小通江及其支流。</w:t>
      </w:r>
      <w:r>
        <w:rPr>
          <w:rFonts w:cs="Times New Roman"/>
        </w:rPr>
        <w:t>小通江属通江一级支流。小通江从发源处至小江口与大通江相汇，流程153.8公里，其中县境内长108.3公里，境内流域面积1102.9平方公里。发源处河底高程1740米，</w:t>
      </w:r>
      <w:r>
        <w:rPr>
          <w:rFonts w:hint="eastAsia" w:cs="Times New Roman"/>
        </w:rPr>
        <w:t>入境</w:t>
      </w:r>
      <w:r>
        <w:rPr>
          <w:rFonts w:cs="Times New Roman"/>
        </w:rPr>
        <w:t>高程595.6米，两江相会处河底高程324米。</w:t>
      </w:r>
    </w:p>
    <w:p>
      <w:pPr>
        <w:pStyle w:val="5"/>
        <w:rPr>
          <w:rFonts w:cs="Times New Roman"/>
        </w:rPr>
      </w:pPr>
      <w:r>
        <w:rPr>
          <w:rFonts w:cs="Times New Roman"/>
        </w:rPr>
        <w:t xml:space="preserve"> </w:t>
      </w:r>
      <w:bookmarkStart w:id="179" w:name="_Toc96680685"/>
      <w:r>
        <w:rPr>
          <w:rFonts w:cs="Times New Roman"/>
        </w:rPr>
        <w:t>地下水</w:t>
      </w:r>
      <w:bookmarkEnd w:id="179"/>
    </w:p>
    <w:p>
      <w:pPr>
        <w:ind w:firstLine="480"/>
      </w:pPr>
      <w:r>
        <w:rPr>
          <w:rFonts w:hint="eastAsia"/>
        </w:rPr>
        <w:t>*</w:t>
      </w:r>
      <w:r>
        <w:t>*****</w:t>
      </w:r>
    </w:p>
    <w:p>
      <w:pPr>
        <w:pStyle w:val="4"/>
        <w:rPr>
          <w:rFonts w:cs="Times New Roman"/>
        </w:rPr>
      </w:pPr>
      <w:bookmarkStart w:id="180" w:name="_Toc65490421"/>
      <w:bookmarkStart w:id="181" w:name="_Toc57711021"/>
      <w:bookmarkStart w:id="182" w:name="_Toc96680686"/>
      <w:r>
        <w:rPr>
          <w:rFonts w:cs="Times New Roman"/>
        </w:rPr>
        <w:t>气候、气</w:t>
      </w:r>
      <w:bookmarkEnd w:id="180"/>
      <w:bookmarkEnd w:id="181"/>
      <w:r>
        <w:rPr>
          <w:rFonts w:cs="Times New Roman"/>
        </w:rPr>
        <w:t>象</w:t>
      </w:r>
      <w:bookmarkEnd w:id="182"/>
    </w:p>
    <w:p>
      <w:pPr>
        <w:ind w:firstLine="480"/>
        <w:rPr>
          <w:rFonts w:cs="Times New Roman"/>
        </w:rPr>
      </w:pPr>
      <w:r>
        <w:rPr>
          <w:rFonts w:cs="Times New Roman"/>
        </w:rPr>
        <w:t>通江县亚热带季风气候。春暖秋爽，夏热冬冷，降水集中，雨热同季，四季分明。多年平均气温13.9</w:t>
      </w:r>
      <w:r>
        <w:rPr>
          <w:rFonts w:cs="Times New Roman"/>
          <w:lang w:eastAsia="ja-JP"/>
        </w:rPr>
        <w:t>℃</w:t>
      </w:r>
      <w:r>
        <w:rPr>
          <w:rFonts w:cs="Times New Roman"/>
        </w:rPr>
        <w:t>，大于或等于0</w:t>
      </w:r>
      <w:r>
        <w:rPr>
          <w:rFonts w:cs="Times New Roman"/>
          <w:lang w:eastAsia="ja-JP"/>
        </w:rPr>
        <w:t>℃</w:t>
      </w:r>
      <w:r>
        <w:rPr>
          <w:rFonts w:cs="Times New Roman"/>
        </w:rPr>
        <w:t>的积温为5136</w:t>
      </w:r>
      <w:r>
        <w:rPr>
          <w:rFonts w:cs="Times New Roman"/>
          <w:lang w:eastAsia="ja-JP"/>
        </w:rPr>
        <w:t>℃</w:t>
      </w:r>
      <w:r>
        <w:rPr>
          <w:rFonts w:cs="Times New Roman"/>
        </w:rPr>
        <w:t>，大于或等于10</w:t>
      </w:r>
      <w:r>
        <w:rPr>
          <w:rFonts w:cs="Times New Roman"/>
          <w:lang w:eastAsia="ja-JP"/>
        </w:rPr>
        <w:t>℃</w:t>
      </w:r>
      <w:r>
        <w:rPr>
          <w:rFonts w:cs="Times New Roman"/>
        </w:rPr>
        <w:t>的积温为4644</w:t>
      </w:r>
      <w:r>
        <w:rPr>
          <w:rFonts w:cs="Times New Roman"/>
          <w:lang w:eastAsia="ja-JP"/>
        </w:rPr>
        <w:t>℃</w:t>
      </w:r>
      <w:r>
        <w:rPr>
          <w:rFonts w:cs="Times New Roman"/>
        </w:rPr>
        <w:t>；通江县日照较充足，年平均日照时数为2405.2小时，无霜期210.7天。</w:t>
      </w:r>
    </w:p>
    <w:p>
      <w:pPr>
        <w:pStyle w:val="4"/>
        <w:rPr>
          <w:rFonts w:cs="Times New Roman"/>
        </w:rPr>
      </w:pPr>
      <w:bookmarkStart w:id="183" w:name="_Toc57711022"/>
      <w:bookmarkStart w:id="184" w:name="_Toc65348229"/>
      <w:r>
        <w:rPr>
          <w:rFonts w:cs="Times New Roman"/>
        </w:rPr>
        <w:t xml:space="preserve"> </w:t>
      </w:r>
      <w:bookmarkStart w:id="185" w:name="_Toc96680687"/>
      <w:r>
        <w:rPr>
          <w:rFonts w:cs="Times New Roman"/>
        </w:rPr>
        <w:t>土壤、动植物资源</w:t>
      </w:r>
      <w:bookmarkEnd w:id="183"/>
      <w:bookmarkEnd w:id="184"/>
      <w:bookmarkEnd w:id="185"/>
    </w:p>
    <w:p>
      <w:pPr>
        <w:adjustRightInd w:val="0"/>
        <w:snapToGrid w:val="0"/>
        <w:ind w:firstLine="482"/>
        <w:rPr>
          <w:rFonts w:cs="Times New Roman"/>
        </w:rPr>
      </w:pPr>
      <w:r>
        <w:rPr>
          <w:rFonts w:cs="Times New Roman"/>
          <w:b/>
          <w:bCs/>
        </w:rPr>
        <w:t>（1）动植物资源</w:t>
      </w:r>
    </w:p>
    <w:p>
      <w:pPr>
        <w:ind w:firstLine="480"/>
        <w:rPr>
          <w:rFonts w:cs="Times New Roman"/>
        </w:rPr>
      </w:pPr>
      <w:r>
        <w:rPr>
          <w:rFonts w:cs="Times New Roman"/>
        </w:rPr>
        <w:t>通江县境内植物、动物资源丰富。年均播种耕地面积89693公顷。全县林地19万公顷，森林覆盖率57.61％。有植物乔灌木77科308种，其中果木类13种，竹类8种，属国家一、二、三级保护树种主要有水杉、三尖杉、银杏、鹅掌楸、红豆树、领春木、华榛等14种；有野生动物（不含昆虫）331种，其中列入国家一、二类保护的动物主要有毛冠鹿、金雕、云豹、金钱豹、猕猴、苏门羚、林麝、大鲵、白冠长尾雉、红腹锦鸡等21余种。</w:t>
      </w:r>
    </w:p>
    <w:p>
      <w:pPr>
        <w:pStyle w:val="214"/>
        <w:ind w:firstLine="480"/>
        <w:rPr>
          <w:u w:val="single"/>
        </w:rPr>
      </w:pPr>
      <w:r>
        <w:rPr>
          <w:rFonts w:hint="eastAsia"/>
          <w:u w:val="single"/>
        </w:rPr>
        <w:t>本项目建设地不涉及保护动植物。</w:t>
      </w:r>
    </w:p>
    <w:p>
      <w:pPr>
        <w:ind w:firstLine="482"/>
        <w:rPr>
          <w:rFonts w:cs="Times New Roman"/>
          <w:b/>
          <w:bCs/>
        </w:rPr>
      </w:pPr>
      <w:r>
        <w:rPr>
          <w:rFonts w:cs="Times New Roman"/>
          <w:b/>
          <w:bCs/>
        </w:rPr>
        <w:t xml:space="preserve">（2）土壤资源 </w:t>
      </w:r>
    </w:p>
    <w:p>
      <w:pPr>
        <w:pStyle w:val="214"/>
        <w:ind w:firstLine="480"/>
      </w:pPr>
      <w:r>
        <w:t>通江县播种耕地面积89693公顷。县内土壤共有6个土类、10个亚类、16个土属、36个土种。其中有31个土种是农业土壤，7个土种是森林土。水稻土是全县农业土壤中最大的土类，面积406858亩，占农业土壤的54%；次为紫色土类，面积194108亩，占25.8%；再次为黄棕壤、黄壤、石灰岩土、新积土等4个土类。水稻土类有3个亚类、7个土属、15个土种，其中淹育型水稻土亚类紫泥土田土属是最大的土属，有3个土种，面积193840亩，占水稻土的47.6%；次为潴育型水稻土亚类紫黄泥田土属，有4个土种，面积177021亩，占43.5%。旱作土壤有5个土类、7个亚类、9个土属、16个土种，其中最大的土类是紫色土类，面积194108亩，占旱地面积的56%。</w:t>
      </w:r>
    </w:p>
    <w:p>
      <w:pPr>
        <w:pStyle w:val="214"/>
        <w:ind w:firstLine="480"/>
        <w:rPr>
          <w:u w:val="single"/>
        </w:rPr>
      </w:pPr>
      <w:r>
        <w:rPr>
          <w:u w:val="single"/>
        </w:rPr>
        <w:t>本项目所在区域土壤类型为</w:t>
      </w:r>
      <w:r>
        <w:rPr>
          <w:rFonts w:hint="eastAsia"/>
          <w:u w:val="single"/>
        </w:rPr>
        <w:t>酸性紫色</w:t>
      </w:r>
      <w:r>
        <w:rPr>
          <w:u w:val="single"/>
        </w:rPr>
        <w:t>土。</w:t>
      </w:r>
    </w:p>
    <w:p>
      <w:pPr>
        <w:pStyle w:val="4"/>
        <w:rPr>
          <w:rFonts w:cs="Times New Roman"/>
        </w:rPr>
      </w:pPr>
      <w:bookmarkStart w:id="186" w:name="_Toc57711023"/>
      <w:bookmarkStart w:id="187" w:name="_Toc65348232"/>
      <w:r>
        <w:rPr>
          <w:rFonts w:hint="eastAsia" w:cs="Times New Roman"/>
        </w:rPr>
        <w:t xml:space="preserve"> </w:t>
      </w:r>
      <w:bookmarkStart w:id="188" w:name="_Toc96680688"/>
      <w:r>
        <w:rPr>
          <w:rFonts w:cs="Times New Roman"/>
        </w:rPr>
        <w:t>地震概况</w:t>
      </w:r>
      <w:bookmarkEnd w:id="186"/>
      <w:bookmarkEnd w:id="187"/>
      <w:bookmarkEnd w:id="188"/>
    </w:p>
    <w:p>
      <w:pPr>
        <w:ind w:firstLine="480"/>
        <w:rPr>
          <w:rFonts w:cs="Times New Roman"/>
        </w:rPr>
      </w:pPr>
      <w:r>
        <w:rPr>
          <w:rFonts w:cs="Times New Roman"/>
        </w:rPr>
        <w:t>通江县境内地层从北到南，由老到新，自古生界寒武系到新生界第四系，除缺失泥盆、石碳、第三系外，其余均有出露。古生界分布于北部及东部边缘地带，为滨——浅海相碳酸盐岩、砂岩、泥岩、页岩组成，厚度1333~1588米；中生界地层广布境内，除中、下三叠统为海相沉积外，其余为陆相碎屑沉积，主要由砂岩、泥岩、页岩组成，厚度5978.1~ 6681.1米；新生界零星分布于河谷阶地、山麓、山间洼地，主要为冲、洪积物或坡积物，厚度0~10米。地层总厚7311.1~8279.1米。</w:t>
      </w:r>
    </w:p>
    <w:p>
      <w:pPr>
        <w:ind w:firstLine="480"/>
        <w:rPr>
          <w:rFonts w:cs="Times New Roman"/>
        </w:rPr>
      </w:pPr>
      <w:r>
        <w:rPr>
          <w:rFonts w:cs="Times New Roman"/>
        </w:rPr>
        <w:t>通江县属上扬子地台北部范围，处于四川台向斜向秦岭地槽褶皱带的过渡地区。据《四川省构造分区略图》，境内跨及三个二级构造单元。</w:t>
      </w:r>
    </w:p>
    <w:p>
      <w:pPr>
        <w:ind w:firstLine="480"/>
        <w:rPr>
          <w:rFonts w:cs="Times New Roman"/>
        </w:rPr>
      </w:pPr>
      <w:r>
        <w:rPr>
          <w:rFonts w:cs="Times New Roman"/>
        </w:rPr>
        <w:t>米仓山台穹范围包括县境北部新潮、楼子、铁厂、临江、檬坝、河口、空山等乡的全部或大部。此构造单元对县境影响较大的是楼子庙至空山坝挠曲褶皱带，由北至南形成空山坝向斜、高坎子背斜、上码头向斜、 牛角嵌背斜、沈河沟向斜、楼子庙背斜。</w:t>
      </w:r>
    </w:p>
    <w:p>
      <w:pPr>
        <w:ind w:firstLine="480"/>
        <w:rPr>
          <w:rFonts w:cs="Times New Roman"/>
        </w:rPr>
      </w:pPr>
      <w:r>
        <w:rPr>
          <w:rFonts w:cs="Times New Roman"/>
        </w:rPr>
        <w:t>大巴山弧形构造范围包括什字、朱元、铁溪等乡的全部，并延伸至新文、长坪、中林、董溪、澌波等乡的全部或大部。因受北西一南东向的襜皱控制，铁溪以东褶皱紧密，铁溪以西则逐渐平缓宽阔，其中影响较大的有什字坝复式向斜、水洋坪复式背斜。</w:t>
      </w:r>
    </w:p>
    <w:p>
      <w:pPr>
        <w:ind w:firstLine="480"/>
        <w:rPr>
          <w:rFonts w:cs="Times New Roman"/>
        </w:rPr>
      </w:pPr>
      <w:r>
        <w:rPr>
          <w:rFonts w:cs="Times New Roman"/>
        </w:rPr>
        <w:t>川北台陷范围包括县境中、南部大部分区乡。属于大巴山北东构造线和米仓山东西构造线相互转折的前缘带。其构造形态受四周构造体系的影响，在不同的位置各有所不同。县东北与大巴山弧形构造相邻的地带,构造形态与大巴山褶皱相似;县西北部则受米仓山台穹控制的近东-西构造影响，而陈河、新场带，又受巴(中)一仪(陇)莲花状旋扭构造波及。此构造单元对境内影响较大的有长滩河—沿山向斜、涪阳一五龙山鼻状构造、泥溪—龙凤复向斜、乱石子鼻状构造、砦口河背斜、板桥口向斜。</w:t>
      </w:r>
    </w:p>
    <w:p>
      <w:pPr>
        <w:ind w:firstLine="480"/>
        <w:rPr>
          <w:rFonts w:cs="Times New Roman"/>
        </w:rPr>
      </w:pPr>
      <w:r>
        <w:rPr>
          <w:rFonts w:cs="Times New Roman"/>
        </w:rPr>
        <w:t>根据《中国地震动参数区划图》（GB18306-2015），通江县抗震设防烈度为6度，地震动峰值加速度：0.05（g），地震动加速度反应谱特征周期：0.35（s）。</w:t>
      </w:r>
    </w:p>
    <w:p>
      <w:pPr>
        <w:pStyle w:val="4"/>
      </w:pPr>
      <w:bookmarkStart w:id="189" w:name="_Toc81163417"/>
      <w:r>
        <w:rPr>
          <w:rFonts w:hint="eastAsia"/>
        </w:rPr>
        <w:t xml:space="preserve"> </w:t>
      </w:r>
      <w:bookmarkStart w:id="190" w:name="_Toc96680689"/>
      <w:r>
        <w:rPr>
          <w:rFonts w:hint="eastAsia"/>
        </w:rPr>
        <w:t>地质地貌</w:t>
      </w:r>
      <w:bookmarkEnd w:id="190"/>
    </w:p>
    <w:p>
      <w:pPr>
        <w:pStyle w:val="5"/>
      </w:pPr>
      <w:r>
        <w:rPr>
          <w:rFonts w:hint="eastAsia"/>
        </w:rPr>
        <w:t xml:space="preserve"> </w:t>
      </w:r>
      <w:bookmarkEnd w:id="189"/>
      <w:bookmarkStart w:id="191" w:name="_Toc96680690"/>
      <w:r>
        <w:rPr>
          <w:rFonts w:hint="eastAsia"/>
        </w:rPr>
        <w:t>地层岩性</w:t>
      </w:r>
      <w:bookmarkEnd w:id="191"/>
    </w:p>
    <w:p>
      <w:pPr>
        <w:pStyle w:val="248"/>
        <w:ind w:firstLine="480"/>
        <w:rPr>
          <w:rFonts w:cs="Times New Roman"/>
          <w:sz w:val="21"/>
          <w:szCs w:val="21"/>
        </w:rPr>
      </w:pPr>
      <w:bookmarkStart w:id="192" w:name="_Toc65348239"/>
      <w:bookmarkStart w:id="193" w:name="_Toc81163418"/>
      <w:bookmarkStart w:id="194" w:name="_Toc57711025"/>
      <w:r>
        <w:rPr>
          <w:rFonts w:hint="eastAsia"/>
        </w:rPr>
        <w:t xml:space="preserve"> </w:t>
      </w:r>
      <w:r>
        <w:t>******</w:t>
      </w:r>
    </w:p>
    <w:p>
      <w:pPr>
        <w:pStyle w:val="5"/>
      </w:pPr>
      <w:r>
        <w:rPr>
          <w:rFonts w:hint="eastAsia"/>
        </w:rPr>
        <w:t xml:space="preserve"> </w:t>
      </w:r>
      <w:bookmarkStart w:id="195" w:name="_Toc96680691"/>
      <w:r>
        <w:rPr>
          <w:rFonts w:hint="eastAsia"/>
        </w:rPr>
        <w:t>地质构造</w:t>
      </w:r>
      <w:bookmarkEnd w:id="195"/>
    </w:p>
    <w:p>
      <w:pPr>
        <w:pStyle w:val="248"/>
        <w:ind w:firstLine="480"/>
      </w:pPr>
      <w:r>
        <w:t>******</w:t>
      </w:r>
    </w:p>
    <w:p>
      <w:pPr>
        <w:pStyle w:val="4"/>
      </w:pPr>
      <w:r>
        <w:rPr>
          <w:rFonts w:hint="eastAsia"/>
        </w:rPr>
        <w:t xml:space="preserve"> </w:t>
      </w:r>
      <w:bookmarkStart w:id="196" w:name="_Toc96680692"/>
      <w:r>
        <w:t>水文地质条件</w:t>
      </w:r>
      <w:bookmarkEnd w:id="192"/>
      <w:bookmarkEnd w:id="193"/>
      <w:bookmarkEnd w:id="194"/>
      <w:bookmarkEnd w:id="196"/>
    </w:p>
    <w:p>
      <w:pPr>
        <w:pStyle w:val="5"/>
      </w:pPr>
      <w:r>
        <w:rPr>
          <w:rFonts w:hint="eastAsia"/>
        </w:rPr>
        <w:t xml:space="preserve"> </w:t>
      </w:r>
      <w:bookmarkStart w:id="197" w:name="_Toc96680693"/>
      <w:r>
        <w:rPr>
          <w:rFonts w:hint="eastAsia"/>
        </w:rPr>
        <w:t>地层岩性</w:t>
      </w:r>
      <w:bookmarkEnd w:id="197"/>
    </w:p>
    <w:p>
      <w:pPr>
        <w:ind w:firstLine="480"/>
      </w:pPr>
      <w:r>
        <w:rPr>
          <w:rFonts w:hint="eastAsia"/>
        </w:rPr>
        <w:t xml:space="preserve"> </w:t>
      </w:r>
      <w:r>
        <w:t>******</w:t>
      </w:r>
    </w:p>
    <w:p>
      <w:pPr>
        <w:pStyle w:val="5"/>
      </w:pPr>
      <w:bookmarkStart w:id="198" w:name="_Toc60041143"/>
      <w:bookmarkStart w:id="199" w:name="_Toc65348241"/>
      <w:r>
        <w:t xml:space="preserve"> </w:t>
      </w:r>
      <w:bookmarkStart w:id="200" w:name="_Toc96680694"/>
      <w:r>
        <w:t>地下水</w:t>
      </w:r>
      <w:bookmarkEnd w:id="198"/>
      <w:bookmarkEnd w:id="199"/>
      <w:r>
        <w:t>类型及富水性</w:t>
      </w:r>
      <w:bookmarkEnd w:id="200"/>
    </w:p>
    <w:p>
      <w:pPr>
        <w:ind w:firstLine="480"/>
        <w:rPr>
          <w:rFonts w:cs="Times New Roman"/>
        </w:rPr>
      </w:pPr>
      <w:r>
        <w:t>******</w:t>
      </w:r>
    </w:p>
    <w:p>
      <w:pPr>
        <w:pStyle w:val="5"/>
        <w:rPr>
          <w:rFonts w:cs="Times New Roman"/>
        </w:rPr>
      </w:pPr>
      <w:bookmarkStart w:id="201" w:name="_Toc80728304"/>
      <w:bookmarkStart w:id="202" w:name="_Toc89009676"/>
      <w:r>
        <w:rPr>
          <w:rFonts w:hint="eastAsia" w:cs="Times New Roman"/>
        </w:rPr>
        <w:t xml:space="preserve"> </w:t>
      </w:r>
      <w:bookmarkStart w:id="203" w:name="_Toc96680695"/>
      <w:r>
        <w:rPr>
          <w:rFonts w:cs="Times New Roman"/>
        </w:rPr>
        <w:t>地下水补给、径流、排泄条件</w:t>
      </w:r>
      <w:bookmarkEnd w:id="201"/>
      <w:bookmarkEnd w:id="202"/>
      <w:bookmarkEnd w:id="203"/>
    </w:p>
    <w:p>
      <w:pPr>
        <w:ind w:firstLine="480"/>
      </w:pPr>
      <w:r>
        <w:t>******</w:t>
      </w:r>
    </w:p>
    <w:p>
      <w:pPr>
        <w:pStyle w:val="5"/>
        <w:rPr>
          <w:rFonts w:cs="Times New Roman"/>
        </w:rPr>
      </w:pPr>
      <w:bookmarkStart w:id="204" w:name="_Toc60041144"/>
      <w:bookmarkStart w:id="205" w:name="_Toc80728305"/>
      <w:bookmarkStart w:id="206" w:name="_Toc89009677"/>
      <w:r>
        <w:rPr>
          <w:rFonts w:hint="eastAsia" w:cs="Times New Roman"/>
        </w:rPr>
        <w:t xml:space="preserve"> </w:t>
      </w:r>
      <w:bookmarkStart w:id="207" w:name="_Toc96680696"/>
      <w:r>
        <w:rPr>
          <w:rFonts w:cs="Times New Roman"/>
        </w:rPr>
        <w:t>地下水化学类型</w:t>
      </w:r>
      <w:bookmarkEnd w:id="204"/>
      <w:bookmarkEnd w:id="205"/>
      <w:bookmarkEnd w:id="206"/>
      <w:bookmarkEnd w:id="207"/>
    </w:p>
    <w:p>
      <w:pPr>
        <w:ind w:firstLine="480"/>
        <w:rPr>
          <w:rFonts w:cs="Times New Roman"/>
        </w:rPr>
      </w:pPr>
      <w:r>
        <w:rPr>
          <w:rFonts w:cs="Times New Roman"/>
        </w:rPr>
        <w:t>根据区域地下水水质监测结果，根据统计结果，本项目区地下水pH介于7.2～7.5，呈弱碱性，矿化度介于0.27～0.34g/L，属弱矿化度淡水。各水样阳离子以Ca</w:t>
      </w:r>
      <w:r>
        <w:rPr>
          <w:rFonts w:cs="Times New Roman"/>
          <w:vertAlign w:val="superscript"/>
        </w:rPr>
        <w:t>2+</w:t>
      </w:r>
      <w:r>
        <w:rPr>
          <w:rFonts w:cs="Times New Roman"/>
        </w:rPr>
        <w:t>为主，阴离子以HCO</w:t>
      </w:r>
      <w:r>
        <w:rPr>
          <w:rFonts w:cs="Times New Roman"/>
          <w:vertAlign w:val="subscript"/>
        </w:rPr>
        <w:t>3</w:t>
      </w:r>
      <w:r>
        <w:rPr>
          <w:rFonts w:cs="Times New Roman"/>
          <w:vertAlign w:val="superscript"/>
        </w:rPr>
        <w:t>-</w:t>
      </w:r>
      <w:r>
        <w:rPr>
          <w:rFonts w:cs="Times New Roman"/>
        </w:rPr>
        <w:t>为主，地下水化学类型为以HCO</w:t>
      </w:r>
      <w:r>
        <w:rPr>
          <w:rFonts w:cs="Times New Roman"/>
          <w:vertAlign w:val="subscript"/>
        </w:rPr>
        <w:t>3</w:t>
      </w:r>
      <w:r>
        <w:rPr>
          <w:rFonts w:cs="Times New Roman"/>
        </w:rPr>
        <w:t>-Ca为主。</w:t>
      </w:r>
    </w:p>
    <w:p>
      <w:pPr>
        <w:ind w:firstLine="480"/>
        <w:rPr>
          <w:lang w:bidi="en-US"/>
        </w:rPr>
      </w:pPr>
      <w:r>
        <w:rPr>
          <w:rFonts w:cs="Times New Roman"/>
        </w:rPr>
        <w:t>地下水水化学类型统计如下：</w:t>
      </w:r>
    </w:p>
    <w:p>
      <w:pPr>
        <w:pStyle w:val="73"/>
        <w:ind w:firstLine="480"/>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5.8</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评价区水样水化学因子当量浓度及占比  </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021"/>
        <w:gridCol w:w="851"/>
        <w:gridCol w:w="709"/>
        <w:gridCol w:w="709"/>
        <w:gridCol w:w="707"/>
        <w:gridCol w:w="709"/>
        <w:gridCol w:w="567"/>
        <w:gridCol w:w="567"/>
        <w:gridCol w:w="709"/>
        <w:gridCol w:w="567"/>
        <w:gridCol w:w="12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50" w:hRule="atLeast"/>
          <w:tblHeader/>
        </w:trPr>
        <w:tc>
          <w:tcPr>
            <w:tcW w:w="610" w:type="pct"/>
            <w:vAlign w:val="center"/>
          </w:tcPr>
          <w:p>
            <w:pPr>
              <w:pStyle w:val="63"/>
              <w:rPr>
                <w:b/>
              </w:rPr>
            </w:pPr>
            <w:r>
              <w:rPr>
                <w:b/>
              </w:rPr>
              <w:t>项目</w:t>
            </w:r>
          </w:p>
        </w:tc>
        <w:tc>
          <w:tcPr>
            <w:tcW w:w="509" w:type="pct"/>
            <w:vAlign w:val="center"/>
          </w:tcPr>
          <w:p>
            <w:pPr>
              <w:pStyle w:val="63"/>
              <w:rPr>
                <w:b/>
              </w:rPr>
            </w:pPr>
            <w:r>
              <w:rPr>
                <w:b/>
              </w:rPr>
              <w:t>点位</w:t>
            </w:r>
          </w:p>
        </w:tc>
        <w:tc>
          <w:tcPr>
            <w:tcW w:w="424" w:type="pct"/>
            <w:shd w:val="clear" w:color="auto" w:fill="auto"/>
            <w:vAlign w:val="center"/>
          </w:tcPr>
          <w:p>
            <w:pPr>
              <w:pStyle w:val="63"/>
              <w:rPr>
                <w:b/>
              </w:rPr>
            </w:pPr>
            <w:r>
              <w:rPr>
                <w:b/>
              </w:rPr>
              <w:t>K+</w:t>
            </w:r>
          </w:p>
        </w:tc>
        <w:tc>
          <w:tcPr>
            <w:tcW w:w="424" w:type="pct"/>
            <w:shd w:val="clear" w:color="auto" w:fill="auto"/>
            <w:vAlign w:val="center"/>
          </w:tcPr>
          <w:p>
            <w:pPr>
              <w:pStyle w:val="63"/>
              <w:rPr>
                <w:b/>
              </w:rPr>
            </w:pPr>
            <w:r>
              <w:rPr>
                <w:b/>
              </w:rPr>
              <w:t>Na+</w:t>
            </w:r>
          </w:p>
        </w:tc>
        <w:tc>
          <w:tcPr>
            <w:tcW w:w="423" w:type="pct"/>
            <w:shd w:val="clear" w:color="auto" w:fill="auto"/>
            <w:vAlign w:val="center"/>
          </w:tcPr>
          <w:p>
            <w:pPr>
              <w:pStyle w:val="63"/>
              <w:rPr>
                <w:b/>
              </w:rPr>
            </w:pPr>
            <w:r>
              <w:rPr>
                <w:b/>
              </w:rPr>
              <w:t>Ca</w:t>
            </w:r>
            <w:r>
              <w:rPr>
                <w:b/>
                <w:vertAlign w:val="superscript"/>
              </w:rPr>
              <w:t>2+</w:t>
            </w:r>
          </w:p>
        </w:tc>
        <w:tc>
          <w:tcPr>
            <w:tcW w:w="424" w:type="pct"/>
            <w:shd w:val="clear" w:color="auto" w:fill="auto"/>
            <w:vAlign w:val="center"/>
          </w:tcPr>
          <w:p>
            <w:pPr>
              <w:pStyle w:val="63"/>
              <w:rPr>
                <w:b/>
              </w:rPr>
            </w:pPr>
            <w:r>
              <w:rPr>
                <w:b/>
              </w:rPr>
              <w:t>Mg</w:t>
            </w:r>
            <w:r>
              <w:rPr>
                <w:b/>
                <w:vertAlign w:val="superscript"/>
              </w:rPr>
              <w:t>2+</w:t>
            </w:r>
          </w:p>
        </w:tc>
        <w:tc>
          <w:tcPr>
            <w:tcW w:w="339" w:type="pct"/>
            <w:shd w:val="clear" w:color="auto" w:fill="auto"/>
            <w:vAlign w:val="center"/>
          </w:tcPr>
          <w:p>
            <w:pPr>
              <w:pStyle w:val="63"/>
              <w:rPr>
                <w:b/>
              </w:rPr>
            </w:pPr>
            <w:r>
              <w:rPr>
                <w:b/>
              </w:rPr>
              <w:t>Cl</w:t>
            </w:r>
            <w:r>
              <w:rPr>
                <w:b/>
                <w:vertAlign w:val="superscript"/>
              </w:rPr>
              <w:t>-</w:t>
            </w:r>
          </w:p>
        </w:tc>
        <w:tc>
          <w:tcPr>
            <w:tcW w:w="339" w:type="pct"/>
            <w:shd w:val="clear" w:color="auto" w:fill="auto"/>
            <w:vAlign w:val="center"/>
          </w:tcPr>
          <w:p>
            <w:pPr>
              <w:pStyle w:val="63"/>
              <w:rPr>
                <w:b/>
              </w:rPr>
            </w:pPr>
            <w:r>
              <w:rPr>
                <w:b/>
              </w:rPr>
              <w:t>SO</w:t>
            </w:r>
            <w:r>
              <w:rPr>
                <w:b/>
                <w:vertAlign w:val="subscript"/>
              </w:rPr>
              <w:t>4</w:t>
            </w:r>
            <w:r>
              <w:rPr>
                <w:b/>
                <w:vertAlign w:val="superscript"/>
              </w:rPr>
              <w:t>2-</w:t>
            </w:r>
          </w:p>
        </w:tc>
        <w:tc>
          <w:tcPr>
            <w:tcW w:w="424" w:type="pct"/>
            <w:shd w:val="clear" w:color="auto" w:fill="auto"/>
            <w:vAlign w:val="center"/>
          </w:tcPr>
          <w:p>
            <w:pPr>
              <w:pStyle w:val="63"/>
              <w:rPr>
                <w:b/>
              </w:rPr>
            </w:pPr>
            <w:r>
              <w:rPr>
                <w:b/>
              </w:rPr>
              <w:t>HCO</w:t>
            </w:r>
            <w:r>
              <w:rPr>
                <w:b/>
                <w:vertAlign w:val="subscript"/>
              </w:rPr>
              <w:t>3</w:t>
            </w:r>
            <w:r>
              <w:rPr>
                <w:b/>
                <w:vertAlign w:val="superscript"/>
              </w:rPr>
              <w:t>-</w:t>
            </w:r>
          </w:p>
        </w:tc>
        <w:tc>
          <w:tcPr>
            <w:tcW w:w="339" w:type="pct"/>
            <w:shd w:val="clear" w:color="auto" w:fill="auto"/>
            <w:vAlign w:val="center"/>
          </w:tcPr>
          <w:p>
            <w:pPr>
              <w:pStyle w:val="63"/>
              <w:rPr>
                <w:b/>
              </w:rPr>
            </w:pPr>
            <w:r>
              <w:rPr>
                <w:b/>
              </w:rPr>
              <w:t>CO</w:t>
            </w:r>
            <w:r>
              <w:rPr>
                <w:b/>
                <w:vertAlign w:val="subscript"/>
              </w:rPr>
              <w:t>3</w:t>
            </w:r>
            <w:r>
              <w:rPr>
                <w:b/>
                <w:vertAlign w:val="superscript"/>
              </w:rPr>
              <w:t>2-</w:t>
            </w:r>
          </w:p>
        </w:tc>
        <w:tc>
          <w:tcPr>
            <w:tcW w:w="745" w:type="pct"/>
            <w:vAlign w:val="center"/>
          </w:tcPr>
          <w:p>
            <w:pPr>
              <w:pStyle w:val="63"/>
              <w:rPr>
                <w:b/>
              </w:rPr>
            </w:pPr>
            <w:r>
              <w:rPr>
                <w:b/>
              </w:rPr>
              <w:t>水化学类型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0" w:hRule="atLeast"/>
        </w:trPr>
        <w:tc>
          <w:tcPr>
            <w:tcW w:w="610" w:type="pct"/>
            <w:vMerge w:val="restart"/>
            <w:vAlign w:val="center"/>
          </w:tcPr>
          <w:p>
            <w:pPr>
              <w:pStyle w:val="63"/>
            </w:pPr>
            <w:r>
              <w:t>当量</w:t>
            </w:r>
          </w:p>
          <w:p>
            <w:pPr>
              <w:pStyle w:val="63"/>
            </w:pPr>
            <w:r>
              <w:t>浓度（meq/L）</w:t>
            </w:r>
          </w:p>
        </w:tc>
        <w:tc>
          <w:tcPr>
            <w:tcW w:w="509" w:type="pct"/>
          </w:tcPr>
          <w:p>
            <w:pPr>
              <w:pStyle w:val="63"/>
            </w:pPr>
            <w:r>
              <w:t>WX1</w:t>
            </w:r>
          </w:p>
        </w:tc>
        <w:tc>
          <w:tcPr>
            <w:tcW w:w="424" w:type="pct"/>
            <w:shd w:val="clear" w:color="auto" w:fill="auto"/>
            <w:vAlign w:val="center"/>
          </w:tcPr>
          <w:p>
            <w:pPr>
              <w:pStyle w:val="63"/>
              <w:rPr>
                <w:kern w:val="0"/>
                <w:szCs w:val="21"/>
              </w:rPr>
            </w:pPr>
            <w:r>
              <w:rPr>
                <w:szCs w:val="21"/>
              </w:rPr>
              <w:t xml:space="preserve">0.03 </w:t>
            </w:r>
          </w:p>
        </w:tc>
        <w:tc>
          <w:tcPr>
            <w:tcW w:w="424" w:type="pct"/>
            <w:shd w:val="clear" w:color="auto" w:fill="auto"/>
            <w:vAlign w:val="center"/>
          </w:tcPr>
          <w:p>
            <w:pPr>
              <w:pStyle w:val="63"/>
              <w:rPr>
                <w:kern w:val="0"/>
                <w:szCs w:val="21"/>
              </w:rPr>
            </w:pPr>
            <w:r>
              <w:rPr>
                <w:szCs w:val="21"/>
              </w:rPr>
              <w:t xml:space="preserve">0.36 </w:t>
            </w:r>
          </w:p>
        </w:tc>
        <w:tc>
          <w:tcPr>
            <w:tcW w:w="423" w:type="pct"/>
            <w:shd w:val="clear" w:color="auto" w:fill="auto"/>
            <w:vAlign w:val="center"/>
          </w:tcPr>
          <w:p>
            <w:pPr>
              <w:pStyle w:val="63"/>
              <w:rPr>
                <w:kern w:val="0"/>
                <w:szCs w:val="21"/>
              </w:rPr>
            </w:pPr>
            <w:r>
              <w:rPr>
                <w:szCs w:val="21"/>
              </w:rPr>
              <w:t xml:space="preserve">5.05 </w:t>
            </w:r>
          </w:p>
        </w:tc>
        <w:tc>
          <w:tcPr>
            <w:tcW w:w="424" w:type="pct"/>
            <w:shd w:val="clear" w:color="auto" w:fill="auto"/>
            <w:vAlign w:val="center"/>
          </w:tcPr>
          <w:p>
            <w:pPr>
              <w:pStyle w:val="63"/>
              <w:rPr>
                <w:kern w:val="0"/>
                <w:szCs w:val="21"/>
              </w:rPr>
            </w:pPr>
            <w:r>
              <w:rPr>
                <w:szCs w:val="21"/>
              </w:rPr>
              <w:t xml:space="preserve">0.88 </w:t>
            </w:r>
          </w:p>
        </w:tc>
        <w:tc>
          <w:tcPr>
            <w:tcW w:w="339" w:type="pct"/>
            <w:shd w:val="clear" w:color="auto" w:fill="auto"/>
          </w:tcPr>
          <w:p>
            <w:pPr>
              <w:pStyle w:val="63"/>
            </w:pPr>
            <w:r>
              <w:rPr>
                <w:rFonts w:hint="eastAsia"/>
              </w:rPr>
              <w:t>0</w:t>
            </w:r>
          </w:p>
        </w:tc>
        <w:tc>
          <w:tcPr>
            <w:tcW w:w="339" w:type="pct"/>
            <w:shd w:val="clear" w:color="auto" w:fill="auto"/>
            <w:vAlign w:val="center"/>
          </w:tcPr>
          <w:p>
            <w:pPr>
              <w:pStyle w:val="63"/>
              <w:rPr>
                <w:kern w:val="0"/>
                <w:szCs w:val="21"/>
              </w:rPr>
            </w:pPr>
            <w:r>
              <w:rPr>
                <w:szCs w:val="21"/>
              </w:rPr>
              <w:t xml:space="preserve">0.19 </w:t>
            </w:r>
          </w:p>
        </w:tc>
        <w:tc>
          <w:tcPr>
            <w:tcW w:w="424" w:type="pct"/>
            <w:shd w:val="clear" w:color="auto" w:fill="auto"/>
            <w:vAlign w:val="center"/>
          </w:tcPr>
          <w:p>
            <w:pPr>
              <w:pStyle w:val="63"/>
              <w:rPr>
                <w:rFonts w:cs="宋体"/>
                <w:kern w:val="0"/>
                <w:sz w:val="22"/>
                <w:szCs w:val="22"/>
              </w:rPr>
            </w:pPr>
            <w:r>
              <w:rPr>
                <w:rFonts w:hint="eastAsia"/>
                <w:sz w:val="22"/>
                <w:szCs w:val="22"/>
              </w:rPr>
              <w:t xml:space="preserve">5.95 </w:t>
            </w:r>
          </w:p>
        </w:tc>
        <w:tc>
          <w:tcPr>
            <w:tcW w:w="339" w:type="pct"/>
            <w:shd w:val="clear" w:color="auto" w:fill="auto"/>
          </w:tcPr>
          <w:p>
            <w:pPr>
              <w:pStyle w:val="63"/>
            </w:pPr>
            <w:r>
              <w:t>0</w:t>
            </w:r>
          </w:p>
        </w:tc>
        <w:tc>
          <w:tcPr>
            <w:tcW w:w="745" w:type="pct"/>
            <w:vAlign w:val="center"/>
          </w:tcPr>
          <w:p>
            <w:pPr>
              <w:pStyle w:val="63"/>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0" w:hRule="atLeast"/>
        </w:trPr>
        <w:tc>
          <w:tcPr>
            <w:tcW w:w="610" w:type="pct"/>
            <w:vMerge w:val="continue"/>
            <w:vAlign w:val="center"/>
          </w:tcPr>
          <w:p>
            <w:pPr>
              <w:pStyle w:val="63"/>
            </w:pPr>
          </w:p>
        </w:tc>
        <w:tc>
          <w:tcPr>
            <w:tcW w:w="509" w:type="pct"/>
          </w:tcPr>
          <w:p>
            <w:pPr>
              <w:pStyle w:val="63"/>
            </w:pPr>
            <w:r>
              <w:t>WX2</w:t>
            </w:r>
          </w:p>
        </w:tc>
        <w:tc>
          <w:tcPr>
            <w:tcW w:w="424" w:type="pct"/>
            <w:shd w:val="clear" w:color="auto" w:fill="auto"/>
            <w:vAlign w:val="center"/>
          </w:tcPr>
          <w:p>
            <w:pPr>
              <w:pStyle w:val="63"/>
              <w:rPr>
                <w:szCs w:val="21"/>
              </w:rPr>
            </w:pPr>
            <w:r>
              <w:rPr>
                <w:szCs w:val="21"/>
              </w:rPr>
              <w:t xml:space="preserve">0.05 </w:t>
            </w:r>
          </w:p>
        </w:tc>
        <w:tc>
          <w:tcPr>
            <w:tcW w:w="424" w:type="pct"/>
            <w:shd w:val="clear" w:color="auto" w:fill="auto"/>
            <w:vAlign w:val="center"/>
          </w:tcPr>
          <w:p>
            <w:pPr>
              <w:pStyle w:val="63"/>
              <w:rPr>
                <w:szCs w:val="21"/>
              </w:rPr>
            </w:pPr>
            <w:r>
              <w:rPr>
                <w:szCs w:val="21"/>
              </w:rPr>
              <w:t xml:space="preserve">0.25 </w:t>
            </w:r>
          </w:p>
        </w:tc>
        <w:tc>
          <w:tcPr>
            <w:tcW w:w="423" w:type="pct"/>
            <w:shd w:val="clear" w:color="auto" w:fill="auto"/>
            <w:vAlign w:val="center"/>
          </w:tcPr>
          <w:p>
            <w:pPr>
              <w:pStyle w:val="63"/>
              <w:rPr>
                <w:szCs w:val="21"/>
              </w:rPr>
            </w:pPr>
            <w:r>
              <w:rPr>
                <w:szCs w:val="21"/>
              </w:rPr>
              <w:t xml:space="preserve">4.35 </w:t>
            </w:r>
          </w:p>
        </w:tc>
        <w:tc>
          <w:tcPr>
            <w:tcW w:w="424" w:type="pct"/>
            <w:shd w:val="clear" w:color="auto" w:fill="auto"/>
            <w:vAlign w:val="center"/>
          </w:tcPr>
          <w:p>
            <w:pPr>
              <w:pStyle w:val="63"/>
              <w:rPr>
                <w:szCs w:val="21"/>
              </w:rPr>
            </w:pPr>
            <w:r>
              <w:rPr>
                <w:szCs w:val="21"/>
              </w:rPr>
              <w:t xml:space="preserve">0.70 </w:t>
            </w:r>
          </w:p>
        </w:tc>
        <w:tc>
          <w:tcPr>
            <w:tcW w:w="339" w:type="pct"/>
            <w:shd w:val="clear" w:color="auto" w:fill="auto"/>
          </w:tcPr>
          <w:p>
            <w:pPr>
              <w:pStyle w:val="63"/>
            </w:pPr>
            <w:r>
              <w:rPr>
                <w:rFonts w:hint="eastAsia"/>
              </w:rPr>
              <w:t>0</w:t>
            </w:r>
          </w:p>
        </w:tc>
        <w:tc>
          <w:tcPr>
            <w:tcW w:w="339" w:type="pct"/>
            <w:shd w:val="clear" w:color="auto" w:fill="auto"/>
            <w:vAlign w:val="center"/>
          </w:tcPr>
          <w:p>
            <w:pPr>
              <w:pStyle w:val="63"/>
              <w:rPr>
                <w:szCs w:val="21"/>
              </w:rPr>
            </w:pPr>
            <w:r>
              <w:rPr>
                <w:szCs w:val="21"/>
              </w:rPr>
              <w:t xml:space="preserve">0.21 </w:t>
            </w:r>
          </w:p>
        </w:tc>
        <w:tc>
          <w:tcPr>
            <w:tcW w:w="424" w:type="pct"/>
            <w:shd w:val="clear" w:color="auto" w:fill="auto"/>
            <w:vAlign w:val="center"/>
          </w:tcPr>
          <w:p>
            <w:pPr>
              <w:pStyle w:val="63"/>
              <w:rPr>
                <w:sz w:val="22"/>
                <w:szCs w:val="22"/>
              </w:rPr>
            </w:pPr>
            <w:r>
              <w:rPr>
                <w:rFonts w:hint="eastAsia"/>
                <w:sz w:val="22"/>
                <w:szCs w:val="22"/>
              </w:rPr>
              <w:t xml:space="preserve">5.28 </w:t>
            </w:r>
          </w:p>
        </w:tc>
        <w:tc>
          <w:tcPr>
            <w:tcW w:w="339" w:type="pct"/>
            <w:shd w:val="clear" w:color="auto" w:fill="auto"/>
          </w:tcPr>
          <w:p>
            <w:pPr>
              <w:pStyle w:val="63"/>
            </w:pPr>
            <w:r>
              <w:t>0</w:t>
            </w:r>
          </w:p>
        </w:tc>
        <w:tc>
          <w:tcPr>
            <w:tcW w:w="745" w:type="pct"/>
            <w:vAlign w:val="center"/>
          </w:tcPr>
          <w:p>
            <w:pPr>
              <w:pStyle w:val="63"/>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0" w:hRule="atLeast"/>
        </w:trPr>
        <w:tc>
          <w:tcPr>
            <w:tcW w:w="610" w:type="pct"/>
            <w:vMerge w:val="continue"/>
            <w:vAlign w:val="center"/>
          </w:tcPr>
          <w:p>
            <w:pPr>
              <w:pStyle w:val="63"/>
            </w:pPr>
          </w:p>
        </w:tc>
        <w:tc>
          <w:tcPr>
            <w:tcW w:w="509" w:type="pct"/>
          </w:tcPr>
          <w:p>
            <w:pPr>
              <w:pStyle w:val="63"/>
            </w:pPr>
            <w:r>
              <w:t>WX3</w:t>
            </w:r>
          </w:p>
        </w:tc>
        <w:tc>
          <w:tcPr>
            <w:tcW w:w="424" w:type="pct"/>
            <w:shd w:val="clear" w:color="auto" w:fill="auto"/>
            <w:vAlign w:val="center"/>
          </w:tcPr>
          <w:p>
            <w:pPr>
              <w:pStyle w:val="63"/>
              <w:rPr>
                <w:szCs w:val="21"/>
              </w:rPr>
            </w:pPr>
            <w:r>
              <w:rPr>
                <w:szCs w:val="21"/>
              </w:rPr>
              <w:t xml:space="preserve">0.04 </w:t>
            </w:r>
          </w:p>
        </w:tc>
        <w:tc>
          <w:tcPr>
            <w:tcW w:w="424" w:type="pct"/>
            <w:shd w:val="clear" w:color="auto" w:fill="auto"/>
            <w:vAlign w:val="center"/>
          </w:tcPr>
          <w:p>
            <w:pPr>
              <w:pStyle w:val="63"/>
              <w:rPr>
                <w:szCs w:val="21"/>
              </w:rPr>
            </w:pPr>
            <w:r>
              <w:rPr>
                <w:szCs w:val="21"/>
              </w:rPr>
              <w:t xml:space="preserve">0.26 </w:t>
            </w:r>
          </w:p>
        </w:tc>
        <w:tc>
          <w:tcPr>
            <w:tcW w:w="423" w:type="pct"/>
            <w:shd w:val="clear" w:color="auto" w:fill="auto"/>
            <w:vAlign w:val="center"/>
          </w:tcPr>
          <w:p>
            <w:pPr>
              <w:pStyle w:val="63"/>
              <w:rPr>
                <w:szCs w:val="21"/>
              </w:rPr>
            </w:pPr>
            <w:r>
              <w:rPr>
                <w:szCs w:val="21"/>
              </w:rPr>
              <w:t xml:space="preserve">3.82 </w:t>
            </w:r>
          </w:p>
        </w:tc>
        <w:tc>
          <w:tcPr>
            <w:tcW w:w="424" w:type="pct"/>
            <w:shd w:val="clear" w:color="auto" w:fill="auto"/>
            <w:vAlign w:val="center"/>
          </w:tcPr>
          <w:p>
            <w:pPr>
              <w:pStyle w:val="63"/>
              <w:rPr>
                <w:szCs w:val="21"/>
              </w:rPr>
            </w:pPr>
            <w:r>
              <w:rPr>
                <w:szCs w:val="21"/>
              </w:rPr>
              <w:t xml:space="preserve">0.65 </w:t>
            </w:r>
          </w:p>
        </w:tc>
        <w:tc>
          <w:tcPr>
            <w:tcW w:w="339" w:type="pct"/>
            <w:shd w:val="clear" w:color="auto" w:fill="auto"/>
          </w:tcPr>
          <w:p>
            <w:pPr>
              <w:pStyle w:val="63"/>
            </w:pPr>
            <w:r>
              <w:rPr>
                <w:rFonts w:hint="eastAsia"/>
              </w:rPr>
              <w:t>0</w:t>
            </w:r>
          </w:p>
        </w:tc>
        <w:tc>
          <w:tcPr>
            <w:tcW w:w="339" w:type="pct"/>
            <w:shd w:val="clear" w:color="auto" w:fill="auto"/>
            <w:vAlign w:val="center"/>
          </w:tcPr>
          <w:p>
            <w:pPr>
              <w:pStyle w:val="63"/>
              <w:rPr>
                <w:szCs w:val="21"/>
              </w:rPr>
            </w:pPr>
            <w:r>
              <w:rPr>
                <w:szCs w:val="21"/>
              </w:rPr>
              <w:t xml:space="preserve">0.27 </w:t>
            </w:r>
          </w:p>
        </w:tc>
        <w:tc>
          <w:tcPr>
            <w:tcW w:w="424" w:type="pct"/>
            <w:shd w:val="clear" w:color="auto" w:fill="auto"/>
            <w:vAlign w:val="center"/>
          </w:tcPr>
          <w:p>
            <w:pPr>
              <w:pStyle w:val="63"/>
              <w:rPr>
                <w:sz w:val="22"/>
                <w:szCs w:val="22"/>
              </w:rPr>
            </w:pPr>
            <w:r>
              <w:rPr>
                <w:rFonts w:hint="eastAsia"/>
                <w:sz w:val="22"/>
                <w:szCs w:val="22"/>
              </w:rPr>
              <w:t xml:space="preserve">4.72 </w:t>
            </w:r>
          </w:p>
        </w:tc>
        <w:tc>
          <w:tcPr>
            <w:tcW w:w="339" w:type="pct"/>
            <w:shd w:val="clear" w:color="auto" w:fill="auto"/>
          </w:tcPr>
          <w:p>
            <w:pPr>
              <w:pStyle w:val="63"/>
            </w:pPr>
            <w:r>
              <w:t>0</w:t>
            </w:r>
          </w:p>
        </w:tc>
        <w:tc>
          <w:tcPr>
            <w:tcW w:w="745" w:type="pct"/>
            <w:vAlign w:val="center"/>
          </w:tcPr>
          <w:p>
            <w:pPr>
              <w:pStyle w:val="63"/>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0" w:hRule="atLeast"/>
        </w:trPr>
        <w:tc>
          <w:tcPr>
            <w:tcW w:w="610" w:type="pct"/>
            <w:vMerge w:val="restart"/>
            <w:vAlign w:val="center"/>
          </w:tcPr>
          <w:p>
            <w:pPr>
              <w:pStyle w:val="63"/>
            </w:pPr>
            <w:r>
              <w:t>当量</w:t>
            </w:r>
          </w:p>
          <w:p>
            <w:pPr>
              <w:pStyle w:val="63"/>
            </w:pPr>
            <w:r>
              <w:t>浓度</w:t>
            </w:r>
          </w:p>
          <w:p>
            <w:pPr>
              <w:pStyle w:val="63"/>
            </w:pPr>
            <w:r>
              <w:t>占比（%）</w:t>
            </w:r>
          </w:p>
        </w:tc>
        <w:tc>
          <w:tcPr>
            <w:tcW w:w="509" w:type="pct"/>
          </w:tcPr>
          <w:p>
            <w:pPr>
              <w:pStyle w:val="63"/>
            </w:pPr>
            <w:r>
              <w:t>WX1</w:t>
            </w:r>
          </w:p>
        </w:tc>
        <w:tc>
          <w:tcPr>
            <w:tcW w:w="424" w:type="pct"/>
            <w:shd w:val="clear" w:color="auto" w:fill="auto"/>
            <w:vAlign w:val="center"/>
          </w:tcPr>
          <w:p>
            <w:pPr>
              <w:pStyle w:val="63"/>
              <w:rPr>
                <w:rFonts w:cs="Times New Roman"/>
                <w:kern w:val="0"/>
                <w:szCs w:val="21"/>
              </w:rPr>
            </w:pPr>
            <w:r>
              <w:rPr>
                <w:rFonts w:cs="Times New Roman"/>
                <w:szCs w:val="21"/>
              </w:rPr>
              <w:t xml:space="preserve">0.41 </w:t>
            </w:r>
          </w:p>
        </w:tc>
        <w:tc>
          <w:tcPr>
            <w:tcW w:w="424" w:type="pct"/>
            <w:shd w:val="clear" w:color="auto" w:fill="auto"/>
            <w:vAlign w:val="center"/>
          </w:tcPr>
          <w:p>
            <w:pPr>
              <w:pStyle w:val="63"/>
              <w:rPr>
                <w:rFonts w:cs="Times New Roman"/>
                <w:kern w:val="0"/>
                <w:szCs w:val="21"/>
              </w:rPr>
            </w:pPr>
            <w:r>
              <w:rPr>
                <w:rFonts w:cs="Times New Roman"/>
                <w:szCs w:val="21"/>
              </w:rPr>
              <w:t xml:space="preserve">5.68 </w:t>
            </w:r>
          </w:p>
        </w:tc>
        <w:tc>
          <w:tcPr>
            <w:tcW w:w="423" w:type="pct"/>
            <w:shd w:val="clear" w:color="auto" w:fill="auto"/>
            <w:vAlign w:val="center"/>
          </w:tcPr>
          <w:p>
            <w:pPr>
              <w:pStyle w:val="63"/>
              <w:rPr>
                <w:rFonts w:cs="Times New Roman"/>
                <w:kern w:val="0"/>
                <w:szCs w:val="21"/>
              </w:rPr>
            </w:pPr>
            <w:r>
              <w:rPr>
                <w:rFonts w:cs="Times New Roman"/>
                <w:szCs w:val="21"/>
              </w:rPr>
              <w:t xml:space="preserve">80.03 </w:t>
            </w:r>
          </w:p>
        </w:tc>
        <w:tc>
          <w:tcPr>
            <w:tcW w:w="424" w:type="pct"/>
            <w:shd w:val="clear" w:color="auto" w:fill="auto"/>
            <w:vAlign w:val="center"/>
          </w:tcPr>
          <w:p>
            <w:pPr>
              <w:pStyle w:val="63"/>
              <w:rPr>
                <w:rFonts w:cs="Times New Roman"/>
                <w:kern w:val="0"/>
                <w:szCs w:val="21"/>
              </w:rPr>
            </w:pPr>
            <w:r>
              <w:rPr>
                <w:rFonts w:cs="Times New Roman"/>
                <w:szCs w:val="21"/>
              </w:rPr>
              <w:t xml:space="preserve">13.87 </w:t>
            </w:r>
          </w:p>
        </w:tc>
        <w:tc>
          <w:tcPr>
            <w:tcW w:w="339" w:type="pct"/>
            <w:shd w:val="clear" w:color="auto" w:fill="auto"/>
          </w:tcPr>
          <w:p>
            <w:pPr>
              <w:pStyle w:val="63"/>
            </w:pPr>
            <w:r>
              <w:rPr>
                <w:rFonts w:hint="eastAsia"/>
              </w:rPr>
              <w:t>0</w:t>
            </w:r>
          </w:p>
        </w:tc>
        <w:tc>
          <w:tcPr>
            <w:tcW w:w="339" w:type="pct"/>
            <w:shd w:val="clear" w:color="auto" w:fill="auto"/>
            <w:vAlign w:val="center"/>
          </w:tcPr>
          <w:p>
            <w:pPr>
              <w:pStyle w:val="63"/>
              <w:rPr>
                <w:rFonts w:cs="Times New Roman"/>
                <w:kern w:val="0"/>
                <w:szCs w:val="21"/>
              </w:rPr>
            </w:pPr>
            <w:r>
              <w:rPr>
                <w:rFonts w:cs="Times New Roman"/>
                <w:szCs w:val="21"/>
              </w:rPr>
              <w:t xml:space="preserve">3.05 </w:t>
            </w:r>
          </w:p>
        </w:tc>
        <w:tc>
          <w:tcPr>
            <w:tcW w:w="424" w:type="pct"/>
            <w:shd w:val="clear" w:color="auto" w:fill="auto"/>
            <w:vAlign w:val="center"/>
          </w:tcPr>
          <w:p>
            <w:pPr>
              <w:pStyle w:val="63"/>
              <w:rPr>
                <w:rFonts w:cs="宋体"/>
                <w:kern w:val="0"/>
                <w:sz w:val="22"/>
                <w:szCs w:val="22"/>
              </w:rPr>
            </w:pPr>
            <w:r>
              <w:rPr>
                <w:rFonts w:hint="eastAsia"/>
                <w:sz w:val="22"/>
                <w:szCs w:val="22"/>
              </w:rPr>
              <w:t xml:space="preserve">96.92 </w:t>
            </w:r>
          </w:p>
        </w:tc>
        <w:tc>
          <w:tcPr>
            <w:tcW w:w="339" w:type="pct"/>
            <w:shd w:val="clear" w:color="auto" w:fill="auto"/>
          </w:tcPr>
          <w:p>
            <w:pPr>
              <w:pStyle w:val="63"/>
            </w:pPr>
            <w:r>
              <w:t>0</w:t>
            </w:r>
          </w:p>
        </w:tc>
        <w:tc>
          <w:tcPr>
            <w:tcW w:w="745" w:type="pct"/>
            <w:vAlign w:val="center"/>
          </w:tcPr>
          <w:p>
            <w:pPr>
              <w:pStyle w:val="63"/>
            </w:pPr>
            <w:r>
              <w:t>HCO3 - Ca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0" w:hRule="atLeast"/>
        </w:trPr>
        <w:tc>
          <w:tcPr>
            <w:tcW w:w="610" w:type="pct"/>
            <w:vMerge w:val="continue"/>
            <w:vAlign w:val="center"/>
          </w:tcPr>
          <w:p>
            <w:pPr>
              <w:pStyle w:val="63"/>
            </w:pPr>
          </w:p>
        </w:tc>
        <w:tc>
          <w:tcPr>
            <w:tcW w:w="509" w:type="pct"/>
          </w:tcPr>
          <w:p>
            <w:pPr>
              <w:pStyle w:val="63"/>
            </w:pPr>
            <w:r>
              <w:t>WX2</w:t>
            </w:r>
          </w:p>
        </w:tc>
        <w:tc>
          <w:tcPr>
            <w:tcW w:w="424" w:type="pct"/>
            <w:shd w:val="clear" w:color="auto" w:fill="auto"/>
            <w:vAlign w:val="center"/>
          </w:tcPr>
          <w:p>
            <w:pPr>
              <w:pStyle w:val="63"/>
              <w:rPr>
                <w:rFonts w:cs="Times New Roman"/>
                <w:szCs w:val="21"/>
              </w:rPr>
            </w:pPr>
            <w:r>
              <w:rPr>
                <w:rFonts w:cs="Times New Roman"/>
                <w:szCs w:val="21"/>
              </w:rPr>
              <w:t xml:space="preserve">0.86 </w:t>
            </w:r>
          </w:p>
        </w:tc>
        <w:tc>
          <w:tcPr>
            <w:tcW w:w="424" w:type="pct"/>
            <w:shd w:val="clear" w:color="auto" w:fill="auto"/>
            <w:vAlign w:val="center"/>
          </w:tcPr>
          <w:p>
            <w:pPr>
              <w:pStyle w:val="63"/>
              <w:rPr>
                <w:rFonts w:cs="Times New Roman"/>
                <w:szCs w:val="21"/>
              </w:rPr>
            </w:pPr>
            <w:r>
              <w:rPr>
                <w:rFonts w:cs="Times New Roman"/>
                <w:szCs w:val="21"/>
              </w:rPr>
              <w:t xml:space="preserve">4.59 </w:t>
            </w:r>
          </w:p>
        </w:tc>
        <w:tc>
          <w:tcPr>
            <w:tcW w:w="423" w:type="pct"/>
            <w:shd w:val="clear" w:color="auto" w:fill="auto"/>
            <w:vAlign w:val="center"/>
          </w:tcPr>
          <w:p>
            <w:pPr>
              <w:pStyle w:val="63"/>
              <w:rPr>
                <w:rFonts w:cs="Times New Roman"/>
                <w:szCs w:val="21"/>
              </w:rPr>
            </w:pPr>
            <w:r>
              <w:rPr>
                <w:rFonts w:cs="Times New Roman"/>
                <w:szCs w:val="21"/>
              </w:rPr>
              <w:t xml:space="preserve">81.46 </w:t>
            </w:r>
          </w:p>
        </w:tc>
        <w:tc>
          <w:tcPr>
            <w:tcW w:w="424" w:type="pct"/>
            <w:shd w:val="clear" w:color="auto" w:fill="auto"/>
            <w:vAlign w:val="center"/>
          </w:tcPr>
          <w:p>
            <w:pPr>
              <w:pStyle w:val="63"/>
              <w:rPr>
                <w:rFonts w:cs="Times New Roman"/>
                <w:szCs w:val="21"/>
              </w:rPr>
            </w:pPr>
            <w:r>
              <w:rPr>
                <w:rFonts w:cs="Times New Roman"/>
                <w:szCs w:val="21"/>
              </w:rPr>
              <w:t xml:space="preserve">13.12 </w:t>
            </w:r>
          </w:p>
        </w:tc>
        <w:tc>
          <w:tcPr>
            <w:tcW w:w="339" w:type="pct"/>
            <w:shd w:val="clear" w:color="auto" w:fill="auto"/>
          </w:tcPr>
          <w:p>
            <w:pPr>
              <w:pStyle w:val="63"/>
            </w:pPr>
            <w:r>
              <w:rPr>
                <w:rFonts w:hint="eastAsia"/>
              </w:rPr>
              <w:t>0</w:t>
            </w:r>
          </w:p>
        </w:tc>
        <w:tc>
          <w:tcPr>
            <w:tcW w:w="339" w:type="pct"/>
            <w:shd w:val="clear" w:color="auto" w:fill="auto"/>
            <w:vAlign w:val="center"/>
          </w:tcPr>
          <w:p>
            <w:pPr>
              <w:pStyle w:val="63"/>
              <w:rPr>
                <w:rFonts w:cs="Times New Roman"/>
                <w:szCs w:val="21"/>
              </w:rPr>
            </w:pPr>
            <w:r>
              <w:rPr>
                <w:rFonts w:cs="Times New Roman"/>
                <w:szCs w:val="21"/>
              </w:rPr>
              <w:t xml:space="preserve">3.79 </w:t>
            </w:r>
          </w:p>
        </w:tc>
        <w:tc>
          <w:tcPr>
            <w:tcW w:w="424" w:type="pct"/>
            <w:shd w:val="clear" w:color="auto" w:fill="auto"/>
            <w:vAlign w:val="center"/>
          </w:tcPr>
          <w:p>
            <w:pPr>
              <w:pStyle w:val="63"/>
              <w:rPr>
                <w:sz w:val="22"/>
                <w:szCs w:val="22"/>
              </w:rPr>
            </w:pPr>
            <w:r>
              <w:rPr>
                <w:rFonts w:hint="eastAsia"/>
                <w:sz w:val="22"/>
                <w:szCs w:val="22"/>
              </w:rPr>
              <w:t xml:space="preserve">96.15 </w:t>
            </w:r>
          </w:p>
        </w:tc>
        <w:tc>
          <w:tcPr>
            <w:tcW w:w="339" w:type="pct"/>
            <w:shd w:val="clear" w:color="auto" w:fill="auto"/>
          </w:tcPr>
          <w:p>
            <w:pPr>
              <w:pStyle w:val="63"/>
            </w:pPr>
            <w:r>
              <w:t>0</w:t>
            </w:r>
          </w:p>
        </w:tc>
        <w:tc>
          <w:tcPr>
            <w:tcW w:w="745" w:type="pct"/>
          </w:tcPr>
          <w:p>
            <w:pPr>
              <w:pStyle w:val="63"/>
            </w:pPr>
            <w:r>
              <w:t>HCO3 - Ca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0" w:hRule="atLeast"/>
        </w:trPr>
        <w:tc>
          <w:tcPr>
            <w:tcW w:w="610" w:type="pct"/>
            <w:vMerge w:val="continue"/>
            <w:vAlign w:val="center"/>
          </w:tcPr>
          <w:p>
            <w:pPr>
              <w:pStyle w:val="63"/>
            </w:pPr>
          </w:p>
        </w:tc>
        <w:tc>
          <w:tcPr>
            <w:tcW w:w="509" w:type="pct"/>
          </w:tcPr>
          <w:p>
            <w:pPr>
              <w:pStyle w:val="63"/>
            </w:pPr>
            <w:r>
              <w:t>WX3</w:t>
            </w:r>
          </w:p>
        </w:tc>
        <w:tc>
          <w:tcPr>
            <w:tcW w:w="424" w:type="pct"/>
            <w:shd w:val="clear" w:color="auto" w:fill="auto"/>
            <w:vAlign w:val="center"/>
          </w:tcPr>
          <w:p>
            <w:pPr>
              <w:pStyle w:val="63"/>
              <w:rPr>
                <w:rFonts w:cs="Times New Roman"/>
                <w:szCs w:val="21"/>
              </w:rPr>
            </w:pPr>
            <w:r>
              <w:rPr>
                <w:rFonts w:cs="Times New Roman"/>
                <w:szCs w:val="21"/>
              </w:rPr>
              <w:t xml:space="preserve">0.89 </w:t>
            </w:r>
          </w:p>
        </w:tc>
        <w:tc>
          <w:tcPr>
            <w:tcW w:w="424" w:type="pct"/>
            <w:shd w:val="clear" w:color="auto" w:fill="auto"/>
            <w:vAlign w:val="center"/>
          </w:tcPr>
          <w:p>
            <w:pPr>
              <w:pStyle w:val="63"/>
              <w:rPr>
                <w:rFonts w:cs="Times New Roman"/>
                <w:szCs w:val="21"/>
              </w:rPr>
            </w:pPr>
            <w:r>
              <w:rPr>
                <w:rFonts w:cs="Times New Roman"/>
                <w:szCs w:val="21"/>
              </w:rPr>
              <w:t xml:space="preserve">5.51 </w:t>
            </w:r>
          </w:p>
        </w:tc>
        <w:tc>
          <w:tcPr>
            <w:tcW w:w="423" w:type="pct"/>
            <w:shd w:val="clear" w:color="auto" w:fill="auto"/>
            <w:vAlign w:val="center"/>
          </w:tcPr>
          <w:p>
            <w:pPr>
              <w:pStyle w:val="63"/>
              <w:rPr>
                <w:rFonts w:cs="Times New Roman"/>
                <w:szCs w:val="21"/>
              </w:rPr>
            </w:pPr>
            <w:r>
              <w:rPr>
                <w:rFonts w:cs="Times New Roman"/>
                <w:szCs w:val="21"/>
              </w:rPr>
              <w:t xml:space="preserve">79.93 </w:t>
            </w:r>
          </w:p>
        </w:tc>
        <w:tc>
          <w:tcPr>
            <w:tcW w:w="424" w:type="pct"/>
            <w:shd w:val="clear" w:color="auto" w:fill="auto"/>
            <w:vAlign w:val="center"/>
          </w:tcPr>
          <w:p>
            <w:pPr>
              <w:pStyle w:val="63"/>
              <w:rPr>
                <w:rFonts w:cs="Times New Roman"/>
                <w:szCs w:val="21"/>
              </w:rPr>
            </w:pPr>
            <w:r>
              <w:rPr>
                <w:rFonts w:cs="Times New Roman"/>
                <w:szCs w:val="21"/>
              </w:rPr>
              <w:t xml:space="preserve">13.67 </w:t>
            </w:r>
          </w:p>
        </w:tc>
        <w:tc>
          <w:tcPr>
            <w:tcW w:w="339" w:type="pct"/>
            <w:shd w:val="clear" w:color="auto" w:fill="auto"/>
          </w:tcPr>
          <w:p>
            <w:pPr>
              <w:pStyle w:val="63"/>
            </w:pPr>
            <w:r>
              <w:rPr>
                <w:rFonts w:hint="eastAsia"/>
              </w:rPr>
              <w:t>0</w:t>
            </w:r>
          </w:p>
        </w:tc>
        <w:tc>
          <w:tcPr>
            <w:tcW w:w="339" w:type="pct"/>
            <w:shd w:val="clear" w:color="auto" w:fill="auto"/>
            <w:vAlign w:val="center"/>
          </w:tcPr>
          <w:p>
            <w:pPr>
              <w:pStyle w:val="63"/>
              <w:rPr>
                <w:rFonts w:cs="Times New Roman"/>
                <w:szCs w:val="21"/>
              </w:rPr>
            </w:pPr>
            <w:r>
              <w:rPr>
                <w:rFonts w:cs="Times New Roman"/>
                <w:szCs w:val="21"/>
              </w:rPr>
              <w:t xml:space="preserve">5.43 </w:t>
            </w:r>
          </w:p>
        </w:tc>
        <w:tc>
          <w:tcPr>
            <w:tcW w:w="424" w:type="pct"/>
            <w:shd w:val="clear" w:color="auto" w:fill="auto"/>
            <w:vAlign w:val="center"/>
          </w:tcPr>
          <w:p>
            <w:pPr>
              <w:pStyle w:val="63"/>
              <w:rPr>
                <w:sz w:val="22"/>
                <w:szCs w:val="22"/>
              </w:rPr>
            </w:pPr>
            <w:r>
              <w:rPr>
                <w:rFonts w:hint="eastAsia"/>
                <w:sz w:val="22"/>
                <w:szCs w:val="22"/>
              </w:rPr>
              <w:t xml:space="preserve">94.62 </w:t>
            </w:r>
          </w:p>
        </w:tc>
        <w:tc>
          <w:tcPr>
            <w:tcW w:w="339" w:type="pct"/>
            <w:shd w:val="clear" w:color="auto" w:fill="auto"/>
          </w:tcPr>
          <w:p>
            <w:pPr>
              <w:pStyle w:val="63"/>
            </w:pPr>
            <w:r>
              <w:t>0</w:t>
            </w:r>
          </w:p>
        </w:tc>
        <w:tc>
          <w:tcPr>
            <w:tcW w:w="745" w:type="pct"/>
          </w:tcPr>
          <w:p>
            <w:pPr>
              <w:pStyle w:val="63"/>
            </w:pPr>
            <w:r>
              <w:t>HCO3 -Ca</w:t>
            </w:r>
          </w:p>
        </w:tc>
      </w:tr>
    </w:tbl>
    <w:p>
      <w:pPr>
        <w:ind w:firstLine="480"/>
        <w:jc w:val="left"/>
        <w:rPr>
          <w:rFonts w:cs="Times New Roman"/>
        </w:rPr>
      </w:pPr>
      <w:bookmarkStart w:id="208" w:name="_Hlk67845577"/>
      <w:r>
        <w:rPr>
          <w:rFonts w:cs="Times New Roman"/>
        </w:rPr>
        <w:t>根据上表统计，水化学类型以HCO</w:t>
      </w:r>
      <w:r>
        <w:rPr>
          <w:rFonts w:cs="Times New Roman"/>
          <w:vertAlign w:val="subscript"/>
        </w:rPr>
        <w:t>3</w:t>
      </w:r>
      <w:r>
        <w:rPr>
          <w:rFonts w:cs="Times New Roman"/>
        </w:rPr>
        <w:t xml:space="preserve"> - Ca型水为主，矿化度0.27~0.34g/L，属于弱碱性低矿化度淡水。</w:t>
      </w:r>
    </w:p>
    <w:bookmarkEnd w:id="208"/>
    <w:p>
      <w:pPr>
        <w:ind w:firstLine="480"/>
        <w:jc w:val="center"/>
        <w:rPr>
          <w:rFonts w:cs="Times New Roman"/>
        </w:rPr>
      </w:pPr>
      <w:r>
        <w:t>******</w:t>
      </w:r>
    </w:p>
    <w:p>
      <w:pPr>
        <w:pStyle w:val="57"/>
      </w:pPr>
      <w:r>
        <w:t>图</w:t>
      </w:r>
      <w:r>
        <w:fldChar w:fldCharType="begin"/>
      </w:r>
      <w:r>
        <w:instrText xml:space="preserve"> STYLEREF 2 \s </w:instrText>
      </w:r>
      <w:r>
        <w:fldChar w:fldCharType="separate"/>
      </w:r>
      <w:r>
        <w:t>5.8</w:t>
      </w:r>
      <w:r>
        <w:fldChar w:fldCharType="end"/>
      </w:r>
      <w:r>
        <w:noBreakHyphen/>
      </w:r>
      <w:r>
        <w:fldChar w:fldCharType="begin"/>
      </w:r>
      <w:r>
        <w:instrText xml:space="preserve"> SEQ 图 \* ARABIC \s 2 </w:instrText>
      </w:r>
      <w:r>
        <w:fldChar w:fldCharType="separate"/>
      </w:r>
      <w:r>
        <w:t>1</w:t>
      </w:r>
      <w:r>
        <w:fldChar w:fldCharType="end"/>
      </w:r>
      <w:r>
        <w:t xml:space="preserve">  评价区水样piper三线图</w:t>
      </w:r>
    </w:p>
    <w:p>
      <w:pPr>
        <w:pStyle w:val="5"/>
        <w:rPr>
          <w:rFonts w:cs="Times New Roman"/>
        </w:rPr>
      </w:pPr>
      <w:bookmarkStart w:id="209" w:name="_Toc68558770"/>
      <w:r>
        <w:rPr>
          <w:rFonts w:hint="eastAsia" w:cs="Times New Roman"/>
        </w:rPr>
        <w:t xml:space="preserve"> </w:t>
      </w:r>
      <w:bookmarkStart w:id="210" w:name="_Toc96680697"/>
      <w:r>
        <w:rPr>
          <w:rFonts w:cs="Times New Roman"/>
        </w:rPr>
        <w:t>地下水水位统计</w:t>
      </w:r>
      <w:bookmarkEnd w:id="209"/>
      <w:bookmarkEnd w:id="210"/>
    </w:p>
    <w:p>
      <w:pPr>
        <w:ind w:firstLine="480"/>
      </w:pPr>
      <w:r>
        <w:rPr>
          <w:rFonts w:cs="Times New Roman"/>
        </w:rPr>
        <w:t>通过委托监测单位对区域地下水水位进行统测，区域地下水水位统计结果过见下表</w:t>
      </w:r>
      <w:r>
        <w:rPr>
          <w:rFonts w:hint="eastAsia"/>
        </w:rPr>
        <w:t>，根据统计显示地下水水位埋深在</w:t>
      </w:r>
      <w:r>
        <w:t>0.22</w:t>
      </w:r>
      <w:r>
        <w:rPr>
          <w:rFonts w:hint="eastAsia"/>
        </w:rPr>
        <w:t>~</w:t>
      </w:r>
      <w:r>
        <w:t>0.63</w:t>
      </w:r>
      <w:r>
        <w:rPr>
          <w:rFonts w:hint="eastAsia"/>
        </w:rPr>
        <w:t>m之间。</w:t>
      </w:r>
    </w:p>
    <w:p>
      <w:pPr>
        <w:pStyle w:val="73"/>
        <w:ind w:firstLine="400"/>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5.8</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rPr>
        <w:t xml:space="preserve">  地下水水位统计表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2838"/>
        <w:gridCol w:w="1275"/>
        <w:gridCol w:w="1844"/>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1" w:type="pct"/>
            <w:tcBorders>
              <w:top w:val="single" w:color="auto" w:sz="12" w:space="0"/>
              <w:left w:val="nil"/>
              <w:tl2br w:val="nil"/>
              <w:tr2bl w:val="nil"/>
            </w:tcBorders>
            <w:vAlign w:val="center"/>
          </w:tcPr>
          <w:p>
            <w:pPr>
              <w:pStyle w:val="63"/>
              <w:rPr>
                <w:rFonts w:cs="Times New Roman"/>
                <w:b/>
                <w:szCs w:val="21"/>
              </w:rPr>
            </w:pPr>
            <w:r>
              <w:rPr>
                <w:rFonts w:cs="Times New Roman"/>
                <w:b/>
                <w:szCs w:val="21"/>
              </w:rPr>
              <w:t>地下水点位</w:t>
            </w:r>
          </w:p>
        </w:tc>
        <w:tc>
          <w:tcPr>
            <w:tcW w:w="1665" w:type="pct"/>
            <w:tcBorders>
              <w:top w:val="single" w:color="auto" w:sz="12" w:space="0"/>
              <w:tl2br w:val="nil"/>
              <w:tr2bl w:val="nil"/>
            </w:tcBorders>
            <w:vAlign w:val="center"/>
          </w:tcPr>
          <w:p>
            <w:pPr>
              <w:pStyle w:val="63"/>
              <w:rPr>
                <w:rFonts w:cs="Times New Roman"/>
                <w:b/>
                <w:szCs w:val="21"/>
              </w:rPr>
            </w:pPr>
            <w:r>
              <w:rPr>
                <w:rFonts w:cs="Times New Roman"/>
                <w:b/>
                <w:szCs w:val="21"/>
              </w:rPr>
              <w:t>经纬度</w:t>
            </w:r>
          </w:p>
        </w:tc>
        <w:tc>
          <w:tcPr>
            <w:tcW w:w="748" w:type="pct"/>
            <w:tcBorders>
              <w:top w:val="single" w:color="auto" w:sz="12" w:space="0"/>
              <w:tl2br w:val="nil"/>
              <w:tr2bl w:val="nil"/>
            </w:tcBorders>
            <w:vAlign w:val="center"/>
          </w:tcPr>
          <w:p>
            <w:pPr>
              <w:pStyle w:val="63"/>
              <w:rPr>
                <w:rFonts w:cs="Times New Roman"/>
                <w:b/>
                <w:szCs w:val="21"/>
              </w:rPr>
            </w:pPr>
            <w:r>
              <w:rPr>
                <w:rFonts w:cs="Times New Roman"/>
                <w:b/>
                <w:szCs w:val="21"/>
              </w:rPr>
              <w:t>海拔（m）</w:t>
            </w:r>
          </w:p>
        </w:tc>
        <w:tc>
          <w:tcPr>
            <w:tcW w:w="1082" w:type="pct"/>
            <w:tcBorders>
              <w:top w:val="single" w:color="auto" w:sz="12" w:space="0"/>
              <w:tl2br w:val="nil"/>
              <w:tr2bl w:val="nil"/>
            </w:tcBorders>
            <w:vAlign w:val="center"/>
          </w:tcPr>
          <w:p>
            <w:pPr>
              <w:pStyle w:val="63"/>
              <w:rPr>
                <w:rFonts w:cs="Times New Roman"/>
                <w:b/>
                <w:szCs w:val="21"/>
              </w:rPr>
            </w:pPr>
            <w:r>
              <w:rPr>
                <w:rFonts w:cs="Times New Roman"/>
                <w:b/>
                <w:szCs w:val="21"/>
              </w:rPr>
              <w:t>水面至井口（m）</w:t>
            </w:r>
          </w:p>
        </w:tc>
        <w:tc>
          <w:tcPr>
            <w:tcW w:w="694" w:type="pct"/>
            <w:tcBorders>
              <w:top w:val="single" w:color="auto" w:sz="12" w:space="0"/>
              <w:tl2br w:val="nil"/>
              <w:tr2bl w:val="nil"/>
            </w:tcBorders>
            <w:vAlign w:val="center"/>
          </w:tcPr>
          <w:p>
            <w:pPr>
              <w:pStyle w:val="63"/>
              <w:rPr>
                <w:rFonts w:cs="Times New Roman"/>
                <w:b/>
                <w:bCs/>
                <w:szCs w:val="21"/>
              </w:rPr>
            </w:pPr>
            <w:r>
              <w:rPr>
                <w:rFonts w:cs="Times New Roman"/>
                <w:b/>
                <w:szCs w:val="21"/>
              </w:rPr>
              <w:t>水位（m）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left w:val="nil"/>
              <w:tl2br w:val="nil"/>
              <w:tr2bl w:val="nil"/>
            </w:tcBorders>
            <w:vAlign w:val="center"/>
          </w:tcPr>
          <w:p>
            <w:pPr>
              <w:pStyle w:val="63"/>
              <w:rPr>
                <w:rFonts w:cs="Times New Roman"/>
                <w:szCs w:val="21"/>
              </w:rPr>
            </w:pPr>
            <w:r>
              <w:rPr>
                <w:rFonts w:cs="Times New Roman"/>
                <w:bCs/>
                <w:szCs w:val="21"/>
              </w:rPr>
              <w:t>WX1</w:t>
            </w:r>
          </w:p>
        </w:tc>
        <w:tc>
          <w:tcPr>
            <w:tcW w:w="1665" w:type="pct"/>
            <w:tcBorders>
              <w:tl2br w:val="nil"/>
              <w:tr2bl w:val="nil"/>
            </w:tcBorders>
            <w:vAlign w:val="center"/>
          </w:tcPr>
          <w:p>
            <w:pPr>
              <w:pStyle w:val="200"/>
              <w:spacing w:line="320" w:lineRule="exact"/>
              <w:jc w:val="center"/>
              <w:rPr>
                <w:rFonts w:ascii="Times New Roman" w:cs="Times New Roman"/>
                <w:bCs/>
                <w:color w:val="auto"/>
                <w:kern w:val="2"/>
                <w:sz w:val="21"/>
                <w:szCs w:val="21"/>
              </w:rPr>
            </w:pPr>
            <w:r>
              <w:rPr>
                <w:rFonts w:ascii="Times New Roman" w:cs="Times New Roman"/>
                <w:bCs/>
                <w:color w:val="auto"/>
                <w:kern w:val="2"/>
                <w:sz w:val="21"/>
                <w:szCs w:val="21"/>
              </w:rPr>
              <w:t xml:space="preserve">E </w:t>
            </w:r>
            <w:r>
              <w:rPr>
                <w:rFonts w:hint="eastAsia" w:ascii="Times New Roman" w:cs="Times New Roman"/>
                <w:bCs/>
                <w:color w:val="auto"/>
                <w:kern w:val="2"/>
                <w:sz w:val="21"/>
                <w:szCs w:val="21"/>
              </w:rPr>
              <w:t>107.131621、</w:t>
            </w:r>
            <w:r>
              <w:rPr>
                <w:rFonts w:ascii="Times New Roman" w:cs="Times New Roman"/>
                <w:bCs/>
                <w:color w:val="auto"/>
                <w:kern w:val="2"/>
                <w:sz w:val="21"/>
                <w:szCs w:val="21"/>
              </w:rPr>
              <w:t xml:space="preserve">N </w:t>
            </w:r>
            <w:r>
              <w:rPr>
                <w:rFonts w:hint="eastAsia" w:ascii="Times New Roman" w:cs="Times New Roman"/>
                <w:bCs/>
                <w:color w:val="auto"/>
                <w:kern w:val="2"/>
                <w:sz w:val="21"/>
                <w:szCs w:val="21"/>
              </w:rPr>
              <w:t>32.018793</w:t>
            </w:r>
          </w:p>
        </w:tc>
        <w:tc>
          <w:tcPr>
            <w:tcW w:w="748" w:type="pct"/>
            <w:tcBorders>
              <w:tl2br w:val="nil"/>
              <w:tr2bl w:val="nil"/>
            </w:tcBorders>
            <w:vAlign w:val="center"/>
          </w:tcPr>
          <w:p>
            <w:pPr>
              <w:adjustRightInd w:val="0"/>
              <w:spacing w:line="320" w:lineRule="exact"/>
              <w:ind w:firstLine="0" w:firstLineChars="0"/>
              <w:jc w:val="center"/>
              <w:rPr>
                <w:rFonts w:cs="Times New Roman"/>
                <w:bCs/>
                <w:sz w:val="21"/>
              </w:rPr>
            </w:pPr>
            <w:r>
              <w:rPr>
                <w:rFonts w:hint="eastAsia"/>
                <w:bCs/>
                <w:sz w:val="21"/>
              </w:rPr>
              <w:t>438.67</w:t>
            </w:r>
          </w:p>
        </w:tc>
        <w:tc>
          <w:tcPr>
            <w:tcW w:w="1082"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0.52</w:t>
            </w:r>
          </w:p>
        </w:tc>
        <w:tc>
          <w:tcPr>
            <w:tcW w:w="694"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438.15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left w:val="nil"/>
              <w:tl2br w:val="nil"/>
              <w:tr2bl w:val="nil"/>
            </w:tcBorders>
            <w:vAlign w:val="center"/>
          </w:tcPr>
          <w:p>
            <w:pPr>
              <w:pStyle w:val="63"/>
              <w:rPr>
                <w:rFonts w:cs="Times New Roman"/>
                <w:szCs w:val="21"/>
              </w:rPr>
            </w:pPr>
            <w:r>
              <w:rPr>
                <w:rFonts w:cs="Times New Roman"/>
                <w:bCs/>
                <w:szCs w:val="21"/>
              </w:rPr>
              <w:t>WX2</w:t>
            </w:r>
          </w:p>
        </w:tc>
        <w:tc>
          <w:tcPr>
            <w:tcW w:w="1665" w:type="pct"/>
            <w:tcBorders>
              <w:tl2br w:val="nil"/>
              <w:tr2bl w:val="nil"/>
            </w:tcBorders>
            <w:vAlign w:val="center"/>
          </w:tcPr>
          <w:p>
            <w:pPr>
              <w:pStyle w:val="200"/>
              <w:spacing w:line="320" w:lineRule="exact"/>
              <w:jc w:val="center"/>
              <w:rPr>
                <w:rFonts w:ascii="Times New Roman" w:cs="Times New Roman"/>
                <w:bCs/>
                <w:color w:val="auto"/>
                <w:kern w:val="2"/>
                <w:sz w:val="21"/>
                <w:szCs w:val="21"/>
              </w:rPr>
            </w:pPr>
            <w:r>
              <w:rPr>
                <w:rFonts w:ascii="Times New Roman" w:cs="Times New Roman"/>
                <w:bCs/>
                <w:color w:val="auto"/>
                <w:kern w:val="2"/>
                <w:sz w:val="21"/>
                <w:szCs w:val="21"/>
              </w:rPr>
              <w:t xml:space="preserve">E </w:t>
            </w:r>
            <w:r>
              <w:rPr>
                <w:rFonts w:hint="eastAsia" w:ascii="Times New Roman" w:cs="Times New Roman"/>
                <w:bCs/>
                <w:color w:val="auto"/>
                <w:kern w:val="2"/>
                <w:sz w:val="21"/>
                <w:szCs w:val="21"/>
              </w:rPr>
              <w:t>107.136493、</w:t>
            </w:r>
            <w:r>
              <w:rPr>
                <w:rFonts w:ascii="Times New Roman" w:cs="Times New Roman"/>
                <w:bCs/>
                <w:color w:val="auto"/>
                <w:kern w:val="2"/>
                <w:sz w:val="21"/>
                <w:szCs w:val="21"/>
              </w:rPr>
              <w:t xml:space="preserve">N </w:t>
            </w:r>
            <w:r>
              <w:rPr>
                <w:rFonts w:hint="eastAsia" w:ascii="Times New Roman" w:cs="Times New Roman"/>
                <w:bCs/>
                <w:color w:val="auto"/>
                <w:kern w:val="2"/>
                <w:sz w:val="21"/>
                <w:szCs w:val="21"/>
              </w:rPr>
              <w:t>32.018817</w:t>
            </w:r>
          </w:p>
        </w:tc>
        <w:tc>
          <w:tcPr>
            <w:tcW w:w="748" w:type="pct"/>
            <w:tcBorders>
              <w:tl2br w:val="nil"/>
              <w:tr2bl w:val="nil"/>
            </w:tcBorders>
            <w:vAlign w:val="center"/>
          </w:tcPr>
          <w:p>
            <w:pPr>
              <w:adjustRightInd w:val="0"/>
              <w:spacing w:line="320" w:lineRule="exact"/>
              <w:ind w:firstLine="0" w:firstLineChars="0"/>
              <w:jc w:val="center"/>
              <w:rPr>
                <w:rFonts w:cs="Times New Roman"/>
                <w:bCs/>
                <w:sz w:val="21"/>
              </w:rPr>
            </w:pPr>
            <w:r>
              <w:rPr>
                <w:rFonts w:hint="eastAsia"/>
                <w:bCs/>
                <w:sz w:val="21"/>
              </w:rPr>
              <w:t>460.39</w:t>
            </w:r>
          </w:p>
        </w:tc>
        <w:tc>
          <w:tcPr>
            <w:tcW w:w="1082"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0.63</w:t>
            </w:r>
          </w:p>
        </w:tc>
        <w:tc>
          <w:tcPr>
            <w:tcW w:w="694"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459.76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left w:val="nil"/>
              <w:tl2br w:val="nil"/>
              <w:tr2bl w:val="nil"/>
            </w:tcBorders>
            <w:vAlign w:val="center"/>
          </w:tcPr>
          <w:p>
            <w:pPr>
              <w:pStyle w:val="63"/>
              <w:rPr>
                <w:rFonts w:cs="Times New Roman"/>
                <w:szCs w:val="21"/>
              </w:rPr>
            </w:pPr>
            <w:r>
              <w:rPr>
                <w:rFonts w:cs="Times New Roman"/>
                <w:bCs/>
                <w:szCs w:val="21"/>
              </w:rPr>
              <w:t>WX3</w:t>
            </w:r>
          </w:p>
        </w:tc>
        <w:tc>
          <w:tcPr>
            <w:tcW w:w="1665" w:type="pct"/>
            <w:tcBorders>
              <w:tl2br w:val="nil"/>
              <w:tr2bl w:val="nil"/>
            </w:tcBorders>
            <w:vAlign w:val="center"/>
          </w:tcPr>
          <w:p>
            <w:pPr>
              <w:pStyle w:val="200"/>
              <w:spacing w:line="320" w:lineRule="exact"/>
              <w:jc w:val="center"/>
              <w:rPr>
                <w:rFonts w:ascii="Times New Roman" w:cs="Times New Roman"/>
                <w:bCs/>
                <w:color w:val="auto"/>
                <w:kern w:val="2"/>
                <w:sz w:val="21"/>
                <w:szCs w:val="21"/>
              </w:rPr>
            </w:pPr>
            <w:r>
              <w:rPr>
                <w:rFonts w:ascii="Times New Roman" w:cs="Times New Roman"/>
                <w:bCs/>
                <w:color w:val="auto"/>
                <w:kern w:val="2"/>
                <w:sz w:val="21"/>
                <w:szCs w:val="21"/>
              </w:rPr>
              <w:t xml:space="preserve">E </w:t>
            </w:r>
            <w:r>
              <w:rPr>
                <w:rFonts w:hint="eastAsia" w:ascii="Times New Roman" w:cs="Times New Roman"/>
                <w:bCs/>
                <w:color w:val="auto"/>
                <w:kern w:val="2"/>
                <w:sz w:val="21"/>
                <w:szCs w:val="21"/>
              </w:rPr>
              <w:t>107.145491、</w:t>
            </w:r>
            <w:r>
              <w:rPr>
                <w:rFonts w:ascii="Times New Roman" w:cs="Times New Roman"/>
                <w:bCs/>
                <w:color w:val="auto"/>
                <w:kern w:val="2"/>
                <w:sz w:val="21"/>
                <w:szCs w:val="21"/>
              </w:rPr>
              <w:t xml:space="preserve">N </w:t>
            </w:r>
            <w:r>
              <w:rPr>
                <w:rFonts w:hint="eastAsia" w:ascii="Times New Roman" w:cs="Times New Roman"/>
                <w:bCs/>
                <w:color w:val="auto"/>
                <w:kern w:val="2"/>
                <w:sz w:val="21"/>
                <w:szCs w:val="21"/>
              </w:rPr>
              <w:t>32.023797</w:t>
            </w:r>
          </w:p>
        </w:tc>
        <w:tc>
          <w:tcPr>
            <w:tcW w:w="748" w:type="pct"/>
            <w:tcBorders>
              <w:tl2br w:val="nil"/>
              <w:tr2bl w:val="nil"/>
            </w:tcBorders>
            <w:vAlign w:val="center"/>
          </w:tcPr>
          <w:p>
            <w:pPr>
              <w:adjustRightInd w:val="0"/>
              <w:spacing w:line="320" w:lineRule="exact"/>
              <w:ind w:firstLine="0" w:firstLineChars="0"/>
              <w:jc w:val="center"/>
              <w:rPr>
                <w:rFonts w:cs="Times New Roman"/>
                <w:bCs/>
                <w:sz w:val="21"/>
              </w:rPr>
            </w:pPr>
            <w:r>
              <w:rPr>
                <w:rFonts w:hint="eastAsia"/>
                <w:bCs/>
                <w:sz w:val="21"/>
              </w:rPr>
              <w:t>428.21</w:t>
            </w:r>
          </w:p>
        </w:tc>
        <w:tc>
          <w:tcPr>
            <w:tcW w:w="1082"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0.47</w:t>
            </w:r>
          </w:p>
        </w:tc>
        <w:tc>
          <w:tcPr>
            <w:tcW w:w="694"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427.</w:t>
            </w:r>
            <w:r>
              <w:rPr>
                <w:bCs/>
                <w:sz w:val="21"/>
              </w:rPr>
              <w:t>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left w:val="nil"/>
              <w:tl2br w:val="nil"/>
              <w:tr2bl w:val="nil"/>
            </w:tcBorders>
            <w:vAlign w:val="center"/>
          </w:tcPr>
          <w:p>
            <w:pPr>
              <w:pStyle w:val="63"/>
              <w:rPr>
                <w:rFonts w:cs="Times New Roman"/>
                <w:bCs/>
                <w:szCs w:val="21"/>
              </w:rPr>
            </w:pPr>
            <w:r>
              <w:rPr>
                <w:rFonts w:cs="Times New Roman"/>
                <w:bCs/>
                <w:szCs w:val="21"/>
              </w:rPr>
              <w:t>WX4</w:t>
            </w:r>
          </w:p>
        </w:tc>
        <w:tc>
          <w:tcPr>
            <w:tcW w:w="1665" w:type="pct"/>
            <w:tcBorders>
              <w:tl2br w:val="nil"/>
              <w:tr2bl w:val="nil"/>
            </w:tcBorders>
            <w:vAlign w:val="center"/>
          </w:tcPr>
          <w:p>
            <w:pPr>
              <w:pStyle w:val="200"/>
              <w:spacing w:line="320" w:lineRule="exact"/>
              <w:jc w:val="center"/>
              <w:rPr>
                <w:rFonts w:ascii="Times New Roman" w:cs="Times New Roman"/>
                <w:bCs/>
                <w:color w:val="auto"/>
                <w:kern w:val="2"/>
                <w:sz w:val="21"/>
                <w:szCs w:val="21"/>
              </w:rPr>
            </w:pPr>
            <w:r>
              <w:rPr>
                <w:rFonts w:ascii="Times New Roman" w:cs="Times New Roman"/>
                <w:bCs/>
                <w:color w:val="auto"/>
                <w:kern w:val="2"/>
                <w:sz w:val="21"/>
                <w:szCs w:val="21"/>
              </w:rPr>
              <w:t xml:space="preserve">E </w:t>
            </w:r>
            <w:r>
              <w:rPr>
                <w:rFonts w:hint="eastAsia" w:ascii="Times New Roman" w:cs="Times New Roman"/>
                <w:bCs/>
                <w:color w:val="auto"/>
                <w:kern w:val="2"/>
                <w:sz w:val="21"/>
                <w:szCs w:val="21"/>
              </w:rPr>
              <w:t>107.131809、</w:t>
            </w:r>
            <w:r>
              <w:rPr>
                <w:rFonts w:ascii="Times New Roman" w:cs="Times New Roman"/>
                <w:bCs/>
                <w:color w:val="auto"/>
                <w:kern w:val="2"/>
                <w:sz w:val="21"/>
                <w:szCs w:val="21"/>
              </w:rPr>
              <w:t xml:space="preserve">N </w:t>
            </w:r>
            <w:r>
              <w:rPr>
                <w:rFonts w:hint="eastAsia" w:ascii="Times New Roman" w:cs="Times New Roman"/>
                <w:bCs/>
                <w:color w:val="auto"/>
                <w:kern w:val="2"/>
                <w:sz w:val="21"/>
                <w:szCs w:val="21"/>
              </w:rPr>
              <w:t>32.017689</w:t>
            </w:r>
          </w:p>
        </w:tc>
        <w:tc>
          <w:tcPr>
            <w:tcW w:w="748" w:type="pct"/>
            <w:tcBorders>
              <w:tl2br w:val="nil"/>
              <w:tr2bl w:val="nil"/>
            </w:tcBorders>
            <w:vAlign w:val="center"/>
          </w:tcPr>
          <w:p>
            <w:pPr>
              <w:adjustRightInd w:val="0"/>
              <w:spacing w:line="320" w:lineRule="exact"/>
              <w:ind w:firstLine="0" w:firstLineChars="0"/>
              <w:jc w:val="center"/>
              <w:rPr>
                <w:rFonts w:cs="Times New Roman"/>
                <w:bCs/>
                <w:sz w:val="21"/>
              </w:rPr>
            </w:pPr>
            <w:r>
              <w:rPr>
                <w:rFonts w:hint="eastAsia"/>
                <w:bCs/>
                <w:sz w:val="21"/>
              </w:rPr>
              <w:t>434.16</w:t>
            </w:r>
          </w:p>
        </w:tc>
        <w:tc>
          <w:tcPr>
            <w:tcW w:w="1082"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0.22</w:t>
            </w:r>
          </w:p>
        </w:tc>
        <w:tc>
          <w:tcPr>
            <w:tcW w:w="694"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4</w:t>
            </w:r>
            <w:r>
              <w:rPr>
                <w:bCs/>
                <w:sz w:val="21"/>
              </w:rPr>
              <w:t>33.94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left w:val="nil"/>
              <w:tl2br w:val="nil"/>
              <w:tr2bl w:val="nil"/>
            </w:tcBorders>
            <w:vAlign w:val="center"/>
          </w:tcPr>
          <w:p>
            <w:pPr>
              <w:pStyle w:val="63"/>
              <w:rPr>
                <w:rFonts w:cs="Times New Roman"/>
                <w:bCs/>
                <w:szCs w:val="21"/>
              </w:rPr>
            </w:pPr>
            <w:r>
              <w:rPr>
                <w:rFonts w:cs="Times New Roman"/>
                <w:bCs/>
                <w:szCs w:val="21"/>
              </w:rPr>
              <w:t>WX5</w:t>
            </w:r>
          </w:p>
        </w:tc>
        <w:tc>
          <w:tcPr>
            <w:tcW w:w="1665" w:type="pct"/>
            <w:tcBorders>
              <w:tl2br w:val="nil"/>
              <w:tr2bl w:val="nil"/>
            </w:tcBorders>
            <w:vAlign w:val="center"/>
          </w:tcPr>
          <w:p>
            <w:pPr>
              <w:pStyle w:val="200"/>
              <w:spacing w:line="320" w:lineRule="exact"/>
              <w:jc w:val="center"/>
              <w:rPr>
                <w:rFonts w:ascii="Times New Roman" w:cs="Times New Roman"/>
                <w:bCs/>
                <w:color w:val="auto"/>
                <w:kern w:val="2"/>
                <w:sz w:val="21"/>
                <w:szCs w:val="21"/>
              </w:rPr>
            </w:pPr>
            <w:r>
              <w:rPr>
                <w:rFonts w:ascii="Times New Roman" w:cs="Times New Roman"/>
                <w:bCs/>
                <w:color w:val="auto"/>
                <w:kern w:val="2"/>
                <w:sz w:val="21"/>
                <w:szCs w:val="21"/>
              </w:rPr>
              <w:t xml:space="preserve">E </w:t>
            </w:r>
            <w:r>
              <w:rPr>
                <w:rFonts w:hint="eastAsia" w:ascii="Times New Roman" w:cs="Times New Roman"/>
                <w:bCs/>
                <w:color w:val="auto"/>
                <w:kern w:val="2"/>
                <w:sz w:val="21"/>
                <w:szCs w:val="21"/>
              </w:rPr>
              <w:t>107.136457、</w:t>
            </w:r>
            <w:r>
              <w:rPr>
                <w:rFonts w:ascii="Times New Roman" w:cs="Times New Roman"/>
                <w:bCs/>
                <w:color w:val="auto"/>
                <w:kern w:val="2"/>
                <w:sz w:val="21"/>
                <w:szCs w:val="21"/>
              </w:rPr>
              <w:t xml:space="preserve">N </w:t>
            </w:r>
            <w:r>
              <w:rPr>
                <w:rFonts w:hint="eastAsia" w:ascii="Times New Roman" w:cs="Times New Roman"/>
                <w:bCs/>
                <w:color w:val="auto"/>
                <w:kern w:val="2"/>
                <w:sz w:val="21"/>
                <w:szCs w:val="21"/>
              </w:rPr>
              <w:t>32.018591</w:t>
            </w:r>
          </w:p>
        </w:tc>
        <w:tc>
          <w:tcPr>
            <w:tcW w:w="748" w:type="pct"/>
            <w:tcBorders>
              <w:tl2br w:val="nil"/>
              <w:tr2bl w:val="nil"/>
            </w:tcBorders>
            <w:vAlign w:val="center"/>
          </w:tcPr>
          <w:p>
            <w:pPr>
              <w:adjustRightInd w:val="0"/>
              <w:spacing w:line="320" w:lineRule="exact"/>
              <w:ind w:firstLine="0" w:firstLineChars="0"/>
              <w:jc w:val="center"/>
              <w:rPr>
                <w:rFonts w:cs="Times New Roman"/>
                <w:bCs/>
                <w:sz w:val="21"/>
              </w:rPr>
            </w:pPr>
            <w:r>
              <w:rPr>
                <w:rFonts w:hint="eastAsia"/>
                <w:bCs/>
                <w:sz w:val="21"/>
              </w:rPr>
              <w:t>463.31</w:t>
            </w:r>
          </w:p>
        </w:tc>
        <w:tc>
          <w:tcPr>
            <w:tcW w:w="1082"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0.41</w:t>
            </w:r>
          </w:p>
        </w:tc>
        <w:tc>
          <w:tcPr>
            <w:tcW w:w="694"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462.90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left w:val="nil"/>
              <w:tl2br w:val="nil"/>
              <w:tr2bl w:val="nil"/>
            </w:tcBorders>
            <w:vAlign w:val="center"/>
          </w:tcPr>
          <w:p>
            <w:pPr>
              <w:pStyle w:val="63"/>
              <w:rPr>
                <w:rFonts w:cs="Times New Roman"/>
                <w:bCs/>
                <w:szCs w:val="21"/>
              </w:rPr>
            </w:pPr>
            <w:r>
              <w:rPr>
                <w:rFonts w:cs="Times New Roman"/>
                <w:bCs/>
                <w:szCs w:val="21"/>
              </w:rPr>
              <w:t>WX6</w:t>
            </w:r>
          </w:p>
        </w:tc>
        <w:tc>
          <w:tcPr>
            <w:tcW w:w="1665" w:type="pct"/>
            <w:tcBorders>
              <w:tl2br w:val="nil"/>
              <w:tr2bl w:val="nil"/>
            </w:tcBorders>
            <w:vAlign w:val="center"/>
          </w:tcPr>
          <w:p>
            <w:pPr>
              <w:pStyle w:val="200"/>
              <w:spacing w:line="320" w:lineRule="exact"/>
              <w:jc w:val="center"/>
              <w:rPr>
                <w:rFonts w:ascii="Times New Roman" w:cs="Times New Roman"/>
                <w:bCs/>
                <w:color w:val="auto"/>
                <w:kern w:val="2"/>
                <w:sz w:val="21"/>
                <w:szCs w:val="21"/>
              </w:rPr>
            </w:pPr>
            <w:r>
              <w:rPr>
                <w:rFonts w:ascii="Times New Roman" w:cs="Times New Roman"/>
                <w:bCs/>
                <w:color w:val="auto"/>
                <w:kern w:val="2"/>
                <w:sz w:val="21"/>
                <w:szCs w:val="21"/>
              </w:rPr>
              <w:t xml:space="preserve">E </w:t>
            </w:r>
            <w:r>
              <w:rPr>
                <w:rFonts w:hint="eastAsia" w:ascii="Times New Roman" w:cs="Times New Roman"/>
                <w:bCs/>
                <w:color w:val="auto"/>
                <w:kern w:val="2"/>
                <w:sz w:val="21"/>
                <w:szCs w:val="21"/>
              </w:rPr>
              <w:t>107.142321、</w:t>
            </w:r>
            <w:r>
              <w:rPr>
                <w:rFonts w:ascii="Times New Roman" w:cs="Times New Roman"/>
                <w:bCs/>
                <w:color w:val="auto"/>
                <w:kern w:val="2"/>
                <w:sz w:val="21"/>
                <w:szCs w:val="21"/>
              </w:rPr>
              <w:t xml:space="preserve">N </w:t>
            </w:r>
            <w:r>
              <w:rPr>
                <w:rFonts w:hint="eastAsia" w:ascii="Times New Roman" w:cs="Times New Roman"/>
                <w:bCs/>
                <w:color w:val="auto"/>
                <w:kern w:val="2"/>
                <w:sz w:val="21"/>
                <w:szCs w:val="21"/>
              </w:rPr>
              <w:t>32.</w:t>
            </w:r>
            <w:r>
              <w:rPr>
                <w:rFonts w:ascii="Times New Roman" w:cs="Times New Roman"/>
                <w:bCs/>
                <w:color w:val="auto"/>
                <w:kern w:val="2"/>
                <w:sz w:val="21"/>
                <w:szCs w:val="21"/>
              </w:rPr>
              <w:t>020684</w:t>
            </w:r>
          </w:p>
        </w:tc>
        <w:tc>
          <w:tcPr>
            <w:tcW w:w="748" w:type="pct"/>
            <w:tcBorders>
              <w:tl2br w:val="nil"/>
              <w:tr2bl w:val="nil"/>
            </w:tcBorders>
            <w:vAlign w:val="center"/>
          </w:tcPr>
          <w:p>
            <w:pPr>
              <w:adjustRightInd w:val="0"/>
              <w:spacing w:line="320" w:lineRule="exact"/>
              <w:ind w:firstLine="0" w:firstLineChars="0"/>
              <w:jc w:val="center"/>
              <w:rPr>
                <w:rFonts w:cs="Times New Roman"/>
                <w:bCs/>
                <w:sz w:val="21"/>
              </w:rPr>
            </w:pPr>
            <w:r>
              <w:rPr>
                <w:rFonts w:hint="eastAsia"/>
                <w:bCs/>
                <w:sz w:val="21"/>
              </w:rPr>
              <w:t>517.66</w:t>
            </w:r>
          </w:p>
        </w:tc>
        <w:tc>
          <w:tcPr>
            <w:tcW w:w="1082"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0.44</w:t>
            </w:r>
          </w:p>
        </w:tc>
        <w:tc>
          <w:tcPr>
            <w:tcW w:w="694" w:type="pct"/>
            <w:tcBorders>
              <w:tl2br w:val="nil"/>
              <w:tr2bl w:val="nil"/>
            </w:tcBorders>
            <w:vAlign w:val="center"/>
          </w:tcPr>
          <w:p>
            <w:pPr>
              <w:adjustRightInd w:val="0"/>
              <w:spacing w:line="320" w:lineRule="exact"/>
              <w:ind w:firstLine="0" w:firstLineChars="0"/>
              <w:jc w:val="center"/>
              <w:rPr>
                <w:bCs/>
                <w:sz w:val="21"/>
              </w:rPr>
            </w:pPr>
            <w:r>
              <w:rPr>
                <w:rFonts w:hint="eastAsia"/>
                <w:bCs/>
                <w:sz w:val="21"/>
              </w:rPr>
              <w:t>517.22</w:t>
            </w:r>
          </w:p>
        </w:tc>
      </w:tr>
    </w:tbl>
    <w:p>
      <w:pPr>
        <w:tabs>
          <w:tab w:val="left" w:pos="1013"/>
        </w:tabs>
        <w:ind w:firstLine="480"/>
        <w:rPr>
          <w:rFonts w:cs="Times New Roman"/>
        </w:rPr>
        <w:sectPr>
          <w:headerReference r:id="rId28" w:type="default"/>
          <w:headerReference r:id="rId29" w:type="even"/>
          <w:pgSz w:w="11906" w:h="16838"/>
          <w:pgMar w:top="1440" w:right="1800" w:bottom="1440" w:left="1800" w:header="851" w:footer="794" w:gutter="0"/>
          <w:cols w:space="425" w:num="1"/>
          <w:docGrid w:type="lines" w:linePitch="326" w:charSpace="0"/>
        </w:sectPr>
      </w:pPr>
      <w:r>
        <w:rPr>
          <w:rFonts w:cs="Times New Roman"/>
        </w:rPr>
        <w:tab/>
      </w:r>
    </w:p>
    <w:p>
      <w:pPr>
        <w:pStyle w:val="3"/>
        <w:rPr>
          <w:rFonts w:cs="Times New Roman"/>
        </w:rPr>
      </w:pPr>
      <w:r>
        <w:rPr>
          <w:rFonts w:cs="Times New Roman"/>
        </w:rPr>
        <w:t xml:space="preserve"> </w:t>
      </w:r>
      <w:bookmarkStart w:id="211" w:name="_Toc96680698"/>
      <w:r>
        <w:rPr>
          <w:rFonts w:cs="Times New Roman"/>
        </w:rPr>
        <w:t>环境质量现状评价</w:t>
      </w:r>
      <w:bookmarkEnd w:id="211"/>
    </w:p>
    <w:p>
      <w:pPr>
        <w:pStyle w:val="4"/>
        <w:rPr>
          <w:rFonts w:cs="Times New Roman"/>
        </w:rPr>
      </w:pPr>
      <w:bookmarkStart w:id="212" w:name="_Toc57711027"/>
      <w:bookmarkStart w:id="213" w:name="_Toc65348245"/>
      <w:r>
        <w:rPr>
          <w:rFonts w:cs="Times New Roman"/>
        </w:rPr>
        <w:t xml:space="preserve"> </w:t>
      </w:r>
      <w:bookmarkStart w:id="214" w:name="_Toc96680699"/>
      <w:r>
        <w:rPr>
          <w:rFonts w:cs="Times New Roman"/>
        </w:rPr>
        <w:t>环境空气质量现状</w:t>
      </w:r>
      <w:bookmarkEnd w:id="212"/>
      <w:bookmarkEnd w:id="213"/>
      <w:bookmarkEnd w:id="214"/>
    </w:p>
    <w:p>
      <w:pPr>
        <w:ind w:firstLine="480"/>
        <w:rPr>
          <w:rFonts w:cs="Times New Roman"/>
        </w:rPr>
      </w:pPr>
      <w:r>
        <w:rPr>
          <w:rFonts w:cs="Times New Roman"/>
        </w:rPr>
        <w:t>本项目位于通江县</w:t>
      </w:r>
      <w:r>
        <w:rPr>
          <w:rFonts w:hint="eastAsia" w:cs="Times New Roman"/>
        </w:rPr>
        <w:t>。</w:t>
      </w:r>
      <w:r>
        <w:rPr>
          <w:rFonts w:cs="Times New Roman"/>
        </w:rPr>
        <w:t>根据《环境影响评价技术导则 大气环境》（HJ 2.2-2018）的要求，区域环境质量现状评价优先采用国家或地方生态环境主管部门公开发布的评价基准年环境质量公告或环境质量报告中的数据或结论，对区域大气环境质量现状进行评价。</w:t>
      </w:r>
    </w:p>
    <w:p>
      <w:pPr>
        <w:ind w:firstLine="480"/>
        <w:rPr>
          <w:rFonts w:cs="Times New Roman"/>
        </w:rPr>
      </w:pPr>
      <w:r>
        <w:rPr>
          <w:rFonts w:cs="Times New Roman"/>
        </w:rPr>
        <w:t>通江县属于巴中市下辖县。根据巴中市生态环境局网站公开发布的《2020年巴中市生态环境状况公报》，通江县环境空气基本污染物现状监测情况统计结果见下表。</w:t>
      </w:r>
    </w:p>
    <w:p>
      <w:pPr>
        <w:pStyle w:val="73"/>
        <w:ind w:firstLine="360"/>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6.1</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w:t>
      </w:r>
      <w:r>
        <w:rPr>
          <w:rFonts w:hint="eastAsia" w:cs="Times New Roman"/>
        </w:rPr>
        <w:t>通江县</w:t>
      </w:r>
      <w:r>
        <w:rPr>
          <w:rFonts w:cs="Times New Roman"/>
        </w:rPr>
        <w:t>2020年度空气质量现状评价表</w:t>
      </w:r>
    </w:p>
    <w:tbl>
      <w:tblPr>
        <w:tblStyle w:val="35"/>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940"/>
        <w:gridCol w:w="3059"/>
        <w:gridCol w:w="1085"/>
        <w:gridCol w:w="997"/>
        <w:gridCol w:w="1110"/>
        <w:gridCol w:w="117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b/>
                <w:bCs/>
              </w:rPr>
            </w:pPr>
            <w:r>
              <w:rPr>
                <w:rFonts w:cs="Times New Roman"/>
                <w:b/>
                <w:bCs/>
              </w:rPr>
              <w:t>评价因子</w:t>
            </w:r>
          </w:p>
        </w:tc>
        <w:tc>
          <w:tcPr>
            <w:tcW w:w="1829" w:type="pct"/>
            <w:vAlign w:val="center"/>
          </w:tcPr>
          <w:p>
            <w:pPr>
              <w:pStyle w:val="63"/>
              <w:rPr>
                <w:rFonts w:cs="Times New Roman"/>
                <w:b/>
                <w:bCs/>
              </w:rPr>
            </w:pPr>
            <w:r>
              <w:rPr>
                <w:rFonts w:cs="Times New Roman"/>
                <w:b/>
                <w:bCs/>
              </w:rPr>
              <w:t>评价指标</w:t>
            </w:r>
          </w:p>
        </w:tc>
        <w:tc>
          <w:tcPr>
            <w:tcW w:w="649" w:type="pct"/>
            <w:vAlign w:val="center"/>
          </w:tcPr>
          <w:p>
            <w:pPr>
              <w:pStyle w:val="63"/>
              <w:rPr>
                <w:rFonts w:cs="Times New Roman"/>
                <w:b/>
                <w:bCs/>
              </w:rPr>
            </w:pPr>
            <w:r>
              <w:rPr>
                <w:rFonts w:cs="Times New Roman"/>
                <w:b/>
                <w:bCs/>
              </w:rPr>
              <w:t>现状浓度</w:t>
            </w:r>
          </w:p>
        </w:tc>
        <w:tc>
          <w:tcPr>
            <w:tcW w:w="596" w:type="pct"/>
            <w:vAlign w:val="center"/>
          </w:tcPr>
          <w:p>
            <w:pPr>
              <w:pStyle w:val="63"/>
              <w:rPr>
                <w:rFonts w:cs="Times New Roman"/>
                <w:b/>
                <w:bCs/>
              </w:rPr>
            </w:pPr>
            <w:r>
              <w:rPr>
                <w:rFonts w:cs="Times New Roman"/>
                <w:b/>
                <w:bCs/>
              </w:rPr>
              <w:t>标准值</w:t>
            </w:r>
          </w:p>
        </w:tc>
        <w:tc>
          <w:tcPr>
            <w:tcW w:w="664" w:type="pct"/>
            <w:vAlign w:val="center"/>
          </w:tcPr>
          <w:p>
            <w:pPr>
              <w:pStyle w:val="63"/>
              <w:rPr>
                <w:rFonts w:cs="Times New Roman"/>
                <w:b/>
                <w:bCs/>
              </w:rPr>
            </w:pPr>
            <w:r>
              <w:rPr>
                <w:rFonts w:cs="Times New Roman"/>
                <w:b/>
                <w:bCs/>
              </w:rPr>
              <w:t>占标率/%</w:t>
            </w:r>
          </w:p>
        </w:tc>
        <w:tc>
          <w:tcPr>
            <w:tcW w:w="700" w:type="pct"/>
            <w:vAlign w:val="center"/>
          </w:tcPr>
          <w:p>
            <w:pPr>
              <w:pStyle w:val="63"/>
              <w:rPr>
                <w:rFonts w:cs="Times New Roman"/>
                <w:b/>
                <w:bCs/>
              </w:rPr>
            </w:pPr>
            <w:r>
              <w:rPr>
                <w:rFonts w:cs="Times New Roman"/>
                <w:b/>
                <w:bCs/>
              </w:rPr>
              <w:t>达标情况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rPr>
            </w:pPr>
            <w:r>
              <w:rPr>
                <w:rFonts w:cs="Times New Roman"/>
              </w:rPr>
              <w:t>SO</w:t>
            </w:r>
            <w:r>
              <w:rPr>
                <w:rFonts w:cs="Times New Roman"/>
                <w:vertAlign w:val="subscript"/>
              </w:rPr>
              <w:t>2</w:t>
            </w:r>
          </w:p>
        </w:tc>
        <w:tc>
          <w:tcPr>
            <w:tcW w:w="1829" w:type="pct"/>
            <w:vAlign w:val="center"/>
          </w:tcPr>
          <w:p>
            <w:pPr>
              <w:pStyle w:val="63"/>
              <w:rPr>
                <w:rFonts w:cs="Times New Roman"/>
              </w:rPr>
            </w:pPr>
            <w:r>
              <w:rPr>
                <w:rFonts w:cs="Times New Roman"/>
              </w:rPr>
              <w:t>年平均质量浓度</w:t>
            </w:r>
          </w:p>
        </w:tc>
        <w:tc>
          <w:tcPr>
            <w:tcW w:w="649" w:type="pct"/>
            <w:vAlign w:val="center"/>
          </w:tcPr>
          <w:p>
            <w:pPr>
              <w:spacing w:line="320" w:lineRule="exact"/>
              <w:ind w:firstLine="0" w:firstLineChars="0"/>
              <w:jc w:val="center"/>
              <w:rPr>
                <w:rFonts w:cs="Times New Roman"/>
                <w:sz w:val="21"/>
              </w:rPr>
            </w:pPr>
            <w:r>
              <w:rPr>
                <w:rFonts w:cs="Times New Roman"/>
                <w:sz w:val="21"/>
              </w:rPr>
              <w:t>5.8μg/m</w:t>
            </w:r>
            <w:r>
              <w:rPr>
                <w:rFonts w:cs="Times New Roman"/>
                <w:sz w:val="21"/>
                <w:vertAlign w:val="superscript"/>
              </w:rPr>
              <w:t>3</w:t>
            </w:r>
          </w:p>
        </w:tc>
        <w:tc>
          <w:tcPr>
            <w:tcW w:w="596" w:type="pct"/>
            <w:vAlign w:val="center"/>
          </w:tcPr>
          <w:p>
            <w:pPr>
              <w:pStyle w:val="63"/>
              <w:rPr>
                <w:rFonts w:cs="Times New Roman"/>
              </w:rPr>
            </w:pPr>
            <w:r>
              <w:rPr>
                <w:rFonts w:cs="Times New Roman"/>
              </w:rPr>
              <w:t>60μg/m</w:t>
            </w:r>
            <w:r>
              <w:rPr>
                <w:rFonts w:cs="Times New Roman"/>
                <w:vertAlign w:val="superscript"/>
              </w:rPr>
              <w:t>3</w:t>
            </w:r>
          </w:p>
        </w:tc>
        <w:tc>
          <w:tcPr>
            <w:tcW w:w="664" w:type="pct"/>
            <w:vAlign w:val="center"/>
          </w:tcPr>
          <w:p>
            <w:pPr>
              <w:spacing w:line="320" w:lineRule="exact"/>
              <w:ind w:firstLine="0" w:firstLineChars="0"/>
              <w:jc w:val="center"/>
              <w:rPr>
                <w:rFonts w:cs="Times New Roman"/>
                <w:sz w:val="21"/>
              </w:rPr>
            </w:pPr>
            <w:r>
              <w:rPr>
                <w:rFonts w:cs="Times New Roman"/>
                <w:sz w:val="21"/>
              </w:rPr>
              <w:t>9.7</w:t>
            </w:r>
          </w:p>
        </w:tc>
        <w:tc>
          <w:tcPr>
            <w:tcW w:w="700" w:type="pct"/>
            <w:vAlign w:val="center"/>
          </w:tcPr>
          <w:p>
            <w:pPr>
              <w:pStyle w:val="63"/>
              <w:rPr>
                <w:rFonts w:cs="Times New Roman"/>
              </w:rPr>
            </w:pPr>
            <w:r>
              <w:rPr>
                <w:rFonts w:cs="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rPr>
            </w:pPr>
            <w:r>
              <w:rPr>
                <w:rFonts w:cs="Times New Roman"/>
              </w:rPr>
              <w:t>NO</w:t>
            </w:r>
            <w:r>
              <w:rPr>
                <w:rFonts w:cs="Times New Roman"/>
                <w:vertAlign w:val="subscript"/>
              </w:rPr>
              <w:t>2</w:t>
            </w:r>
          </w:p>
        </w:tc>
        <w:tc>
          <w:tcPr>
            <w:tcW w:w="1829" w:type="pct"/>
            <w:vAlign w:val="center"/>
          </w:tcPr>
          <w:p>
            <w:pPr>
              <w:pStyle w:val="63"/>
              <w:rPr>
                <w:rFonts w:cs="Times New Roman"/>
              </w:rPr>
            </w:pPr>
            <w:r>
              <w:rPr>
                <w:rFonts w:cs="Times New Roman"/>
              </w:rPr>
              <w:t>年平均质量浓度</w:t>
            </w:r>
          </w:p>
        </w:tc>
        <w:tc>
          <w:tcPr>
            <w:tcW w:w="649" w:type="pct"/>
            <w:vAlign w:val="center"/>
          </w:tcPr>
          <w:p>
            <w:pPr>
              <w:spacing w:line="320" w:lineRule="exact"/>
              <w:ind w:firstLine="0" w:firstLineChars="0"/>
              <w:jc w:val="center"/>
              <w:rPr>
                <w:rFonts w:cs="Times New Roman"/>
                <w:sz w:val="21"/>
              </w:rPr>
            </w:pPr>
            <w:r>
              <w:rPr>
                <w:rFonts w:cs="Times New Roman"/>
                <w:sz w:val="21"/>
              </w:rPr>
              <w:t>18.7μg/m</w:t>
            </w:r>
            <w:r>
              <w:rPr>
                <w:rFonts w:cs="Times New Roman"/>
                <w:sz w:val="21"/>
                <w:vertAlign w:val="superscript"/>
              </w:rPr>
              <w:t>3</w:t>
            </w:r>
          </w:p>
        </w:tc>
        <w:tc>
          <w:tcPr>
            <w:tcW w:w="596" w:type="pct"/>
            <w:vAlign w:val="center"/>
          </w:tcPr>
          <w:p>
            <w:pPr>
              <w:pStyle w:val="63"/>
              <w:rPr>
                <w:rFonts w:cs="Times New Roman"/>
              </w:rPr>
            </w:pPr>
            <w:r>
              <w:rPr>
                <w:rFonts w:cs="Times New Roman"/>
              </w:rPr>
              <w:t>40μg/m</w:t>
            </w:r>
            <w:r>
              <w:rPr>
                <w:rFonts w:cs="Times New Roman"/>
                <w:vertAlign w:val="superscript"/>
              </w:rPr>
              <w:t>3</w:t>
            </w:r>
          </w:p>
        </w:tc>
        <w:tc>
          <w:tcPr>
            <w:tcW w:w="664" w:type="pct"/>
            <w:vAlign w:val="center"/>
          </w:tcPr>
          <w:p>
            <w:pPr>
              <w:spacing w:line="320" w:lineRule="exact"/>
              <w:ind w:firstLine="0" w:firstLineChars="0"/>
              <w:jc w:val="center"/>
              <w:rPr>
                <w:rFonts w:cs="Times New Roman"/>
                <w:sz w:val="21"/>
              </w:rPr>
            </w:pPr>
            <w:r>
              <w:rPr>
                <w:rFonts w:cs="Times New Roman"/>
                <w:sz w:val="21"/>
              </w:rPr>
              <w:t>46.8</w:t>
            </w:r>
          </w:p>
        </w:tc>
        <w:tc>
          <w:tcPr>
            <w:tcW w:w="700" w:type="pct"/>
            <w:vAlign w:val="center"/>
          </w:tcPr>
          <w:p>
            <w:pPr>
              <w:pStyle w:val="63"/>
              <w:rPr>
                <w:rFonts w:cs="Times New Roman"/>
              </w:rPr>
            </w:pPr>
            <w:r>
              <w:rPr>
                <w:rFonts w:cs="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rPr>
            </w:pPr>
            <w:r>
              <w:rPr>
                <w:rFonts w:cs="Times New Roman"/>
              </w:rPr>
              <w:t>PM</w:t>
            </w:r>
            <w:r>
              <w:rPr>
                <w:rFonts w:cs="Times New Roman"/>
                <w:vertAlign w:val="subscript"/>
              </w:rPr>
              <w:t>10</w:t>
            </w:r>
          </w:p>
        </w:tc>
        <w:tc>
          <w:tcPr>
            <w:tcW w:w="1829" w:type="pct"/>
            <w:vAlign w:val="center"/>
          </w:tcPr>
          <w:p>
            <w:pPr>
              <w:pStyle w:val="63"/>
              <w:rPr>
                <w:rFonts w:cs="Times New Roman"/>
              </w:rPr>
            </w:pPr>
            <w:r>
              <w:rPr>
                <w:rFonts w:cs="Times New Roman"/>
              </w:rPr>
              <w:t>年平均质量浓度</w:t>
            </w:r>
          </w:p>
        </w:tc>
        <w:tc>
          <w:tcPr>
            <w:tcW w:w="649" w:type="pct"/>
            <w:vAlign w:val="center"/>
          </w:tcPr>
          <w:p>
            <w:pPr>
              <w:spacing w:line="320" w:lineRule="exact"/>
              <w:ind w:firstLine="0" w:firstLineChars="0"/>
              <w:jc w:val="center"/>
              <w:rPr>
                <w:rFonts w:cs="Times New Roman"/>
                <w:sz w:val="21"/>
              </w:rPr>
            </w:pPr>
            <w:r>
              <w:rPr>
                <w:rFonts w:cs="Times New Roman"/>
                <w:sz w:val="21"/>
              </w:rPr>
              <w:t>42.4μg/m</w:t>
            </w:r>
            <w:r>
              <w:rPr>
                <w:rFonts w:cs="Times New Roman"/>
                <w:sz w:val="21"/>
                <w:vertAlign w:val="superscript"/>
              </w:rPr>
              <w:t>3</w:t>
            </w:r>
          </w:p>
        </w:tc>
        <w:tc>
          <w:tcPr>
            <w:tcW w:w="596" w:type="pct"/>
            <w:vAlign w:val="center"/>
          </w:tcPr>
          <w:p>
            <w:pPr>
              <w:pStyle w:val="63"/>
              <w:rPr>
                <w:rFonts w:cs="Times New Roman"/>
              </w:rPr>
            </w:pPr>
            <w:r>
              <w:rPr>
                <w:rFonts w:cs="Times New Roman"/>
              </w:rPr>
              <w:t>70μg/m</w:t>
            </w:r>
            <w:r>
              <w:rPr>
                <w:rFonts w:cs="Times New Roman"/>
                <w:vertAlign w:val="superscript"/>
              </w:rPr>
              <w:t>3</w:t>
            </w:r>
          </w:p>
        </w:tc>
        <w:tc>
          <w:tcPr>
            <w:tcW w:w="664" w:type="pct"/>
            <w:vAlign w:val="center"/>
          </w:tcPr>
          <w:p>
            <w:pPr>
              <w:spacing w:line="320" w:lineRule="exact"/>
              <w:ind w:firstLine="0" w:firstLineChars="0"/>
              <w:jc w:val="center"/>
              <w:rPr>
                <w:rFonts w:cs="Times New Roman"/>
                <w:sz w:val="21"/>
              </w:rPr>
            </w:pPr>
            <w:r>
              <w:rPr>
                <w:rFonts w:cs="Times New Roman"/>
                <w:sz w:val="21"/>
              </w:rPr>
              <w:t>60.6</w:t>
            </w:r>
          </w:p>
        </w:tc>
        <w:tc>
          <w:tcPr>
            <w:tcW w:w="700" w:type="pct"/>
            <w:vAlign w:val="center"/>
          </w:tcPr>
          <w:p>
            <w:pPr>
              <w:pStyle w:val="63"/>
              <w:rPr>
                <w:rFonts w:cs="Times New Roman"/>
              </w:rPr>
            </w:pPr>
            <w:r>
              <w:rPr>
                <w:rFonts w:cs="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rPr>
            </w:pPr>
            <w:r>
              <w:rPr>
                <w:rFonts w:cs="Times New Roman"/>
              </w:rPr>
              <w:t>PM</w:t>
            </w:r>
            <w:r>
              <w:rPr>
                <w:rFonts w:cs="Times New Roman"/>
                <w:vertAlign w:val="subscript"/>
              </w:rPr>
              <w:t>2.5</w:t>
            </w:r>
          </w:p>
        </w:tc>
        <w:tc>
          <w:tcPr>
            <w:tcW w:w="1829" w:type="pct"/>
            <w:vAlign w:val="center"/>
          </w:tcPr>
          <w:p>
            <w:pPr>
              <w:pStyle w:val="63"/>
              <w:rPr>
                <w:rFonts w:cs="Times New Roman"/>
              </w:rPr>
            </w:pPr>
            <w:r>
              <w:rPr>
                <w:rFonts w:cs="Times New Roman"/>
              </w:rPr>
              <w:t>年平均质量浓度</w:t>
            </w:r>
          </w:p>
        </w:tc>
        <w:tc>
          <w:tcPr>
            <w:tcW w:w="649" w:type="pct"/>
            <w:vAlign w:val="center"/>
          </w:tcPr>
          <w:p>
            <w:pPr>
              <w:spacing w:line="320" w:lineRule="exact"/>
              <w:ind w:firstLine="0" w:firstLineChars="0"/>
              <w:jc w:val="center"/>
              <w:rPr>
                <w:rFonts w:cs="Times New Roman"/>
                <w:sz w:val="21"/>
              </w:rPr>
            </w:pPr>
            <w:r>
              <w:rPr>
                <w:rFonts w:cs="Times New Roman"/>
                <w:sz w:val="21"/>
              </w:rPr>
              <w:t>27.3μg/m</w:t>
            </w:r>
            <w:r>
              <w:rPr>
                <w:rFonts w:cs="Times New Roman"/>
                <w:sz w:val="21"/>
                <w:vertAlign w:val="superscript"/>
              </w:rPr>
              <w:t>3</w:t>
            </w:r>
          </w:p>
        </w:tc>
        <w:tc>
          <w:tcPr>
            <w:tcW w:w="596" w:type="pct"/>
            <w:vAlign w:val="center"/>
          </w:tcPr>
          <w:p>
            <w:pPr>
              <w:pStyle w:val="63"/>
              <w:rPr>
                <w:rFonts w:cs="Times New Roman"/>
              </w:rPr>
            </w:pPr>
            <w:r>
              <w:rPr>
                <w:rFonts w:cs="Times New Roman"/>
              </w:rPr>
              <w:t>35μg/m</w:t>
            </w:r>
            <w:r>
              <w:rPr>
                <w:rFonts w:cs="Times New Roman"/>
                <w:vertAlign w:val="superscript"/>
              </w:rPr>
              <w:t>3</w:t>
            </w:r>
          </w:p>
        </w:tc>
        <w:tc>
          <w:tcPr>
            <w:tcW w:w="664" w:type="pct"/>
            <w:vAlign w:val="center"/>
          </w:tcPr>
          <w:p>
            <w:pPr>
              <w:spacing w:line="320" w:lineRule="exact"/>
              <w:ind w:firstLine="0" w:firstLineChars="0"/>
              <w:jc w:val="center"/>
              <w:rPr>
                <w:rFonts w:cs="Times New Roman"/>
                <w:sz w:val="21"/>
              </w:rPr>
            </w:pPr>
            <w:r>
              <w:rPr>
                <w:rFonts w:cs="Times New Roman"/>
                <w:sz w:val="21"/>
              </w:rPr>
              <w:t>78.0</w:t>
            </w:r>
          </w:p>
        </w:tc>
        <w:tc>
          <w:tcPr>
            <w:tcW w:w="700" w:type="pct"/>
            <w:vAlign w:val="center"/>
          </w:tcPr>
          <w:p>
            <w:pPr>
              <w:pStyle w:val="63"/>
              <w:rPr>
                <w:rFonts w:cs="Times New Roman"/>
              </w:rPr>
            </w:pPr>
            <w:r>
              <w:rPr>
                <w:rFonts w:cs="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rPr>
            </w:pPr>
            <w:r>
              <w:rPr>
                <w:rFonts w:cs="Times New Roman"/>
              </w:rPr>
              <w:t>CO</w:t>
            </w:r>
          </w:p>
        </w:tc>
        <w:tc>
          <w:tcPr>
            <w:tcW w:w="1829" w:type="pct"/>
            <w:vAlign w:val="center"/>
          </w:tcPr>
          <w:p>
            <w:pPr>
              <w:pStyle w:val="63"/>
              <w:rPr>
                <w:rFonts w:cs="Times New Roman"/>
              </w:rPr>
            </w:pPr>
            <w:r>
              <w:rPr>
                <w:rFonts w:cs="Times New Roman"/>
              </w:rPr>
              <w:t>日平均95百分位数</w:t>
            </w:r>
          </w:p>
        </w:tc>
        <w:tc>
          <w:tcPr>
            <w:tcW w:w="649" w:type="pct"/>
            <w:vAlign w:val="center"/>
          </w:tcPr>
          <w:p>
            <w:pPr>
              <w:spacing w:line="320" w:lineRule="exact"/>
              <w:ind w:firstLine="0" w:firstLineChars="0"/>
              <w:jc w:val="center"/>
              <w:rPr>
                <w:rFonts w:cs="Times New Roman"/>
                <w:sz w:val="21"/>
              </w:rPr>
            </w:pPr>
            <w:r>
              <w:rPr>
                <w:rFonts w:cs="Times New Roman"/>
                <w:sz w:val="21"/>
              </w:rPr>
              <w:t>1.3 mg/m</w:t>
            </w:r>
            <w:r>
              <w:rPr>
                <w:rFonts w:cs="Times New Roman"/>
                <w:sz w:val="21"/>
                <w:vertAlign w:val="superscript"/>
              </w:rPr>
              <w:t>3</w:t>
            </w:r>
          </w:p>
        </w:tc>
        <w:tc>
          <w:tcPr>
            <w:tcW w:w="596" w:type="pct"/>
            <w:vAlign w:val="center"/>
          </w:tcPr>
          <w:p>
            <w:pPr>
              <w:pStyle w:val="63"/>
              <w:rPr>
                <w:rFonts w:cs="Times New Roman"/>
              </w:rPr>
            </w:pPr>
            <w:r>
              <w:rPr>
                <w:rFonts w:cs="Times New Roman"/>
              </w:rPr>
              <w:t>4 mg/m</w:t>
            </w:r>
            <w:r>
              <w:rPr>
                <w:rFonts w:cs="Times New Roman"/>
                <w:vertAlign w:val="superscript"/>
              </w:rPr>
              <w:t>3</w:t>
            </w:r>
          </w:p>
        </w:tc>
        <w:tc>
          <w:tcPr>
            <w:tcW w:w="664" w:type="pct"/>
            <w:vAlign w:val="center"/>
          </w:tcPr>
          <w:p>
            <w:pPr>
              <w:spacing w:line="320" w:lineRule="exact"/>
              <w:ind w:firstLine="0" w:firstLineChars="0"/>
              <w:jc w:val="center"/>
              <w:rPr>
                <w:rFonts w:cs="Times New Roman"/>
                <w:sz w:val="21"/>
              </w:rPr>
            </w:pPr>
            <w:r>
              <w:rPr>
                <w:rFonts w:cs="Times New Roman"/>
                <w:sz w:val="21"/>
              </w:rPr>
              <w:t>32.5</w:t>
            </w:r>
          </w:p>
        </w:tc>
        <w:tc>
          <w:tcPr>
            <w:tcW w:w="700" w:type="pct"/>
            <w:vAlign w:val="center"/>
          </w:tcPr>
          <w:p>
            <w:pPr>
              <w:pStyle w:val="63"/>
              <w:rPr>
                <w:rFonts w:cs="Times New Roman"/>
              </w:rPr>
            </w:pPr>
            <w:r>
              <w:rPr>
                <w:rFonts w:cs="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rPr>
            </w:pPr>
            <w:r>
              <w:rPr>
                <w:rFonts w:cs="Times New Roman"/>
              </w:rPr>
              <w:t>O</w:t>
            </w:r>
            <w:r>
              <w:rPr>
                <w:rFonts w:cs="Times New Roman"/>
                <w:vertAlign w:val="subscript"/>
              </w:rPr>
              <w:t>3</w:t>
            </w:r>
          </w:p>
        </w:tc>
        <w:tc>
          <w:tcPr>
            <w:tcW w:w="1829" w:type="pct"/>
            <w:vAlign w:val="center"/>
          </w:tcPr>
          <w:p>
            <w:pPr>
              <w:pStyle w:val="63"/>
              <w:rPr>
                <w:rFonts w:cs="Times New Roman"/>
              </w:rPr>
            </w:pPr>
            <w:r>
              <w:rPr>
                <w:rFonts w:cs="Times New Roman"/>
              </w:rPr>
              <w:t>最大8小时平均第90百分位数</w:t>
            </w:r>
          </w:p>
        </w:tc>
        <w:tc>
          <w:tcPr>
            <w:tcW w:w="649" w:type="pct"/>
            <w:vAlign w:val="center"/>
          </w:tcPr>
          <w:p>
            <w:pPr>
              <w:spacing w:line="320" w:lineRule="exact"/>
              <w:ind w:firstLine="0" w:firstLineChars="0"/>
              <w:jc w:val="center"/>
              <w:rPr>
                <w:rFonts w:cs="Times New Roman"/>
                <w:sz w:val="21"/>
              </w:rPr>
            </w:pPr>
            <w:r>
              <w:rPr>
                <w:rFonts w:cs="Times New Roman"/>
                <w:sz w:val="21"/>
              </w:rPr>
              <w:t>103.5μg/m</w:t>
            </w:r>
            <w:r>
              <w:rPr>
                <w:rFonts w:cs="Times New Roman"/>
                <w:sz w:val="21"/>
                <w:vertAlign w:val="superscript"/>
              </w:rPr>
              <w:t>3</w:t>
            </w:r>
          </w:p>
        </w:tc>
        <w:tc>
          <w:tcPr>
            <w:tcW w:w="596" w:type="pct"/>
            <w:vAlign w:val="center"/>
          </w:tcPr>
          <w:p>
            <w:pPr>
              <w:pStyle w:val="63"/>
              <w:rPr>
                <w:rFonts w:cs="Times New Roman"/>
              </w:rPr>
            </w:pPr>
            <w:r>
              <w:rPr>
                <w:rFonts w:cs="Times New Roman"/>
              </w:rPr>
              <w:t>160μg/m</w:t>
            </w:r>
            <w:r>
              <w:rPr>
                <w:rFonts w:cs="Times New Roman"/>
                <w:vertAlign w:val="superscript"/>
              </w:rPr>
              <w:t>3</w:t>
            </w:r>
          </w:p>
        </w:tc>
        <w:tc>
          <w:tcPr>
            <w:tcW w:w="664" w:type="pct"/>
            <w:vAlign w:val="center"/>
          </w:tcPr>
          <w:p>
            <w:pPr>
              <w:spacing w:line="320" w:lineRule="exact"/>
              <w:ind w:firstLine="0" w:firstLineChars="0"/>
              <w:jc w:val="center"/>
              <w:rPr>
                <w:rFonts w:cs="Times New Roman"/>
                <w:sz w:val="21"/>
              </w:rPr>
            </w:pPr>
            <w:r>
              <w:rPr>
                <w:rFonts w:cs="Times New Roman"/>
                <w:sz w:val="21"/>
              </w:rPr>
              <w:t>64.8</w:t>
            </w:r>
          </w:p>
        </w:tc>
        <w:tc>
          <w:tcPr>
            <w:tcW w:w="700" w:type="pct"/>
            <w:vAlign w:val="center"/>
          </w:tcPr>
          <w:p>
            <w:pPr>
              <w:pStyle w:val="63"/>
              <w:rPr>
                <w:rFonts w:cs="Times New Roman"/>
              </w:rPr>
            </w:pPr>
            <w:r>
              <w:rPr>
                <w:rFonts w:cs="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c>
          <w:tcPr>
            <w:tcW w:w="562" w:type="pct"/>
            <w:vAlign w:val="center"/>
          </w:tcPr>
          <w:p>
            <w:pPr>
              <w:pStyle w:val="63"/>
              <w:rPr>
                <w:rFonts w:cs="Times New Roman"/>
              </w:rPr>
            </w:pPr>
            <w:r>
              <w:rPr>
                <w:rFonts w:cs="Times New Roman"/>
              </w:rPr>
              <w:t>备注</w:t>
            </w:r>
          </w:p>
        </w:tc>
        <w:tc>
          <w:tcPr>
            <w:tcW w:w="4438" w:type="pct"/>
            <w:gridSpan w:val="5"/>
            <w:vAlign w:val="center"/>
          </w:tcPr>
          <w:p>
            <w:pPr>
              <w:pStyle w:val="63"/>
              <w:rPr>
                <w:rFonts w:cs="Times New Roman"/>
              </w:rPr>
            </w:pPr>
            <w:r>
              <w:rPr>
                <w:rFonts w:cs="Times New Roman"/>
              </w:rPr>
              <w:t>环境空气质量标准执行《环境空气质量标准》（GB3095-2012）二级标准</w:t>
            </w:r>
          </w:p>
        </w:tc>
      </w:tr>
    </w:tbl>
    <w:p>
      <w:pPr>
        <w:ind w:firstLine="480"/>
        <w:rPr>
          <w:rFonts w:cs="Times New Roman"/>
        </w:rPr>
      </w:pPr>
      <w:r>
        <w:rPr>
          <w:rFonts w:cs="Times New Roman"/>
        </w:rPr>
        <w:t>由上表可知，通江县2020年度环境空气中SO</w:t>
      </w:r>
      <w:r>
        <w:rPr>
          <w:rFonts w:cs="Times New Roman"/>
          <w:vertAlign w:val="subscript"/>
        </w:rPr>
        <w:t>2</w:t>
      </w:r>
      <w:r>
        <w:rPr>
          <w:rFonts w:cs="Times New Roman"/>
        </w:rPr>
        <w:t>、NO</w:t>
      </w:r>
      <w:r>
        <w:rPr>
          <w:rFonts w:cs="Times New Roman"/>
          <w:vertAlign w:val="subscript"/>
        </w:rPr>
        <w:t>2</w:t>
      </w:r>
      <w:r>
        <w:rPr>
          <w:rFonts w:cs="Times New Roman"/>
        </w:rPr>
        <w:t>、PM</w:t>
      </w:r>
      <w:r>
        <w:rPr>
          <w:rFonts w:cs="Times New Roman"/>
          <w:vertAlign w:val="subscript"/>
        </w:rPr>
        <w:t>10</w:t>
      </w:r>
      <w:r>
        <w:rPr>
          <w:rFonts w:cs="Times New Roman"/>
        </w:rPr>
        <w:t>和PM</w:t>
      </w:r>
      <w:r>
        <w:rPr>
          <w:rFonts w:cs="Times New Roman"/>
          <w:vertAlign w:val="subscript"/>
        </w:rPr>
        <w:t>2.5</w:t>
      </w:r>
      <w:r>
        <w:rPr>
          <w:rFonts w:cs="Times New Roman"/>
        </w:rPr>
        <w:t>的年平均质量浓度、CO的日平均95百分位数、O</w:t>
      </w:r>
      <w:r>
        <w:rPr>
          <w:rFonts w:cs="Times New Roman"/>
          <w:vertAlign w:val="subscript"/>
        </w:rPr>
        <w:t>3</w:t>
      </w:r>
      <w:r>
        <w:rPr>
          <w:rFonts w:cs="Times New Roman"/>
        </w:rPr>
        <w:t>最大8小时平均第90百分位数均达到《环境空气质量标准》（GB3095-2012）二级标准要求。按照《环境影响评价技术导则 大气环境》（HJ 2.2-2018）要求，通江县为环境空气质量</w:t>
      </w:r>
      <w:r>
        <w:rPr>
          <w:rFonts w:cs="Times New Roman"/>
          <w:b/>
          <w:bCs/>
        </w:rPr>
        <w:t>达标区</w:t>
      </w:r>
      <w:r>
        <w:rPr>
          <w:rFonts w:cs="Times New Roman"/>
        </w:rPr>
        <w:t>。</w:t>
      </w:r>
    </w:p>
    <w:p>
      <w:pPr>
        <w:pStyle w:val="4"/>
        <w:rPr>
          <w:rFonts w:cs="Times New Roman"/>
        </w:rPr>
      </w:pPr>
      <w:bookmarkStart w:id="215" w:name="_Toc61388586"/>
      <w:bookmarkStart w:id="216" w:name="_Toc57711028"/>
      <w:r>
        <w:rPr>
          <w:rFonts w:hint="eastAsia" w:cs="Times New Roman"/>
        </w:rPr>
        <w:t xml:space="preserve"> </w:t>
      </w:r>
      <w:bookmarkStart w:id="217" w:name="_Toc96680700"/>
      <w:r>
        <w:rPr>
          <w:rFonts w:cs="Times New Roman"/>
        </w:rPr>
        <w:t>地表水环境现状</w:t>
      </w:r>
      <w:bookmarkEnd w:id="215"/>
      <w:bookmarkEnd w:id="216"/>
      <w:bookmarkEnd w:id="217"/>
    </w:p>
    <w:p>
      <w:pPr>
        <w:spacing w:line="460" w:lineRule="exact"/>
        <w:ind w:firstLine="482"/>
        <w:rPr>
          <w:rFonts w:cs="Times New Roman"/>
        </w:rPr>
      </w:pPr>
      <w:r>
        <w:rPr>
          <w:rFonts w:cs="Times New Roman"/>
          <w:b/>
        </w:rPr>
        <w:t>（1）监测断面</w:t>
      </w:r>
    </w:p>
    <w:p>
      <w:pPr>
        <w:ind w:firstLine="480"/>
        <w:rPr>
          <w:rFonts w:cs="Times New Roman"/>
        </w:rPr>
      </w:pPr>
      <w:r>
        <w:rPr>
          <w:rFonts w:cs="Times New Roman"/>
        </w:rPr>
        <w:t>本项目周边的主要地表水为</w:t>
      </w:r>
      <w:r>
        <w:rPr>
          <w:rFonts w:hint="eastAsia" w:cs="Times New Roman"/>
        </w:rPr>
        <w:t>项目东南</w:t>
      </w:r>
      <w:r>
        <w:rPr>
          <w:rFonts w:cs="Times New Roman"/>
        </w:rPr>
        <w:t>侧</w:t>
      </w:r>
      <w:r>
        <w:rPr>
          <w:rFonts w:hint="eastAsia" w:cs="Times New Roman"/>
        </w:rPr>
        <w:t>450</w:t>
      </w:r>
      <w:r>
        <w:rPr>
          <w:rFonts w:cs="Times New Roman"/>
        </w:rPr>
        <w:t>m的</w:t>
      </w:r>
      <w:r>
        <w:rPr>
          <w:rFonts w:hint="eastAsia" w:cs="Times New Roman"/>
        </w:rPr>
        <w:t>小通江</w:t>
      </w:r>
      <w:r>
        <w:rPr>
          <w:rFonts w:cs="Times New Roman"/>
        </w:rPr>
        <w:t>。为了解区域地表水体现状，本次环评</w:t>
      </w:r>
      <w:r>
        <w:rPr>
          <w:rFonts w:hint="eastAsia" w:cs="Times New Roman"/>
        </w:rPr>
        <w:t>引用2021年10月22日四川</w:t>
      </w:r>
      <w:r>
        <w:rPr>
          <w:rFonts w:cs="Times New Roman"/>
        </w:rPr>
        <w:t>华皓检测技术有限公司</w:t>
      </w:r>
      <w:r>
        <w:rPr>
          <w:rFonts w:hint="eastAsia" w:cs="Times New Roman"/>
        </w:rPr>
        <w:t>检测</w:t>
      </w:r>
      <w:r>
        <w:rPr>
          <w:rFonts w:cs="Times New Roman"/>
        </w:rPr>
        <w:t>的《</w:t>
      </w:r>
      <w:r>
        <w:rPr>
          <w:rFonts w:hint="eastAsia" w:cs="Times New Roman"/>
        </w:rPr>
        <w:t>马6-</w:t>
      </w:r>
      <w:r>
        <w:rPr>
          <w:rFonts w:cs="Times New Roman"/>
        </w:rPr>
        <w:t>草池增压站集输管线建设项目</w:t>
      </w:r>
      <w:r>
        <w:rPr>
          <w:rFonts w:hint="eastAsia" w:cs="Times New Roman"/>
        </w:rPr>
        <w:t>监测</w:t>
      </w:r>
      <w:r>
        <w:rPr>
          <w:rFonts w:cs="Times New Roman"/>
        </w:rPr>
        <w:t>报告》</w:t>
      </w:r>
      <w:r>
        <w:rPr>
          <w:rFonts w:hint="eastAsia" w:cs="Times New Roman"/>
        </w:rPr>
        <w:t>中</w:t>
      </w:r>
      <w:r>
        <w:rPr>
          <w:rFonts w:cs="Times New Roman"/>
        </w:rPr>
        <w:t>对小通江设置的</w:t>
      </w:r>
      <w:r>
        <w:rPr>
          <w:rFonts w:hint="eastAsia" w:cs="Times New Roman"/>
        </w:rPr>
        <w:t>2个</w:t>
      </w:r>
      <w:r>
        <w:rPr>
          <w:rFonts w:cs="Times New Roman"/>
        </w:rPr>
        <w:t>监测断面的监测结果</w:t>
      </w:r>
      <w:r>
        <w:rPr>
          <w:rFonts w:hint="eastAsia" w:cs="Times New Roman"/>
        </w:rPr>
        <w:t>。</w:t>
      </w:r>
      <w:r>
        <w:rPr>
          <w:rFonts w:cs="Times New Roman"/>
        </w:rPr>
        <w:t>断面布设情况见下表。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6.2</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w:t>
      </w:r>
      <w:r>
        <w:rPr>
          <w:rFonts w:cs="Times New Roman"/>
          <w:szCs w:val="20"/>
        </w:rPr>
        <w:t>地表水监测断面布设</w:t>
      </w:r>
      <w:r>
        <w:rPr>
          <w:rFonts w:cs="Times New Roman"/>
        </w:rPr>
        <w:tab/>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077"/>
        <w:gridCol w:w="3401"/>
        <w:gridCol w:w="2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trPr>
        <w:tc>
          <w:tcPr>
            <w:tcW w:w="845" w:type="pct"/>
            <w:tcBorders>
              <w:top w:val="single" w:color="auto" w:sz="12" w:space="0"/>
              <w:left w:val="nil"/>
            </w:tcBorders>
            <w:vAlign w:val="center"/>
          </w:tcPr>
          <w:p>
            <w:pPr>
              <w:tabs>
                <w:tab w:val="left" w:pos="3901"/>
              </w:tabs>
              <w:spacing w:line="320" w:lineRule="exact"/>
              <w:ind w:firstLine="0" w:firstLineChars="0"/>
              <w:jc w:val="center"/>
              <w:rPr>
                <w:rFonts w:cs="Times New Roman"/>
                <w:sz w:val="21"/>
              </w:rPr>
            </w:pPr>
            <w:r>
              <w:rPr>
                <w:rFonts w:cs="Times New Roman"/>
                <w:b/>
                <w:bCs/>
                <w:sz w:val="21"/>
              </w:rPr>
              <w:t>断面编号</w:t>
            </w:r>
          </w:p>
        </w:tc>
        <w:tc>
          <w:tcPr>
            <w:tcW w:w="632" w:type="pct"/>
            <w:tcBorders>
              <w:top w:val="single" w:color="auto" w:sz="12" w:space="0"/>
            </w:tcBorders>
            <w:vAlign w:val="center"/>
          </w:tcPr>
          <w:p>
            <w:pPr>
              <w:tabs>
                <w:tab w:val="left" w:pos="3901"/>
              </w:tabs>
              <w:spacing w:line="320" w:lineRule="exact"/>
              <w:ind w:firstLine="0" w:firstLineChars="0"/>
              <w:jc w:val="center"/>
              <w:rPr>
                <w:rFonts w:cs="Times New Roman"/>
                <w:sz w:val="21"/>
              </w:rPr>
            </w:pPr>
            <w:r>
              <w:rPr>
                <w:rFonts w:cs="Times New Roman"/>
                <w:b/>
                <w:bCs/>
                <w:sz w:val="21"/>
              </w:rPr>
              <w:t>河流名称</w:t>
            </w:r>
          </w:p>
        </w:tc>
        <w:tc>
          <w:tcPr>
            <w:tcW w:w="1995" w:type="pct"/>
            <w:tcBorders>
              <w:top w:val="single" w:color="auto" w:sz="12" w:space="0"/>
            </w:tcBorders>
            <w:vAlign w:val="center"/>
          </w:tcPr>
          <w:p>
            <w:pPr>
              <w:tabs>
                <w:tab w:val="left" w:pos="3901"/>
              </w:tabs>
              <w:spacing w:line="320" w:lineRule="exact"/>
              <w:ind w:firstLine="0" w:firstLineChars="0"/>
              <w:jc w:val="center"/>
              <w:rPr>
                <w:rFonts w:cs="Times New Roman"/>
                <w:b/>
                <w:bCs/>
                <w:sz w:val="21"/>
              </w:rPr>
            </w:pPr>
            <w:r>
              <w:rPr>
                <w:rFonts w:cs="Times New Roman"/>
                <w:b/>
                <w:bCs/>
                <w:sz w:val="21"/>
              </w:rPr>
              <w:t>断面位置</w:t>
            </w:r>
          </w:p>
        </w:tc>
        <w:tc>
          <w:tcPr>
            <w:tcW w:w="1527" w:type="pct"/>
            <w:tcBorders>
              <w:top w:val="single" w:color="auto" w:sz="12" w:space="0"/>
            </w:tcBorders>
            <w:vAlign w:val="center"/>
          </w:tcPr>
          <w:p>
            <w:pPr>
              <w:tabs>
                <w:tab w:val="left" w:pos="3901"/>
              </w:tabs>
              <w:spacing w:line="320" w:lineRule="exact"/>
              <w:ind w:firstLine="0" w:firstLineChars="0"/>
              <w:jc w:val="center"/>
              <w:rPr>
                <w:rFonts w:cs="Times New Roman"/>
                <w:b/>
                <w:bCs/>
                <w:sz w:val="21"/>
              </w:rPr>
            </w:pPr>
            <w:r>
              <w:rPr>
                <w:rFonts w:hint="eastAsia" w:cs="Times New Roman"/>
                <w:b/>
                <w:bCs/>
                <w:sz w:val="21"/>
              </w:rPr>
              <w:t>监测点</w:t>
            </w:r>
            <w:r>
              <w:rPr>
                <w:rFonts w:cs="Times New Roman"/>
                <w:b/>
                <w:bCs/>
                <w:sz w:val="21"/>
              </w:rPr>
              <w:t>与本项目位置</w:t>
            </w:r>
            <w:r>
              <w:rPr>
                <w:rFonts w:hint="eastAsia" w:cs="Times New Roman"/>
                <w:b/>
                <w:bCs/>
                <w:sz w:val="21"/>
              </w:rPr>
              <w:t>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5" w:type="pct"/>
            <w:tcBorders>
              <w:left w:val="nil"/>
            </w:tcBorders>
            <w:vAlign w:val="center"/>
          </w:tcPr>
          <w:p>
            <w:pPr>
              <w:tabs>
                <w:tab w:val="left" w:pos="3901"/>
              </w:tabs>
              <w:spacing w:line="320" w:lineRule="exact"/>
              <w:ind w:firstLine="0" w:firstLineChars="0"/>
              <w:jc w:val="center"/>
              <w:rPr>
                <w:rFonts w:cs="Times New Roman"/>
                <w:sz w:val="21"/>
              </w:rPr>
            </w:pPr>
            <w:r>
              <w:rPr>
                <w:rFonts w:cs="Times New Roman"/>
                <w:sz w:val="21"/>
              </w:rPr>
              <w:t>1#</w:t>
            </w:r>
          </w:p>
        </w:tc>
        <w:tc>
          <w:tcPr>
            <w:tcW w:w="632" w:type="pct"/>
            <w:vAlign w:val="center"/>
          </w:tcPr>
          <w:p>
            <w:pPr>
              <w:tabs>
                <w:tab w:val="left" w:pos="3901"/>
              </w:tabs>
              <w:spacing w:line="320" w:lineRule="exact"/>
              <w:ind w:firstLine="0" w:firstLineChars="0"/>
              <w:jc w:val="center"/>
              <w:rPr>
                <w:rFonts w:cs="Times New Roman"/>
                <w:sz w:val="21"/>
              </w:rPr>
            </w:pPr>
            <w:r>
              <w:rPr>
                <w:rFonts w:hint="eastAsia" w:cs="Times New Roman"/>
                <w:sz w:val="21"/>
              </w:rPr>
              <w:t>小通江</w:t>
            </w:r>
          </w:p>
        </w:tc>
        <w:tc>
          <w:tcPr>
            <w:tcW w:w="1995" w:type="pct"/>
            <w:vAlign w:val="center"/>
          </w:tcPr>
          <w:p>
            <w:pPr>
              <w:pStyle w:val="63"/>
            </w:pPr>
            <w:r>
              <w:t>马6-草池增压站管线穿越小通江上游</w:t>
            </w:r>
            <w:r>
              <w:rPr>
                <w:rFonts w:hint="eastAsia"/>
              </w:rPr>
              <w:t>5</w:t>
            </w:r>
            <w:r>
              <w:t>00</w:t>
            </w:r>
            <w:r>
              <w:rPr>
                <w:rFonts w:hint="eastAsia"/>
              </w:rPr>
              <w:t>m内</w:t>
            </w:r>
          </w:p>
        </w:tc>
        <w:tc>
          <w:tcPr>
            <w:tcW w:w="1527" w:type="pct"/>
            <w:vAlign w:val="center"/>
          </w:tcPr>
          <w:p>
            <w:pPr>
              <w:tabs>
                <w:tab w:val="left" w:pos="3901"/>
              </w:tabs>
              <w:spacing w:line="320" w:lineRule="exact"/>
              <w:ind w:firstLine="0" w:firstLineChars="0"/>
              <w:jc w:val="center"/>
              <w:rPr>
                <w:rFonts w:cs="Times New Roman"/>
                <w:sz w:val="21"/>
              </w:rPr>
            </w:pPr>
            <w:r>
              <w:rPr>
                <w:rFonts w:hint="eastAsia" w:cs="Times New Roman"/>
                <w:sz w:val="21"/>
              </w:rPr>
              <w:t>本项目下游900</w:t>
            </w:r>
            <w:r>
              <w:rPr>
                <w:rFonts w:cs="Times New Roman"/>
                <w:sz w:val="21"/>
              </w:rPr>
              <w:t>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5" w:type="pct"/>
            <w:tcBorders>
              <w:left w:val="nil"/>
            </w:tcBorders>
            <w:vAlign w:val="center"/>
          </w:tcPr>
          <w:p>
            <w:pPr>
              <w:tabs>
                <w:tab w:val="left" w:pos="3901"/>
              </w:tabs>
              <w:spacing w:line="320" w:lineRule="exact"/>
              <w:ind w:firstLine="0" w:firstLineChars="0"/>
              <w:jc w:val="center"/>
              <w:rPr>
                <w:rFonts w:cs="Times New Roman"/>
                <w:sz w:val="21"/>
              </w:rPr>
            </w:pPr>
            <w:r>
              <w:rPr>
                <w:rFonts w:hint="eastAsia" w:cs="Times New Roman"/>
                <w:sz w:val="21"/>
              </w:rPr>
              <w:t>2</w:t>
            </w:r>
            <w:r>
              <w:rPr>
                <w:rFonts w:cs="Times New Roman"/>
                <w:sz w:val="21"/>
              </w:rPr>
              <w:t>#</w:t>
            </w:r>
          </w:p>
        </w:tc>
        <w:tc>
          <w:tcPr>
            <w:tcW w:w="632" w:type="pct"/>
            <w:vAlign w:val="center"/>
          </w:tcPr>
          <w:p>
            <w:pPr>
              <w:tabs>
                <w:tab w:val="left" w:pos="3901"/>
              </w:tabs>
              <w:spacing w:line="320" w:lineRule="exact"/>
              <w:ind w:firstLine="0" w:firstLineChars="0"/>
              <w:jc w:val="center"/>
              <w:rPr>
                <w:rFonts w:cs="Times New Roman"/>
                <w:sz w:val="21"/>
              </w:rPr>
            </w:pPr>
            <w:r>
              <w:rPr>
                <w:rFonts w:hint="eastAsia" w:cs="Times New Roman"/>
                <w:sz w:val="21"/>
              </w:rPr>
              <w:t>小通江</w:t>
            </w:r>
          </w:p>
        </w:tc>
        <w:tc>
          <w:tcPr>
            <w:tcW w:w="1995" w:type="pct"/>
            <w:vAlign w:val="center"/>
          </w:tcPr>
          <w:p>
            <w:pPr>
              <w:pStyle w:val="63"/>
            </w:pPr>
            <w:r>
              <w:t>马6-草池增压站管线穿越小通江</w:t>
            </w:r>
            <w:r>
              <w:rPr>
                <w:rFonts w:hint="eastAsia"/>
              </w:rPr>
              <w:t>下游1</w:t>
            </w:r>
            <w:r>
              <w:t>000</w:t>
            </w:r>
            <w:r>
              <w:rPr>
                <w:rFonts w:hint="eastAsia"/>
              </w:rPr>
              <w:t>m内</w:t>
            </w:r>
          </w:p>
        </w:tc>
        <w:tc>
          <w:tcPr>
            <w:tcW w:w="1527" w:type="pct"/>
            <w:vAlign w:val="center"/>
          </w:tcPr>
          <w:p>
            <w:pPr>
              <w:tabs>
                <w:tab w:val="left" w:pos="3901"/>
              </w:tabs>
              <w:spacing w:line="320" w:lineRule="exact"/>
              <w:ind w:firstLine="0" w:firstLineChars="0"/>
              <w:jc w:val="center"/>
              <w:rPr>
                <w:rFonts w:cs="Times New Roman"/>
                <w:sz w:val="21"/>
              </w:rPr>
            </w:pPr>
            <w:r>
              <w:rPr>
                <w:rFonts w:hint="eastAsia" w:cs="Times New Roman"/>
                <w:sz w:val="21"/>
              </w:rPr>
              <w:t>本项目下游1900</w:t>
            </w:r>
            <w:r>
              <w:rPr>
                <w:rFonts w:cs="Times New Roman"/>
                <w:sz w:val="21"/>
              </w:rPr>
              <w:t>m处</w:t>
            </w:r>
          </w:p>
        </w:tc>
      </w:tr>
    </w:tbl>
    <w:p>
      <w:pPr>
        <w:numPr>
          <w:ilvl w:val="0"/>
          <w:numId w:val="5"/>
        </w:numPr>
        <w:spacing w:before="163" w:beforeLines="50" w:line="460" w:lineRule="exact"/>
        <w:ind w:firstLine="482"/>
        <w:rPr>
          <w:rFonts w:cs="Times New Roman"/>
          <w:b/>
          <w:bCs/>
        </w:rPr>
      </w:pPr>
      <w:r>
        <w:rPr>
          <w:rFonts w:cs="Times New Roman"/>
          <w:b/>
          <w:bCs/>
        </w:rPr>
        <w:t>监测项目</w:t>
      </w:r>
    </w:p>
    <w:p>
      <w:pPr>
        <w:ind w:firstLine="480"/>
        <w:rPr>
          <w:rFonts w:cs="Times New Roman"/>
        </w:rPr>
      </w:pPr>
      <w:r>
        <w:rPr>
          <w:rFonts w:cs="Times New Roman"/>
        </w:rPr>
        <w:t>pH、悬浮物、化学需氧量（COD</w:t>
      </w:r>
      <w:r>
        <w:rPr>
          <w:rFonts w:cs="Times New Roman"/>
          <w:vertAlign w:val="subscript"/>
        </w:rPr>
        <w:t>Cr</w:t>
      </w:r>
      <w:r>
        <w:rPr>
          <w:rFonts w:cs="Times New Roman"/>
        </w:rPr>
        <w:t>）、五日生化需氧量（BOD</w:t>
      </w:r>
      <w:r>
        <w:rPr>
          <w:rFonts w:cs="Times New Roman"/>
          <w:vertAlign w:val="subscript"/>
        </w:rPr>
        <w:t>5</w:t>
      </w:r>
      <w:r>
        <w:rPr>
          <w:rFonts w:cs="Times New Roman"/>
        </w:rPr>
        <w:t>）、氨氮（NH</w:t>
      </w:r>
      <w:r>
        <w:rPr>
          <w:rFonts w:cs="Times New Roman"/>
          <w:vertAlign w:val="subscript"/>
        </w:rPr>
        <w:t>3</w:t>
      </w:r>
      <w:r>
        <w:rPr>
          <w:rFonts w:cs="Times New Roman"/>
        </w:rPr>
        <w:t>-N）、硫化物、挥发酚、石油类、氯化物。</w:t>
      </w:r>
    </w:p>
    <w:p>
      <w:pPr>
        <w:spacing w:line="460" w:lineRule="exact"/>
        <w:ind w:firstLine="482"/>
        <w:rPr>
          <w:rFonts w:cs="Times New Roman"/>
          <w:b/>
          <w:bCs/>
        </w:rPr>
      </w:pPr>
      <w:r>
        <w:rPr>
          <w:rFonts w:cs="Times New Roman"/>
          <w:b/>
          <w:bCs/>
        </w:rPr>
        <w:t>（3）监测时间及频率</w:t>
      </w:r>
    </w:p>
    <w:p>
      <w:pPr>
        <w:spacing w:line="460" w:lineRule="exact"/>
        <w:ind w:firstLine="480"/>
        <w:rPr>
          <w:rFonts w:cs="Times New Roman"/>
          <w:b/>
          <w:sz w:val="28"/>
          <w:szCs w:val="28"/>
        </w:rPr>
      </w:pPr>
      <w:r>
        <w:rPr>
          <w:rFonts w:cs="Times New Roman"/>
        </w:rPr>
        <w:t>现状监测时间2021年10月6日~8日，各断面连续监测3天，每天各断面采混合样1个。</w:t>
      </w:r>
    </w:p>
    <w:p>
      <w:pPr>
        <w:spacing w:line="460" w:lineRule="exact"/>
        <w:ind w:firstLine="482"/>
        <w:rPr>
          <w:rFonts w:cs="Times New Roman"/>
          <w:b/>
        </w:rPr>
      </w:pPr>
      <w:r>
        <w:rPr>
          <w:rFonts w:cs="Times New Roman"/>
          <w:b/>
        </w:rPr>
        <w:t>（4）评价标准</w:t>
      </w:r>
    </w:p>
    <w:p>
      <w:pPr>
        <w:spacing w:line="460" w:lineRule="exact"/>
        <w:ind w:firstLine="480"/>
        <w:rPr>
          <w:rFonts w:cs="Times New Roman"/>
        </w:rPr>
      </w:pPr>
      <w:r>
        <w:rPr>
          <w:rFonts w:cs="Times New Roman"/>
        </w:rPr>
        <w:t>悬浮物无质量标准，不做评价；氯化物按照《地表水环境质量标准》（GB3838-2002）表2的标准限值进行评价；其余项目按照《地表水环境质量标准》（GB3838-2002）表1中</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cs="Times New Roman"/>
        </w:rPr>
        <w:t>类标准限值进行评价。</w:t>
      </w:r>
    </w:p>
    <w:p>
      <w:pPr>
        <w:adjustRightInd w:val="0"/>
        <w:snapToGrid w:val="0"/>
        <w:spacing w:line="460" w:lineRule="exact"/>
        <w:ind w:firstLine="482"/>
        <w:rPr>
          <w:rFonts w:cs="Times New Roman"/>
          <w:b/>
        </w:rPr>
      </w:pPr>
      <w:r>
        <w:rPr>
          <w:rFonts w:cs="Times New Roman"/>
          <w:b/>
        </w:rPr>
        <w:t>（5）监测结果</w:t>
      </w:r>
    </w:p>
    <w:p>
      <w:pPr>
        <w:adjustRightInd w:val="0"/>
        <w:snapToGrid w:val="0"/>
        <w:spacing w:line="460" w:lineRule="exact"/>
        <w:ind w:firstLine="480"/>
        <w:rPr>
          <w:rFonts w:cs="Times New Roman"/>
        </w:rPr>
      </w:pPr>
      <w:r>
        <w:rPr>
          <w:rFonts w:cs="Times New Roman"/>
        </w:rPr>
        <w:t>本项目评价范围内地表水的现状监测结果见</w:t>
      </w:r>
      <w:r>
        <w:rPr>
          <w:rFonts w:hint="eastAsia" w:cs="Times New Roman"/>
        </w:rPr>
        <w:t>下表</w:t>
      </w:r>
      <w:r>
        <w:rPr>
          <w:rFonts w:cs="Times New Roman"/>
        </w:rPr>
        <w:t>。</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6.2</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rPr>
        <w:t xml:space="preserve">  地表水检测结果表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7"/>
        <w:gridCol w:w="992"/>
        <w:gridCol w:w="1134"/>
        <w:gridCol w:w="1136"/>
        <w:gridCol w:w="993"/>
        <w:gridCol w:w="1134"/>
        <w:gridCol w:w="1134"/>
        <w:gridCol w:w="1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4" w:hRule="atLeast"/>
        </w:trPr>
        <w:tc>
          <w:tcPr>
            <w:tcW w:w="1034" w:type="pct"/>
            <w:gridSpan w:val="2"/>
            <w:vMerge w:val="restart"/>
            <w:tcBorders>
              <w:top w:val="single" w:color="auto" w:sz="12" w:space="0"/>
              <w:left w:val="nil"/>
              <w:tl2br w:val="single" w:color="auto" w:sz="4" w:space="0"/>
              <w:tr2bl w:val="nil"/>
            </w:tcBorders>
            <w:vAlign w:val="center"/>
          </w:tcPr>
          <w:p>
            <w:pPr>
              <w:pStyle w:val="63"/>
              <w:spacing w:line="320" w:lineRule="exact"/>
              <w:jc w:val="right"/>
              <w:rPr>
                <w:rFonts w:cs="Times New Roman"/>
                <w:b/>
                <w:bCs/>
                <w:szCs w:val="21"/>
              </w:rPr>
            </w:pPr>
            <w:r>
              <w:rPr>
                <w:rFonts w:cs="Times New Roman"/>
                <w:b/>
                <w:bCs/>
                <w:szCs w:val="21"/>
              </w:rPr>
              <w:t>监测日期</w:t>
            </w:r>
          </w:p>
          <w:p>
            <w:pPr>
              <w:pStyle w:val="63"/>
              <w:spacing w:line="320" w:lineRule="exact"/>
              <w:jc w:val="left"/>
              <w:rPr>
                <w:rFonts w:cs="Times New Roman"/>
                <w:b/>
                <w:bCs/>
                <w:szCs w:val="21"/>
              </w:rPr>
            </w:pPr>
            <w:r>
              <w:rPr>
                <w:rFonts w:cs="Times New Roman"/>
                <w:b/>
                <w:bCs/>
                <w:szCs w:val="21"/>
              </w:rPr>
              <w:t>检测项目</w:t>
            </w:r>
          </w:p>
        </w:tc>
        <w:tc>
          <w:tcPr>
            <w:tcW w:w="1951" w:type="pct"/>
            <w:gridSpan w:val="3"/>
            <w:tcBorders>
              <w:top w:val="single" w:color="auto" w:sz="12" w:space="0"/>
              <w:tl2br w:val="nil"/>
              <w:tr2bl w:val="nil"/>
            </w:tcBorders>
            <w:vAlign w:val="center"/>
          </w:tcPr>
          <w:p>
            <w:pPr>
              <w:pStyle w:val="63"/>
              <w:spacing w:line="320" w:lineRule="exact"/>
              <w:rPr>
                <w:rFonts w:cs="Times New Roman"/>
                <w:b/>
                <w:bCs/>
                <w:szCs w:val="21"/>
              </w:rPr>
            </w:pPr>
            <w:r>
              <w:rPr>
                <w:rFonts w:cs="Times New Roman"/>
                <w:b/>
                <w:bCs/>
                <w:szCs w:val="21"/>
              </w:rPr>
              <w:t>1# （</w:t>
            </w:r>
            <w:r>
              <w:rPr>
                <w:rFonts w:hint="eastAsia" w:cs="Times New Roman"/>
                <w:b/>
                <w:bCs/>
                <w:szCs w:val="21"/>
              </w:rPr>
              <w:t>小通江</w:t>
            </w:r>
            <w:r>
              <w:rPr>
                <w:rFonts w:cs="Times New Roman"/>
                <w:b/>
                <w:bCs/>
                <w:szCs w:val="21"/>
              </w:rPr>
              <w:t>）</w:t>
            </w:r>
          </w:p>
        </w:tc>
        <w:tc>
          <w:tcPr>
            <w:tcW w:w="2015" w:type="pct"/>
            <w:gridSpan w:val="3"/>
            <w:tcBorders>
              <w:top w:val="single" w:color="auto" w:sz="12" w:space="0"/>
              <w:tl2br w:val="nil"/>
              <w:tr2bl w:val="nil"/>
            </w:tcBorders>
          </w:tcPr>
          <w:p>
            <w:pPr>
              <w:pStyle w:val="63"/>
              <w:spacing w:line="320" w:lineRule="exact"/>
              <w:rPr>
                <w:rFonts w:cs="Times New Roman"/>
                <w:b/>
                <w:bCs/>
                <w:szCs w:val="21"/>
              </w:rPr>
            </w:pPr>
            <w:r>
              <w:rPr>
                <w:rFonts w:hint="eastAsia" w:cs="Times New Roman"/>
                <w:b/>
                <w:bCs/>
                <w:szCs w:val="21"/>
              </w:rPr>
              <w:t>2</w:t>
            </w:r>
            <w:r>
              <w:rPr>
                <w:rFonts w:cs="Times New Roman"/>
                <w:b/>
                <w:bCs/>
                <w:szCs w:val="21"/>
              </w:rPr>
              <w:t>#（</w:t>
            </w:r>
            <w:r>
              <w:rPr>
                <w:rFonts w:hint="eastAsia" w:cs="Times New Roman"/>
                <w:b/>
                <w:bCs/>
                <w:szCs w:val="21"/>
              </w:rPr>
              <w:t>小通江</w:t>
            </w:r>
            <w:r>
              <w:rPr>
                <w:rFonts w:cs="Times New Roman"/>
                <w:b/>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034" w:type="pct"/>
            <w:gridSpan w:val="2"/>
            <w:vMerge w:val="continue"/>
            <w:tcBorders>
              <w:left w:val="nil"/>
              <w:tl2br w:val="nil"/>
              <w:tr2bl w:val="nil"/>
            </w:tcBorders>
            <w:vAlign w:val="center"/>
          </w:tcPr>
          <w:p>
            <w:pPr>
              <w:pStyle w:val="63"/>
              <w:spacing w:line="320" w:lineRule="exact"/>
              <w:rPr>
                <w:rFonts w:cs="Times New Roman"/>
                <w:b/>
                <w:bCs/>
                <w:szCs w:val="21"/>
              </w:rPr>
            </w:pPr>
          </w:p>
        </w:tc>
        <w:tc>
          <w:tcPr>
            <w:tcW w:w="678" w:type="pct"/>
            <w:tcBorders>
              <w:tl2br w:val="nil"/>
              <w:tr2bl w:val="nil"/>
            </w:tcBorders>
            <w:vAlign w:val="center"/>
          </w:tcPr>
          <w:p>
            <w:pPr>
              <w:pStyle w:val="63"/>
              <w:spacing w:line="320" w:lineRule="exact"/>
              <w:rPr>
                <w:rFonts w:cs="Times New Roman"/>
                <w:b/>
                <w:bCs/>
                <w:spacing w:val="-6"/>
                <w:szCs w:val="21"/>
              </w:rPr>
            </w:pPr>
            <w:r>
              <w:rPr>
                <w:rFonts w:cs="Times New Roman"/>
                <w:szCs w:val="21"/>
              </w:rPr>
              <w:t>10月6日</w:t>
            </w:r>
          </w:p>
        </w:tc>
        <w:tc>
          <w:tcPr>
            <w:tcW w:w="679" w:type="pct"/>
            <w:tcBorders>
              <w:tl2br w:val="nil"/>
              <w:tr2bl w:val="nil"/>
            </w:tcBorders>
            <w:vAlign w:val="center"/>
          </w:tcPr>
          <w:p>
            <w:pPr>
              <w:pStyle w:val="63"/>
              <w:spacing w:line="320" w:lineRule="exact"/>
              <w:rPr>
                <w:rFonts w:cs="Times New Roman"/>
                <w:b/>
                <w:bCs/>
                <w:spacing w:val="-6"/>
                <w:szCs w:val="21"/>
              </w:rPr>
            </w:pPr>
            <w:r>
              <w:rPr>
                <w:rFonts w:cs="Times New Roman"/>
                <w:szCs w:val="21"/>
              </w:rPr>
              <w:t>10月7日</w:t>
            </w:r>
          </w:p>
        </w:tc>
        <w:tc>
          <w:tcPr>
            <w:tcW w:w="594" w:type="pct"/>
            <w:tcBorders>
              <w:tl2br w:val="nil"/>
              <w:tr2bl w:val="nil"/>
            </w:tcBorders>
            <w:vAlign w:val="center"/>
          </w:tcPr>
          <w:p>
            <w:pPr>
              <w:pStyle w:val="63"/>
              <w:spacing w:line="320" w:lineRule="exact"/>
              <w:rPr>
                <w:rFonts w:cs="Times New Roman"/>
                <w:b/>
                <w:bCs/>
                <w:spacing w:val="-6"/>
                <w:szCs w:val="21"/>
              </w:rPr>
            </w:pPr>
            <w:r>
              <w:rPr>
                <w:rFonts w:cs="Times New Roman"/>
                <w:szCs w:val="21"/>
              </w:rPr>
              <w:t>10月8日</w:t>
            </w:r>
          </w:p>
        </w:tc>
        <w:tc>
          <w:tcPr>
            <w:tcW w:w="678" w:type="pct"/>
            <w:tcBorders>
              <w:tl2br w:val="nil"/>
              <w:tr2bl w:val="nil"/>
            </w:tcBorders>
            <w:vAlign w:val="center"/>
          </w:tcPr>
          <w:p>
            <w:pPr>
              <w:pStyle w:val="63"/>
              <w:spacing w:line="320" w:lineRule="exact"/>
              <w:rPr>
                <w:rFonts w:cs="Times New Roman"/>
                <w:b/>
                <w:bCs/>
                <w:spacing w:val="-6"/>
                <w:szCs w:val="21"/>
              </w:rPr>
            </w:pPr>
            <w:r>
              <w:rPr>
                <w:rFonts w:cs="Times New Roman"/>
                <w:szCs w:val="21"/>
              </w:rPr>
              <w:t>10月6日</w:t>
            </w:r>
          </w:p>
        </w:tc>
        <w:tc>
          <w:tcPr>
            <w:tcW w:w="678" w:type="pct"/>
            <w:tcBorders>
              <w:tl2br w:val="nil"/>
              <w:tr2bl w:val="nil"/>
            </w:tcBorders>
            <w:vAlign w:val="center"/>
          </w:tcPr>
          <w:p>
            <w:pPr>
              <w:pStyle w:val="63"/>
              <w:spacing w:line="320" w:lineRule="exact"/>
              <w:rPr>
                <w:rFonts w:cs="Times New Roman"/>
                <w:b/>
                <w:bCs/>
                <w:spacing w:val="-6"/>
                <w:szCs w:val="21"/>
              </w:rPr>
            </w:pPr>
            <w:r>
              <w:rPr>
                <w:rFonts w:cs="Times New Roman"/>
                <w:szCs w:val="21"/>
              </w:rPr>
              <w:t>10月7日</w:t>
            </w:r>
          </w:p>
        </w:tc>
        <w:tc>
          <w:tcPr>
            <w:tcW w:w="659" w:type="pct"/>
            <w:tcBorders>
              <w:tl2br w:val="nil"/>
              <w:tr2bl w:val="nil"/>
            </w:tcBorders>
            <w:vAlign w:val="center"/>
          </w:tcPr>
          <w:p>
            <w:pPr>
              <w:pStyle w:val="63"/>
              <w:spacing w:line="320" w:lineRule="exact"/>
              <w:rPr>
                <w:rFonts w:cs="Times New Roman"/>
                <w:b/>
                <w:bCs/>
                <w:spacing w:val="-6"/>
                <w:szCs w:val="21"/>
              </w:rPr>
            </w:pPr>
            <w:r>
              <w:rPr>
                <w:rFonts w:cs="Times New Roman"/>
                <w:szCs w:val="21"/>
              </w:rPr>
              <w:t>10月8日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41" w:type="pct"/>
            <w:tcBorders>
              <w:left w:val="nil"/>
              <w:tl2br w:val="nil"/>
              <w:tr2bl w:val="nil"/>
            </w:tcBorders>
            <w:vAlign w:val="center"/>
          </w:tcPr>
          <w:p>
            <w:pPr>
              <w:pStyle w:val="63"/>
              <w:spacing w:line="320" w:lineRule="exact"/>
              <w:rPr>
                <w:rFonts w:cs="Times New Roman"/>
                <w:szCs w:val="21"/>
              </w:rPr>
            </w:pPr>
            <w:r>
              <w:rPr>
                <w:rStyle w:val="106"/>
                <w:rFonts w:hint="default" w:ascii="Times New Roman" w:hAnsi="Times New Roman" w:cs="Times New Roman"/>
                <w:b/>
                <w:bCs/>
                <w:color w:val="auto"/>
                <w:sz w:val="21"/>
                <w:szCs w:val="21"/>
              </w:rPr>
              <w:t>pH</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无量纲</w:t>
            </w:r>
          </w:p>
        </w:tc>
        <w:tc>
          <w:tcPr>
            <w:tcW w:w="678" w:type="pct"/>
            <w:tcBorders>
              <w:tl2br w:val="nil"/>
              <w:tr2bl w:val="nil"/>
            </w:tcBorders>
            <w:vAlign w:val="center"/>
          </w:tcPr>
          <w:p>
            <w:pPr>
              <w:pStyle w:val="63"/>
            </w:pPr>
            <w:r>
              <w:rPr>
                <w:rFonts w:hint="eastAsia" w:cs="Times New Roman"/>
                <w:bCs/>
                <w:szCs w:val="21"/>
              </w:rPr>
              <w:t>7.4</w:t>
            </w:r>
          </w:p>
        </w:tc>
        <w:tc>
          <w:tcPr>
            <w:tcW w:w="679" w:type="pct"/>
            <w:tcBorders>
              <w:tl2br w:val="nil"/>
              <w:tr2bl w:val="nil"/>
            </w:tcBorders>
            <w:vAlign w:val="center"/>
          </w:tcPr>
          <w:p>
            <w:pPr>
              <w:pStyle w:val="63"/>
            </w:pPr>
            <w:r>
              <w:rPr>
                <w:rFonts w:hint="eastAsia" w:cs="Times New Roman"/>
                <w:bCs/>
                <w:szCs w:val="21"/>
              </w:rPr>
              <w:t>7.3</w:t>
            </w:r>
          </w:p>
        </w:tc>
        <w:tc>
          <w:tcPr>
            <w:tcW w:w="594" w:type="pct"/>
            <w:tcBorders>
              <w:tl2br w:val="nil"/>
              <w:tr2bl w:val="nil"/>
            </w:tcBorders>
            <w:vAlign w:val="center"/>
          </w:tcPr>
          <w:p>
            <w:pPr>
              <w:pStyle w:val="63"/>
            </w:pPr>
            <w:r>
              <w:rPr>
                <w:rFonts w:hint="eastAsia" w:cs="Times New Roman"/>
                <w:bCs/>
                <w:szCs w:val="21"/>
              </w:rPr>
              <w:t>7.5</w:t>
            </w:r>
          </w:p>
        </w:tc>
        <w:tc>
          <w:tcPr>
            <w:tcW w:w="678" w:type="pct"/>
            <w:tcBorders>
              <w:tl2br w:val="nil"/>
              <w:tr2bl w:val="nil"/>
            </w:tcBorders>
            <w:vAlign w:val="center"/>
          </w:tcPr>
          <w:p>
            <w:pPr>
              <w:pStyle w:val="63"/>
            </w:pPr>
            <w:r>
              <w:rPr>
                <w:rFonts w:hint="eastAsia" w:cs="Times New Roman"/>
                <w:bCs/>
                <w:szCs w:val="21"/>
              </w:rPr>
              <w:t>7.5</w:t>
            </w:r>
          </w:p>
        </w:tc>
        <w:tc>
          <w:tcPr>
            <w:tcW w:w="678" w:type="pct"/>
            <w:tcBorders>
              <w:tl2br w:val="nil"/>
              <w:tr2bl w:val="nil"/>
            </w:tcBorders>
            <w:vAlign w:val="center"/>
          </w:tcPr>
          <w:p>
            <w:pPr>
              <w:pStyle w:val="63"/>
            </w:pPr>
            <w:r>
              <w:rPr>
                <w:rFonts w:hint="eastAsia" w:cs="Times New Roman"/>
                <w:bCs/>
                <w:szCs w:val="21"/>
              </w:rPr>
              <w:t>7.4</w:t>
            </w:r>
          </w:p>
        </w:tc>
        <w:tc>
          <w:tcPr>
            <w:tcW w:w="659" w:type="pct"/>
            <w:tcBorders>
              <w:tl2br w:val="nil"/>
              <w:tr2bl w:val="nil"/>
            </w:tcBorders>
            <w:vAlign w:val="center"/>
          </w:tcPr>
          <w:p>
            <w:pPr>
              <w:pStyle w:val="63"/>
            </w:pPr>
            <w:r>
              <w:rPr>
                <w:rFonts w:hint="eastAsia" w:cs="Times New Roman"/>
                <w:bCs/>
                <w:szCs w:val="21"/>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41" w:type="pct"/>
            <w:tcBorders>
              <w:left w:val="nil"/>
              <w:tl2br w:val="nil"/>
              <w:tr2bl w:val="nil"/>
            </w:tcBorders>
            <w:vAlign w:val="center"/>
          </w:tcPr>
          <w:p>
            <w:pPr>
              <w:pStyle w:val="63"/>
              <w:jc w:val="both"/>
            </w:pPr>
            <w:r>
              <w:t>悬浮物</w:t>
            </w:r>
          </w:p>
        </w:tc>
        <w:tc>
          <w:tcPr>
            <w:tcW w:w="593" w:type="pct"/>
            <w:tcBorders>
              <w:tl2br w:val="nil"/>
              <w:tr2bl w:val="nil"/>
            </w:tcBorders>
            <w:vAlign w:val="center"/>
          </w:tcPr>
          <w:p>
            <w:pPr>
              <w:pStyle w:val="63"/>
            </w:pPr>
            <w:r>
              <w:t>mg/L</w:t>
            </w:r>
          </w:p>
        </w:tc>
        <w:tc>
          <w:tcPr>
            <w:tcW w:w="678" w:type="pct"/>
            <w:tcBorders>
              <w:tl2br w:val="nil"/>
              <w:tr2bl w:val="nil"/>
            </w:tcBorders>
            <w:vAlign w:val="center"/>
          </w:tcPr>
          <w:p>
            <w:pPr>
              <w:pStyle w:val="63"/>
            </w:pPr>
            <w:r>
              <w:rPr>
                <w:rFonts w:hint="eastAsia" w:cs="Times New Roman"/>
                <w:bCs/>
                <w:szCs w:val="21"/>
              </w:rPr>
              <w:t>9</w:t>
            </w:r>
          </w:p>
        </w:tc>
        <w:tc>
          <w:tcPr>
            <w:tcW w:w="679" w:type="pct"/>
            <w:tcBorders>
              <w:tl2br w:val="nil"/>
              <w:tr2bl w:val="nil"/>
            </w:tcBorders>
            <w:vAlign w:val="center"/>
          </w:tcPr>
          <w:p>
            <w:pPr>
              <w:pStyle w:val="63"/>
            </w:pPr>
            <w:r>
              <w:rPr>
                <w:rFonts w:hint="eastAsia" w:cs="Times New Roman"/>
                <w:bCs/>
                <w:szCs w:val="21"/>
              </w:rPr>
              <w:t>6</w:t>
            </w:r>
          </w:p>
        </w:tc>
        <w:tc>
          <w:tcPr>
            <w:tcW w:w="594" w:type="pct"/>
            <w:tcBorders>
              <w:tl2br w:val="nil"/>
              <w:tr2bl w:val="nil"/>
            </w:tcBorders>
            <w:vAlign w:val="center"/>
          </w:tcPr>
          <w:p>
            <w:pPr>
              <w:pStyle w:val="63"/>
            </w:pPr>
            <w:r>
              <w:rPr>
                <w:rFonts w:hint="eastAsia" w:cs="Times New Roman"/>
                <w:bCs/>
                <w:szCs w:val="21"/>
              </w:rPr>
              <w:t>8</w:t>
            </w:r>
          </w:p>
        </w:tc>
        <w:tc>
          <w:tcPr>
            <w:tcW w:w="678" w:type="pct"/>
            <w:tcBorders>
              <w:tl2br w:val="nil"/>
              <w:tr2bl w:val="nil"/>
            </w:tcBorders>
            <w:vAlign w:val="center"/>
          </w:tcPr>
          <w:p>
            <w:pPr>
              <w:pStyle w:val="63"/>
            </w:pPr>
            <w:r>
              <w:rPr>
                <w:rFonts w:hint="eastAsia" w:cs="Times New Roman"/>
                <w:bCs/>
                <w:szCs w:val="21"/>
              </w:rPr>
              <w:t>7</w:t>
            </w:r>
          </w:p>
        </w:tc>
        <w:tc>
          <w:tcPr>
            <w:tcW w:w="678" w:type="pct"/>
            <w:tcBorders>
              <w:tl2br w:val="nil"/>
              <w:tr2bl w:val="nil"/>
            </w:tcBorders>
            <w:vAlign w:val="center"/>
          </w:tcPr>
          <w:p>
            <w:pPr>
              <w:pStyle w:val="63"/>
            </w:pPr>
            <w:r>
              <w:rPr>
                <w:rFonts w:hint="eastAsia" w:cs="Times New Roman"/>
                <w:bCs/>
                <w:szCs w:val="21"/>
              </w:rPr>
              <w:t>9</w:t>
            </w:r>
          </w:p>
        </w:tc>
        <w:tc>
          <w:tcPr>
            <w:tcW w:w="659" w:type="pct"/>
            <w:tcBorders>
              <w:tl2br w:val="nil"/>
              <w:tr2bl w:val="nil"/>
            </w:tcBorders>
            <w:vAlign w:val="center"/>
          </w:tcPr>
          <w:p>
            <w:pPr>
              <w:pStyle w:val="63"/>
            </w:pPr>
            <w:r>
              <w:rPr>
                <w:rFonts w:hint="eastAsia" w:cs="Times New Roman"/>
                <w:bCs/>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trPr>
        <w:tc>
          <w:tcPr>
            <w:tcW w:w="441" w:type="pct"/>
            <w:tcBorders>
              <w:left w:val="nil"/>
              <w:tl2br w:val="nil"/>
              <w:tr2bl w:val="nil"/>
            </w:tcBorders>
            <w:vAlign w:val="center"/>
          </w:tcPr>
          <w:p>
            <w:pPr>
              <w:pStyle w:val="63"/>
              <w:spacing w:line="320" w:lineRule="exact"/>
              <w:rPr>
                <w:rFonts w:cs="Times New Roman"/>
                <w:szCs w:val="21"/>
              </w:rPr>
            </w:pPr>
            <w:r>
              <w:rPr>
                <w:rFonts w:cs="Times New Roman"/>
                <w:szCs w:val="21"/>
              </w:rPr>
              <w:t>COD</w:t>
            </w:r>
            <w:r>
              <w:rPr>
                <w:rFonts w:cs="Times New Roman"/>
                <w:szCs w:val="21"/>
                <w:vertAlign w:val="subscript"/>
              </w:rPr>
              <w:t>cr</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mg/L</w:t>
            </w:r>
          </w:p>
        </w:tc>
        <w:tc>
          <w:tcPr>
            <w:tcW w:w="678" w:type="pct"/>
            <w:tcBorders>
              <w:tl2br w:val="nil"/>
              <w:tr2bl w:val="nil"/>
            </w:tcBorders>
            <w:vAlign w:val="center"/>
          </w:tcPr>
          <w:p>
            <w:pPr>
              <w:pStyle w:val="63"/>
            </w:pPr>
            <w:r>
              <w:rPr>
                <w:rFonts w:hint="eastAsia" w:cs="Times New Roman"/>
                <w:bCs/>
                <w:szCs w:val="21"/>
              </w:rPr>
              <w:t>11</w:t>
            </w:r>
          </w:p>
        </w:tc>
        <w:tc>
          <w:tcPr>
            <w:tcW w:w="679" w:type="pct"/>
            <w:tcBorders>
              <w:tl2br w:val="nil"/>
              <w:tr2bl w:val="nil"/>
            </w:tcBorders>
            <w:vAlign w:val="center"/>
          </w:tcPr>
          <w:p>
            <w:pPr>
              <w:pStyle w:val="63"/>
            </w:pPr>
            <w:r>
              <w:rPr>
                <w:rFonts w:hint="eastAsia" w:cs="Times New Roman"/>
                <w:bCs/>
                <w:szCs w:val="21"/>
              </w:rPr>
              <w:t>9</w:t>
            </w:r>
          </w:p>
        </w:tc>
        <w:tc>
          <w:tcPr>
            <w:tcW w:w="594" w:type="pct"/>
            <w:tcBorders>
              <w:tl2br w:val="nil"/>
              <w:tr2bl w:val="nil"/>
            </w:tcBorders>
            <w:vAlign w:val="center"/>
          </w:tcPr>
          <w:p>
            <w:pPr>
              <w:pStyle w:val="63"/>
            </w:pPr>
            <w:r>
              <w:rPr>
                <w:rFonts w:hint="eastAsia" w:cs="Times New Roman"/>
                <w:bCs/>
                <w:szCs w:val="21"/>
              </w:rPr>
              <w:t>10</w:t>
            </w:r>
          </w:p>
        </w:tc>
        <w:tc>
          <w:tcPr>
            <w:tcW w:w="678" w:type="pct"/>
            <w:tcBorders>
              <w:tl2br w:val="nil"/>
              <w:tr2bl w:val="nil"/>
            </w:tcBorders>
            <w:vAlign w:val="center"/>
          </w:tcPr>
          <w:p>
            <w:pPr>
              <w:pStyle w:val="63"/>
            </w:pPr>
            <w:r>
              <w:rPr>
                <w:rFonts w:hint="eastAsia" w:cs="Times New Roman"/>
                <w:bCs/>
                <w:szCs w:val="21"/>
              </w:rPr>
              <w:t>7</w:t>
            </w:r>
          </w:p>
        </w:tc>
        <w:tc>
          <w:tcPr>
            <w:tcW w:w="678" w:type="pct"/>
            <w:tcBorders>
              <w:tl2br w:val="nil"/>
              <w:tr2bl w:val="nil"/>
            </w:tcBorders>
            <w:vAlign w:val="center"/>
          </w:tcPr>
          <w:p>
            <w:pPr>
              <w:pStyle w:val="63"/>
            </w:pPr>
            <w:r>
              <w:rPr>
                <w:rFonts w:hint="eastAsia" w:cs="Times New Roman"/>
                <w:bCs/>
                <w:szCs w:val="21"/>
              </w:rPr>
              <w:t>13</w:t>
            </w:r>
          </w:p>
        </w:tc>
        <w:tc>
          <w:tcPr>
            <w:tcW w:w="659" w:type="pct"/>
            <w:tcBorders>
              <w:tl2br w:val="nil"/>
              <w:tr2bl w:val="nil"/>
            </w:tcBorders>
            <w:vAlign w:val="center"/>
          </w:tcPr>
          <w:p>
            <w:pPr>
              <w:pStyle w:val="63"/>
            </w:pPr>
            <w:r>
              <w:rPr>
                <w:rFonts w:hint="eastAsia" w:cs="Times New Roman"/>
                <w:bCs/>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441" w:type="pct"/>
            <w:tcBorders>
              <w:left w:val="nil"/>
              <w:tl2br w:val="nil"/>
              <w:tr2bl w:val="nil"/>
            </w:tcBorders>
            <w:vAlign w:val="center"/>
          </w:tcPr>
          <w:p>
            <w:pPr>
              <w:pStyle w:val="63"/>
              <w:spacing w:line="320" w:lineRule="exact"/>
              <w:rPr>
                <w:rFonts w:cs="Times New Roman"/>
                <w:szCs w:val="21"/>
              </w:rPr>
            </w:pPr>
            <w:r>
              <w:rPr>
                <w:rFonts w:cs="Times New Roman"/>
                <w:szCs w:val="21"/>
              </w:rPr>
              <w:t>NH</w:t>
            </w:r>
            <w:r>
              <w:rPr>
                <w:rFonts w:cs="Times New Roman"/>
                <w:szCs w:val="21"/>
                <w:vertAlign w:val="subscript"/>
              </w:rPr>
              <w:t>3</w:t>
            </w:r>
            <w:r>
              <w:rPr>
                <w:rFonts w:cs="Times New Roman"/>
                <w:szCs w:val="21"/>
              </w:rPr>
              <w:t>-N</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mg/L</w:t>
            </w:r>
          </w:p>
        </w:tc>
        <w:tc>
          <w:tcPr>
            <w:tcW w:w="678" w:type="pct"/>
            <w:tcBorders>
              <w:tl2br w:val="nil"/>
              <w:tr2bl w:val="nil"/>
            </w:tcBorders>
            <w:vAlign w:val="center"/>
          </w:tcPr>
          <w:p>
            <w:pPr>
              <w:pStyle w:val="63"/>
            </w:pPr>
            <w:r>
              <w:rPr>
                <w:rFonts w:hint="eastAsia" w:cs="Times New Roman"/>
                <w:bCs/>
                <w:szCs w:val="21"/>
              </w:rPr>
              <w:t>0.056</w:t>
            </w:r>
          </w:p>
        </w:tc>
        <w:tc>
          <w:tcPr>
            <w:tcW w:w="679" w:type="pct"/>
            <w:tcBorders>
              <w:tl2br w:val="nil"/>
              <w:tr2bl w:val="nil"/>
            </w:tcBorders>
            <w:vAlign w:val="center"/>
          </w:tcPr>
          <w:p>
            <w:pPr>
              <w:pStyle w:val="63"/>
            </w:pPr>
            <w:r>
              <w:rPr>
                <w:rFonts w:hint="eastAsia" w:cs="Times New Roman"/>
                <w:bCs/>
                <w:szCs w:val="21"/>
              </w:rPr>
              <w:t>0.050</w:t>
            </w:r>
          </w:p>
        </w:tc>
        <w:tc>
          <w:tcPr>
            <w:tcW w:w="594" w:type="pct"/>
            <w:tcBorders>
              <w:tl2br w:val="nil"/>
              <w:tr2bl w:val="nil"/>
            </w:tcBorders>
            <w:vAlign w:val="center"/>
          </w:tcPr>
          <w:p>
            <w:pPr>
              <w:pStyle w:val="63"/>
            </w:pPr>
            <w:r>
              <w:rPr>
                <w:rFonts w:hint="eastAsia" w:cs="Times New Roman"/>
                <w:bCs/>
                <w:szCs w:val="21"/>
              </w:rPr>
              <w:t>0.053</w:t>
            </w:r>
          </w:p>
        </w:tc>
        <w:tc>
          <w:tcPr>
            <w:tcW w:w="678" w:type="pct"/>
            <w:tcBorders>
              <w:tl2br w:val="nil"/>
              <w:tr2bl w:val="nil"/>
            </w:tcBorders>
            <w:vAlign w:val="center"/>
          </w:tcPr>
          <w:p>
            <w:pPr>
              <w:pStyle w:val="63"/>
            </w:pPr>
            <w:r>
              <w:rPr>
                <w:rFonts w:hint="eastAsia" w:cs="Times New Roman"/>
                <w:bCs/>
                <w:szCs w:val="21"/>
              </w:rPr>
              <w:t>0.072</w:t>
            </w:r>
          </w:p>
        </w:tc>
        <w:tc>
          <w:tcPr>
            <w:tcW w:w="678" w:type="pct"/>
            <w:tcBorders>
              <w:tl2br w:val="nil"/>
              <w:tr2bl w:val="nil"/>
            </w:tcBorders>
            <w:vAlign w:val="center"/>
          </w:tcPr>
          <w:p>
            <w:pPr>
              <w:pStyle w:val="63"/>
            </w:pPr>
            <w:r>
              <w:rPr>
                <w:rFonts w:hint="eastAsia" w:cs="Times New Roman"/>
                <w:bCs/>
                <w:szCs w:val="21"/>
              </w:rPr>
              <w:t>0.075</w:t>
            </w:r>
          </w:p>
        </w:tc>
        <w:tc>
          <w:tcPr>
            <w:tcW w:w="659" w:type="pct"/>
            <w:tcBorders>
              <w:tl2br w:val="nil"/>
              <w:tr2bl w:val="nil"/>
            </w:tcBorders>
            <w:vAlign w:val="center"/>
          </w:tcPr>
          <w:p>
            <w:pPr>
              <w:pStyle w:val="63"/>
            </w:pPr>
            <w:r>
              <w:rPr>
                <w:rFonts w:hint="eastAsia" w:cs="Times New Roman"/>
                <w:bCs/>
                <w:szCs w:val="21"/>
              </w:rPr>
              <w:t>0.080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441" w:type="pct"/>
            <w:tcBorders>
              <w:left w:val="nil"/>
              <w:tl2br w:val="nil"/>
              <w:tr2bl w:val="nil"/>
            </w:tcBorders>
            <w:vAlign w:val="center"/>
          </w:tcPr>
          <w:p>
            <w:pPr>
              <w:pStyle w:val="63"/>
              <w:spacing w:line="320" w:lineRule="exact"/>
              <w:rPr>
                <w:rFonts w:cs="Times New Roman"/>
                <w:szCs w:val="21"/>
              </w:rPr>
            </w:pPr>
            <w:r>
              <w:rPr>
                <w:rFonts w:hint="eastAsia" w:cs="Times New Roman"/>
                <w:szCs w:val="21"/>
              </w:rPr>
              <w:t>硫化物</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mg/L</w:t>
            </w:r>
          </w:p>
        </w:tc>
        <w:tc>
          <w:tcPr>
            <w:tcW w:w="678" w:type="pct"/>
            <w:tcBorders>
              <w:tl2br w:val="nil"/>
              <w:tr2bl w:val="nil"/>
            </w:tcBorders>
            <w:vAlign w:val="center"/>
          </w:tcPr>
          <w:p>
            <w:pPr>
              <w:pStyle w:val="63"/>
            </w:pPr>
            <w:r>
              <w:rPr>
                <w:rFonts w:hint="eastAsia" w:cs="Times New Roman"/>
                <w:bCs/>
                <w:szCs w:val="21"/>
              </w:rPr>
              <w:t>ND</w:t>
            </w:r>
          </w:p>
        </w:tc>
        <w:tc>
          <w:tcPr>
            <w:tcW w:w="679" w:type="pct"/>
            <w:tcBorders>
              <w:tl2br w:val="nil"/>
              <w:tr2bl w:val="nil"/>
            </w:tcBorders>
            <w:vAlign w:val="center"/>
          </w:tcPr>
          <w:p>
            <w:pPr>
              <w:pStyle w:val="63"/>
            </w:pPr>
            <w:r>
              <w:rPr>
                <w:rFonts w:hint="eastAsia" w:cs="Times New Roman"/>
                <w:bCs/>
                <w:szCs w:val="21"/>
              </w:rPr>
              <w:t>ND</w:t>
            </w:r>
          </w:p>
        </w:tc>
        <w:tc>
          <w:tcPr>
            <w:tcW w:w="594"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59" w:type="pct"/>
            <w:tcBorders>
              <w:tl2br w:val="nil"/>
              <w:tr2bl w:val="nil"/>
            </w:tcBorders>
            <w:vAlign w:val="center"/>
          </w:tcPr>
          <w:p>
            <w:pPr>
              <w:pStyle w:val="63"/>
            </w:pPr>
            <w:r>
              <w:rPr>
                <w:rFonts w:hint="eastAsia" w:cs="Times New Roman"/>
                <w:bCs/>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441" w:type="pct"/>
            <w:tcBorders>
              <w:left w:val="nil"/>
              <w:tl2br w:val="nil"/>
              <w:tr2bl w:val="nil"/>
            </w:tcBorders>
            <w:vAlign w:val="center"/>
          </w:tcPr>
          <w:p>
            <w:pPr>
              <w:pStyle w:val="63"/>
              <w:spacing w:line="320" w:lineRule="exact"/>
              <w:rPr>
                <w:rFonts w:cs="Times New Roman"/>
                <w:szCs w:val="21"/>
              </w:rPr>
            </w:pPr>
            <w:r>
              <w:rPr>
                <w:rFonts w:cs="Times New Roman"/>
                <w:szCs w:val="21"/>
              </w:rPr>
              <w:t>挥发酚</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mg/L</w:t>
            </w:r>
          </w:p>
        </w:tc>
        <w:tc>
          <w:tcPr>
            <w:tcW w:w="678" w:type="pct"/>
            <w:tcBorders>
              <w:tl2br w:val="nil"/>
              <w:tr2bl w:val="nil"/>
            </w:tcBorders>
            <w:vAlign w:val="center"/>
          </w:tcPr>
          <w:p>
            <w:pPr>
              <w:pStyle w:val="63"/>
            </w:pPr>
            <w:r>
              <w:rPr>
                <w:rFonts w:hint="eastAsia" w:cs="Times New Roman"/>
                <w:bCs/>
                <w:szCs w:val="21"/>
              </w:rPr>
              <w:t>ND</w:t>
            </w:r>
          </w:p>
        </w:tc>
        <w:tc>
          <w:tcPr>
            <w:tcW w:w="679" w:type="pct"/>
            <w:tcBorders>
              <w:tl2br w:val="nil"/>
              <w:tr2bl w:val="nil"/>
            </w:tcBorders>
            <w:vAlign w:val="center"/>
          </w:tcPr>
          <w:p>
            <w:pPr>
              <w:pStyle w:val="63"/>
            </w:pPr>
            <w:r>
              <w:rPr>
                <w:rFonts w:hint="eastAsia" w:cs="Times New Roman"/>
                <w:bCs/>
                <w:szCs w:val="21"/>
              </w:rPr>
              <w:t>ND</w:t>
            </w:r>
          </w:p>
        </w:tc>
        <w:tc>
          <w:tcPr>
            <w:tcW w:w="594"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59" w:type="pct"/>
            <w:tcBorders>
              <w:tl2br w:val="nil"/>
              <w:tr2bl w:val="nil"/>
            </w:tcBorders>
            <w:vAlign w:val="center"/>
          </w:tcPr>
          <w:p>
            <w:pPr>
              <w:pStyle w:val="63"/>
            </w:pPr>
            <w:r>
              <w:rPr>
                <w:rFonts w:hint="eastAsia" w:cs="Times New Roman"/>
                <w:bCs/>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trPr>
        <w:tc>
          <w:tcPr>
            <w:tcW w:w="441" w:type="pct"/>
            <w:tcBorders>
              <w:left w:val="nil"/>
              <w:tl2br w:val="nil"/>
              <w:tr2bl w:val="nil"/>
            </w:tcBorders>
            <w:vAlign w:val="center"/>
          </w:tcPr>
          <w:p>
            <w:pPr>
              <w:pStyle w:val="63"/>
              <w:spacing w:line="320" w:lineRule="exact"/>
              <w:rPr>
                <w:rFonts w:cs="Times New Roman"/>
                <w:szCs w:val="21"/>
              </w:rPr>
            </w:pPr>
            <w:r>
              <w:rPr>
                <w:rFonts w:cs="Times New Roman"/>
                <w:szCs w:val="21"/>
              </w:rPr>
              <w:t>石油类</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mg/L</w:t>
            </w:r>
          </w:p>
        </w:tc>
        <w:tc>
          <w:tcPr>
            <w:tcW w:w="678" w:type="pct"/>
            <w:tcBorders>
              <w:tl2br w:val="nil"/>
              <w:tr2bl w:val="nil"/>
            </w:tcBorders>
            <w:vAlign w:val="center"/>
          </w:tcPr>
          <w:p>
            <w:pPr>
              <w:pStyle w:val="63"/>
            </w:pPr>
            <w:r>
              <w:rPr>
                <w:rFonts w:hint="eastAsia" w:cs="Times New Roman"/>
                <w:bCs/>
                <w:szCs w:val="21"/>
              </w:rPr>
              <w:t>ND</w:t>
            </w:r>
          </w:p>
        </w:tc>
        <w:tc>
          <w:tcPr>
            <w:tcW w:w="679" w:type="pct"/>
            <w:tcBorders>
              <w:tl2br w:val="nil"/>
              <w:tr2bl w:val="nil"/>
            </w:tcBorders>
            <w:vAlign w:val="center"/>
          </w:tcPr>
          <w:p>
            <w:pPr>
              <w:pStyle w:val="63"/>
            </w:pPr>
            <w:r>
              <w:rPr>
                <w:rFonts w:hint="eastAsia" w:cs="Times New Roman"/>
                <w:bCs/>
                <w:szCs w:val="21"/>
              </w:rPr>
              <w:t>ND</w:t>
            </w:r>
          </w:p>
        </w:tc>
        <w:tc>
          <w:tcPr>
            <w:tcW w:w="594"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59" w:type="pct"/>
            <w:tcBorders>
              <w:tl2br w:val="nil"/>
              <w:tr2bl w:val="nil"/>
            </w:tcBorders>
            <w:vAlign w:val="center"/>
          </w:tcPr>
          <w:p>
            <w:pPr>
              <w:pStyle w:val="63"/>
            </w:pPr>
            <w:r>
              <w:rPr>
                <w:rFonts w:hint="eastAsia" w:cs="Times New Roman"/>
                <w:bCs/>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41" w:type="pct"/>
            <w:tcBorders>
              <w:left w:val="nil"/>
              <w:tl2br w:val="nil"/>
              <w:tr2bl w:val="nil"/>
            </w:tcBorders>
            <w:vAlign w:val="center"/>
          </w:tcPr>
          <w:p>
            <w:pPr>
              <w:pStyle w:val="63"/>
              <w:spacing w:line="320" w:lineRule="exact"/>
              <w:rPr>
                <w:rFonts w:cs="Times New Roman"/>
                <w:szCs w:val="21"/>
              </w:rPr>
            </w:pPr>
            <w:r>
              <w:rPr>
                <w:rFonts w:cs="Times New Roman"/>
                <w:szCs w:val="21"/>
              </w:rPr>
              <w:t>氯化物</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mg/L</w:t>
            </w:r>
          </w:p>
        </w:tc>
        <w:tc>
          <w:tcPr>
            <w:tcW w:w="678" w:type="pct"/>
            <w:tcBorders>
              <w:tl2br w:val="nil"/>
              <w:tr2bl w:val="nil"/>
            </w:tcBorders>
            <w:vAlign w:val="center"/>
          </w:tcPr>
          <w:p>
            <w:pPr>
              <w:pStyle w:val="63"/>
            </w:pPr>
            <w:r>
              <w:rPr>
                <w:rFonts w:hint="eastAsia" w:cs="Times New Roman"/>
                <w:bCs/>
                <w:szCs w:val="21"/>
              </w:rPr>
              <w:t>ND</w:t>
            </w:r>
          </w:p>
        </w:tc>
        <w:tc>
          <w:tcPr>
            <w:tcW w:w="679" w:type="pct"/>
            <w:tcBorders>
              <w:tl2br w:val="nil"/>
              <w:tr2bl w:val="nil"/>
            </w:tcBorders>
            <w:vAlign w:val="center"/>
          </w:tcPr>
          <w:p>
            <w:pPr>
              <w:pStyle w:val="63"/>
            </w:pPr>
            <w:r>
              <w:rPr>
                <w:rFonts w:hint="eastAsia" w:cs="Times New Roman"/>
                <w:bCs/>
                <w:szCs w:val="21"/>
              </w:rPr>
              <w:t>ND</w:t>
            </w:r>
          </w:p>
        </w:tc>
        <w:tc>
          <w:tcPr>
            <w:tcW w:w="594"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59" w:type="pct"/>
            <w:tcBorders>
              <w:tl2br w:val="nil"/>
              <w:tr2bl w:val="nil"/>
            </w:tcBorders>
            <w:vAlign w:val="center"/>
          </w:tcPr>
          <w:p>
            <w:pPr>
              <w:pStyle w:val="63"/>
            </w:pPr>
            <w:r>
              <w:rPr>
                <w:rFonts w:hint="eastAsia" w:cs="Times New Roman"/>
                <w:bCs/>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41" w:type="pct"/>
            <w:tcBorders>
              <w:left w:val="nil"/>
              <w:tl2br w:val="nil"/>
              <w:tr2bl w:val="nil"/>
            </w:tcBorders>
            <w:vAlign w:val="center"/>
          </w:tcPr>
          <w:p>
            <w:pPr>
              <w:pStyle w:val="63"/>
              <w:spacing w:line="320" w:lineRule="exact"/>
              <w:rPr>
                <w:rFonts w:cs="Times New Roman"/>
                <w:szCs w:val="21"/>
              </w:rPr>
            </w:pPr>
            <w:r>
              <w:rPr>
                <w:rFonts w:hint="eastAsia" w:cs="Times New Roman"/>
                <w:szCs w:val="21"/>
              </w:rPr>
              <w:t>氟</w:t>
            </w:r>
            <w:r>
              <w:rPr>
                <w:rFonts w:cs="Times New Roman"/>
                <w:szCs w:val="21"/>
              </w:rPr>
              <w:t>化物</w:t>
            </w:r>
          </w:p>
        </w:tc>
        <w:tc>
          <w:tcPr>
            <w:tcW w:w="593" w:type="pct"/>
            <w:tcBorders>
              <w:tl2br w:val="nil"/>
              <w:tr2bl w:val="nil"/>
            </w:tcBorders>
            <w:vAlign w:val="center"/>
          </w:tcPr>
          <w:p>
            <w:pPr>
              <w:pStyle w:val="63"/>
              <w:spacing w:line="320" w:lineRule="exact"/>
              <w:rPr>
                <w:rFonts w:cs="Times New Roman"/>
                <w:szCs w:val="21"/>
              </w:rPr>
            </w:pPr>
            <w:r>
              <w:rPr>
                <w:rFonts w:cs="Times New Roman"/>
                <w:szCs w:val="21"/>
              </w:rPr>
              <w:t>mg/L</w:t>
            </w:r>
          </w:p>
        </w:tc>
        <w:tc>
          <w:tcPr>
            <w:tcW w:w="678" w:type="pct"/>
            <w:tcBorders>
              <w:tl2br w:val="nil"/>
              <w:tr2bl w:val="nil"/>
            </w:tcBorders>
            <w:vAlign w:val="center"/>
          </w:tcPr>
          <w:p>
            <w:pPr>
              <w:pStyle w:val="63"/>
            </w:pPr>
            <w:r>
              <w:rPr>
                <w:rFonts w:hint="eastAsia" w:cs="Times New Roman"/>
                <w:bCs/>
                <w:szCs w:val="21"/>
              </w:rPr>
              <w:t>ND</w:t>
            </w:r>
          </w:p>
        </w:tc>
        <w:tc>
          <w:tcPr>
            <w:tcW w:w="679" w:type="pct"/>
            <w:tcBorders>
              <w:tl2br w:val="nil"/>
              <w:tr2bl w:val="nil"/>
            </w:tcBorders>
            <w:vAlign w:val="center"/>
          </w:tcPr>
          <w:p>
            <w:pPr>
              <w:pStyle w:val="63"/>
            </w:pPr>
            <w:r>
              <w:rPr>
                <w:rFonts w:hint="eastAsia" w:cs="Times New Roman"/>
                <w:bCs/>
                <w:szCs w:val="21"/>
              </w:rPr>
              <w:t>ND</w:t>
            </w:r>
          </w:p>
        </w:tc>
        <w:tc>
          <w:tcPr>
            <w:tcW w:w="594"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78" w:type="pct"/>
            <w:tcBorders>
              <w:tl2br w:val="nil"/>
              <w:tr2bl w:val="nil"/>
            </w:tcBorders>
            <w:vAlign w:val="center"/>
          </w:tcPr>
          <w:p>
            <w:pPr>
              <w:pStyle w:val="63"/>
            </w:pPr>
            <w:r>
              <w:rPr>
                <w:rFonts w:hint="eastAsia" w:cs="Times New Roman"/>
                <w:bCs/>
                <w:szCs w:val="21"/>
              </w:rPr>
              <w:t>ND</w:t>
            </w:r>
          </w:p>
        </w:tc>
        <w:tc>
          <w:tcPr>
            <w:tcW w:w="659" w:type="pct"/>
            <w:tcBorders>
              <w:tl2br w:val="nil"/>
              <w:tr2bl w:val="nil"/>
            </w:tcBorders>
            <w:vAlign w:val="center"/>
          </w:tcPr>
          <w:p>
            <w:pPr>
              <w:pStyle w:val="63"/>
            </w:pPr>
            <w:r>
              <w:rPr>
                <w:rFonts w:hint="eastAsia" w:cs="Times New Roman"/>
                <w:bCs/>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2" w:hRule="atLeast"/>
        </w:trPr>
        <w:tc>
          <w:tcPr>
            <w:tcW w:w="5000" w:type="pct"/>
            <w:gridSpan w:val="8"/>
            <w:tcBorders>
              <w:left w:val="nil"/>
              <w:tl2br w:val="nil"/>
              <w:tr2bl w:val="nil"/>
            </w:tcBorders>
            <w:vAlign w:val="center"/>
          </w:tcPr>
          <w:p>
            <w:pPr>
              <w:spacing w:line="320" w:lineRule="exact"/>
              <w:ind w:firstLine="0" w:firstLineChars="0"/>
              <w:jc w:val="left"/>
              <w:rPr>
                <w:rFonts w:cs="Times New Roman"/>
                <w:sz w:val="21"/>
              </w:rPr>
            </w:pPr>
            <w:r>
              <w:rPr>
                <w:rFonts w:cs="Times New Roman"/>
                <w:sz w:val="21"/>
              </w:rPr>
              <w:t>备注：ND表示检测结果低于方法检出限或未检出。</w:t>
            </w:r>
          </w:p>
        </w:tc>
      </w:tr>
    </w:tbl>
    <w:p>
      <w:pPr>
        <w:spacing w:before="163" w:beforeLines="50"/>
        <w:ind w:firstLine="482"/>
        <w:rPr>
          <w:rFonts w:cs="Times New Roman"/>
          <w:b/>
        </w:rPr>
      </w:pPr>
      <w:r>
        <w:rPr>
          <w:rFonts w:cs="Times New Roman"/>
          <w:b/>
        </w:rPr>
        <w:t xml:space="preserve">（6）评价方法 </w:t>
      </w:r>
    </w:p>
    <w:p>
      <w:pPr>
        <w:ind w:firstLine="480"/>
        <w:rPr>
          <w:rFonts w:cs="Times New Roman"/>
          <w:lang w:val="it-IT"/>
        </w:rPr>
      </w:pPr>
      <w:r>
        <w:rPr>
          <w:rFonts w:cs="Times New Roman"/>
        </w:rPr>
        <w:t>采用标准指数法。模式如下</w:t>
      </w:r>
      <w:r>
        <w:rPr>
          <w:rFonts w:cs="Times New Roman"/>
          <w:lang w:val="it-IT"/>
        </w:rPr>
        <w:t>：</w:t>
      </w:r>
    </w:p>
    <w:p>
      <w:pPr>
        <w:adjustRightInd w:val="0"/>
        <w:snapToGrid w:val="0"/>
        <w:ind w:firstLine="480"/>
        <w:jc w:val="center"/>
        <w:rPr>
          <w:rFonts w:cs="Times New Roman"/>
          <w:lang w:val="it-IT"/>
        </w:rPr>
      </w:pPr>
      <w:r>
        <w:rPr>
          <w:rFonts w:cs="Times New Roman"/>
          <w:lang w:val="it-IT"/>
        </w:rPr>
        <w:t>S</w:t>
      </w:r>
      <w:r>
        <w:rPr>
          <w:rFonts w:cs="Times New Roman"/>
          <w:vertAlign w:val="subscript"/>
          <w:lang w:val="it-IT"/>
        </w:rPr>
        <w:t>i,j</w:t>
      </w:r>
      <w:r>
        <w:rPr>
          <w:rFonts w:cs="Times New Roman"/>
          <w:lang w:val="it-IT"/>
        </w:rPr>
        <w:t>=c</w:t>
      </w:r>
      <w:r>
        <w:rPr>
          <w:rFonts w:cs="Times New Roman"/>
          <w:vertAlign w:val="subscript"/>
          <w:lang w:val="it-IT"/>
        </w:rPr>
        <w:t>i,j</w:t>
      </w:r>
      <w:r>
        <w:rPr>
          <w:rFonts w:cs="Times New Roman"/>
          <w:lang w:val="it-IT"/>
        </w:rPr>
        <w:t>/c</w:t>
      </w:r>
      <w:r>
        <w:rPr>
          <w:rFonts w:cs="Times New Roman"/>
          <w:vertAlign w:val="subscript"/>
          <w:lang w:val="it-IT"/>
        </w:rPr>
        <w:t>si</w:t>
      </w:r>
    </w:p>
    <w:p>
      <w:pPr>
        <w:pStyle w:val="183"/>
        <w:spacing w:line="360" w:lineRule="auto"/>
        <w:ind w:left="0" w:leftChars="0" w:right="0" w:rightChars="0" w:firstLine="480" w:firstLineChars="200"/>
        <w:rPr>
          <w:rFonts w:cs="Times New Roman"/>
          <w:lang w:val="it-IT"/>
        </w:rPr>
      </w:pPr>
      <w:r>
        <w:rPr>
          <w:rFonts w:cs="Times New Roman"/>
        </w:rPr>
        <w:t>式中</w:t>
      </w:r>
      <w:r>
        <w:rPr>
          <w:rFonts w:cs="Times New Roman"/>
          <w:lang w:val="it-IT"/>
        </w:rPr>
        <w:t>：S</w:t>
      </w:r>
      <w:r>
        <w:rPr>
          <w:rFonts w:cs="Times New Roman"/>
          <w:vertAlign w:val="subscript"/>
          <w:lang w:val="it-IT"/>
        </w:rPr>
        <w:t>i，j</w:t>
      </w:r>
      <w:r>
        <w:rPr>
          <w:rFonts w:cs="Times New Roman"/>
          <w:lang w:val="it-IT"/>
        </w:rPr>
        <w:t>——i</w:t>
      </w:r>
      <w:r>
        <w:rPr>
          <w:rFonts w:cs="Times New Roman"/>
        </w:rPr>
        <w:t>种污染物的单项指数</w:t>
      </w:r>
      <w:r>
        <w:rPr>
          <w:rFonts w:cs="Times New Roman"/>
          <w:lang w:val="it-IT"/>
        </w:rPr>
        <w:t>；</w:t>
      </w:r>
    </w:p>
    <w:p>
      <w:pPr>
        <w:pStyle w:val="183"/>
        <w:spacing w:line="360" w:lineRule="auto"/>
        <w:ind w:left="0" w:leftChars="0" w:right="0" w:rightChars="0" w:firstLine="1200" w:firstLineChars="500"/>
        <w:rPr>
          <w:rFonts w:cs="Times New Roman"/>
          <w:lang w:val="it-IT"/>
        </w:rPr>
      </w:pPr>
      <w:r>
        <w:rPr>
          <w:rFonts w:cs="Times New Roman"/>
          <w:lang w:val="it-IT"/>
        </w:rPr>
        <w:t>C</w:t>
      </w:r>
      <w:r>
        <w:rPr>
          <w:rFonts w:cs="Times New Roman"/>
          <w:vertAlign w:val="subscript"/>
          <w:lang w:val="it-IT"/>
        </w:rPr>
        <w:t>i，j</w:t>
      </w:r>
      <w:r>
        <w:rPr>
          <w:rFonts w:cs="Times New Roman"/>
          <w:lang w:val="it-IT"/>
        </w:rPr>
        <w:t>——i</w:t>
      </w:r>
      <w:r>
        <w:rPr>
          <w:rFonts w:cs="Times New Roman"/>
        </w:rPr>
        <w:t>种污染物实测浓度</w:t>
      </w:r>
      <w:r>
        <w:rPr>
          <w:rFonts w:cs="Times New Roman"/>
          <w:lang w:val="it-IT"/>
        </w:rPr>
        <w:t>（mg/l）；</w:t>
      </w:r>
    </w:p>
    <w:p>
      <w:pPr>
        <w:pStyle w:val="183"/>
        <w:spacing w:line="360" w:lineRule="auto"/>
        <w:ind w:left="0" w:leftChars="0" w:right="0" w:rightChars="0" w:firstLine="1200" w:firstLineChars="500"/>
        <w:rPr>
          <w:rFonts w:cs="Times New Roman"/>
          <w:szCs w:val="22"/>
        </w:rPr>
      </w:pPr>
      <w:r>
        <w:rPr>
          <w:rFonts w:cs="Times New Roman"/>
        </w:rPr>
        <w:t>C</w:t>
      </w:r>
      <w:r>
        <w:rPr>
          <w:rFonts w:cs="Times New Roman"/>
          <w:sz w:val="21"/>
          <w:vertAlign w:val="subscript"/>
        </w:rPr>
        <w:t>Si</w:t>
      </w:r>
      <w:r>
        <w:rPr>
          <w:rFonts w:cs="Times New Roman"/>
        </w:rPr>
        <w:t>——</w:t>
      </w:r>
      <w:r>
        <w:rPr>
          <w:rFonts w:cs="Times New Roman"/>
          <w:sz w:val="21"/>
        </w:rPr>
        <w:t>i</w:t>
      </w:r>
      <w:r>
        <w:rPr>
          <w:rFonts w:cs="Times New Roman"/>
          <w:szCs w:val="22"/>
        </w:rPr>
        <w:t>种污染物评价标准（mg/l）。</w:t>
      </w:r>
    </w:p>
    <w:p>
      <w:pPr>
        <w:adjustRightInd w:val="0"/>
        <w:snapToGrid w:val="0"/>
        <w:ind w:firstLine="480"/>
        <w:rPr>
          <w:rFonts w:cs="Times New Roman"/>
        </w:rPr>
      </w:pPr>
      <w:r>
        <w:rPr>
          <w:rFonts w:cs="Times New Roman"/>
        </w:rPr>
        <w:pict>
          <v:shape id="Picture 757" o:spid="_x0000_s1027" o:spt="75" type="#_x0000_t75" style="position:absolute;left:0pt;margin-left:138.05pt;margin-top:18.85pt;height:36pt;width:152.25pt;z-index:251694080;mso-width-relative:page;mso-height-relative:page;" o:ole="t" fillcolor="#6D6D6D" filled="t" coordsize="21600,21600">
            <v:path/>
            <v:fill on="t" focussize="0,0"/>
            <v:stroke/>
            <v:imagedata r:id="rId53" o:title=""/>
            <o:lock v:ext="edit" aspectratio="t"/>
          </v:shape>
          <o:OLEObject Type="Embed" ProgID="Equation.3" ShapeID="Picture 757" DrawAspect="Content" ObjectID="_1468075727" r:id="rId52">
            <o:LockedField>false</o:LockedField>
          </o:OLEObject>
        </w:pict>
      </w:r>
      <w:r>
        <w:rPr>
          <w:rFonts w:cs="Times New Roman"/>
        </w:rPr>
        <w:t>pH的标准指数为：</w:t>
      </w:r>
    </w:p>
    <w:p>
      <w:pPr>
        <w:adjustRightInd w:val="0"/>
        <w:snapToGrid w:val="0"/>
        <w:ind w:left="240" w:right="240" w:firstLine="480"/>
        <w:jc w:val="center"/>
        <w:textAlignment w:val="center"/>
        <w:rPr>
          <w:rFonts w:cs="Times New Roman"/>
        </w:rPr>
      </w:pPr>
    </w:p>
    <w:p>
      <w:pPr>
        <w:adjustRightInd w:val="0"/>
        <w:snapToGrid w:val="0"/>
        <w:ind w:firstLine="480"/>
        <w:rPr>
          <w:rFonts w:cs="Times New Roman"/>
        </w:rPr>
      </w:pPr>
    </w:p>
    <w:p>
      <w:pPr>
        <w:adjustRightInd w:val="0"/>
        <w:snapToGrid w:val="0"/>
        <w:ind w:firstLine="480"/>
        <w:rPr>
          <w:rFonts w:cs="Times New Roman"/>
        </w:rPr>
      </w:pPr>
      <w:r>
        <w:rPr>
          <w:rFonts w:cs="Times New Roman"/>
        </w:rPr>
        <w:pict>
          <v:shape id="Picture 758" o:spid="_x0000_s1028" o:spt="75" type="#_x0000_t75" style="position:absolute;left:0pt;margin-left:138.05pt;margin-top:-1.7pt;height:36pt;width:152.25pt;z-index:251695104;mso-width-relative:page;mso-height-relative:page;" o:ole="t" fillcolor="#6D6D6D" filled="t" coordsize="21600,21600">
            <v:path/>
            <v:fill on="t" focussize="0,0"/>
            <v:stroke/>
            <v:imagedata r:id="rId55" o:title=""/>
            <o:lock v:ext="edit" aspectratio="t"/>
          </v:shape>
          <o:OLEObject Type="Embed" ProgID="Equation.3" ShapeID="Picture 758" DrawAspect="Content" ObjectID="_1468075728" r:id="rId54">
            <o:LockedField>false</o:LockedField>
          </o:OLEObject>
        </w:pict>
      </w:r>
    </w:p>
    <w:p>
      <w:pPr>
        <w:adjustRightInd w:val="0"/>
        <w:snapToGrid w:val="0"/>
        <w:ind w:firstLine="480"/>
        <w:rPr>
          <w:rFonts w:cs="Times New Roman"/>
        </w:rPr>
      </w:pPr>
    </w:p>
    <w:p>
      <w:pPr>
        <w:pStyle w:val="183"/>
        <w:spacing w:line="360" w:lineRule="auto"/>
        <w:ind w:left="0" w:leftChars="0" w:right="0" w:rightChars="0" w:firstLine="480" w:firstLineChars="200"/>
        <w:rPr>
          <w:rFonts w:cs="Times New Roman"/>
        </w:rPr>
      </w:pPr>
      <w:r>
        <w:rPr>
          <w:rFonts w:cs="Times New Roman"/>
        </w:rPr>
        <w:t>式中：</w:t>
      </w:r>
      <w:r>
        <w:rPr>
          <w:rFonts w:cs="Times New Roman"/>
          <w:i/>
          <w:iCs/>
        </w:rPr>
        <w:t>pH</w:t>
      </w:r>
      <w:r>
        <w:rPr>
          <w:rFonts w:cs="Times New Roman"/>
          <w:i/>
          <w:iCs/>
          <w:vertAlign w:val="subscript"/>
        </w:rPr>
        <w:t>j</w:t>
      </w:r>
      <w:r>
        <w:rPr>
          <w:rFonts w:cs="Times New Roman"/>
        </w:rPr>
        <w:t>－pH实测值；</w:t>
      </w:r>
    </w:p>
    <w:p>
      <w:pPr>
        <w:pStyle w:val="183"/>
        <w:spacing w:line="360" w:lineRule="auto"/>
        <w:ind w:left="0" w:leftChars="0" w:right="0" w:rightChars="0" w:firstLine="1200" w:firstLineChars="500"/>
        <w:rPr>
          <w:rFonts w:cs="Times New Roman"/>
        </w:rPr>
      </w:pPr>
      <w:r>
        <w:rPr>
          <w:rFonts w:cs="Times New Roman"/>
          <w:i/>
          <w:iCs/>
        </w:rPr>
        <w:t>pH</w:t>
      </w:r>
      <w:r>
        <w:rPr>
          <w:rFonts w:cs="Times New Roman"/>
          <w:i/>
          <w:iCs/>
          <w:vertAlign w:val="subscript"/>
        </w:rPr>
        <w:t>sd</w:t>
      </w:r>
      <w:r>
        <w:rPr>
          <w:rFonts w:cs="Times New Roman"/>
        </w:rPr>
        <w:t>－pH评价标准的下限值；</w:t>
      </w:r>
    </w:p>
    <w:p>
      <w:pPr>
        <w:pStyle w:val="183"/>
        <w:spacing w:line="360" w:lineRule="auto"/>
        <w:ind w:left="0" w:leftChars="0" w:right="0" w:rightChars="0" w:firstLine="1200" w:firstLineChars="500"/>
        <w:rPr>
          <w:rFonts w:cs="Times New Roman"/>
        </w:rPr>
      </w:pPr>
      <w:r>
        <w:rPr>
          <w:rFonts w:cs="Times New Roman"/>
          <w:i/>
          <w:iCs/>
        </w:rPr>
        <w:t>pH</w:t>
      </w:r>
      <w:r>
        <w:rPr>
          <w:rFonts w:cs="Times New Roman"/>
          <w:i/>
          <w:iCs/>
          <w:vertAlign w:val="subscript"/>
        </w:rPr>
        <w:t>su</w:t>
      </w:r>
      <w:r>
        <w:rPr>
          <w:rFonts w:cs="Times New Roman"/>
        </w:rPr>
        <w:t>－pH评价标准的上限值。</w:t>
      </w:r>
    </w:p>
    <w:p>
      <w:pPr>
        <w:ind w:firstLine="480"/>
        <w:rPr>
          <w:rFonts w:cs="Times New Roman"/>
        </w:rPr>
      </w:pPr>
      <w:r>
        <w:rPr>
          <w:rFonts w:cs="Times New Roman"/>
        </w:rPr>
        <w:t>水质参数的标准指数&gt;1，表明该水质参数超过了规定的水质标准，已经不能满足使用要求；水质参数的标准指数≤1，表明该项水质参数到达或优于规定的水质，完全符合国家标准，可以满足使用要求。</w:t>
      </w:r>
    </w:p>
    <w:p>
      <w:pPr>
        <w:adjustRightInd w:val="0"/>
        <w:snapToGrid w:val="0"/>
        <w:ind w:firstLine="482"/>
        <w:rPr>
          <w:rFonts w:cs="Times New Roman"/>
          <w:b/>
        </w:rPr>
      </w:pPr>
      <w:r>
        <w:rPr>
          <w:rFonts w:cs="Times New Roman"/>
          <w:b/>
        </w:rPr>
        <w:t>（7）评价结果</w:t>
      </w:r>
    </w:p>
    <w:p>
      <w:pPr>
        <w:pStyle w:val="183"/>
        <w:spacing w:line="360" w:lineRule="auto"/>
        <w:ind w:left="48" w:right="48" w:firstLine="528"/>
        <w:rPr>
          <w:rFonts w:cs="Times New Roman"/>
        </w:rPr>
      </w:pPr>
      <w:r>
        <w:rPr>
          <w:rFonts w:cs="Times New Roman"/>
        </w:rPr>
        <w:t>地表水环境质量评价结果见下表。</w:t>
      </w:r>
    </w:p>
    <w:p>
      <w:pPr>
        <w:pStyle w:val="73"/>
        <w:rPr>
          <w:rFonts w:cs="Times New Roman"/>
          <w:bCs/>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6.2</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3</w:t>
      </w:r>
      <w:r>
        <w:rPr>
          <w:rFonts w:cs="Times New Roman"/>
        </w:rPr>
        <w:fldChar w:fldCharType="end"/>
      </w:r>
      <w:r>
        <w:rPr>
          <w:rFonts w:cs="Times New Roman"/>
        </w:rPr>
        <w:t xml:space="preserve">  地表水环境质量评价结果</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76"/>
        <w:gridCol w:w="1985"/>
        <w:gridCol w:w="1560"/>
        <w:gridCol w:w="1699"/>
        <w:gridCol w:w="1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1" w:hRule="atLeast"/>
          <w:tblHeader/>
          <w:jc w:val="center"/>
        </w:trPr>
        <w:tc>
          <w:tcPr>
            <w:tcW w:w="768" w:type="pct"/>
            <w:vMerge w:val="restart"/>
            <w:vAlign w:val="center"/>
          </w:tcPr>
          <w:p>
            <w:pPr>
              <w:pStyle w:val="63"/>
              <w:rPr>
                <w:rFonts w:cs="Times New Roman"/>
                <w:b/>
                <w:bCs/>
              </w:rPr>
            </w:pPr>
            <w:r>
              <w:rPr>
                <w:rFonts w:cs="Times New Roman"/>
                <w:b/>
                <w:bCs/>
              </w:rPr>
              <w:t>检测项目/(mg/L)</w:t>
            </w:r>
          </w:p>
        </w:tc>
        <w:tc>
          <w:tcPr>
            <w:tcW w:w="2134" w:type="pct"/>
            <w:gridSpan w:val="2"/>
            <w:vAlign w:val="center"/>
          </w:tcPr>
          <w:p>
            <w:pPr>
              <w:pStyle w:val="63"/>
              <w:rPr>
                <w:rFonts w:cs="Times New Roman"/>
                <w:b/>
                <w:bCs/>
              </w:rPr>
            </w:pPr>
            <w:r>
              <w:rPr>
                <w:rFonts w:cs="Times New Roman"/>
                <w:b/>
                <w:bCs/>
              </w:rPr>
              <w:t>1#</w:t>
            </w:r>
          </w:p>
        </w:tc>
        <w:tc>
          <w:tcPr>
            <w:tcW w:w="2098" w:type="pct"/>
            <w:gridSpan w:val="2"/>
          </w:tcPr>
          <w:p>
            <w:pPr>
              <w:pStyle w:val="63"/>
              <w:rPr>
                <w:rFonts w:cs="Times New Roman"/>
                <w:b/>
                <w:bCs/>
              </w:rPr>
            </w:pPr>
            <w:r>
              <w:rPr>
                <w:rFonts w:hint="eastAsia" w:cs="Times New Roman"/>
                <w:b/>
                <w:bCs/>
              </w:rPr>
              <w:t>2</w:t>
            </w:r>
            <w:r>
              <w:rPr>
                <w:rFonts w:cs="Times New Roman"/>
                <w:b/>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3" w:hRule="atLeast"/>
          <w:tblHeader/>
          <w:jc w:val="center"/>
        </w:trPr>
        <w:tc>
          <w:tcPr>
            <w:tcW w:w="768" w:type="pct"/>
            <w:vMerge w:val="continue"/>
            <w:vAlign w:val="center"/>
          </w:tcPr>
          <w:p>
            <w:pPr>
              <w:pStyle w:val="63"/>
              <w:rPr>
                <w:rFonts w:cs="Times New Roman"/>
                <w:b/>
                <w:bCs/>
              </w:rPr>
            </w:pPr>
          </w:p>
        </w:tc>
        <w:tc>
          <w:tcPr>
            <w:tcW w:w="1195" w:type="pct"/>
            <w:vAlign w:val="center"/>
          </w:tcPr>
          <w:p>
            <w:pPr>
              <w:pStyle w:val="63"/>
              <w:rPr>
                <w:rFonts w:cs="Times New Roman"/>
                <w:b/>
                <w:bCs/>
                <w:sz w:val="20"/>
              </w:rPr>
            </w:pPr>
            <w:r>
              <w:rPr>
                <w:rFonts w:cs="Times New Roman"/>
                <w:b/>
                <w:bCs/>
                <w:sz w:val="20"/>
              </w:rPr>
              <w:t>监测浓度范围</w:t>
            </w:r>
          </w:p>
        </w:tc>
        <w:tc>
          <w:tcPr>
            <w:tcW w:w="939" w:type="pct"/>
            <w:vAlign w:val="center"/>
          </w:tcPr>
          <w:p>
            <w:pPr>
              <w:pStyle w:val="63"/>
              <w:rPr>
                <w:rFonts w:cs="Times New Roman"/>
                <w:b/>
                <w:bCs/>
                <w:sz w:val="20"/>
              </w:rPr>
            </w:pPr>
            <w:r>
              <w:rPr>
                <w:rFonts w:cs="Times New Roman"/>
                <w:b/>
                <w:bCs/>
                <w:sz w:val="20"/>
              </w:rPr>
              <w:t>最大标准指数</w:t>
            </w:r>
          </w:p>
        </w:tc>
        <w:tc>
          <w:tcPr>
            <w:tcW w:w="1023" w:type="pct"/>
            <w:vAlign w:val="center"/>
          </w:tcPr>
          <w:p>
            <w:pPr>
              <w:pStyle w:val="63"/>
              <w:rPr>
                <w:rFonts w:cs="Times New Roman"/>
                <w:b/>
                <w:bCs/>
                <w:sz w:val="20"/>
              </w:rPr>
            </w:pPr>
            <w:r>
              <w:rPr>
                <w:rFonts w:cs="Times New Roman"/>
                <w:b/>
                <w:bCs/>
                <w:sz w:val="20"/>
              </w:rPr>
              <w:t>监测浓度范围</w:t>
            </w:r>
          </w:p>
        </w:tc>
        <w:tc>
          <w:tcPr>
            <w:tcW w:w="1075" w:type="pct"/>
            <w:vAlign w:val="center"/>
          </w:tcPr>
          <w:p>
            <w:pPr>
              <w:pStyle w:val="63"/>
              <w:rPr>
                <w:rFonts w:cs="Times New Roman"/>
                <w:b/>
                <w:bCs/>
                <w:sz w:val="20"/>
              </w:rPr>
            </w:pPr>
            <w:r>
              <w:rPr>
                <w:rFonts w:cs="Times New Roman"/>
                <w:b/>
                <w:bCs/>
                <w:sz w:val="20"/>
              </w:rPr>
              <w:t>最大标准指数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68" w:type="pct"/>
            <w:vAlign w:val="center"/>
          </w:tcPr>
          <w:p>
            <w:pPr>
              <w:pStyle w:val="63"/>
              <w:rPr>
                <w:rFonts w:cs="Times New Roman"/>
                <w:iCs/>
              </w:rPr>
            </w:pPr>
            <w:r>
              <w:rPr>
                <w:rStyle w:val="106"/>
                <w:rFonts w:hint="default" w:ascii="Times New Roman" w:hAnsi="Times New Roman" w:cs="Times New Roman"/>
                <w:b/>
                <w:bCs/>
                <w:color w:val="auto"/>
                <w:sz w:val="21"/>
                <w:szCs w:val="21"/>
              </w:rPr>
              <w:t>pH</w:t>
            </w:r>
          </w:p>
        </w:tc>
        <w:tc>
          <w:tcPr>
            <w:tcW w:w="1195" w:type="pct"/>
          </w:tcPr>
          <w:p>
            <w:pPr>
              <w:pStyle w:val="63"/>
            </w:pPr>
            <w:r>
              <w:rPr>
                <w:rFonts w:hint="eastAsia"/>
              </w:rPr>
              <w:t>7</w:t>
            </w:r>
            <w:r>
              <w:t>.3~7.5</w:t>
            </w:r>
          </w:p>
        </w:tc>
        <w:tc>
          <w:tcPr>
            <w:tcW w:w="939" w:type="pct"/>
            <w:vAlign w:val="center"/>
          </w:tcPr>
          <w:p>
            <w:pPr>
              <w:pStyle w:val="63"/>
            </w:pPr>
            <w:r>
              <w:rPr>
                <w:rFonts w:hint="eastAsia"/>
              </w:rPr>
              <w:t>0</w:t>
            </w:r>
            <w:r>
              <w:t>.25</w:t>
            </w:r>
          </w:p>
        </w:tc>
        <w:tc>
          <w:tcPr>
            <w:tcW w:w="1023" w:type="pct"/>
            <w:vAlign w:val="center"/>
          </w:tcPr>
          <w:p>
            <w:pPr>
              <w:pStyle w:val="63"/>
            </w:pPr>
            <w:r>
              <w:t>7.4~7.6</w:t>
            </w:r>
          </w:p>
        </w:tc>
        <w:tc>
          <w:tcPr>
            <w:tcW w:w="1075" w:type="pct"/>
            <w:vAlign w:val="center"/>
          </w:tcPr>
          <w:p>
            <w:pPr>
              <w:pStyle w:val="63"/>
            </w:pPr>
            <w:r>
              <w:rPr>
                <w:rFonts w:hint="eastAsia"/>
              </w:rPr>
              <w:t>0</w:t>
            </w:r>
            <w: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68" w:type="pct"/>
            <w:vAlign w:val="center"/>
          </w:tcPr>
          <w:p>
            <w:pPr>
              <w:pStyle w:val="63"/>
              <w:rPr>
                <w:rStyle w:val="106"/>
                <w:rFonts w:hint="default" w:ascii="Times New Roman" w:hAnsi="Times New Roman" w:cs="Times New Roman"/>
                <w:b/>
                <w:bCs/>
                <w:color w:val="auto"/>
                <w:sz w:val="21"/>
                <w:szCs w:val="21"/>
              </w:rPr>
            </w:pPr>
            <w:r>
              <w:rPr>
                <w:rStyle w:val="106"/>
                <w:rFonts w:hint="default" w:ascii="Times New Roman" w:hAnsi="Times New Roman" w:cs="Times New Roman"/>
                <w:b/>
                <w:bCs/>
                <w:color w:val="auto"/>
                <w:sz w:val="21"/>
                <w:szCs w:val="21"/>
              </w:rPr>
              <w:t>悬浮物</w:t>
            </w:r>
          </w:p>
        </w:tc>
        <w:tc>
          <w:tcPr>
            <w:tcW w:w="1195" w:type="pct"/>
          </w:tcPr>
          <w:p>
            <w:pPr>
              <w:pStyle w:val="63"/>
            </w:pPr>
            <w:r>
              <w:rPr>
                <w:rFonts w:hint="eastAsia"/>
              </w:rPr>
              <w:t>6</w:t>
            </w:r>
            <w:r>
              <w:t>~9</w:t>
            </w:r>
          </w:p>
        </w:tc>
        <w:tc>
          <w:tcPr>
            <w:tcW w:w="939" w:type="pct"/>
            <w:vAlign w:val="center"/>
          </w:tcPr>
          <w:p>
            <w:pPr>
              <w:pStyle w:val="63"/>
            </w:pPr>
            <w:r>
              <w:rPr>
                <w:rFonts w:hint="eastAsia"/>
              </w:rPr>
              <w:t>/</w:t>
            </w:r>
          </w:p>
        </w:tc>
        <w:tc>
          <w:tcPr>
            <w:tcW w:w="1023" w:type="pct"/>
            <w:vAlign w:val="center"/>
          </w:tcPr>
          <w:p>
            <w:pPr>
              <w:pStyle w:val="63"/>
            </w:pPr>
            <w:r>
              <w:t>7~9</w:t>
            </w:r>
          </w:p>
        </w:tc>
        <w:tc>
          <w:tcPr>
            <w:tcW w:w="1075" w:type="pct"/>
            <w:vAlign w:val="center"/>
          </w:tcPr>
          <w:p>
            <w:pPr>
              <w:pStyle w:val="63"/>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68" w:type="pct"/>
            <w:vAlign w:val="center"/>
          </w:tcPr>
          <w:p>
            <w:pPr>
              <w:pStyle w:val="63"/>
              <w:rPr>
                <w:rFonts w:cs="Times New Roman"/>
              </w:rPr>
            </w:pPr>
            <w:r>
              <w:rPr>
                <w:rFonts w:cs="Times New Roman"/>
                <w:szCs w:val="21"/>
              </w:rPr>
              <w:t>COD</w:t>
            </w:r>
            <w:r>
              <w:rPr>
                <w:rFonts w:cs="Times New Roman"/>
                <w:szCs w:val="21"/>
                <w:vertAlign w:val="subscript"/>
              </w:rPr>
              <w:t>cr</w:t>
            </w:r>
          </w:p>
        </w:tc>
        <w:tc>
          <w:tcPr>
            <w:tcW w:w="1195" w:type="pct"/>
          </w:tcPr>
          <w:p>
            <w:pPr>
              <w:pStyle w:val="63"/>
            </w:pPr>
            <w:r>
              <w:rPr>
                <w:rFonts w:hint="eastAsia"/>
              </w:rPr>
              <w:t>9</w:t>
            </w:r>
            <w:r>
              <w:t>~11</w:t>
            </w:r>
          </w:p>
        </w:tc>
        <w:tc>
          <w:tcPr>
            <w:tcW w:w="939" w:type="pct"/>
            <w:vAlign w:val="center"/>
          </w:tcPr>
          <w:p>
            <w:pPr>
              <w:pStyle w:val="63"/>
            </w:pPr>
            <w:r>
              <w:rPr>
                <w:rFonts w:hint="eastAsia"/>
              </w:rPr>
              <w:t>0</w:t>
            </w:r>
            <w:r>
              <w:t>.73</w:t>
            </w:r>
          </w:p>
        </w:tc>
        <w:tc>
          <w:tcPr>
            <w:tcW w:w="1023" w:type="pct"/>
            <w:vAlign w:val="center"/>
          </w:tcPr>
          <w:p>
            <w:pPr>
              <w:pStyle w:val="63"/>
            </w:pPr>
            <w:r>
              <w:t>7~13</w:t>
            </w:r>
          </w:p>
        </w:tc>
        <w:tc>
          <w:tcPr>
            <w:tcW w:w="1075" w:type="pct"/>
            <w:vAlign w:val="center"/>
          </w:tcPr>
          <w:p>
            <w:pPr>
              <w:pStyle w:val="63"/>
            </w:pPr>
            <w:r>
              <w:rPr>
                <w:rFonts w:hint="eastAsia"/>
              </w:rPr>
              <w:t>0</w:t>
            </w:r>
            <w: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68" w:type="pct"/>
            <w:vAlign w:val="center"/>
          </w:tcPr>
          <w:p>
            <w:pPr>
              <w:pStyle w:val="63"/>
              <w:rPr>
                <w:rFonts w:cs="Times New Roman"/>
                <w:iCs/>
              </w:rPr>
            </w:pPr>
            <w:r>
              <w:rPr>
                <w:rFonts w:cs="Times New Roman"/>
                <w:szCs w:val="21"/>
              </w:rPr>
              <w:t>NH</w:t>
            </w:r>
            <w:r>
              <w:rPr>
                <w:rFonts w:cs="Times New Roman"/>
                <w:szCs w:val="21"/>
                <w:vertAlign w:val="subscript"/>
              </w:rPr>
              <w:t>3</w:t>
            </w:r>
            <w:r>
              <w:rPr>
                <w:rFonts w:cs="Times New Roman"/>
                <w:szCs w:val="21"/>
              </w:rPr>
              <w:t>-N</w:t>
            </w:r>
          </w:p>
        </w:tc>
        <w:tc>
          <w:tcPr>
            <w:tcW w:w="1195" w:type="pct"/>
          </w:tcPr>
          <w:p>
            <w:pPr>
              <w:pStyle w:val="63"/>
            </w:pPr>
            <w:r>
              <w:rPr>
                <w:rFonts w:hint="eastAsia"/>
              </w:rPr>
              <w:t>0</w:t>
            </w:r>
            <w:r>
              <w:t>.050~0.056</w:t>
            </w:r>
          </w:p>
        </w:tc>
        <w:tc>
          <w:tcPr>
            <w:tcW w:w="939" w:type="pct"/>
            <w:vAlign w:val="center"/>
          </w:tcPr>
          <w:p>
            <w:pPr>
              <w:pStyle w:val="63"/>
            </w:pPr>
            <w:r>
              <w:rPr>
                <w:rFonts w:hint="eastAsia"/>
              </w:rPr>
              <w:t>0</w:t>
            </w:r>
            <w:r>
              <w:t>.112</w:t>
            </w:r>
          </w:p>
        </w:tc>
        <w:tc>
          <w:tcPr>
            <w:tcW w:w="1023" w:type="pct"/>
            <w:vAlign w:val="center"/>
          </w:tcPr>
          <w:p>
            <w:pPr>
              <w:pStyle w:val="63"/>
            </w:pPr>
            <w:r>
              <w:t>0.072~0.080</w:t>
            </w:r>
          </w:p>
        </w:tc>
        <w:tc>
          <w:tcPr>
            <w:tcW w:w="1075" w:type="pct"/>
            <w:vAlign w:val="center"/>
          </w:tcPr>
          <w:p>
            <w:pPr>
              <w:pStyle w:val="63"/>
            </w:pPr>
            <w:r>
              <w:rPr>
                <w:rFonts w:hint="eastAsia"/>
              </w:rPr>
              <w:t>0</w:t>
            </w:r>
            <w: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68" w:type="pct"/>
            <w:vAlign w:val="center"/>
          </w:tcPr>
          <w:p>
            <w:pPr>
              <w:pStyle w:val="63"/>
              <w:rPr>
                <w:rFonts w:cs="Times New Roman"/>
                <w:szCs w:val="21"/>
              </w:rPr>
            </w:pPr>
            <w:r>
              <w:rPr>
                <w:rFonts w:hint="eastAsia" w:cs="Times New Roman"/>
                <w:szCs w:val="21"/>
              </w:rPr>
              <w:t>硫化物</w:t>
            </w:r>
          </w:p>
        </w:tc>
        <w:tc>
          <w:tcPr>
            <w:tcW w:w="1195" w:type="pct"/>
            <w:vAlign w:val="center"/>
          </w:tcPr>
          <w:p>
            <w:pPr>
              <w:pStyle w:val="63"/>
            </w:pPr>
            <w:r>
              <w:rPr>
                <w:rFonts w:hint="eastAsia"/>
              </w:rPr>
              <w:t>ND</w:t>
            </w:r>
          </w:p>
        </w:tc>
        <w:tc>
          <w:tcPr>
            <w:tcW w:w="939" w:type="pct"/>
            <w:vAlign w:val="center"/>
          </w:tcPr>
          <w:p>
            <w:pPr>
              <w:pStyle w:val="63"/>
            </w:pPr>
            <w:r>
              <w:rPr>
                <w:rFonts w:hint="eastAsia"/>
              </w:rPr>
              <w:t>ND</w:t>
            </w:r>
          </w:p>
        </w:tc>
        <w:tc>
          <w:tcPr>
            <w:tcW w:w="1023" w:type="pct"/>
            <w:vAlign w:val="center"/>
          </w:tcPr>
          <w:p>
            <w:pPr>
              <w:pStyle w:val="63"/>
            </w:pPr>
            <w:r>
              <w:rPr>
                <w:rFonts w:hint="eastAsia"/>
              </w:rPr>
              <w:t>ND</w:t>
            </w:r>
          </w:p>
        </w:tc>
        <w:tc>
          <w:tcPr>
            <w:tcW w:w="1075" w:type="pct"/>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768" w:type="pct"/>
            <w:vAlign w:val="center"/>
          </w:tcPr>
          <w:p>
            <w:pPr>
              <w:pStyle w:val="63"/>
              <w:rPr>
                <w:rFonts w:cs="Times New Roman"/>
                <w:iCs/>
              </w:rPr>
            </w:pPr>
            <w:r>
              <w:rPr>
                <w:rFonts w:cs="Times New Roman"/>
                <w:szCs w:val="21"/>
              </w:rPr>
              <w:t>挥发酚</w:t>
            </w:r>
          </w:p>
        </w:tc>
        <w:tc>
          <w:tcPr>
            <w:tcW w:w="1195" w:type="pct"/>
            <w:vAlign w:val="center"/>
          </w:tcPr>
          <w:p>
            <w:pPr>
              <w:pStyle w:val="63"/>
            </w:pPr>
            <w:r>
              <w:rPr>
                <w:rFonts w:hint="eastAsia"/>
              </w:rPr>
              <w:t>ND</w:t>
            </w:r>
          </w:p>
        </w:tc>
        <w:tc>
          <w:tcPr>
            <w:tcW w:w="939" w:type="pct"/>
            <w:vAlign w:val="center"/>
          </w:tcPr>
          <w:p>
            <w:pPr>
              <w:pStyle w:val="63"/>
            </w:pPr>
            <w:r>
              <w:rPr>
                <w:rFonts w:hint="eastAsia"/>
              </w:rPr>
              <w:t>ND</w:t>
            </w:r>
          </w:p>
        </w:tc>
        <w:tc>
          <w:tcPr>
            <w:tcW w:w="1023" w:type="pct"/>
            <w:vAlign w:val="center"/>
          </w:tcPr>
          <w:p>
            <w:pPr>
              <w:pStyle w:val="63"/>
            </w:pPr>
            <w:r>
              <w:rPr>
                <w:rFonts w:hint="eastAsia"/>
              </w:rPr>
              <w:t>ND</w:t>
            </w:r>
          </w:p>
        </w:tc>
        <w:tc>
          <w:tcPr>
            <w:tcW w:w="1075" w:type="pct"/>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68" w:type="pct"/>
            <w:vAlign w:val="center"/>
          </w:tcPr>
          <w:p>
            <w:pPr>
              <w:pStyle w:val="63"/>
              <w:rPr>
                <w:rFonts w:cs="Times New Roman"/>
                <w:iCs/>
              </w:rPr>
            </w:pPr>
            <w:r>
              <w:rPr>
                <w:rFonts w:cs="Times New Roman"/>
                <w:szCs w:val="21"/>
              </w:rPr>
              <w:t>石油类</w:t>
            </w:r>
          </w:p>
        </w:tc>
        <w:tc>
          <w:tcPr>
            <w:tcW w:w="1195" w:type="pct"/>
            <w:vAlign w:val="center"/>
          </w:tcPr>
          <w:p>
            <w:pPr>
              <w:pStyle w:val="63"/>
            </w:pPr>
            <w:r>
              <w:rPr>
                <w:rFonts w:hint="eastAsia"/>
              </w:rPr>
              <w:t>ND</w:t>
            </w:r>
          </w:p>
        </w:tc>
        <w:tc>
          <w:tcPr>
            <w:tcW w:w="939" w:type="pct"/>
            <w:vAlign w:val="center"/>
          </w:tcPr>
          <w:p>
            <w:pPr>
              <w:pStyle w:val="63"/>
            </w:pPr>
            <w:r>
              <w:rPr>
                <w:rFonts w:hint="eastAsia"/>
              </w:rPr>
              <w:t>ND</w:t>
            </w:r>
          </w:p>
        </w:tc>
        <w:tc>
          <w:tcPr>
            <w:tcW w:w="1023" w:type="pct"/>
            <w:vAlign w:val="center"/>
          </w:tcPr>
          <w:p>
            <w:pPr>
              <w:pStyle w:val="63"/>
            </w:pPr>
            <w:r>
              <w:rPr>
                <w:rFonts w:hint="eastAsia"/>
              </w:rPr>
              <w:t>ND</w:t>
            </w:r>
          </w:p>
        </w:tc>
        <w:tc>
          <w:tcPr>
            <w:tcW w:w="1075" w:type="pct"/>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68" w:type="pct"/>
            <w:vAlign w:val="center"/>
          </w:tcPr>
          <w:p>
            <w:pPr>
              <w:pStyle w:val="63"/>
              <w:rPr>
                <w:rFonts w:cs="Times New Roman"/>
                <w:iCs/>
              </w:rPr>
            </w:pPr>
            <w:r>
              <w:rPr>
                <w:rFonts w:cs="Times New Roman"/>
                <w:szCs w:val="21"/>
              </w:rPr>
              <w:t>氯化物</w:t>
            </w:r>
          </w:p>
        </w:tc>
        <w:tc>
          <w:tcPr>
            <w:tcW w:w="1195" w:type="pct"/>
            <w:vAlign w:val="center"/>
          </w:tcPr>
          <w:p>
            <w:pPr>
              <w:pStyle w:val="63"/>
            </w:pPr>
            <w:r>
              <w:rPr>
                <w:rFonts w:hint="eastAsia"/>
              </w:rPr>
              <w:t>ND</w:t>
            </w:r>
          </w:p>
        </w:tc>
        <w:tc>
          <w:tcPr>
            <w:tcW w:w="939" w:type="pct"/>
            <w:vAlign w:val="center"/>
          </w:tcPr>
          <w:p>
            <w:pPr>
              <w:pStyle w:val="63"/>
            </w:pPr>
            <w:r>
              <w:rPr>
                <w:rFonts w:hint="eastAsia"/>
              </w:rPr>
              <w:t>ND</w:t>
            </w:r>
          </w:p>
        </w:tc>
        <w:tc>
          <w:tcPr>
            <w:tcW w:w="1023" w:type="pct"/>
            <w:vAlign w:val="center"/>
          </w:tcPr>
          <w:p>
            <w:pPr>
              <w:pStyle w:val="63"/>
            </w:pPr>
            <w:r>
              <w:rPr>
                <w:rFonts w:hint="eastAsia"/>
              </w:rPr>
              <w:t>ND</w:t>
            </w:r>
          </w:p>
        </w:tc>
        <w:tc>
          <w:tcPr>
            <w:tcW w:w="1075" w:type="pct"/>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768" w:type="pct"/>
            <w:vAlign w:val="center"/>
          </w:tcPr>
          <w:p>
            <w:pPr>
              <w:pStyle w:val="63"/>
              <w:rPr>
                <w:rFonts w:cs="Times New Roman"/>
                <w:iCs/>
              </w:rPr>
            </w:pPr>
            <w:r>
              <w:rPr>
                <w:rFonts w:hint="eastAsia" w:cs="Times New Roman"/>
                <w:szCs w:val="21"/>
              </w:rPr>
              <w:t>氟</w:t>
            </w:r>
            <w:r>
              <w:rPr>
                <w:rFonts w:cs="Times New Roman"/>
                <w:szCs w:val="21"/>
              </w:rPr>
              <w:t>化物</w:t>
            </w:r>
          </w:p>
        </w:tc>
        <w:tc>
          <w:tcPr>
            <w:tcW w:w="1195" w:type="pct"/>
            <w:vAlign w:val="center"/>
          </w:tcPr>
          <w:p>
            <w:pPr>
              <w:pStyle w:val="63"/>
              <w:rPr>
                <w:highlight w:val="red"/>
              </w:rPr>
            </w:pPr>
            <w:r>
              <w:rPr>
                <w:rFonts w:hint="eastAsia"/>
              </w:rPr>
              <w:t>ND</w:t>
            </w:r>
          </w:p>
        </w:tc>
        <w:tc>
          <w:tcPr>
            <w:tcW w:w="939" w:type="pct"/>
            <w:vAlign w:val="center"/>
          </w:tcPr>
          <w:p>
            <w:pPr>
              <w:pStyle w:val="63"/>
              <w:rPr>
                <w:highlight w:val="red"/>
              </w:rPr>
            </w:pPr>
            <w:r>
              <w:rPr>
                <w:rFonts w:hint="eastAsia"/>
              </w:rPr>
              <w:t>ND</w:t>
            </w:r>
          </w:p>
        </w:tc>
        <w:tc>
          <w:tcPr>
            <w:tcW w:w="1023" w:type="pct"/>
            <w:vAlign w:val="center"/>
          </w:tcPr>
          <w:p>
            <w:pPr>
              <w:pStyle w:val="63"/>
              <w:rPr>
                <w:highlight w:val="red"/>
              </w:rPr>
            </w:pPr>
            <w:r>
              <w:rPr>
                <w:rFonts w:hint="eastAsia"/>
              </w:rPr>
              <w:t>ND</w:t>
            </w:r>
          </w:p>
        </w:tc>
        <w:tc>
          <w:tcPr>
            <w:tcW w:w="1075" w:type="pct"/>
            <w:vAlign w:val="center"/>
          </w:tcPr>
          <w:p>
            <w:pPr>
              <w:pStyle w:val="63"/>
              <w:rPr>
                <w:highlight w:val="red"/>
              </w:rPr>
            </w:pPr>
            <w:r>
              <w:rPr>
                <w:rFonts w:hint="eastAsia"/>
              </w:rPr>
              <w:t>ND</w:t>
            </w:r>
          </w:p>
        </w:tc>
      </w:tr>
    </w:tbl>
    <w:p>
      <w:pPr>
        <w:ind w:firstLine="480"/>
        <w:rPr>
          <w:rFonts w:cs="Times New Roman"/>
        </w:rPr>
      </w:pPr>
      <w:r>
        <w:rPr>
          <w:rFonts w:cs="Times New Roman"/>
        </w:rPr>
        <w:t>根据以上评价结果，</w:t>
      </w:r>
      <w:r>
        <w:rPr>
          <w:rFonts w:hint="eastAsia" w:cs="Times New Roman"/>
        </w:rPr>
        <w:t>区域地表水</w:t>
      </w:r>
      <w:r>
        <w:rPr>
          <w:rFonts w:cs="Times New Roman"/>
        </w:rPr>
        <w:t>的监测项目中的氯化物满足《地表水环境质量标准》（GB3838-2002）表2的标准限值，其余项目均满足表1中</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cs="Times New Roman"/>
        </w:rPr>
        <w:t>类标准限值，</w:t>
      </w:r>
      <w:r>
        <w:rPr>
          <w:rFonts w:hint="eastAsia" w:cs="Times New Roman"/>
        </w:rPr>
        <w:t>小通江</w:t>
      </w:r>
      <w:r>
        <w:rPr>
          <w:rFonts w:cs="Times New Roman"/>
        </w:rPr>
        <w:t>水质良好。</w:t>
      </w:r>
    </w:p>
    <w:p>
      <w:pPr>
        <w:pStyle w:val="4"/>
        <w:rPr>
          <w:rFonts w:cs="Times New Roman"/>
        </w:rPr>
      </w:pPr>
      <w:bookmarkStart w:id="218" w:name="_Toc57711029"/>
      <w:bookmarkStart w:id="219" w:name="_Toc61388589"/>
      <w:r>
        <w:rPr>
          <w:rFonts w:cs="Times New Roman"/>
        </w:rPr>
        <w:t xml:space="preserve"> </w:t>
      </w:r>
      <w:bookmarkStart w:id="220" w:name="_Toc96680701"/>
      <w:r>
        <w:rPr>
          <w:rFonts w:cs="Times New Roman"/>
        </w:rPr>
        <w:t>地下水</w:t>
      </w:r>
      <w:bookmarkEnd w:id="218"/>
      <w:r>
        <w:rPr>
          <w:rFonts w:cs="Times New Roman"/>
        </w:rPr>
        <w:t>环境现状</w:t>
      </w:r>
      <w:bookmarkEnd w:id="219"/>
      <w:bookmarkEnd w:id="220"/>
    </w:p>
    <w:p>
      <w:pPr>
        <w:ind w:firstLine="480"/>
        <w:rPr>
          <w:rFonts w:cs="Times New Roman"/>
        </w:rPr>
      </w:pPr>
      <w:r>
        <w:rPr>
          <w:rFonts w:cs="Times New Roman"/>
        </w:rPr>
        <w:t>为了解项目所在地地下水环境质量状况，本次环评设置3个地下水质量监测点，四川华皓检测技术有限公司11月29日对本项目所在地地下水进行环境监测。</w:t>
      </w:r>
    </w:p>
    <w:p>
      <w:pPr>
        <w:pStyle w:val="2"/>
        <w:ind w:left="902" w:hanging="422"/>
        <w:rPr>
          <w:b/>
        </w:rPr>
      </w:pPr>
      <w:r>
        <w:rPr>
          <w:rFonts w:hint="eastAsia"/>
          <w:b/>
        </w:rPr>
        <w:t>（1）监测</w:t>
      </w:r>
      <w:r>
        <w:rPr>
          <w:b/>
        </w:rPr>
        <w:t>点位</w:t>
      </w:r>
    </w:p>
    <w:p>
      <w:pPr>
        <w:ind w:firstLine="480"/>
      </w:pPr>
      <w:r>
        <w:rPr>
          <w:rFonts w:cs="Times New Roman"/>
        </w:rPr>
        <w:t>本次环评设置3个地下水质量监测点</w:t>
      </w:r>
      <w:r>
        <w:rPr>
          <w:rFonts w:hint="eastAsia" w:cs="Times New Roman"/>
        </w:rPr>
        <w:t>，详情</w:t>
      </w:r>
      <w:r>
        <w:rPr>
          <w:rFonts w:cs="Times New Roman"/>
        </w:rPr>
        <w:t>见下表和附图</w:t>
      </w:r>
      <w:r>
        <w:rPr>
          <w:rFonts w:hint="eastAsia" w:cs="Times New Roman"/>
        </w:rPr>
        <w:t>4。</w:t>
      </w:r>
    </w:p>
    <w:p>
      <w:pPr>
        <w:pStyle w:val="73"/>
        <w:ind w:firstLine="480"/>
        <w:rPr>
          <w:rFonts w:eastAsia="宋体" w:cs="Times New Roman"/>
          <w:sz w:val="21"/>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地下水监测点位</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72"/>
        <w:gridCol w:w="62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333" w:type="pct"/>
          </w:tcPr>
          <w:p>
            <w:pPr>
              <w:pStyle w:val="63"/>
              <w:rPr>
                <w:b/>
              </w:rPr>
            </w:pPr>
            <w:bookmarkStart w:id="221" w:name="_Hlk57215505"/>
            <w:r>
              <w:rPr>
                <w:b/>
              </w:rPr>
              <w:t>点位编号</w:t>
            </w:r>
            <w:bookmarkEnd w:id="221"/>
          </w:p>
        </w:tc>
        <w:tc>
          <w:tcPr>
            <w:tcW w:w="3667" w:type="pct"/>
            <w:vAlign w:val="center"/>
          </w:tcPr>
          <w:p>
            <w:pPr>
              <w:pStyle w:val="63"/>
              <w:rPr>
                <w:b/>
              </w:rPr>
            </w:pPr>
            <w:r>
              <w:rPr>
                <w:b/>
              </w:rPr>
              <w:t>监测点位置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333" w:type="pct"/>
          </w:tcPr>
          <w:p>
            <w:pPr>
              <w:pStyle w:val="63"/>
            </w:pPr>
            <w:r>
              <w:t>1#</w:t>
            </w:r>
          </w:p>
        </w:tc>
        <w:tc>
          <w:tcPr>
            <w:tcW w:w="3667" w:type="pct"/>
          </w:tcPr>
          <w:p>
            <w:pPr>
              <w:pStyle w:val="63"/>
              <w:rPr>
                <w:szCs w:val="21"/>
              </w:rPr>
            </w:pPr>
            <w:r>
              <w:rPr>
                <w:rFonts w:hint="eastAsia" w:ascii="宋体" w:hAnsi="宋体"/>
              </w:rPr>
              <w:t>天然气集输管道西侧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333" w:type="pct"/>
          </w:tcPr>
          <w:p>
            <w:pPr>
              <w:pStyle w:val="63"/>
            </w:pPr>
            <w:r>
              <w:t>2#</w:t>
            </w:r>
          </w:p>
        </w:tc>
        <w:tc>
          <w:tcPr>
            <w:tcW w:w="3667" w:type="pct"/>
          </w:tcPr>
          <w:p>
            <w:pPr>
              <w:pStyle w:val="63"/>
              <w:rPr>
                <w:highlight w:val="yellow"/>
              </w:rPr>
            </w:pPr>
            <w:r>
              <w:rPr>
                <w:rFonts w:hint="eastAsia" w:ascii="宋体" w:hAnsi="宋体"/>
              </w:rPr>
              <w:t>天然气集输管道南侧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333" w:type="pct"/>
          </w:tcPr>
          <w:p>
            <w:pPr>
              <w:pStyle w:val="63"/>
            </w:pPr>
            <w:r>
              <w:t>3#</w:t>
            </w:r>
          </w:p>
        </w:tc>
        <w:tc>
          <w:tcPr>
            <w:tcW w:w="3667" w:type="pct"/>
          </w:tcPr>
          <w:p>
            <w:pPr>
              <w:pStyle w:val="63"/>
            </w:pPr>
            <w:r>
              <w:rPr>
                <w:rFonts w:hint="eastAsia" w:ascii="宋体" w:hAnsi="宋体"/>
              </w:rPr>
              <w:t>天然气集输管道东侧</w:t>
            </w:r>
          </w:p>
        </w:tc>
      </w:tr>
    </w:tbl>
    <w:p>
      <w:pPr>
        <w:spacing w:before="163" w:beforeLines="50"/>
        <w:ind w:firstLine="482"/>
        <w:rPr>
          <w:rFonts w:cs="Times New Roman"/>
          <w:b/>
          <w:bCs/>
        </w:rPr>
      </w:pPr>
      <w:r>
        <w:rPr>
          <w:rFonts w:cs="Times New Roman"/>
          <w:b/>
          <w:bCs/>
        </w:rPr>
        <w:t>（2）监测项目</w:t>
      </w:r>
    </w:p>
    <w:p>
      <w:pPr>
        <w:ind w:firstLine="480"/>
        <w:rPr>
          <w:rFonts w:cs="Times New Roman"/>
        </w:rPr>
      </w:pPr>
      <w:bookmarkStart w:id="222" w:name="_Hlk61099981"/>
      <w:bookmarkEnd w:id="222"/>
      <w:r>
        <w:rPr>
          <w:szCs w:val="24"/>
        </w:rPr>
        <w:t>pH</w:t>
      </w:r>
      <w:r>
        <w:rPr>
          <w:rFonts w:ascii="宋体" w:hAnsi="宋体"/>
          <w:szCs w:val="24"/>
        </w:rPr>
        <w:t>、总硬度、溶解性总固体、氨氮、硝酸盐、亚硝酸盐、氟、挥发性酚类、氰化物、耗氧量、铅、镉、铁、锰、钾、钠、钙、镁、汞、砷、石油类、铬（六价）、硫酸盐、氯化物、碳酸根、重碳酸根、总大肠菌群、菌落总数、阴离子表面活性剂。</w:t>
      </w:r>
    </w:p>
    <w:p>
      <w:pPr>
        <w:ind w:firstLine="482"/>
        <w:rPr>
          <w:rFonts w:cs="Times New Roman"/>
          <w:b/>
          <w:bCs/>
        </w:rPr>
      </w:pPr>
      <w:r>
        <w:rPr>
          <w:rFonts w:cs="Times New Roman"/>
          <w:b/>
          <w:bCs/>
        </w:rPr>
        <w:t>（3）监测周期及频率</w:t>
      </w:r>
    </w:p>
    <w:p>
      <w:pPr>
        <w:ind w:firstLine="480"/>
        <w:rPr>
          <w:rFonts w:cs="Times New Roman"/>
        </w:rPr>
      </w:pPr>
      <w:r>
        <w:rPr>
          <w:rFonts w:cs="Times New Roman"/>
        </w:rPr>
        <w:t>地下水监测天数为1天，每天1次。</w:t>
      </w:r>
    </w:p>
    <w:p>
      <w:pPr>
        <w:ind w:firstLine="482"/>
        <w:rPr>
          <w:rFonts w:cs="Times New Roman"/>
          <w:b/>
          <w:bCs/>
        </w:rPr>
      </w:pPr>
      <w:r>
        <w:rPr>
          <w:rFonts w:cs="Times New Roman"/>
          <w:b/>
          <w:bCs/>
        </w:rPr>
        <w:t>（4）采样及分析方法</w:t>
      </w:r>
    </w:p>
    <w:p>
      <w:pPr>
        <w:ind w:firstLine="480"/>
        <w:rPr>
          <w:rFonts w:cs="Times New Roman"/>
        </w:rPr>
      </w:pPr>
      <w:r>
        <w:rPr>
          <w:rFonts w:cs="Times New Roman"/>
        </w:rPr>
        <w:t>地下水分析方法采用《地下水质量标准》（GB/T14848-2017）中有关规定进行。</w:t>
      </w:r>
    </w:p>
    <w:p>
      <w:pPr>
        <w:ind w:firstLine="482"/>
        <w:rPr>
          <w:rFonts w:cs="Times New Roman"/>
          <w:b/>
          <w:bCs/>
        </w:rPr>
      </w:pPr>
      <w:r>
        <w:rPr>
          <w:rFonts w:cs="Times New Roman"/>
          <w:b/>
          <w:bCs/>
        </w:rPr>
        <w:t>（5）评价标准</w:t>
      </w:r>
    </w:p>
    <w:p>
      <w:pPr>
        <w:ind w:firstLine="480"/>
        <w:rPr>
          <w:rFonts w:cs="Times New Roman"/>
        </w:rPr>
      </w:pPr>
      <w:r>
        <w:rPr>
          <w:rFonts w:cs="Times New Roman"/>
        </w:rPr>
        <w:t>地下水执行《地下水质量标准》（GB/T14848-2017）III类水质标准、石油类参考执行《地表水环境质量标准》（GB3838-2002）III类水质标准。</w:t>
      </w:r>
    </w:p>
    <w:p>
      <w:pPr>
        <w:ind w:firstLine="482"/>
        <w:rPr>
          <w:rFonts w:cs="Times New Roman"/>
          <w:b/>
          <w:bCs/>
        </w:rPr>
      </w:pPr>
      <w:r>
        <w:rPr>
          <w:rFonts w:cs="Times New Roman"/>
          <w:b/>
          <w:bCs/>
        </w:rPr>
        <w:t>（6）水质现状评价方法</w:t>
      </w:r>
    </w:p>
    <w:p>
      <w:pPr>
        <w:ind w:firstLine="480"/>
        <w:rPr>
          <w:rFonts w:cs="Times New Roman"/>
        </w:rPr>
      </w:pPr>
      <w:r>
        <w:rPr>
          <w:rFonts w:cs="Times New Roman"/>
        </w:rPr>
        <w:t>采用标准指数法进行评价。标准指数计算公式分为以下两种情况：</w:t>
      </w:r>
    </w:p>
    <w:p>
      <w:pPr>
        <w:ind w:firstLine="480"/>
        <w:jc w:val="center"/>
        <w:rPr>
          <w:rFonts w:cs="Times New Roman"/>
        </w:rPr>
      </w:pPr>
      <w:r>
        <w:rPr>
          <w:rFonts w:cs="Times New Roman"/>
        </w:rPr>
        <w:drawing>
          <wp:inline distT="0" distB="0" distL="0" distR="0">
            <wp:extent cx="1151890" cy="539750"/>
            <wp:effectExtent l="0" t="0" r="0" b="0"/>
            <wp:docPr id="4" name="图片 4" descr="C:\Users\ADMINI~1\AppData\Local\Temp\ksohtml944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9444\wps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151890" cy="539750"/>
                    </a:xfrm>
                    <a:prstGeom prst="rect">
                      <a:avLst/>
                    </a:prstGeom>
                    <a:noFill/>
                    <a:ln>
                      <a:noFill/>
                    </a:ln>
                  </pic:spPr>
                </pic:pic>
              </a:graphicData>
            </a:graphic>
          </wp:inline>
        </w:drawing>
      </w:r>
      <w:r>
        <w:rPr>
          <w:rFonts w:cs="Times New Roman"/>
        </w:rPr>
        <w:t xml:space="preserve"> </w:t>
      </w:r>
    </w:p>
    <w:p>
      <w:pPr>
        <w:ind w:firstLine="480"/>
        <w:jc w:val="left"/>
        <w:rPr>
          <w:rFonts w:cs="Times New Roman"/>
        </w:rPr>
      </w:pPr>
      <w:r>
        <w:rPr>
          <w:rFonts w:cs="Times New Roman"/>
        </w:rPr>
        <w:t>式中：P</w:t>
      </w:r>
      <w:r>
        <w:rPr>
          <w:rFonts w:cs="Times New Roman"/>
          <w:vertAlign w:val="subscript"/>
        </w:rPr>
        <w:t>i</w:t>
      </w:r>
      <w:r>
        <w:rPr>
          <w:rFonts w:cs="Times New Roman"/>
        </w:rPr>
        <w:t>—第i个水质因子的标准指数，无量纲；</w:t>
      </w:r>
    </w:p>
    <w:p>
      <w:pPr>
        <w:ind w:firstLine="1159" w:firstLineChars="483"/>
        <w:jc w:val="left"/>
        <w:rPr>
          <w:rFonts w:cs="Times New Roman"/>
        </w:rPr>
      </w:pPr>
      <w:r>
        <w:rPr>
          <w:rFonts w:cs="Times New Roman"/>
        </w:rPr>
        <w:t>C</w:t>
      </w:r>
      <w:r>
        <w:rPr>
          <w:rFonts w:cs="Times New Roman"/>
          <w:vertAlign w:val="subscript"/>
        </w:rPr>
        <w:t>i</w:t>
      </w:r>
      <w:r>
        <w:rPr>
          <w:rFonts w:cs="Times New Roman"/>
        </w:rPr>
        <w:t>—第i个水质因子的监测浓度，mg/L；</w:t>
      </w:r>
    </w:p>
    <w:p>
      <w:pPr>
        <w:ind w:firstLine="1159" w:firstLineChars="483"/>
        <w:jc w:val="left"/>
        <w:rPr>
          <w:rFonts w:cs="Times New Roman"/>
        </w:rPr>
      </w:pPr>
      <w:r>
        <w:rPr>
          <w:rFonts w:cs="Times New Roman"/>
        </w:rPr>
        <w:t>CS</w:t>
      </w:r>
      <w:r>
        <w:rPr>
          <w:rFonts w:cs="Times New Roman"/>
          <w:vertAlign w:val="subscript"/>
        </w:rPr>
        <w:t>i</w:t>
      </w:r>
      <w:r>
        <w:rPr>
          <w:rFonts w:cs="Times New Roman"/>
        </w:rPr>
        <w:t>—第i个水质因子的标准浓度，mg/L。</w:t>
      </w:r>
    </w:p>
    <w:p>
      <w:pPr>
        <w:ind w:firstLine="480"/>
        <w:jc w:val="left"/>
        <w:rPr>
          <w:rFonts w:cs="Times New Roman"/>
        </w:rPr>
      </w:pPr>
      <w:r>
        <w:rPr>
          <w:rFonts w:cs="Times New Roman"/>
        </w:rPr>
        <w:t>对于评价标准为区间值的水质因子（如pH值），其标准指数计算公式：</w:t>
      </w:r>
    </w:p>
    <w:p>
      <w:pPr>
        <w:pStyle w:val="56"/>
        <w:ind w:firstLine="480"/>
        <w:jc w:val="right"/>
        <w:rPr>
          <w:rFonts w:cs="Times New Roman"/>
        </w:rPr>
      </w:pPr>
      <w:r>
        <w:rPr>
          <w:rFonts w:cs="Times New Roman"/>
        </w:rPr>
        <w:drawing>
          <wp:inline distT="0" distB="0" distL="0" distR="0">
            <wp:extent cx="3886200" cy="932815"/>
            <wp:effectExtent l="0" t="0" r="0" b="635"/>
            <wp:docPr id="1" name="图片 1" descr="C:\Users\ADMINI~1\AppData\Local\Temp\ksohtml944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9444\wps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886200" cy="932815"/>
                    </a:xfrm>
                    <a:prstGeom prst="rect">
                      <a:avLst/>
                    </a:prstGeom>
                    <a:noFill/>
                    <a:ln>
                      <a:noFill/>
                    </a:ln>
                  </pic:spPr>
                </pic:pic>
              </a:graphicData>
            </a:graphic>
          </wp:inline>
        </w:drawing>
      </w:r>
      <w:r>
        <w:rPr>
          <w:rFonts w:cs="Times New Roman"/>
        </w:rPr>
        <w:t xml:space="preserve"> </w:t>
      </w:r>
    </w:p>
    <w:p>
      <w:pPr>
        <w:ind w:firstLine="480"/>
        <w:jc w:val="left"/>
        <w:rPr>
          <w:rFonts w:cs="Times New Roman"/>
        </w:rPr>
      </w:pPr>
      <w:r>
        <w:rPr>
          <w:rFonts w:cs="Times New Roman"/>
        </w:rPr>
        <w:t>式中：P</w:t>
      </w:r>
      <w:r>
        <w:rPr>
          <w:rFonts w:cs="Times New Roman"/>
          <w:vertAlign w:val="subscript"/>
        </w:rPr>
        <w:t>pH</w:t>
      </w:r>
      <w:r>
        <w:rPr>
          <w:rFonts w:cs="Times New Roman"/>
        </w:rPr>
        <w:t>—pH的标准指数，无量纲；</w:t>
      </w:r>
    </w:p>
    <w:p>
      <w:pPr>
        <w:ind w:firstLine="1279" w:firstLineChars="533"/>
        <w:jc w:val="left"/>
        <w:rPr>
          <w:rFonts w:cs="Times New Roman"/>
        </w:rPr>
      </w:pPr>
      <w:r>
        <w:rPr>
          <w:rFonts w:cs="Times New Roman"/>
        </w:rPr>
        <w:t>pH—pH监测值；</w:t>
      </w:r>
    </w:p>
    <w:p>
      <w:pPr>
        <w:ind w:firstLine="1279" w:firstLineChars="533"/>
        <w:jc w:val="left"/>
        <w:rPr>
          <w:rFonts w:cs="Times New Roman"/>
        </w:rPr>
      </w:pPr>
      <w:r>
        <w:rPr>
          <w:rFonts w:cs="Times New Roman"/>
        </w:rPr>
        <w:t>pHsd—标准中pH的下限值；</w:t>
      </w:r>
    </w:p>
    <w:p>
      <w:pPr>
        <w:ind w:firstLine="1279" w:firstLineChars="533"/>
        <w:jc w:val="left"/>
        <w:rPr>
          <w:rFonts w:cs="Times New Roman"/>
        </w:rPr>
      </w:pPr>
      <w:r>
        <w:rPr>
          <w:rFonts w:cs="Times New Roman"/>
        </w:rPr>
        <w:t>pHsu—标准中pH的上限值。</w:t>
      </w:r>
    </w:p>
    <w:p>
      <w:pPr>
        <w:ind w:firstLine="482"/>
        <w:rPr>
          <w:rFonts w:cs="Times New Roman"/>
          <w:b/>
          <w:bCs/>
        </w:rPr>
      </w:pPr>
      <w:r>
        <w:rPr>
          <w:rFonts w:cs="Times New Roman"/>
          <w:b/>
          <w:bCs/>
        </w:rPr>
        <w:t>（7）监测结果</w:t>
      </w:r>
    </w:p>
    <w:p>
      <w:pPr>
        <w:ind w:firstLine="480"/>
        <w:rPr>
          <w:rFonts w:cs="Times New Roman"/>
        </w:rPr>
      </w:pPr>
      <w:r>
        <w:rPr>
          <w:rFonts w:cs="Times New Roman"/>
        </w:rPr>
        <w:t>本项目地下水监测统计结果如下表：</w:t>
      </w:r>
    </w:p>
    <w:p>
      <w:pPr>
        <w:pStyle w:val="73"/>
        <w:ind w:firstLine="482"/>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rPr>
        <w:t xml:space="preserve">  地下水水质监测结果</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23"/>
        <w:gridCol w:w="1813"/>
        <w:gridCol w:w="1703"/>
        <w:gridCol w:w="1559"/>
        <w:gridCol w:w="1487"/>
        <w:gridCol w:w="11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tblHeader/>
          <w:jc w:val="center"/>
        </w:trPr>
        <w:tc>
          <w:tcPr>
            <w:tcW w:w="373" w:type="pct"/>
            <w:vMerge w:val="restart"/>
            <w:vAlign w:val="center"/>
          </w:tcPr>
          <w:p>
            <w:pPr>
              <w:pStyle w:val="63"/>
              <w:rPr>
                <w:rStyle w:val="233"/>
                <w:rFonts w:ascii="Times New Roman" w:hAnsi="Times New Roman" w:cstheme="majorBidi"/>
                <w:b/>
                <w:sz w:val="21"/>
                <w:szCs w:val="20"/>
              </w:rPr>
            </w:pPr>
            <w:r>
              <w:rPr>
                <w:rStyle w:val="233"/>
                <w:rFonts w:ascii="Times New Roman" w:hAnsi="Times New Roman" w:cstheme="majorBidi"/>
                <w:b/>
                <w:sz w:val="21"/>
                <w:szCs w:val="20"/>
              </w:rPr>
              <w:t>采样日期</w:t>
            </w:r>
          </w:p>
        </w:tc>
        <w:tc>
          <w:tcPr>
            <w:tcW w:w="1084" w:type="pct"/>
            <w:vMerge w:val="restart"/>
            <w:vAlign w:val="center"/>
          </w:tcPr>
          <w:p>
            <w:pPr>
              <w:pStyle w:val="63"/>
              <w:rPr>
                <w:rStyle w:val="233"/>
                <w:rFonts w:ascii="Times New Roman" w:hAnsi="Times New Roman" w:cstheme="majorBidi"/>
                <w:b/>
                <w:sz w:val="21"/>
                <w:szCs w:val="20"/>
              </w:rPr>
            </w:pPr>
            <w:r>
              <w:rPr>
                <w:rStyle w:val="233"/>
                <w:rFonts w:ascii="Times New Roman" w:hAnsi="Times New Roman" w:cstheme="majorBidi"/>
                <w:b/>
                <w:sz w:val="21"/>
                <w:szCs w:val="20"/>
              </w:rPr>
              <w:t>检测项目</w:t>
            </w:r>
          </w:p>
        </w:tc>
        <w:tc>
          <w:tcPr>
            <w:tcW w:w="2839" w:type="pct"/>
            <w:gridSpan w:val="3"/>
            <w:tcBorders>
              <w:right w:val="single" w:color="auto" w:sz="4" w:space="0"/>
            </w:tcBorders>
            <w:vAlign w:val="center"/>
          </w:tcPr>
          <w:p>
            <w:pPr>
              <w:pStyle w:val="63"/>
              <w:rPr>
                <w:rStyle w:val="233"/>
                <w:rFonts w:ascii="Times New Roman" w:hAnsi="Times New Roman" w:cstheme="majorBidi"/>
                <w:b/>
                <w:sz w:val="21"/>
                <w:szCs w:val="20"/>
              </w:rPr>
            </w:pPr>
            <w:r>
              <w:rPr>
                <w:rStyle w:val="233"/>
                <w:rFonts w:ascii="Times New Roman" w:hAnsi="Times New Roman" w:cstheme="majorBidi"/>
                <w:b/>
                <w:sz w:val="21"/>
                <w:szCs w:val="20"/>
              </w:rPr>
              <w:t>检测结果</w:t>
            </w:r>
          </w:p>
        </w:tc>
        <w:tc>
          <w:tcPr>
            <w:tcW w:w="704" w:type="pct"/>
            <w:vMerge w:val="restart"/>
            <w:tcBorders>
              <w:left w:val="single" w:color="auto" w:sz="4" w:space="0"/>
            </w:tcBorders>
            <w:vAlign w:val="center"/>
          </w:tcPr>
          <w:p>
            <w:pPr>
              <w:pStyle w:val="63"/>
              <w:rPr>
                <w:rStyle w:val="233"/>
                <w:rFonts w:ascii="Times New Roman" w:hAnsi="Times New Roman" w:cstheme="majorBidi"/>
                <w:b/>
                <w:sz w:val="21"/>
                <w:szCs w:val="20"/>
              </w:rPr>
            </w:pPr>
            <w:r>
              <w:rPr>
                <w:rStyle w:val="233"/>
                <w:rFonts w:ascii="Times New Roman" w:hAnsi="Times New Roman" w:cstheme="majorBidi"/>
                <w:b/>
                <w:sz w:val="21"/>
                <w:szCs w:val="20"/>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tblHeader/>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Merge w:val="continue"/>
            <w:vAlign w:val="center"/>
          </w:tcPr>
          <w:p>
            <w:pPr>
              <w:pStyle w:val="63"/>
              <w:rPr>
                <w:rStyle w:val="233"/>
                <w:rFonts w:ascii="Times New Roman" w:hAnsi="Times New Roman" w:cstheme="majorBidi"/>
                <w:b w:val="0"/>
                <w:sz w:val="21"/>
                <w:szCs w:val="20"/>
              </w:rPr>
            </w:pPr>
          </w:p>
        </w:tc>
        <w:tc>
          <w:tcPr>
            <w:tcW w:w="1018" w:type="pct"/>
            <w:vAlign w:val="center"/>
          </w:tcPr>
          <w:p>
            <w:pPr>
              <w:pStyle w:val="63"/>
              <w:rPr>
                <w:rStyle w:val="233"/>
                <w:rFonts w:ascii="Times New Roman" w:hAnsi="Times New Roman" w:cstheme="majorBidi"/>
                <w:b/>
                <w:sz w:val="21"/>
                <w:szCs w:val="20"/>
              </w:rPr>
            </w:pPr>
            <w:r>
              <w:rPr>
                <w:rStyle w:val="233"/>
                <w:rFonts w:ascii="Times New Roman" w:hAnsi="Times New Roman" w:cstheme="majorBidi"/>
                <w:b/>
                <w:sz w:val="21"/>
                <w:szCs w:val="20"/>
              </w:rPr>
              <w:t>1#</w:t>
            </w:r>
          </w:p>
        </w:tc>
        <w:tc>
          <w:tcPr>
            <w:tcW w:w="932" w:type="pct"/>
            <w:vAlign w:val="center"/>
          </w:tcPr>
          <w:p>
            <w:pPr>
              <w:pStyle w:val="63"/>
              <w:rPr>
                <w:rStyle w:val="233"/>
                <w:rFonts w:ascii="Times New Roman" w:hAnsi="Times New Roman" w:cstheme="majorBidi"/>
                <w:b/>
                <w:sz w:val="21"/>
                <w:szCs w:val="20"/>
              </w:rPr>
            </w:pPr>
            <w:r>
              <w:rPr>
                <w:rStyle w:val="233"/>
                <w:rFonts w:ascii="Times New Roman" w:hAnsi="Times New Roman" w:cstheme="majorBidi"/>
                <w:b/>
                <w:sz w:val="21"/>
                <w:szCs w:val="20"/>
              </w:rPr>
              <w:t>2#</w:t>
            </w:r>
          </w:p>
        </w:tc>
        <w:tc>
          <w:tcPr>
            <w:tcW w:w="889" w:type="pct"/>
            <w:tcBorders>
              <w:right w:val="single" w:color="auto" w:sz="4" w:space="0"/>
            </w:tcBorders>
            <w:vAlign w:val="center"/>
          </w:tcPr>
          <w:p>
            <w:pPr>
              <w:pStyle w:val="63"/>
              <w:rPr>
                <w:rStyle w:val="233"/>
                <w:rFonts w:ascii="Times New Roman" w:hAnsi="Times New Roman" w:cstheme="majorBidi"/>
                <w:b/>
                <w:sz w:val="21"/>
                <w:szCs w:val="20"/>
              </w:rPr>
            </w:pPr>
            <w:r>
              <w:rPr>
                <w:rStyle w:val="233"/>
                <w:rFonts w:ascii="Times New Roman" w:hAnsi="Times New Roman" w:cstheme="majorBidi"/>
                <w:b/>
                <w:sz w:val="21"/>
                <w:szCs w:val="20"/>
              </w:rPr>
              <w:t>3#</w:t>
            </w:r>
          </w:p>
        </w:tc>
        <w:tc>
          <w:tcPr>
            <w:tcW w:w="704" w:type="pct"/>
            <w:vMerge w:val="continue"/>
            <w:tcBorders>
              <w:left w:val="single" w:color="auto" w:sz="4" w:space="0"/>
            </w:tcBorders>
            <w:vAlign w:val="center"/>
          </w:tcPr>
          <w:p>
            <w:pPr>
              <w:pStyle w:val="63"/>
              <w:rPr>
                <w:rStyle w:val="233"/>
                <w:rFonts w:ascii="Times New Roman" w:hAnsi="Times New Roman" w:cstheme="majorBidi"/>
                <w:b w:val="0"/>
                <w:sz w:val="21"/>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restar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11月29日</w:t>
            </w: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pH值</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7.5</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7.3</w:t>
            </w:r>
          </w:p>
        </w:tc>
        <w:tc>
          <w:tcPr>
            <w:tcW w:w="889" w:type="pct"/>
            <w:tcBorders>
              <w:right w:val="single" w:color="auto" w:sz="4" w:space="0"/>
            </w:tcBorders>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7.2</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总硬度</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308</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253</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228</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溶解性总固体</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343</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301</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271</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氨氮</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0.034</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0.037</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0.037</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硝酸盐</w:t>
            </w:r>
            <w:r>
              <w:rPr>
                <w:rStyle w:val="233"/>
                <w:rFonts w:hint="eastAsia" w:ascii="Times New Roman" w:hAnsi="Times New Roman" w:cstheme="majorBidi"/>
                <w:b w:val="0"/>
                <w:sz w:val="21"/>
                <w:szCs w:val="20"/>
              </w:rPr>
              <w:t>氮</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0.62</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0.69</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0.30</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亚硝酸盐</w:t>
            </w:r>
            <w:r>
              <w:rPr>
                <w:rStyle w:val="233"/>
                <w:rFonts w:hint="eastAsia" w:ascii="Times New Roman" w:hAnsi="Times New Roman" w:cstheme="majorBidi"/>
                <w:b w:val="0"/>
                <w:sz w:val="21"/>
                <w:szCs w:val="20"/>
              </w:rPr>
              <w:t>氮</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氟</w:t>
            </w:r>
            <w:r>
              <w:rPr>
                <w:rStyle w:val="233"/>
                <w:rFonts w:hint="eastAsia" w:ascii="Times New Roman" w:hAnsi="Times New Roman" w:cstheme="majorBidi"/>
                <w:b w:val="0"/>
                <w:sz w:val="21"/>
                <w:szCs w:val="20"/>
              </w:rPr>
              <w:t>化物</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挥发酚</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氰化物</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耗氧量</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0.96</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0.87</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0.92</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铅</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镉</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铁</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锰</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钾</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1.02</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1.80</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1.66</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钠</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8.25</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5.64</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6.05</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钙</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101</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87.0</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76.3</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镁</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10.5</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8.41</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7.83</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汞</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砷</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石油类</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六价铬</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硫酸盐</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9</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10</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13</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氯化物</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碳酸根</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重碳酸根</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363</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322</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288</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总大肠菌群</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&lt;2</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&lt;2</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&lt;2</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MPN/100mL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菌落总数</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66</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60</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49</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CFU/mL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373" w:type="pct"/>
            <w:vMerge w:val="continue"/>
            <w:vAlign w:val="center"/>
          </w:tcPr>
          <w:p>
            <w:pPr>
              <w:pStyle w:val="63"/>
              <w:rPr>
                <w:rStyle w:val="233"/>
                <w:rFonts w:ascii="Times New Roman" w:hAnsi="Times New Roman" w:cstheme="majorBidi"/>
                <w:b w:val="0"/>
                <w:sz w:val="21"/>
                <w:szCs w:val="20"/>
              </w:rPr>
            </w:pPr>
          </w:p>
        </w:tc>
        <w:tc>
          <w:tcPr>
            <w:tcW w:w="108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阴离子表面活性剂</w:t>
            </w:r>
          </w:p>
        </w:tc>
        <w:tc>
          <w:tcPr>
            <w:tcW w:w="1018"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932"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889" w:type="pct"/>
            <w:vAlign w:val="center"/>
          </w:tcPr>
          <w:p>
            <w:pPr>
              <w:pStyle w:val="63"/>
              <w:rPr>
                <w:rStyle w:val="233"/>
                <w:rFonts w:ascii="Times New Roman" w:hAnsi="Times New Roman" w:cstheme="majorBidi"/>
                <w:b w:val="0"/>
                <w:sz w:val="21"/>
                <w:szCs w:val="20"/>
              </w:rPr>
            </w:pPr>
            <w:r>
              <w:rPr>
                <w:rStyle w:val="233"/>
                <w:rFonts w:hint="eastAsia" w:ascii="Times New Roman" w:hAnsi="Times New Roman" w:cstheme="majorBidi"/>
                <w:b w:val="0"/>
                <w:sz w:val="21"/>
                <w:szCs w:val="20"/>
              </w:rPr>
              <w:t>ND</w:t>
            </w:r>
          </w:p>
        </w:tc>
        <w:tc>
          <w:tcPr>
            <w:tcW w:w="704" w:type="pct"/>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5000" w:type="pct"/>
            <w:gridSpan w:val="6"/>
            <w:vAlign w:val="center"/>
          </w:tcPr>
          <w:p>
            <w:pPr>
              <w:pStyle w:val="63"/>
              <w:jc w:val="left"/>
              <w:rPr>
                <w:rStyle w:val="233"/>
                <w:rFonts w:ascii="Times New Roman" w:hAnsi="Times New Roman" w:cstheme="majorBidi"/>
                <w:b w:val="0"/>
                <w:sz w:val="21"/>
                <w:szCs w:val="20"/>
              </w:rPr>
            </w:pPr>
            <w:r>
              <w:t>备注：ND表示检测结果低于方法检出限或未检出。</w:t>
            </w:r>
          </w:p>
        </w:tc>
      </w:tr>
    </w:tbl>
    <w:p>
      <w:pPr>
        <w:spacing w:before="163" w:beforeLines="50"/>
        <w:ind w:firstLine="0" w:firstLineChars="0"/>
        <w:rPr>
          <w:rFonts w:cs="Times New Roman"/>
          <w:b/>
          <w:bCs/>
        </w:rPr>
      </w:pPr>
      <w:r>
        <w:rPr>
          <w:rFonts w:cs="Times New Roman"/>
          <w:b/>
          <w:bCs/>
        </w:rPr>
        <w:t>（8）地下水水质评价结果</w:t>
      </w:r>
    </w:p>
    <w:p>
      <w:pPr>
        <w:pStyle w:val="73"/>
        <w:rPr>
          <w:rFonts w:cs="Times New Roman"/>
          <w:bCs/>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6.3</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3</w:t>
      </w:r>
      <w:r>
        <w:rPr>
          <w:rFonts w:cs="Times New Roman"/>
        </w:rPr>
        <w:fldChar w:fldCharType="end"/>
      </w:r>
      <w:r>
        <w:rPr>
          <w:rFonts w:cs="Times New Roman"/>
        </w:rPr>
        <w:t xml:space="preserve">  地下水水质标准指数</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5"/>
        <w:gridCol w:w="2047"/>
        <w:gridCol w:w="2047"/>
        <w:gridCol w:w="1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681" w:type="pct"/>
            <w:vMerge w:val="restart"/>
            <w:tcBorders>
              <w:top w:val="single" w:color="auto" w:sz="12" w:space="0"/>
              <w:left w:val="nil"/>
              <w:tl2br w:val="nil"/>
              <w:tr2bl w:val="nil"/>
            </w:tcBorders>
            <w:noWrap/>
            <w:vAlign w:val="center"/>
          </w:tcPr>
          <w:p>
            <w:pPr>
              <w:pStyle w:val="63"/>
              <w:rPr>
                <w:b/>
              </w:rPr>
            </w:pPr>
            <w:r>
              <w:rPr>
                <w:b/>
              </w:rPr>
              <w:t>监测因子</w:t>
            </w:r>
          </w:p>
        </w:tc>
        <w:tc>
          <w:tcPr>
            <w:tcW w:w="3319" w:type="pct"/>
            <w:gridSpan w:val="3"/>
            <w:tcBorders>
              <w:top w:val="single" w:color="auto" w:sz="12" w:space="0"/>
              <w:tl2br w:val="nil"/>
              <w:tr2bl w:val="nil"/>
            </w:tcBorders>
            <w:noWrap/>
            <w:vAlign w:val="center"/>
          </w:tcPr>
          <w:p>
            <w:pPr>
              <w:pStyle w:val="63"/>
              <w:rPr>
                <w:b/>
              </w:rPr>
            </w:pPr>
            <w:r>
              <w:rPr>
                <w:b/>
              </w:rPr>
              <w:t>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681" w:type="pct"/>
            <w:vMerge w:val="continue"/>
            <w:tcBorders>
              <w:top w:val="single" w:color="auto" w:sz="12" w:space="0"/>
              <w:left w:val="nil"/>
              <w:tl2br w:val="nil"/>
              <w:tr2bl w:val="nil"/>
            </w:tcBorders>
            <w:noWrap/>
            <w:vAlign w:val="center"/>
          </w:tcPr>
          <w:p>
            <w:pPr>
              <w:pStyle w:val="63"/>
            </w:pPr>
          </w:p>
        </w:tc>
        <w:tc>
          <w:tcPr>
            <w:tcW w:w="1201" w:type="pct"/>
            <w:tcBorders>
              <w:top w:val="single" w:color="auto" w:sz="12" w:space="0"/>
              <w:tl2br w:val="nil"/>
              <w:tr2bl w:val="nil"/>
            </w:tcBorders>
            <w:noWrap/>
            <w:vAlign w:val="center"/>
          </w:tcPr>
          <w:p>
            <w:pPr>
              <w:pStyle w:val="63"/>
              <w:rPr>
                <w:b/>
              </w:rPr>
            </w:pPr>
            <w:r>
              <w:rPr>
                <w:b/>
              </w:rPr>
              <w:t>1#</w:t>
            </w:r>
          </w:p>
        </w:tc>
        <w:tc>
          <w:tcPr>
            <w:tcW w:w="1201" w:type="pct"/>
            <w:tcBorders>
              <w:top w:val="single" w:color="auto" w:sz="12" w:space="0"/>
              <w:tl2br w:val="nil"/>
              <w:tr2bl w:val="nil"/>
            </w:tcBorders>
            <w:noWrap/>
            <w:vAlign w:val="center"/>
          </w:tcPr>
          <w:p>
            <w:pPr>
              <w:pStyle w:val="63"/>
              <w:rPr>
                <w:b/>
              </w:rPr>
            </w:pPr>
            <w:r>
              <w:rPr>
                <w:b/>
              </w:rPr>
              <w:t>2#</w:t>
            </w:r>
          </w:p>
        </w:tc>
        <w:tc>
          <w:tcPr>
            <w:tcW w:w="917" w:type="pct"/>
            <w:tcBorders>
              <w:top w:val="single" w:color="auto" w:sz="12" w:space="0"/>
              <w:tl2br w:val="nil"/>
              <w:tr2bl w:val="nil"/>
            </w:tcBorders>
            <w:noWrap/>
            <w:vAlign w:val="center"/>
          </w:tcPr>
          <w:p>
            <w:pPr>
              <w:pStyle w:val="63"/>
              <w:rPr>
                <w:b/>
              </w:rPr>
            </w:pPr>
            <w:r>
              <w:rPr>
                <w:b/>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pH值</w:t>
            </w:r>
          </w:p>
        </w:tc>
        <w:tc>
          <w:tcPr>
            <w:tcW w:w="1201" w:type="pct"/>
            <w:tcBorders>
              <w:tl2br w:val="nil"/>
              <w:tr2bl w:val="nil"/>
            </w:tcBorders>
            <w:noWrap/>
            <w:vAlign w:val="center"/>
          </w:tcPr>
          <w:p>
            <w:pPr>
              <w:pStyle w:val="63"/>
            </w:pPr>
            <w:r>
              <w:rPr>
                <w:rFonts w:hint="eastAsia"/>
              </w:rPr>
              <w:t>0.25</w:t>
            </w:r>
          </w:p>
        </w:tc>
        <w:tc>
          <w:tcPr>
            <w:tcW w:w="1201" w:type="pct"/>
            <w:tcBorders>
              <w:tl2br w:val="nil"/>
              <w:tr2bl w:val="nil"/>
            </w:tcBorders>
            <w:noWrap/>
            <w:vAlign w:val="center"/>
          </w:tcPr>
          <w:p>
            <w:pPr>
              <w:pStyle w:val="63"/>
            </w:pPr>
            <w:r>
              <w:rPr>
                <w:rFonts w:hint="eastAsia"/>
              </w:rPr>
              <w:t>0.15</w:t>
            </w:r>
          </w:p>
        </w:tc>
        <w:tc>
          <w:tcPr>
            <w:tcW w:w="917" w:type="pct"/>
            <w:tcBorders>
              <w:tl2br w:val="nil"/>
              <w:tr2bl w:val="nil"/>
            </w:tcBorders>
            <w:noWrap/>
            <w:vAlign w:val="center"/>
          </w:tcPr>
          <w:p>
            <w:pPr>
              <w:pStyle w:val="63"/>
            </w:pPr>
            <w:r>
              <w:rPr>
                <w:rFonts w:hint="eastAsia"/>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总硬度</w:t>
            </w:r>
          </w:p>
        </w:tc>
        <w:tc>
          <w:tcPr>
            <w:tcW w:w="1201" w:type="pct"/>
            <w:tcBorders>
              <w:tl2br w:val="nil"/>
              <w:tr2bl w:val="nil"/>
            </w:tcBorders>
            <w:noWrap/>
            <w:vAlign w:val="center"/>
          </w:tcPr>
          <w:p>
            <w:pPr>
              <w:pStyle w:val="63"/>
            </w:pPr>
            <w:r>
              <w:rPr>
                <w:rFonts w:hint="eastAsia"/>
              </w:rPr>
              <w:t xml:space="preserve">0.684 </w:t>
            </w:r>
          </w:p>
        </w:tc>
        <w:tc>
          <w:tcPr>
            <w:tcW w:w="1201" w:type="pct"/>
            <w:tcBorders>
              <w:tl2br w:val="nil"/>
              <w:tr2bl w:val="nil"/>
            </w:tcBorders>
            <w:noWrap/>
            <w:vAlign w:val="center"/>
          </w:tcPr>
          <w:p>
            <w:pPr>
              <w:pStyle w:val="63"/>
            </w:pPr>
            <w:r>
              <w:rPr>
                <w:rFonts w:hint="eastAsia"/>
              </w:rPr>
              <w:t xml:space="preserve">0.562 </w:t>
            </w:r>
          </w:p>
        </w:tc>
        <w:tc>
          <w:tcPr>
            <w:tcW w:w="917" w:type="pct"/>
            <w:tcBorders>
              <w:tl2br w:val="nil"/>
              <w:tr2bl w:val="nil"/>
            </w:tcBorders>
            <w:noWrap/>
            <w:vAlign w:val="center"/>
          </w:tcPr>
          <w:p>
            <w:pPr>
              <w:pStyle w:val="63"/>
            </w:pPr>
            <w:r>
              <w:rPr>
                <w:rFonts w:hint="eastAsia"/>
              </w:rPr>
              <w:t xml:space="preserve">0.507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溶解性总固体</w:t>
            </w:r>
          </w:p>
        </w:tc>
        <w:tc>
          <w:tcPr>
            <w:tcW w:w="1201" w:type="pct"/>
            <w:tcBorders>
              <w:tl2br w:val="nil"/>
              <w:tr2bl w:val="nil"/>
            </w:tcBorders>
            <w:noWrap/>
            <w:vAlign w:val="center"/>
          </w:tcPr>
          <w:p>
            <w:pPr>
              <w:pStyle w:val="63"/>
            </w:pPr>
            <w:r>
              <w:rPr>
                <w:rFonts w:hint="eastAsia"/>
              </w:rPr>
              <w:t xml:space="preserve">0.343 </w:t>
            </w:r>
          </w:p>
        </w:tc>
        <w:tc>
          <w:tcPr>
            <w:tcW w:w="1201" w:type="pct"/>
            <w:tcBorders>
              <w:tl2br w:val="nil"/>
              <w:tr2bl w:val="nil"/>
            </w:tcBorders>
            <w:noWrap/>
            <w:vAlign w:val="center"/>
          </w:tcPr>
          <w:p>
            <w:pPr>
              <w:pStyle w:val="63"/>
            </w:pPr>
            <w:r>
              <w:rPr>
                <w:rFonts w:hint="eastAsia"/>
              </w:rPr>
              <w:t xml:space="preserve">0.301 </w:t>
            </w:r>
          </w:p>
        </w:tc>
        <w:tc>
          <w:tcPr>
            <w:tcW w:w="917" w:type="pct"/>
            <w:tcBorders>
              <w:tl2br w:val="nil"/>
              <w:tr2bl w:val="nil"/>
            </w:tcBorders>
            <w:noWrap/>
            <w:vAlign w:val="center"/>
          </w:tcPr>
          <w:p>
            <w:pPr>
              <w:pStyle w:val="63"/>
            </w:pPr>
            <w:r>
              <w:rPr>
                <w:rFonts w:hint="eastAsia"/>
              </w:rPr>
              <w:t xml:space="preserve">0.271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氨氮</w:t>
            </w:r>
          </w:p>
        </w:tc>
        <w:tc>
          <w:tcPr>
            <w:tcW w:w="1201" w:type="pct"/>
            <w:tcBorders>
              <w:tl2br w:val="nil"/>
              <w:tr2bl w:val="nil"/>
            </w:tcBorders>
            <w:noWrap/>
            <w:vAlign w:val="center"/>
          </w:tcPr>
          <w:p>
            <w:pPr>
              <w:pStyle w:val="63"/>
            </w:pPr>
            <w:r>
              <w:rPr>
                <w:rFonts w:hint="eastAsia"/>
              </w:rPr>
              <w:t xml:space="preserve">0.068 </w:t>
            </w:r>
          </w:p>
        </w:tc>
        <w:tc>
          <w:tcPr>
            <w:tcW w:w="1201" w:type="pct"/>
            <w:tcBorders>
              <w:tl2br w:val="nil"/>
              <w:tr2bl w:val="nil"/>
            </w:tcBorders>
            <w:noWrap/>
            <w:vAlign w:val="center"/>
          </w:tcPr>
          <w:p>
            <w:pPr>
              <w:pStyle w:val="63"/>
            </w:pPr>
            <w:r>
              <w:rPr>
                <w:rFonts w:hint="eastAsia"/>
              </w:rPr>
              <w:t xml:space="preserve">0.074 </w:t>
            </w:r>
          </w:p>
        </w:tc>
        <w:tc>
          <w:tcPr>
            <w:tcW w:w="917" w:type="pct"/>
            <w:tcBorders>
              <w:tl2br w:val="nil"/>
              <w:tr2bl w:val="nil"/>
            </w:tcBorders>
            <w:noWrap/>
            <w:vAlign w:val="center"/>
          </w:tcPr>
          <w:p>
            <w:pPr>
              <w:pStyle w:val="63"/>
            </w:pPr>
            <w:r>
              <w:rPr>
                <w:rFonts w:hint="eastAsia"/>
              </w:rPr>
              <w:t xml:space="preserve">0.074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硝酸盐</w:t>
            </w:r>
            <w:r>
              <w:rPr>
                <w:rStyle w:val="233"/>
                <w:rFonts w:hint="eastAsia" w:ascii="Times New Roman" w:hAnsi="Times New Roman" w:cstheme="majorBidi"/>
                <w:b w:val="0"/>
                <w:sz w:val="21"/>
                <w:szCs w:val="20"/>
              </w:rPr>
              <w:t>氮</w:t>
            </w:r>
          </w:p>
        </w:tc>
        <w:tc>
          <w:tcPr>
            <w:tcW w:w="1201" w:type="pct"/>
            <w:tcBorders>
              <w:tl2br w:val="nil"/>
              <w:tr2bl w:val="nil"/>
            </w:tcBorders>
            <w:vAlign w:val="center"/>
          </w:tcPr>
          <w:p>
            <w:pPr>
              <w:pStyle w:val="63"/>
            </w:pPr>
            <w:r>
              <w:rPr>
                <w:rFonts w:hint="eastAsia"/>
              </w:rPr>
              <w:t xml:space="preserve">0.031 </w:t>
            </w:r>
          </w:p>
        </w:tc>
        <w:tc>
          <w:tcPr>
            <w:tcW w:w="1201" w:type="pct"/>
            <w:tcBorders>
              <w:tl2br w:val="nil"/>
              <w:tr2bl w:val="nil"/>
            </w:tcBorders>
            <w:vAlign w:val="center"/>
          </w:tcPr>
          <w:p>
            <w:pPr>
              <w:pStyle w:val="63"/>
            </w:pPr>
            <w:r>
              <w:rPr>
                <w:rFonts w:hint="eastAsia"/>
              </w:rPr>
              <w:t xml:space="preserve">0.035 </w:t>
            </w:r>
          </w:p>
        </w:tc>
        <w:tc>
          <w:tcPr>
            <w:tcW w:w="917" w:type="pct"/>
            <w:tcBorders>
              <w:tl2br w:val="nil"/>
              <w:tr2bl w:val="nil"/>
            </w:tcBorders>
            <w:vAlign w:val="center"/>
          </w:tcPr>
          <w:p>
            <w:pPr>
              <w:pStyle w:val="63"/>
            </w:pPr>
            <w:r>
              <w:rPr>
                <w:rFonts w:hint="eastAsia"/>
              </w:rPr>
              <w:t xml:space="preserve">0.015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亚硝酸盐</w:t>
            </w:r>
            <w:r>
              <w:rPr>
                <w:rStyle w:val="233"/>
                <w:rFonts w:hint="eastAsia" w:ascii="Times New Roman" w:hAnsi="Times New Roman" w:cstheme="majorBidi"/>
                <w:b w:val="0"/>
                <w:sz w:val="21"/>
                <w:szCs w:val="20"/>
              </w:rPr>
              <w:t>氮</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氟</w:t>
            </w:r>
            <w:r>
              <w:rPr>
                <w:rStyle w:val="233"/>
                <w:rFonts w:hint="eastAsia" w:ascii="Times New Roman" w:hAnsi="Times New Roman" w:cstheme="majorBidi"/>
                <w:b w:val="0"/>
                <w:sz w:val="21"/>
                <w:szCs w:val="20"/>
              </w:rPr>
              <w:t>化物</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挥发酚</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氰化物</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耗氧量</w:t>
            </w:r>
          </w:p>
        </w:tc>
        <w:tc>
          <w:tcPr>
            <w:tcW w:w="1201" w:type="pct"/>
            <w:tcBorders>
              <w:tl2br w:val="nil"/>
              <w:tr2bl w:val="nil"/>
            </w:tcBorders>
            <w:noWrap/>
            <w:vAlign w:val="center"/>
          </w:tcPr>
          <w:p>
            <w:pPr>
              <w:pStyle w:val="63"/>
            </w:pPr>
            <w:r>
              <w:rPr>
                <w:rFonts w:hint="eastAsia"/>
              </w:rPr>
              <w:t xml:space="preserve">0.32 </w:t>
            </w:r>
          </w:p>
        </w:tc>
        <w:tc>
          <w:tcPr>
            <w:tcW w:w="1201" w:type="pct"/>
            <w:tcBorders>
              <w:tl2br w:val="nil"/>
              <w:tr2bl w:val="nil"/>
            </w:tcBorders>
            <w:noWrap/>
            <w:vAlign w:val="center"/>
          </w:tcPr>
          <w:p>
            <w:pPr>
              <w:pStyle w:val="63"/>
            </w:pPr>
            <w:r>
              <w:rPr>
                <w:rFonts w:hint="eastAsia"/>
              </w:rPr>
              <w:t>0.29</w:t>
            </w:r>
          </w:p>
        </w:tc>
        <w:tc>
          <w:tcPr>
            <w:tcW w:w="917" w:type="pct"/>
            <w:tcBorders>
              <w:tl2br w:val="nil"/>
              <w:tr2bl w:val="nil"/>
            </w:tcBorders>
            <w:noWrap/>
            <w:vAlign w:val="center"/>
          </w:tcPr>
          <w:p>
            <w:pPr>
              <w:pStyle w:val="63"/>
            </w:pPr>
            <w:r>
              <w:rPr>
                <w:rFonts w:hint="eastAsia"/>
              </w:rPr>
              <w:t xml:space="preserve">0.307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铅</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镉</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铁</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锰</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钠</w:t>
            </w:r>
          </w:p>
        </w:tc>
        <w:tc>
          <w:tcPr>
            <w:tcW w:w="1201" w:type="pct"/>
            <w:tcBorders>
              <w:tl2br w:val="nil"/>
              <w:tr2bl w:val="nil"/>
            </w:tcBorders>
            <w:noWrap/>
            <w:vAlign w:val="center"/>
          </w:tcPr>
          <w:p>
            <w:pPr>
              <w:pStyle w:val="63"/>
            </w:pPr>
            <w:r>
              <w:rPr>
                <w:rFonts w:hint="eastAsia"/>
              </w:rPr>
              <w:t xml:space="preserve">0.041 </w:t>
            </w:r>
          </w:p>
        </w:tc>
        <w:tc>
          <w:tcPr>
            <w:tcW w:w="1201" w:type="pct"/>
            <w:tcBorders>
              <w:tl2br w:val="nil"/>
              <w:tr2bl w:val="nil"/>
            </w:tcBorders>
            <w:noWrap/>
            <w:vAlign w:val="center"/>
          </w:tcPr>
          <w:p>
            <w:pPr>
              <w:pStyle w:val="63"/>
            </w:pPr>
            <w:r>
              <w:rPr>
                <w:rFonts w:hint="eastAsia"/>
              </w:rPr>
              <w:t xml:space="preserve">0.028 </w:t>
            </w:r>
          </w:p>
        </w:tc>
        <w:tc>
          <w:tcPr>
            <w:tcW w:w="917" w:type="pct"/>
            <w:tcBorders>
              <w:tl2br w:val="nil"/>
              <w:tr2bl w:val="nil"/>
            </w:tcBorders>
            <w:noWrap/>
            <w:vAlign w:val="center"/>
          </w:tcPr>
          <w:p>
            <w:pPr>
              <w:pStyle w:val="63"/>
            </w:pPr>
            <w:r>
              <w:rPr>
                <w:rFonts w:hint="eastAsia"/>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汞</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砷</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石油类</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六价铬</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硫酸盐</w:t>
            </w:r>
          </w:p>
        </w:tc>
        <w:tc>
          <w:tcPr>
            <w:tcW w:w="1201" w:type="pct"/>
            <w:tcBorders>
              <w:tl2br w:val="nil"/>
              <w:tr2bl w:val="nil"/>
            </w:tcBorders>
            <w:noWrap/>
            <w:vAlign w:val="center"/>
          </w:tcPr>
          <w:p>
            <w:pPr>
              <w:pStyle w:val="63"/>
            </w:pPr>
            <w:r>
              <w:rPr>
                <w:rFonts w:hint="eastAsia"/>
              </w:rPr>
              <w:t xml:space="preserve">0.036 </w:t>
            </w:r>
          </w:p>
        </w:tc>
        <w:tc>
          <w:tcPr>
            <w:tcW w:w="1201" w:type="pct"/>
            <w:tcBorders>
              <w:tl2br w:val="nil"/>
              <w:tr2bl w:val="nil"/>
            </w:tcBorders>
            <w:noWrap/>
            <w:vAlign w:val="center"/>
          </w:tcPr>
          <w:p>
            <w:pPr>
              <w:pStyle w:val="63"/>
            </w:pPr>
            <w:r>
              <w:rPr>
                <w:rFonts w:hint="eastAsia"/>
              </w:rPr>
              <w:t xml:space="preserve">0.040 </w:t>
            </w:r>
          </w:p>
        </w:tc>
        <w:tc>
          <w:tcPr>
            <w:tcW w:w="917" w:type="pct"/>
            <w:tcBorders>
              <w:tl2br w:val="nil"/>
              <w:tr2bl w:val="nil"/>
            </w:tcBorders>
            <w:noWrap/>
            <w:vAlign w:val="center"/>
          </w:tcPr>
          <w:p>
            <w:pPr>
              <w:pStyle w:val="63"/>
            </w:pPr>
            <w:r>
              <w:rPr>
                <w:rFonts w:hint="eastAsia"/>
              </w:rPr>
              <w:t xml:space="preserve">0.052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rPr>
                <w:rStyle w:val="233"/>
                <w:rFonts w:ascii="Times New Roman" w:hAnsi="Times New Roman" w:cstheme="majorBidi"/>
                <w:b w:val="0"/>
                <w:sz w:val="21"/>
                <w:szCs w:val="20"/>
              </w:rPr>
            </w:pPr>
            <w:r>
              <w:rPr>
                <w:rStyle w:val="233"/>
                <w:rFonts w:ascii="Times New Roman" w:hAnsi="Times New Roman" w:cstheme="majorBidi"/>
                <w:b w:val="0"/>
                <w:sz w:val="21"/>
                <w:szCs w:val="20"/>
              </w:rPr>
              <w:t>氯化物</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pPr>
            <w:r>
              <w:rPr>
                <w:rFonts w:hint="eastAsia"/>
              </w:rPr>
              <w:t>总大肠菌群</w:t>
            </w:r>
          </w:p>
        </w:tc>
        <w:tc>
          <w:tcPr>
            <w:tcW w:w="1201" w:type="pct"/>
            <w:tcBorders>
              <w:tl2br w:val="nil"/>
              <w:tr2bl w:val="nil"/>
            </w:tcBorders>
            <w:noWrap/>
            <w:vAlign w:val="center"/>
          </w:tcPr>
          <w:p>
            <w:pPr>
              <w:pStyle w:val="63"/>
            </w:pPr>
            <w:r>
              <w:rPr>
                <w:rFonts w:hint="eastAsia"/>
              </w:rPr>
              <w:t>&lt;0.667</w:t>
            </w:r>
          </w:p>
        </w:tc>
        <w:tc>
          <w:tcPr>
            <w:tcW w:w="1201" w:type="pct"/>
            <w:tcBorders>
              <w:tl2br w:val="nil"/>
              <w:tr2bl w:val="nil"/>
            </w:tcBorders>
            <w:noWrap/>
            <w:vAlign w:val="center"/>
          </w:tcPr>
          <w:p>
            <w:pPr>
              <w:pStyle w:val="63"/>
            </w:pPr>
            <w:r>
              <w:rPr>
                <w:rFonts w:hint="eastAsia"/>
              </w:rPr>
              <w:t>&lt;0.667</w:t>
            </w:r>
          </w:p>
        </w:tc>
        <w:tc>
          <w:tcPr>
            <w:tcW w:w="917" w:type="pct"/>
            <w:tcBorders>
              <w:tl2br w:val="nil"/>
              <w:tr2bl w:val="nil"/>
            </w:tcBorders>
            <w:noWrap/>
            <w:vAlign w:val="center"/>
          </w:tcPr>
          <w:p>
            <w:pPr>
              <w:pStyle w:val="63"/>
            </w:pPr>
            <w:r>
              <w:rPr>
                <w:rFonts w:hint="eastAsia"/>
              </w:rPr>
              <w:t>&lt;0.667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pPr>
            <w:r>
              <w:rPr>
                <w:rFonts w:hint="eastAsia"/>
              </w:rPr>
              <w:t>菌落总数</w:t>
            </w:r>
          </w:p>
        </w:tc>
        <w:tc>
          <w:tcPr>
            <w:tcW w:w="1201" w:type="pct"/>
            <w:tcBorders>
              <w:tl2br w:val="nil"/>
              <w:tr2bl w:val="nil"/>
            </w:tcBorders>
            <w:noWrap/>
            <w:vAlign w:val="center"/>
          </w:tcPr>
          <w:p>
            <w:pPr>
              <w:pStyle w:val="63"/>
            </w:pPr>
            <w:r>
              <w:rPr>
                <w:rFonts w:hint="eastAsia"/>
              </w:rPr>
              <w:t>0.66</w:t>
            </w:r>
          </w:p>
        </w:tc>
        <w:tc>
          <w:tcPr>
            <w:tcW w:w="1201" w:type="pct"/>
            <w:tcBorders>
              <w:tl2br w:val="nil"/>
              <w:tr2bl w:val="nil"/>
            </w:tcBorders>
            <w:noWrap/>
            <w:vAlign w:val="center"/>
          </w:tcPr>
          <w:p>
            <w:pPr>
              <w:pStyle w:val="63"/>
            </w:pPr>
            <w:r>
              <w:rPr>
                <w:rFonts w:hint="eastAsia"/>
              </w:rPr>
              <w:t>0.6</w:t>
            </w:r>
          </w:p>
        </w:tc>
        <w:tc>
          <w:tcPr>
            <w:tcW w:w="917" w:type="pct"/>
            <w:tcBorders>
              <w:tl2br w:val="nil"/>
              <w:tr2bl w:val="nil"/>
            </w:tcBorders>
            <w:noWrap/>
            <w:vAlign w:val="center"/>
          </w:tcPr>
          <w:p>
            <w:pPr>
              <w:pStyle w:val="63"/>
            </w:pPr>
            <w:r>
              <w:rPr>
                <w:rFonts w:hint="eastAsia"/>
              </w:rPr>
              <w:t>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1" w:type="pct"/>
            <w:tcBorders>
              <w:left w:val="nil"/>
              <w:tl2br w:val="nil"/>
              <w:tr2bl w:val="nil"/>
            </w:tcBorders>
            <w:vAlign w:val="center"/>
          </w:tcPr>
          <w:p>
            <w:pPr>
              <w:pStyle w:val="63"/>
            </w:pPr>
            <w:r>
              <w:rPr>
                <w:rFonts w:hint="eastAsia"/>
              </w:rPr>
              <w:t>阴离子表面活性剂</w:t>
            </w:r>
          </w:p>
        </w:tc>
        <w:tc>
          <w:tcPr>
            <w:tcW w:w="1201" w:type="pct"/>
            <w:tcBorders>
              <w:tl2br w:val="nil"/>
              <w:tr2bl w:val="nil"/>
            </w:tcBorders>
            <w:noWrap/>
            <w:vAlign w:val="center"/>
          </w:tcPr>
          <w:p>
            <w:pPr>
              <w:pStyle w:val="63"/>
            </w:pPr>
            <w:r>
              <w:rPr>
                <w:rFonts w:hint="eastAsia"/>
              </w:rPr>
              <w:t>ND</w:t>
            </w:r>
          </w:p>
        </w:tc>
        <w:tc>
          <w:tcPr>
            <w:tcW w:w="1201" w:type="pct"/>
            <w:tcBorders>
              <w:tl2br w:val="nil"/>
              <w:tr2bl w:val="nil"/>
            </w:tcBorders>
            <w:noWrap/>
            <w:vAlign w:val="center"/>
          </w:tcPr>
          <w:p>
            <w:pPr>
              <w:pStyle w:val="63"/>
            </w:pPr>
            <w:r>
              <w:rPr>
                <w:rFonts w:hint="eastAsia"/>
              </w:rPr>
              <w:t>ND</w:t>
            </w:r>
          </w:p>
        </w:tc>
        <w:tc>
          <w:tcPr>
            <w:tcW w:w="917" w:type="pct"/>
            <w:tcBorders>
              <w:tl2br w:val="nil"/>
              <w:tr2bl w:val="nil"/>
            </w:tcBorders>
            <w:noWrap/>
            <w:vAlign w:val="center"/>
          </w:tcPr>
          <w:p>
            <w:pPr>
              <w:pStyle w:val="63"/>
            </w:pPr>
            <w:r>
              <w:rPr>
                <w:rFonts w:hint="eastAsia"/>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tcBorders>
              <w:left w:val="nil"/>
              <w:tl2br w:val="nil"/>
              <w:tr2bl w:val="nil"/>
            </w:tcBorders>
            <w:vAlign w:val="center"/>
          </w:tcPr>
          <w:p>
            <w:pPr>
              <w:pStyle w:val="63"/>
              <w:jc w:val="left"/>
            </w:pPr>
            <w:r>
              <w:t>备注：ND表示检测结果低于方法检出限或未检出。</w:t>
            </w:r>
          </w:p>
        </w:tc>
      </w:tr>
    </w:tbl>
    <w:p>
      <w:pPr>
        <w:ind w:firstLine="480"/>
        <w:rPr>
          <w:rFonts w:cs="Times New Roman"/>
        </w:rPr>
      </w:pPr>
      <w:r>
        <w:rPr>
          <w:rFonts w:cs="Times New Roman"/>
        </w:rPr>
        <w:t>根据监测结果显示，各检测指标均满足《地下水质量标准》（GB/T14848-2017）中的III类标准限值，石油类能满足《地表水环境质量标准》（GB3838-2002）中的III类标准限值。本项目所在地地下水环境质量良好。</w:t>
      </w:r>
    </w:p>
    <w:p>
      <w:pPr>
        <w:pStyle w:val="4"/>
        <w:rPr>
          <w:rFonts w:cs="Times New Roman"/>
        </w:rPr>
      </w:pPr>
      <w:bookmarkStart w:id="223" w:name="_Toc57711030"/>
      <w:bookmarkStart w:id="224" w:name="_Toc61388590"/>
      <w:r>
        <w:rPr>
          <w:rFonts w:cs="Times New Roman"/>
        </w:rPr>
        <w:t xml:space="preserve"> </w:t>
      </w:r>
      <w:bookmarkStart w:id="225" w:name="_Toc96680702"/>
      <w:r>
        <w:rPr>
          <w:rFonts w:cs="Times New Roman"/>
        </w:rPr>
        <w:t>声环境质量现状</w:t>
      </w:r>
      <w:bookmarkEnd w:id="223"/>
      <w:bookmarkEnd w:id="224"/>
      <w:bookmarkEnd w:id="225"/>
    </w:p>
    <w:p>
      <w:pPr>
        <w:ind w:firstLine="480"/>
        <w:rPr>
          <w:rFonts w:cs="Times New Roman"/>
        </w:rPr>
      </w:pPr>
      <w:r>
        <w:rPr>
          <w:rFonts w:cs="Times New Roman"/>
        </w:rPr>
        <w:t>为了解项目所在地声环境现状，本次环评共设置5个噪声监测点位，监测布点见</w:t>
      </w:r>
      <w:r>
        <w:rPr>
          <w:rFonts w:hint="eastAsia" w:cs="Times New Roman"/>
        </w:rPr>
        <w:t>下表</w:t>
      </w:r>
      <w:r>
        <w:rPr>
          <w:rFonts w:cs="Times New Roman"/>
        </w:rPr>
        <w:t>和附图4。</w:t>
      </w:r>
    </w:p>
    <w:p>
      <w:pPr>
        <w:pStyle w:val="73"/>
        <w:rPr>
          <w:rFonts w:cs="Times New Roman"/>
          <w:b w:val="0"/>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6.4</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噪声监测点位</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3734"/>
        <w:gridCol w:w="3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228" w:type="dxa"/>
            <w:tcBorders>
              <w:top w:val="single" w:color="auto" w:sz="12" w:space="0"/>
              <w:left w:val="nil"/>
              <w:tl2br w:val="nil"/>
              <w:tr2bl w:val="nil"/>
            </w:tcBorders>
            <w:vAlign w:val="center"/>
          </w:tcPr>
          <w:p>
            <w:pPr>
              <w:spacing w:line="320" w:lineRule="exact"/>
              <w:ind w:firstLine="0" w:firstLineChars="0"/>
              <w:jc w:val="center"/>
              <w:rPr>
                <w:rFonts w:cs="Times New Roman"/>
                <w:b/>
                <w:sz w:val="21"/>
              </w:rPr>
            </w:pPr>
            <w:r>
              <w:rPr>
                <w:rFonts w:cs="Times New Roman"/>
                <w:b/>
                <w:sz w:val="21"/>
              </w:rPr>
              <w:t>点位编号</w:t>
            </w:r>
          </w:p>
        </w:tc>
        <w:tc>
          <w:tcPr>
            <w:tcW w:w="3734" w:type="dxa"/>
            <w:tcBorders>
              <w:top w:val="single" w:color="auto" w:sz="12" w:space="0"/>
              <w:tl2br w:val="nil"/>
              <w:tr2bl w:val="nil"/>
            </w:tcBorders>
            <w:vAlign w:val="center"/>
          </w:tcPr>
          <w:p>
            <w:pPr>
              <w:spacing w:line="320" w:lineRule="exact"/>
              <w:ind w:firstLine="0" w:firstLineChars="0"/>
              <w:jc w:val="center"/>
              <w:rPr>
                <w:rFonts w:cs="Times New Roman"/>
                <w:b/>
                <w:sz w:val="21"/>
              </w:rPr>
            </w:pPr>
            <w:r>
              <w:rPr>
                <w:rFonts w:cs="Times New Roman"/>
                <w:b/>
                <w:sz w:val="21"/>
              </w:rPr>
              <w:t>监测点位</w:t>
            </w:r>
          </w:p>
        </w:tc>
        <w:tc>
          <w:tcPr>
            <w:tcW w:w="3560" w:type="dxa"/>
            <w:tcBorders>
              <w:top w:val="single" w:color="auto" w:sz="12" w:space="0"/>
              <w:tl2br w:val="nil"/>
              <w:tr2bl w:val="nil"/>
            </w:tcBorders>
          </w:tcPr>
          <w:p>
            <w:pPr>
              <w:pStyle w:val="63"/>
              <w:rPr>
                <w:rFonts w:cs="Times New Roman"/>
                <w:b/>
              </w:rPr>
            </w:pPr>
            <w:r>
              <w:t>监测点坐标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1228" w:type="dxa"/>
            <w:tcBorders>
              <w:left w:val="nil"/>
              <w:tl2br w:val="nil"/>
              <w:tr2bl w:val="nil"/>
            </w:tcBorders>
            <w:vAlign w:val="center"/>
          </w:tcPr>
          <w:p>
            <w:pPr>
              <w:widowControl/>
              <w:spacing w:line="320" w:lineRule="exact"/>
              <w:ind w:firstLine="0" w:firstLineChars="0"/>
              <w:jc w:val="center"/>
              <w:rPr>
                <w:rFonts w:cs="Times New Roman"/>
                <w:sz w:val="21"/>
              </w:rPr>
            </w:pPr>
            <w:r>
              <w:rPr>
                <w:rFonts w:cs="Times New Roman"/>
                <w:sz w:val="21"/>
              </w:rPr>
              <w:t>1#</w:t>
            </w:r>
          </w:p>
        </w:tc>
        <w:tc>
          <w:tcPr>
            <w:tcW w:w="3734" w:type="dxa"/>
            <w:tcBorders>
              <w:tl2br w:val="nil"/>
              <w:tr2bl w:val="nil"/>
            </w:tcBorders>
          </w:tcPr>
          <w:p>
            <w:pPr>
              <w:pStyle w:val="63"/>
              <w:rPr>
                <w:rFonts w:cs="Times New Roman"/>
                <w:szCs w:val="21"/>
              </w:rPr>
            </w:pPr>
            <w:r>
              <w:rPr>
                <w:rFonts w:hint="eastAsia"/>
              </w:rPr>
              <w:t>天然气集输管道占地处（起点附近）</w:t>
            </w:r>
          </w:p>
        </w:tc>
        <w:tc>
          <w:tcPr>
            <w:tcW w:w="3560" w:type="dxa"/>
            <w:tcBorders>
              <w:tl2br w:val="nil"/>
              <w:tr2bl w:val="nil"/>
            </w:tcBorders>
            <w:vAlign w:val="center"/>
          </w:tcPr>
          <w:p>
            <w:pPr>
              <w:pStyle w:val="63"/>
              <w:rPr>
                <w:rFonts w:cs="Times New Roman"/>
                <w:kern w:val="0"/>
              </w:rPr>
            </w:pPr>
            <w:r>
              <w:t>E</w:t>
            </w:r>
            <w:r>
              <w:rPr>
                <w:rFonts w:ascii="宋体" w:hAnsi="宋体"/>
              </w:rPr>
              <w:t>：</w:t>
            </w:r>
            <w:r>
              <w:t>107.13607550</w:t>
            </w:r>
            <w:r>
              <w:rPr>
                <w:rFonts w:hint="eastAsia" w:ascii="宋体" w:hAnsi="宋体"/>
              </w:rPr>
              <w:t>，</w:t>
            </w:r>
            <w:r>
              <w:t>N</w:t>
            </w:r>
            <w:r>
              <w:rPr>
                <w:rFonts w:ascii="宋体" w:hAnsi="宋体"/>
              </w:rPr>
              <w:t>：</w:t>
            </w:r>
            <w:r>
              <w:t>32.01711059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1228" w:type="dxa"/>
            <w:tcBorders>
              <w:left w:val="nil"/>
              <w:tl2br w:val="nil"/>
              <w:tr2bl w:val="nil"/>
            </w:tcBorders>
            <w:vAlign w:val="center"/>
          </w:tcPr>
          <w:p>
            <w:pPr>
              <w:widowControl/>
              <w:spacing w:line="320" w:lineRule="exact"/>
              <w:ind w:firstLine="0" w:firstLineChars="0"/>
              <w:jc w:val="center"/>
              <w:rPr>
                <w:rFonts w:cs="Times New Roman"/>
                <w:sz w:val="21"/>
              </w:rPr>
            </w:pPr>
            <w:r>
              <w:rPr>
                <w:rFonts w:cs="Times New Roman"/>
                <w:sz w:val="21"/>
              </w:rPr>
              <w:t>2#</w:t>
            </w:r>
          </w:p>
        </w:tc>
        <w:tc>
          <w:tcPr>
            <w:tcW w:w="3734" w:type="dxa"/>
            <w:tcBorders>
              <w:tl2br w:val="nil"/>
              <w:tr2bl w:val="nil"/>
            </w:tcBorders>
          </w:tcPr>
          <w:p>
            <w:pPr>
              <w:pStyle w:val="63"/>
            </w:pPr>
            <w:r>
              <w:rPr>
                <w:rFonts w:hint="eastAsia"/>
              </w:rPr>
              <w:t>天然气集输管道占地处（终点附近）</w:t>
            </w:r>
          </w:p>
        </w:tc>
        <w:tc>
          <w:tcPr>
            <w:tcW w:w="3560" w:type="dxa"/>
            <w:tcBorders>
              <w:tl2br w:val="nil"/>
              <w:tr2bl w:val="nil"/>
            </w:tcBorders>
            <w:vAlign w:val="center"/>
          </w:tcPr>
          <w:p>
            <w:pPr>
              <w:pStyle w:val="63"/>
            </w:pPr>
            <w:r>
              <w:t>E</w:t>
            </w:r>
            <w:r>
              <w:rPr>
                <w:rFonts w:ascii="宋体" w:hAnsi="宋体"/>
              </w:rPr>
              <w:t>：</w:t>
            </w:r>
            <w:r>
              <w:t>107.14091957</w:t>
            </w:r>
            <w:r>
              <w:rPr>
                <w:rFonts w:ascii="宋体" w:hAnsi="宋体"/>
              </w:rPr>
              <w:t>，</w:t>
            </w:r>
            <w:r>
              <w:t>N</w:t>
            </w:r>
            <w:r>
              <w:rPr>
                <w:rFonts w:ascii="宋体" w:hAnsi="宋体"/>
              </w:rPr>
              <w:t>：</w:t>
            </w:r>
            <w:r>
              <w:t>2.02223361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1228" w:type="dxa"/>
            <w:tcBorders>
              <w:left w:val="nil"/>
              <w:tl2br w:val="nil"/>
              <w:tr2bl w:val="nil"/>
            </w:tcBorders>
            <w:vAlign w:val="center"/>
          </w:tcPr>
          <w:p>
            <w:pPr>
              <w:widowControl/>
              <w:spacing w:line="320" w:lineRule="exact"/>
              <w:ind w:firstLine="0" w:firstLineChars="0"/>
              <w:jc w:val="center"/>
              <w:rPr>
                <w:rFonts w:cs="Times New Roman"/>
                <w:sz w:val="21"/>
              </w:rPr>
            </w:pPr>
            <w:r>
              <w:rPr>
                <w:rFonts w:cs="Times New Roman"/>
                <w:sz w:val="21"/>
              </w:rPr>
              <w:t>3#</w:t>
            </w:r>
          </w:p>
        </w:tc>
        <w:tc>
          <w:tcPr>
            <w:tcW w:w="3734" w:type="dxa"/>
            <w:tcBorders>
              <w:tl2br w:val="nil"/>
              <w:tr2bl w:val="nil"/>
            </w:tcBorders>
          </w:tcPr>
          <w:p>
            <w:pPr>
              <w:pStyle w:val="63"/>
            </w:pPr>
            <w:r>
              <w:rPr>
                <w:rFonts w:hint="eastAsia"/>
              </w:rPr>
              <w:t>天然气集输管道附近农户1处</w:t>
            </w:r>
          </w:p>
        </w:tc>
        <w:tc>
          <w:tcPr>
            <w:tcW w:w="3560" w:type="dxa"/>
            <w:tcBorders>
              <w:tl2br w:val="nil"/>
              <w:tr2bl w:val="nil"/>
            </w:tcBorders>
            <w:vAlign w:val="center"/>
          </w:tcPr>
          <w:p>
            <w:pPr>
              <w:pStyle w:val="63"/>
            </w:pPr>
            <w:r>
              <w:t>E</w:t>
            </w:r>
            <w:r>
              <w:rPr>
                <w:rFonts w:ascii="宋体" w:hAnsi="宋体"/>
              </w:rPr>
              <w:t>：</w:t>
            </w:r>
            <w:r>
              <w:t>107.13571072</w:t>
            </w:r>
            <w:r>
              <w:rPr>
                <w:rFonts w:ascii="宋体" w:hAnsi="宋体"/>
              </w:rPr>
              <w:t>，</w:t>
            </w:r>
            <w:r>
              <w:t>N</w:t>
            </w:r>
            <w:r>
              <w:rPr>
                <w:rFonts w:ascii="宋体" w:hAnsi="宋体"/>
              </w:rPr>
              <w:t>：</w:t>
            </w:r>
            <w:r>
              <w:t>32.01773286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1228" w:type="dxa"/>
            <w:tcBorders>
              <w:left w:val="nil"/>
              <w:tl2br w:val="nil"/>
              <w:tr2bl w:val="nil"/>
            </w:tcBorders>
            <w:vAlign w:val="center"/>
          </w:tcPr>
          <w:p>
            <w:pPr>
              <w:widowControl/>
              <w:spacing w:line="320" w:lineRule="exact"/>
              <w:ind w:firstLine="0" w:firstLineChars="0"/>
              <w:jc w:val="center"/>
              <w:rPr>
                <w:rFonts w:cs="Times New Roman"/>
                <w:sz w:val="21"/>
              </w:rPr>
            </w:pPr>
            <w:r>
              <w:rPr>
                <w:rFonts w:cs="Times New Roman"/>
                <w:sz w:val="21"/>
              </w:rPr>
              <w:t>4#</w:t>
            </w:r>
          </w:p>
        </w:tc>
        <w:tc>
          <w:tcPr>
            <w:tcW w:w="3734" w:type="dxa"/>
            <w:tcBorders>
              <w:tl2br w:val="nil"/>
              <w:tr2bl w:val="nil"/>
            </w:tcBorders>
          </w:tcPr>
          <w:p>
            <w:pPr>
              <w:pStyle w:val="63"/>
            </w:pPr>
            <w:r>
              <w:rPr>
                <w:rFonts w:hint="eastAsia"/>
              </w:rPr>
              <w:t>天然气集输管道附近农户2处</w:t>
            </w:r>
          </w:p>
        </w:tc>
        <w:tc>
          <w:tcPr>
            <w:tcW w:w="3560" w:type="dxa"/>
            <w:tcBorders>
              <w:tl2br w:val="nil"/>
              <w:tr2bl w:val="nil"/>
            </w:tcBorders>
            <w:vAlign w:val="center"/>
          </w:tcPr>
          <w:p>
            <w:pPr>
              <w:pStyle w:val="63"/>
            </w:pPr>
            <w:r>
              <w:t>E</w:t>
            </w:r>
            <w:r>
              <w:rPr>
                <w:rFonts w:ascii="宋体" w:hAnsi="宋体"/>
              </w:rPr>
              <w:t>：</w:t>
            </w:r>
            <w:r>
              <w:t>107.13576436</w:t>
            </w:r>
            <w:r>
              <w:rPr>
                <w:rFonts w:ascii="宋体" w:hAnsi="宋体"/>
              </w:rPr>
              <w:t>，</w:t>
            </w:r>
            <w:r>
              <w:t>N</w:t>
            </w:r>
            <w:r>
              <w:rPr>
                <w:rFonts w:ascii="宋体" w:hAnsi="宋体"/>
              </w:rPr>
              <w:t>：</w:t>
            </w:r>
            <w:r>
              <w:t>32.01861262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1228" w:type="dxa"/>
            <w:tcBorders>
              <w:left w:val="nil"/>
              <w:tl2br w:val="nil"/>
              <w:tr2bl w:val="nil"/>
            </w:tcBorders>
            <w:vAlign w:val="center"/>
          </w:tcPr>
          <w:p>
            <w:pPr>
              <w:widowControl/>
              <w:spacing w:line="320" w:lineRule="exact"/>
              <w:ind w:firstLine="0" w:firstLineChars="0"/>
              <w:jc w:val="center"/>
              <w:rPr>
                <w:rFonts w:cs="Times New Roman"/>
                <w:sz w:val="21"/>
              </w:rPr>
            </w:pPr>
            <w:r>
              <w:rPr>
                <w:rFonts w:cs="Times New Roman"/>
                <w:sz w:val="21"/>
              </w:rPr>
              <w:t>5#</w:t>
            </w:r>
          </w:p>
        </w:tc>
        <w:tc>
          <w:tcPr>
            <w:tcW w:w="3734" w:type="dxa"/>
            <w:tcBorders>
              <w:tl2br w:val="nil"/>
              <w:tr2bl w:val="nil"/>
            </w:tcBorders>
          </w:tcPr>
          <w:p>
            <w:pPr>
              <w:pStyle w:val="63"/>
            </w:pPr>
            <w:r>
              <w:rPr>
                <w:rFonts w:hint="eastAsia"/>
              </w:rPr>
              <w:t>天然气集输管道附近农户3处</w:t>
            </w:r>
          </w:p>
        </w:tc>
        <w:tc>
          <w:tcPr>
            <w:tcW w:w="3560" w:type="dxa"/>
            <w:tcBorders>
              <w:tl2br w:val="nil"/>
              <w:tr2bl w:val="nil"/>
            </w:tcBorders>
            <w:vAlign w:val="center"/>
          </w:tcPr>
          <w:p>
            <w:pPr>
              <w:pStyle w:val="63"/>
            </w:pPr>
            <w:r>
              <w:t>E</w:t>
            </w:r>
            <w:r>
              <w:rPr>
                <w:rFonts w:ascii="宋体" w:hAnsi="宋体"/>
              </w:rPr>
              <w:t>：</w:t>
            </w:r>
            <w:r>
              <w:t>107.14089543</w:t>
            </w:r>
            <w:r>
              <w:rPr>
                <w:rFonts w:hint="eastAsia"/>
              </w:rPr>
              <w:t>，</w:t>
            </w:r>
            <w:r>
              <w:t>N</w:t>
            </w:r>
            <w:r>
              <w:rPr>
                <w:rFonts w:ascii="宋体" w:hAnsi="宋体"/>
              </w:rPr>
              <w:t>：</w:t>
            </w:r>
            <w:r>
              <w:t>32.02317246</w:t>
            </w:r>
          </w:p>
        </w:tc>
      </w:tr>
    </w:tbl>
    <w:p>
      <w:pPr>
        <w:spacing w:before="163" w:beforeLines="50"/>
        <w:ind w:firstLine="482"/>
        <w:rPr>
          <w:rFonts w:cs="Times New Roman"/>
          <w:b/>
          <w:bCs/>
        </w:rPr>
      </w:pPr>
      <w:r>
        <w:rPr>
          <w:rFonts w:cs="Times New Roman"/>
          <w:b/>
          <w:bCs/>
        </w:rPr>
        <w:t>（2）监测项目</w:t>
      </w:r>
    </w:p>
    <w:p>
      <w:pPr>
        <w:ind w:firstLine="480"/>
        <w:rPr>
          <w:rFonts w:cs="Times New Roman"/>
          <w:b/>
          <w:bCs/>
        </w:rPr>
      </w:pPr>
      <w:r>
        <w:rPr>
          <w:rFonts w:cs="Times New Roman"/>
        </w:rPr>
        <w:t>等效连续A声级。</w:t>
      </w:r>
    </w:p>
    <w:p>
      <w:pPr>
        <w:ind w:firstLine="482"/>
        <w:rPr>
          <w:rFonts w:cs="Times New Roman"/>
          <w:b/>
          <w:bCs/>
        </w:rPr>
      </w:pPr>
      <w:r>
        <w:rPr>
          <w:rFonts w:cs="Times New Roman"/>
          <w:b/>
          <w:bCs/>
        </w:rPr>
        <w:t>（3）监测时间及频率</w:t>
      </w:r>
    </w:p>
    <w:p>
      <w:pPr>
        <w:ind w:firstLine="480"/>
        <w:rPr>
          <w:rFonts w:cs="Times New Roman"/>
          <w:b/>
          <w:bCs/>
        </w:rPr>
      </w:pPr>
      <w:r>
        <w:rPr>
          <w:rFonts w:cs="Times New Roman"/>
        </w:rPr>
        <w:t>2021年11月29日～30日，每个监测点位连续2天监测，昼、夜各一次/天。</w:t>
      </w:r>
    </w:p>
    <w:p>
      <w:pPr>
        <w:ind w:firstLine="482"/>
        <w:contextualSpacing/>
        <w:rPr>
          <w:rFonts w:cs="Times New Roman"/>
          <w:b/>
        </w:rPr>
      </w:pPr>
      <w:r>
        <w:rPr>
          <w:rFonts w:cs="Times New Roman"/>
          <w:b/>
        </w:rPr>
        <w:t>（4）评价标准</w:t>
      </w:r>
    </w:p>
    <w:p>
      <w:pPr>
        <w:ind w:firstLine="480"/>
        <w:rPr>
          <w:rFonts w:cs="Times New Roman"/>
        </w:rPr>
      </w:pPr>
      <w:r>
        <w:rPr>
          <w:rFonts w:cs="Times New Roman"/>
        </w:rPr>
        <w:t>评价标准执行《声环境质量标准》（GB3096-2008）2类区标准。</w:t>
      </w:r>
    </w:p>
    <w:p>
      <w:pPr>
        <w:pStyle w:val="47"/>
        <w:ind w:firstLine="482"/>
        <w:contextualSpacing/>
        <w:rPr>
          <w:rFonts w:cs="Times New Roman"/>
          <w:b/>
        </w:rPr>
      </w:pPr>
      <w:r>
        <w:rPr>
          <w:rFonts w:cs="Times New Roman"/>
          <w:b/>
        </w:rPr>
        <w:t>（5）监测结果</w:t>
      </w:r>
    </w:p>
    <w:p>
      <w:pPr>
        <w:pStyle w:val="73"/>
        <w:rPr>
          <w:rFonts w:cs="Times New Roman"/>
          <w:b w:val="0"/>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6.4</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rPr>
        <w:t xml:space="preserve">  声环境现状监测结果  </w:t>
      </w:r>
      <w:r>
        <w:rPr>
          <w:rFonts w:cs="Times New Roman"/>
          <w:szCs w:val="22"/>
        </w:rPr>
        <w:t>单位：dB(A)</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591"/>
        <w:gridCol w:w="3261"/>
        <w:gridCol w:w="1700"/>
        <w:gridCol w:w="708"/>
        <w:gridCol w:w="708"/>
        <w:gridCol w:w="708"/>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0" w:hRule="atLeast"/>
          <w:tblHeader/>
          <w:jc w:val="center"/>
        </w:trPr>
        <w:tc>
          <w:tcPr>
            <w:tcW w:w="354" w:type="pct"/>
            <w:vMerge w:val="restart"/>
            <w:tcBorders>
              <w:tl2br w:val="nil"/>
              <w:tr2bl w:val="nil"/>
            </w:tcBorders>
            <w:vAlign w:val="center"/>
          </w:tcPr>
          <w:p>
            <w:pPr>
              <w:pStyle w:val="63"/>
              <w:spacing w:line="320" w:lineRule="exact"/>
              <w:rPr>
                <w:rFonts w:cs="Times New Roman"/>
                <w:b/>
                <w:bCs/>
                <w:szCs w:val="21"/>
              </w:rPr>
            </w:pPr>
            <w:r>
              <w:rPr>
                <w:rFonts w:cs="Times New Roman"/>
                <w:b/>
                <w:bCs/>
                <w:szCs w:val="21"/>
              </w:rPr>
              <w:t>点位编号</w:t>
            </w:r>
          </w:p>
        </w:tc>
        <w:tc>
          <w:tcPr>
            <w:tcW w:w="1952" w:type="pct"/>
            <w:vMerge w:val="restart"/>
            <w:tcBorders>
              <w:tl2br w:val="nil"/>
              <w:tr2bl w:val="nil"/>
            </w:tcBorders>
            <w:vAlign w:val="center"/>
          </w:tcPr>
          <w:p>
            <w:pPr>
              <w:pStyle w:val="63"/>
              <w:rPr>
                <w:rFonts w:cs="Times New Roman"/>
                <w:b/>
                <w:bCs/>
                <w:szCs w:val="21"/>
              </w:rPr>
            </w:pPr>
            <w:r>
              <w:rPr>
                <w:b/>
              </w:rPr>
              <w:t>检测点位</w:t>
            </w:r>
          </w:p>
        </w:tc>
        <w:tc>
          <w:tcPr>
            <w:tcW w:w="1018" w:type="pct"/>
            <w:vMerge w:val="restart"/>
            <w:tcBorders>
              <w:tl2br w:val="nil"/>
              <w:tr2bl w:val="nil"/>
            </w:tcBorders>
            <w:shd w:val="clear" w:color="auto" w:fill="auto"/>
            <w:tcMar>
              <w:left w:w="28" w:type="dxa"/>
              <w:right w:w="28" w:type="dxa"/>
            </w:tcMar>
            <w:vAlign w:val="center"/>
          </w:tcPr>
          <w:p>
            <w:pPr>
              <w:pStyle w:val="63"/>
              <w:spacing w:line="320" w:lineRule="exact"/>
              <w:rPr>
                <w:rFonts w:cs="Times New Roman"/>
                <w:b/>
                <w:bCs/>
                <w:szCs w:val="21"/>
              </w:rPr>
            </w:pPr>
            <w:r>
              <w:rPr>
                <w:rFonts w:cs="Times New Roman"/>
                <w:b/>
                <w:bCs/>
                <w:szCs w:val="21"/>
              </w:rPr>
              <w:t>检测时间</w:t>
            </w:r>
          </w:p>
        </w:tc>
        <w:tc>
          <w:tcPr>
            <w:tcW w:w="848" w:type="pct"/>
            <w:gridSpan w:val="2"/>
            <w:tcBorders>
              <w:tl2br w:val="nil"/>
              <w:tr2bl w:val="nil"/>
            </w:tcBorders>
            <w:vAlign w:val="center"/>
          </w:tcPr>
          <w:p>
            <w:pPr>
              <w:pStyle w:val="63"/>
              <w:spacing w:line="320" w:lineRule="exact"/>
              <w:rPr>
                <w:rFonts w:cs="Times New Roman"/>
                <w:b/>
                <w:bCs/>
                <w:szCs w:val="21"/>
              </w:rPr>
            </w:pPr>
            <w:r>
              <w:rPr>
                <w:rFonts w:cs="Times New Roman"/>
                <w:b/>
                <w:bCs/>
                <w:szCs w:val="21"/>
              </w:rPr>
              <w:t>第一天</w:t>
            </w:r>
          </w:p>
        </w:tc>
        <w:tc>
          <w:tcPr>
            <w:tcW w:w="828" w:type="pct"/>
            <w:gridSpan w:val="2"/>
            <w:tcBorders>
              <w:tl2br w:val="nil"/>
              <w:tr2bl w:val="nil"/>
            </w:tcBorders>
            <w:vAlign w:val="center"/>
          </w:tcPr>
          <w:p>
            <w:pPr>
              <w:pStyle w:val="63"/>
              <w:spacing w:line="320" w:lineRule="exact"/>
              <w:rPr>
                <w:rFonts w:cs="Times New Roman"/>
                <w:b/>
                <w:bCs/>
                <w:szCs w:val="21"/>
              </w:rPr>
            </w:pPr>
            <w:r>
              <w:rPr>
                <w:rFonts w:cs="Times New Roman"/>
                <w:b/>
                <w:bCs/>
                <w:szCs w:val="21"/>
              </w:rPr>
              <w:t>第二天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blHeader/>
          <w:jc w:val="center"/>
        </w:trPr>
        <w:tc>
          <w:tcPr>
            <w:tcW w:w="354" w:type="pct"/>
            <w:vMerge w:val="continue"/>
            <w:tcBorders>
              <w:tl2br w:val="nil"/>
              <w:tr2bl w:val="nil"/>
            </w:tcBorders>
            <w:vAlign w:val="center"/>
          </w:tcPr>
          <w:p>
            <w:pPr>
              <w:pStyle w:val="63"/>
              <w:spacing w:line="320" w:lineRule="exact"/>
              <w:rPr>
                <w:rFonts w:cs="Times New Roman"/>
                <w:b/>
                <w:bCs/>
                <w:szCs w:val="21"/>
              </w:rPr>
            </w:pPr>
          </w:p>
        </w:tc>
        <w:tc>
          <w:tcPr>
            <w:tcW w:w="1952" w:type="pct"/>
            <w:vMerge w:val="continue"/>
            <w:tcBorders>
              <w:tl2br w:val="nil"/>
              <w:tr2bl w:val="nil"/>
            </w:tcBorders>
            <w:vAlign w:val="center"/>
          </w:tcPr>
          <w:p>
            <w:pPr>
              <w:pStyle w:val="63"/>
              <w:spacing w:line="320" w:lineRule="exact"/>
              <w:rPr>
                <w:rFonts w:cs="Times New Roman"/>
                <w:b/>
                <w:bCs/>
                <w:szCs w:val="21"/>
              </w:rPr>
            </w:pPr>
          </w:p>
        </w:tc>
        <w:tc>
          <w:tcPr>
            <w:tcW w:w="1018" w:type="pct"/>
            <w:vMerge w:val="continue"/>
            <w:tcBorders>
              <w:tl2br w:val="nil"/>
              <w:tr2bl w:val="nil"/>
            </w:tcBorders>
            <w:shd w:val="clear" w:color="auto" w:fill="auto"/>
            <w:tcMar>
              <w:left w:w="28" w:type="dxa"/>
              <w:right w:w="28" w:type="dxa"/>
            </w:tcMar>
            <w:vAlign w:val="center"/>
          </w:tcPr>
          <w:p>
            <w:pPr>
              <w:pStyle w:val="63"/>
              <w:spacing w:line="320" w:lineRule="exact"/>
              <w:rPr>
                <w:rFonts w:cs="Times New Roman"/>
                <w:b/>
                <w:bCs/>
                <w:szCs w:val="21"/>
              </w:rPr>
            </w:pPr>
          </w:p>
        </w:tc>
        <w:tc>
          <w:tcPr>
            <w:tcW w:w="424" w:type="pct"/>
            <w:tcBorders>
              <w:tl2br w:val="nil"/>
              <w:tr2bl w:val="nil"/>
            </w:tcBorders>
            <w:vAlign w:val="center"/>
          </w:tcPr>
          <w:p>
            <w:pPr>
              <w:pStyle w:val="63"/>
              <w:spacing w:line="320" w:lineRule="exact"/>
              <w:rPr>
                <w:rFonts w:cs="Times New Roman"/>
                <w:b/>
                <w:bCs/>
                <w:szCs w:val="21"/>
              </w:rPr>
            </w:pPr>
            <w:r>
              <w:rPr>
                <w:rFonts w:cs="Times New Roman"/>
                <w:b/>
                <w:bCs/>
                <w:szCs w:val="21"/>
              </w:rPr>
              <w:t>昼间</w:t>
            </w:r>
          </w:p>
        </w:tc>
        <w:tc>
          <w:tcPr>
            <w:tcW w:w="424" w:type="pct"/>
            <w:tcBorders>
              <w:tl2br w:val="nil"/>
              <w:tr2bl w:val="nil"/>
            </w:tcBorders>
            <w:vAlign w:val="center"/>
          </w:tcPr>
          <w:p>
            <w:pPr>
              <w:pStyle w:val="63"/>
              <w:spacing w:line="320" w:lineRule="exact"/>
              <w:rPr>
                <w:rFonts w:cs="Times New Roman"/>
                <w:b/>
                <w:bCs/>
                <w:szCs w:val="21"/>
              </w:rPr>
            </w:pPr>
            <w:r>
              <w:rPr>
                <w:rFonts w:cs="Times New Roman"/>
                <w:b/>
                <w:bCs/>
                <w:szCs w:val="21"/>
              </w:rPr>
              <w:t>夜间</w:t>
            </w:r>
          </w:p>
        </w:tc>
        <w:tc>
          <w:tcPr>
            <w:tcW w:w="424" w:type="pct"/>
            <w:tcBorders>
              <w:tl2br w:val="nil"/>
              <w:tr2bl w:val="nil"/>
            </w:tcBorders>
            <w:vAlign w:val="center"/>
          </w:tcPr>
          <w:p>
            <w:pPr>
              <w:pStyle w:val="63"/>
              <w:spacing w:line="320" w:lineRule="exact"/>
              <w:rPr>
                <w:rFonts w:cs="Times New Roman"/>
                <w:b/>
                <w:bCs/>
                <w:szCs w:val="21"/>
              </w:rPr>
            </w:pPr>
            <w:r>
              <w:rPr>
                <w:rFonts w:cs="Times New Roman"/>
                <w:b/>
                <w:bCs/>
                <w:szCs w:val="21"/>
              </w:rPr>
              <w:t>昼间</w:t>
            </w:r>
          </w:p>
        </w:tc>
        <w:tc>
          <w:tcPr>
            <w:tcW w:w="404" w:type="pct"/>
            <w:tcBorders>
              <w:tl2br w:val="nil"/>
              <w:tr2bl w:val="nil"/>
            </w:tcBorders>
            <w:vAlign w:val="center"/>
          </w:tcPr>
          <w:p>
            <w:pPr>
              <w:pStyle w:val="63"/>
              <w:spacing w:line="320" w:lineRule="exact"/>
              <w:rPr>
                <w:rFonts w:cs="Times New Roman"/>
                <w:b/>
                <w:bCs/>
                <w:szCs w:val="21"/>
              </w:rPr>
            </w:pPr>
            <w:r>
              <w:rPr>
                <w:rFonts w:cs="Times New Roman"/>
                <w:b/>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354" w:type="pct"/>
            <w:tcBorders>
              <w:tl2br w:val="nil"/>
              <w:tr2bl w:val="nil"/>
            </w:tcBorders>
            <w:vAlign w:val="center"/>
          </w:tcPr>
          <w:p>
            <w:pPr>
              <w:pStyle w:val="63"/>
              <w:rPr>
                <w:rFonts w:cs="Times New Roman"/>
                <w:szCs w:val="21"/>
              </w:rPr>
            </w:pPr>
            <w:r>
              <w:rPr>
                <w:rFonts w:hint="eastAsia" w:cs="Times New Roman"/>
                <w:szCs w:val="21"/>
              </w:rPr>
              <w:t>1</w:t>
            </w:r>
            <w:r>
              <w:rPr>
                <w:rFonts w:cs="Times New Roman"/>
                <w:szCs w:val="21"/>
              </w:rPr>
              <w:t>#</w:t>
            </w:r>
          </w:p>
        </w:tc>
        <w:tc>
          <w:tcPr>
            <w:tcW w:w="1952" w:type="pct"/>
            <w:tcBorders>
              <w:tl2br w:val="nil"/>
              <w:tr2bl w:val="nil"/>
            </w:tcBorders>
            <w:vAlign w:val="center"/>
          </w:tcPr>
          <w:p>
            <w:pPr>
              <w:pStyle w:val="63"/>
              <w:rPr>
                <w:rFonts w:cs="Times New Roman"/>
                <w:szCs w:val="21"/>
              </w:rPr>
            </w:pPr>
            <w:r>
              <w:rPr>
                <w:rFonts w:hint="eastAsia"/>
              </w:rPr>
              <w:t>天然气集输管道占地处（起点附近）</w:t>
            </w:r>
          </w:p>
        </w:tc>
        <w:tc>
          <w:tcPr>
            <w:tcW w:w="1018" w:type="pct"/>
            <w:tcBorders>
              <w:tl2br w:val="nil"/>
              <w:tr2bl w:val="nil"/>
            </w:tcBorders>
            <w:shd w:val="clear" w:color="auto" w:fill="auto"/>
            <w:tcMar>
              <w:left w:w="28" w:type="dxa"/>
              <w:right w:w="28" w:type="dxa"/>
            </w:tcMar>
            <w:vAlign w:val="center"/>
          </w:tcPr>
          <w:p>
            <w:pPr>
              <w:pStyle w:val="63"/>
              <w:spacing w:line="320" w:lineRule="exact"/>
              <w:rPr>
                <w:rFonts w:cs="Times New Roman"/>
                <w:szCs w:val="21"/>
              </w:rPr>
            </w:pPr>
            <w:r>
              <w:rPr>
                <w:rFonts w:cs="Times New Roman"/>
                <w:szCs w:val="21"/>
              </w:rPr>
              <w:t>2021.11.29~11.30</w:t>
            </w:r>
          </w:p>
        </w:tc>
        <w:tc>
          <w:tcPr>
            <w:tcW w:w="424" w:type="pct"/>
            <w:tcBorders>
              <w:tl2br w:val="nil"/>
              <w:tr2bl w:val="nil"/>
            </w:tcBorders>
            <w:vAlign w:val="center"/>
          </w:tcPr>
          <w:p>
            <w:pPr>
              <w:pStyle w:val="63"/>
              <w:rPr>
                <w:rFonts w:cs="Times New Roman"/>
                <w:szCs w:val="21"/>
              </w:rPr>
            </w:pPr>
            <w:r>
              <w:rPr>
                <w:rFonts w:hint="eastAsia"/>
              </w:rPr>
              <w:t>50</w:t>
            </w:r>
          </w:p>
        </w:tc>
        <w:tc>
          <w:tcPr>
            <w:tcW w:w="424" w:type="pct"/>
            <w:tcBorders>
              <w:tl2br w:val="nil"/>
              <w:tr2bl w:val="nil"/>
            </w:tcBorders>
            <w:vAlign w:val="center"/>
          </w:tcPr>
          <w:p>
            <w:pPr>
              <w:pStyle w:val="63"/>
            </w:pPr>
            <w:r>
              <w:rPr>
                <w:rFonts w:hint="eastAsia"/>
              </w:rPr>
              <w:t>40</w:t>
            </w:r>
          </w:p>
        </w:tc>
        <w:tc>
          <w:tcPr>
            <w:tcW w:w="424" w:type="pct"/>
            <w:tcBorders>
              <w:tl2br w:val="nil"/>
              <w:tr2bl w:val="nil"/>
            </w:tcBorders>
            <w:vAlign w:val="center"/>
          </w:tcPr>
          <w:p>
            <w:pPr>
              <w:pStyle w:val="63"/>
              <w:rPr>
                <w:rFonts w:cs="Times New Roman"/>
                <w:szCs w:val="21"/>
              </w:rPr>
            </w:pPr>
            <w:r>
              <w:rPr>
                <w:rFonts w:hint="eastAsia"/>
              </w:rPr>
              <w:t>49</w:t>
            </w:r>
          </w:p>
        </w:tc>
        <w:tc>
          <w:tcPr>
            <w:tcW w:w="404" w:type="pct"/>
            <w:tcBorders>
              <w:tl2br w:val="nil"/>
              <w:tr2bl w:val="nil"/>
            </w:tcBorders>
            <w:vAlign w:val="center"/>
          </w:tcPr>
          <w:p>
            <w:pPr>
              <w:pStyle w:val="63"/>
            </w:pPr>
            <w:r>
              <w:rPr>
                <w:rFonts w:hint="eastAsia"/>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354" w:type="pct"/>
            <w:tcBorders>
              <w:tl2br w:val="nil"/>
              <w:tr2bl w:val="nil"/>
            </w:tcBorders>
            <w:vAlign w:val="center"/>
          </w:tcPr>
          <w:p>
            <w:pPr>
              <w:pStyle w:val="63"/>
              <w:rPr>
                <w:rFonts w:cs="Times New Roman"/>
                <w:szCs w:val="21"/>
              </w:rPr>
            </w:pPr>
            <w:r>
              <w:t>2#</w:t>
            </w:r>
          </w:p>
        </w:tc>
        <w:tc>
          <w:tcPr>
            <w:tcW w:w="1952" w:type="pct"/>
            <w:tcBorders>
              <w:tl2br w:val="nil"/>
              <w:tr2bl w:val="nil"/>
            </w:tcBorders>
            <w:vAlign w:val="center"/>
          </w:tcPr>
          <w:p>
            <w:pPr>
              <w:pStyle w:val="63"/>
            </w:pPr>
            <w:r>
              <w:rPr>
                <w:rFonts w:hint="eastAsia"/>
              </w:rPr>
              <w:t>天然气集输管道占地处（终点附近）</w:t>
            </w:r>
          </w:p>
        </w:tc>
        <w:tc>
          <w:tcPr>
            <w:tcW w:w="1018" w:type="pct"/>
            <w:tcBorders>
              <w:tl2br w:val="nil"/>
              <w:tr2bl w:val="nil"/>
            </w:tcBorders>
            <w:shd w:val="clear" w:color="auto" w:fill="auto"/>
            <w:tcMar>
              <w:left w:w="28" w:type="dxa"/>
              <w:right w:w="28" w:type="dxa"/>
            </w:tcMar>
            <w:vAlign w:val="center"/>
          </w:tcPr>
          <w:p>
            <w:pPr>
              <w:pStyle w:val="63"/>
            </w:pPr>
            <w:r>
              <w:t>2021.11.29~11.30</w:t>
            </w:r>
          </w:p>
        </w:tc>
        <w:tc>
          <w:tcPr>
            <w:tcW w:w="424" w:type="pct"/>
            <w:tcBorders>
              <w:tl2br w:val="nil"/>
              <w:tr2bl w:val="nil"/>
            </w:tcBorders>
            <w:vAlign w:val="center"/>
          </w:tcPr>
          <w:p>
            <w:pPr>
              <w:pStyle w:val="63"/>
            </w:pPr>
            <w:r>
              <w:rPr>
                <w:rFonts w:hint="eastAsia"/>
              </w:rPr>
              <w:t>51</w:t>
            </w:r>
          </w:p>
        </w:tc>
        <w:tc>
          <w:tcPr>
            <w:tcW w:w="424" w:type="pct"/>
            <w:tcBorders>
              <w:tl2br w:val="nil"/>
              <w:tr2bl w:val="nil"/>
            </w:tcBorders>
            <w:vAlign w:val="center"/>
          </w:tcPr>
          <w:p>
            <w:pPr>
              <w:pStyle w:val="63"/>
            </w:pPr>
            <w:r>
              <w:rPr>
                <w:rFonts w:hint="eastAsia"/>
              </w:rPr>
              <w:t>43</w:t>
            </w:r>
          </w:p>
        </w:tc>
        <w:tc>
          <w:tcPr>
            <w:tcW w:w="424" w:type="pct"/>
            <w:tcBorders>
              <w:tl2br w:val="nil"/>
              <w:tr2bl w:val="nil"/>
            </w:tcBorders>
            <w:vAlign w:val="center"/>
          </w:tcPr>
          <w:p>
            <w:pPr>
              <w:pStyle w:val="63"/>
            </w:pPr>
            <w:r>
              <w:rPr>
                <w:rFonts w:hint="eastAsia"/>
              </w:rPr>
              <w:t>50</w:t>
            </w:r>
          </w:p>
        </w:tc>
        <w:tc>
          <w:tcPr>
            <w:tcW w:w="404" w:type="pct"/>
            <w:tcBorders>
              <w:tl2br w:val="nil"/>
              <w:tr2bl w:val="nil"/>
            </w:tcBorders>
            <w:vAlign w:val="center"/>
          </w:tcPr>
          <w:p>
            <w:pPr>
              <w:pStyle w:val="63"/>
            </w:pPr>
            <w:r>
              <w:rPr>
                <w:rFonts w:hint="eastAsia"/>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354" w:type="pct"/>
            <w:tcBorders>
              <w:tl2br w:val="nil"/>
              <w:tr2bl w:val="nil"/>
            </w:tcBorders>
            <w:vAlign w:val="center"/>
          </w:tcPr>
          <w:p>
            <w:pPr>
              <w:pStyle w:val="63"/>
            </w:pPr>
            <w:r>
              <w:t>3#</w:t>
            </w:r>
          </w:p>
        </w:tc>
        <w:tc>
          <w:tcPr>
            <w:tcW w:w="1952" w:type="pct"/>
            <w:tcBorders>
              <w:tl2br w:val="nil"/>
              <w:tr2bl w:val="nil"/>
            </w:tcBorders>
            <w:vAlign w:val="center"/>
          </w:tcPr>
          <w:p>
            <w:pPr>
              <w:pStyle w:val="63"/>
            </w:pPr>
            <w:r>
              <w:rPr>
                <w:rFonts w:hint="eastAsia"/>
              </w:rPr>
              <w:t>天然气集输管道附近农户1处</w:t>
            </w:r>
          </w:p>
        </w:tc>
        <w:tc>
          <w:tcPr>
            <w:tcW w:w="1018" w:type="pct"/>
            <w:tcBorders>
              <w:tl2br w:val="nil"/>
              <w:tr2bl w:val="nil"/>
            </w:tcBorders>
            <w:shd w:val="clear" w:color="auto" w:fill="auto"/>
            <w:tcMar>
              <w:left w:w="28" w:type="dxa"/>
              <w:right w:w="28" w:type="dxa"/>
            </w:tcMar>
            <w:vAlign w:val="center"/>
          </w:tcPr>
          <w:p>
            <w:pPr>
              <w:pStyle w:val="63"/>
            </w:pPr>
            <w:r>
              <w:t>2021.11.29~11.30</w:t>
            </w:r>
          </w:p>
        </w:tc>
        <w:tc>
          <w:tcPr>
            <w:tcW w:w="424" w:type="pct"/>
            <w:tcBorders>
              <w:tl2br w:val="nil"/>
              <w:tr2bl w:val="nil"/>
            </w:tcBorders>
            <w:vAlign w:val="center"/>
          </w:tcPr>
          <w:p>
            <w:pPr>
              <w:pStyle w:val="63"/>
            </w:pPr>
            <w:r>
              <w:rPr>
                <w:rFonts w:hint="eastAsia"/>
              </w:rPr>
              <w:t>50</w:t>
            </w:r>
          </w:p>
        </w:tc>
        <w:tc>
          <w:tcPr>
            <w:tcW w:w="424" w:type="pct"/>
            <w:tcBorders>
              <w:tl2br w:val="nil"/>
              <w:tr2bl w:val="nil"/>
            </w:tcBorders>
            <w:vAlign w:val="center"/>
          </w:tcPr>
          <w:p>
            <w:pPr>
              <w:pStyle w:val="63"/>
            </w:pPr>
            <w:r>
              <w:rPr>
                <w:rFonts w:hint="eastAsia"/>
              </w:rPr>
              <w:t>42</w:t>
            </w:r>
          </w:p>
        </w:tc>
        <w:tc>
          <w:tcPr>
            <w:tcW w:w="424" w:type="pct"/>
            <w:tcBorders>
              <w:tl2br w:val="nil"/>
              <w:tr2bl w:val="nil"/>
            </w:tcBorders>
            <w:vAlign w:val="center"/>
          </w:tcPr>
          <w:p>
            <w:pPr>
              <w:pStyle w:val="63"/>
            </w:pPr>
            <w:r>
              <w:rPr>
                <w:rFonts w:hint="eastAsia"/>
              </w:rPr>
              <w:t>51</w:t>
            </w:r>
          </w:p>
        </w:tc>
        <w:tc>
          <w:tcPr>
            <w:tcW w:w="404" w:type="pct"/>
            <w:tcBorders>
              <w:tl2br w:val="nil"/>
              <w:tr2bl w:val="nil"/>
            </w:tcBorders>
            <w:vAlign w:val="center"/>
          </w:tcPr>
          <w:p>
            <w:pPr>
              <w:pStyle w:val="63"/>
            </w:pPr>
            <w:r>
              <w:rPr>
                <w:rFonts w:hint="eastAsia"/>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354" w:type="pct"/>
            <w:tcBorders>
              <w:tl2br w:val="nil"/>
              <w:tr2bl w:val="nil"/>
            </w:tcBorders>
            <w:vAlign w:val="center"/>
          </w:tcPr>
          <w:p>
            <w:pPr>
              <w:pStyle w:val="63"/>
            </w:pPr>
            <w:r>
              <w:t>4#</w:t>
            </w:r>
          </w:p>
        </w:tc>
        <w:tc>
          <w:tcPr>
            <w:tcW w:w="1952" w:type="pct"/>
            <w:tcBorders>
              <w:tl2br w:val="nil"/>
              <w:tr2bl w:val="nil"/>
            </w:tcBorders>
            <w:vAlign w:val="center"/>
          </w:tcPr>
          <w:p>
            <w:pPr>
              <w:pStyle w:val="63"/>
            </w:pPr>
            <w:r>
              <w:rPr>
                <w:rFonts w:hint="eastAsia"/>
              </w:rPr>
              <w:t>天然气集输管道附近农户2处</w:t>
            </w:r>
          </w:p>
        </w:tc>
        <w:tc>
          <w:tcPr>
            <w:tcW w:w="1018" w:type="pct"/>
            <w:tcBorders>
              <w:tl2br w:val="nil"/>
              <w:tr2bl w:val="nil"/>
            </w:tcBorders>
            <w:shd w:val="clear" w:color="auto" w:fill="auto"/>
            <w:tcMar>
              <w:left w:w="28" w:type="dxa"/>
              <w:right w:w="28" w:type="dxa"/>
            </w:tcMar>
            <w:vAlign w:val="center"/>
          </w:tcPr>
          <w:p>
            <w:pPr>
              <w:pStyle w:val="63"/>
            </w:pPr>
            <w:r>
              <w:t>2021.11.29~11.30</w:t>
            </w:r>
          </w:p>
        </w:tc>
        <w:tc>
          <w:tcPr>
            <w:tcW w:w="424" w:type="pct"/>
            <w:tcBorders>
              <w:tl2br w:val="nil"/>
              <w:tr2bl w:val="nil"/>
            </w:tcBorders>
            <w:vAlign w:val="center"/>
          </w:tcPr>
          <w:p>
            <w:pPr>
              <w:pStyle w:val="63"/>
            </w:pPr>
            <w:r>
              <w:rPr>
                <w:rFonts w:hint="eastAsia"/>
              </w:rPr>
              <w:t>52</w:t>
            </w:r>
          </w:p>
        </w:tc>
        <w:tc>
          <w:tcPr>
            <w:tcW w:w="424" w:type="pct"/>
            <w:tcBorders>
              <w:tl2br w:val="nil"/>
              <w:tr2bl w:val="nil"/>
            </w:tcBorders>
            <w:vAlign w:val="center"/>
          </w:tcPr>
          <w:p>
            <w:pPr>
              <w:pStyle w:val="63"/>
            </w:pPr>
            <w:r>
              <w:rPr>
                <w:rFonts w:hint="eastAsia"/>
              </w:rPr>
              <w:t>41</w:t>
            </w:r>
          </w:p>
        </w:tc>
        <w:tc>
          <w:tcPr>
            <w:tcW w:w="424" w:type="pct"/>
            <w:tcBorders>
              <w:tl2br w:val="nil"/>
              <w:tr2bl w:val="nil"/>
            </w:tcBorders>
            <w:vAlign w:val="center"/>
          </w:tcPr>
          <w:p>
            <w:pPr>
              <w:pStyle w:val="63"/>
            </w:pPr>
            <w:r>
              <w:rPr>
                <w:rFonts w:hint="eastAsia"/>
              </w:rPr>
              <w:t>50</w:t>
            </w:r>
          </w:p>
        </w:tc>
        <w:tc>
          <w:tcPr>
            <w:tcW w:w="404" w:type="pct"/>
            <w:tcBorders>
              <w:tl2br w:val="nil"/>
              <w:tr2bl w:val="nil"/>
            </w:tcBorders>
            <w:vAlign w:val="center"/>
          </w:tcPr>
          <w:p>
            <w:pPr>
              <w:pStyle w:val="63"/>
            </w:pPr>
            <w:r>
              <w:rPr>
                <w:rFonts w:hint="eastAsia"/>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354" w:type="pct"/>
            <w:tcBorders>
              <w:tl2br w:val="nil"/>
              <w:tr2bl w:val="nil"/>
            </w:tcBorders>
            <w:vAlign w:val="center"/>
          </w:tcPr>
          <w:p>
            <w:pPr>
              <w:pStyle w:val="63"/>
            </w:pPr>
            <w:r>
              <w:rPr>
                <w:rFonts w:hint="eastAsia"/>
              </w:rPr>
              <w:t>5#</w:t>
            </w:r>
          </w:p>
        </w:tc>
        <w:tc>
          <w:tcPr>
            <w:tcW w:w="1952" w:type="pct"/>
            <w:tcBorders>
              <w:tl2br w:val="nil"/>
              <w:tr2bl w:val="nil"/>
            </w:tcBorders>
            <w:vAlign w:val="center"/>
          </w:tcPr>
          <w:p>
            <w:pPr>
              <w:pStyle w:val="63"/>
            </w:pPr>
            <w:r>
              <w:rPr>
                <w:rFonts w:hint="eastAsia"/>
              </w:rPr>
              <w:t>天然气集输管道附近农户3处</w:t>
            </w:r>
          </w:p>
        </w:tc>
        <w:tc>
          <w:tcPr>
            <w:tcW w:w="1018" w:type="pct"/>
            <w:tcBorders>
              <w:tl2br w:val="nil"/>
              <w:tr2bl w:val="nil"/>
            </w:tcBorders>
            <w:shd w:val="clear" w:color="auto" w:fill="auto"/>
            <w:tcMar>
              <w:left w:w="28" w:type="dxa"/>
              <w:right w:w="28" w:type="dxa"/>
            </w:tcMar>
            <w:vAlign w:val="center"/>
          </w:tcPr>
          <w:p>
            <w:pPr>
              <w:pStyle w:val="63"/>
            </w:pPr>
            <w:r>
              <w:t>2021.11.29~11.30</w:t>
            </w:r>
          </w:p>
        </w:tc>
        <w:tc>
          <w:tcPr>
            <w:tcW w:w="424" w:type="pct"/>
            <w:tcBorders>
              <w:tl2br w:val="nil"/>
              <w:tr2bl w:val="nil"/>
            </w:tcBorders>
            <w:vAlign w:val="center"/>
          </w:tcPr>
          <w:p>
            <w:pPr>
              <w:pStyle w:val="63"/>
            </w:pPr>
            <w:r>
              <w:rPr>
                <w:rFonts w:hint="eastAsia"/>
              </w:rPr>
              <w:t>51</w:t>
            </w:r>
          </w:p>
        </w:tc>
        <w:tc>
          <w:tcPr>
            <w:tcW w:w="424" w:type="pct"/>
            <w:tcBorders>
              <w:tl2br w:val="nil"/>
              <w:tr2bl w:val="nil"/>
            </w:tcBorders>
            <w:vAlign w:val="center"/>
          </w:tcPr>
          <w:p>
            <w:pPr>
              <w:pStyle w:val="63"/>
            </w:pPr>
            <w:r>
              <w:rPr>
                <w:rFonts w:hint="eastAsia"/>
              </w:rPr>
              <w:t>41</w:t>
            </w:r>
          </w:p>
        </w:tc>
        <w:tc>
          <w:tcPr>
            <w:tcW w:w="424" w:type="pct"/>
            <w:tcBorders>
              <w:tl2br w:val="nil"/>
              <w:tr2bl w:val="nil"/>
            </w:tcBorders>
            <w:vAlign w:val="center"/>
          </w:tcPr>
          <w:p>
            <w:pPr>
              <w:pStyle w:val="63"/>
            </w:pPr>
            <w:r>
              <w:rPr>
                <w:rFonts w:hint="eastAsia"/>
              </w:rPr>
              <w:t>52</w:t>
            </w:r>
          </w:p>
        </w:tc>
        <w:tc>
          <w:tcPr>
            <w:tcW w:w="404" w:type="pct"/>
            <w:tcBorders>
              <w:tl2br w:val="nil"/>
              <w:tr2bl w:val="nil"/>
            </w:tcBorders>
            <w:vAlign w:val="center"/>
          </w:tcPr>
          <w:p>
            <w:pPr>
              <w:pStyle w:val="63"/>
            </w:pPr>
            <w:r>
              <w:rPr>
                <w:rFonts w:hint="eastAsia"/>
              </w:rPr>
              <w:t>41</w:t>
            </w:r>
          </w:p>
        </w:tc>
      </w:tr>
    </w:tbl>
    <w:p>
      <w:pPr>
        <w:spacing w:before="163" w:beforeLines="50"/>
        <w:ind w:firstLine="480"/>
        <w:rPr>
          <w:rFonts w:cs="Times New Roman"/>
        </w:rPr>
      </w:pPr>
      <w:r>
        <w:rPr>
          <w:rFonts w:cs="Times New Roman"/>
          <w:szCs w:val="26"/>
        </w:rPr>
        <w:t>由上表可知：各监测点昼、夜间噪声值均满足《声环境质量标准》（GB3096-2008）2类区标准要求，本项目所在区域声环境质量较好。</w:t>
      </w:r>
    </w:p>
    <w:p>
      <w:pPr>
        <w:pStyle w:val="4"/>
        <w:rPr>
          <w:rFonts w:cs="Times New Roman"/>
        </w:rPr>
      </w:pPr>
      <w:bookmarkStart w:id="226" w:name="_Toc61388593"/>
      <w:bookmarkStart w:id="227" w:name="_Toc57711031"/>
      <w:r>
        <w:rPr>
          <w:rFonts w:cs="Times New Roman"/>
        </w:rPr>
        <w:t xml:space="preserve"> </w:t>
      </w:r>
      <w:bookmarkStart w:id="228" w:name="_Toc96680703"/>
      <w:r>
        <w:rPr>
          <w:rFonts w:cs="Times New Roman"/>
        </w:rPr>
        <w:t>土壤环境质量现状调查与评价</w:t>
      </w:r>
      <w:bookmarkEnd w:id="226"/>
      <w:bookmarkEnd w:id="227"/>
      <w:bookmarkEnd w:id="228"/>
    </w:p>
    <w:p>
      <w:pPr>
        <w:pStyle w:val="5"/>
        <w:rPr>
          <w:rFonts w:cs="Times New Roman"/>
        </w:rPr>
      </w:pPr>
      <w:r>
        <w:rPr>
          <w:rFonts w:cs="Times New Roman"/>
        </w:rPr>
        <w:t xml:space="preserve"> </w:t>
      </w:r>
      <w:bookmarkStart w:id="229" w:name="_Toc96680704"/>
      <w:r>
        <w:rPr>
          <w:rFonts w:cs="Times New Roman"/>
        </w:rPr>
        <w:t>区域土壤环境现状</w:t>
      </w:r>
      <w:bookmarkEnd w:id="229"/>
    </w:p>
    <w:p>
      <w:pPr>
        <w:ind w:firstLine="480"/>
        <w:rPr>
          <w:rFonts w:cs="Times New Roman"/>
        </w:rPr>
      </w:pPr>
      <w:r>
        <w:rPr>
          <w:rFonts w:cs="Times New Roman"/>
        </w:rPr>
        <w:t>本项目位于</w:t>
      </w:r>
      <w:r>
        <w:rPr>
          <w:rFonts w:hint="eastAsia" w:cs="Times New Roman"/>
        </w:rPr>
        <w:t>巴中市通江县</w:t>
      </w:r>
      <w:r>
        <w:rPr>
          <w:rFonts w:cs="Times New Roman"/>
        </w:rPr>
        <w:t>，评价区内地貌属丘陵，根据现场调查，本项目主要位于</w:t>
      </w:r>
      <w:r>
        <w:rPr>
          <w:rFonts w:hint="eastAsia" w:cs="Times New Roman"/>
        </w:rPr>
        <w:t>林地</w:t>
      </w:r>
      <w:r>
        <w:rPr>
          <w:rFonts w:cs="Times New Roman"/>
        </w:rPr>
        <w:t>和耕地内。</w:t>
      </w:r>
    </w:p>
    <w:p>
      <w:pPr>
        <w:ind w:firstLine="480"/>
      </w:pPr>
      <w:r>
        <w:rPr>
          <w:rFonts w:cs="Times New Roman"/>
        </w:rPr>
        <w:t>根据国家土壤信息平台（http://www.soilinfo.cn/map/）中查询中国1公里发生分类土壤图查询项目所在地土壤类型分布，结合现场调查情况，本项目所在区域土壤类型为</w:t>
      </w:r>
      <w:r>
        <w:rPr>
          <w:rFonts w:hint="eastAsia" w:cs="Times New Roman"/>
        </w:rPr>
        <w:t>酸性紫色</w:t>
      </w:r>
      <w:r>
        <w:rPr>
          <w:rFonts w:cs="Times New Roman"/>
        </w:rPr>
        <w:t>土。</w:t>
      </w:r>
    </w:p>
    <w:p>
      <w:pPr>
        <w:ind w:firstLine="480"/>
        <w:rPr>
          <w:rFonts w:cs="Times New Roman"/>
        </w:rPr>
      </w:pPr>
      <w:r>
        <w:rPr>
          <w:rFonts w:cs="Times New Roman"/>
        </w:rPr>
        <w:t>根据巴中市生态环境局网站公开发布的《2020年巴中市生态环境状况公报》：“</w:t>
      </w:r>
      <w:r>
        <w:rPr>
          <w:rFonts w:eastAsia="仿宋" w:cs="Times New Roman"/>
        </w:rPr>
        <w:t>2020年，充分运用农用地土壤污染状况详查数据成果，编制完成全市及各区县农用地土壤环境质量类别划分技术成果报告，超额完成省下达我市农用地安全利用面积730.11亩，超省下达任务11.23%。农药使用量及化肥使用量同比2019年分别减少2.24%、4.96%，测土配方施肥技术覆盖率达到94.4%。农用地污染土壤安全利用率和污染地块安全利用率均达到100%。</w:t>
      </w:r>
      <w:r>
        <w:rPr>
          <w:rFonts w:cs="Times New Roman"/>
        </w:rPr>
        <w:t>”由上可知，区域土壤质量良好。</w:t>
      </w:r>
    </w:p>
    <w:p>
      <w:pPr>
        <w:pStyle w:val="5"/>
        <w:spacing w:before="180"/>
        <w:rPr>
          <w:rFonts w:cs="Times New Roman"/>
        </w:rPr>
      </w:pPr>
      <w:r>
        <w:rPr>
          <w:rFonts w:hint="eastAsia" w:cs="Times New Roman"/>
        </w:rPr>
        <w:t xml:space="preserve"> </w:t>
      </w:r>
      <w:bookmarkStart w:id="230" w:name="_Toc96680705"/>
      <w:r>
        <w:rPr>
          <w:rFonts w:cs="Times New Roman"/>
        </w:rPr>
        <w:t>土壤环境质量现状</w:t>
      </w:r>
      <w:bookmarkEnd w:id="230"/>
    </w:p>
    <w:p>
      <w:pPr>
        <w:ind w:firstLine="480"/>
      </w:pPr>
      <w:r>
        <w:rPr>
          <w:rFonts w:hint="eastAsia"/>
        </w:rPr>
        <w:t>由于</w:t>
      </w:r>
      <w:r>
        <w:t>本项目可不开展土壤环境影响评价</w:t>
      </w:r>
      <w:r>
        <w:rPr>
          <w:rFonts w:hint="eastAsia"/>
        </w:rPr>
        <w:t>，因此</w:t>
      </w:r>
      <w:r>
        <w:t>未进行土壤环境质量现状监测。</w:t>
      </w:r>
    </w:p>
    <w:p>
      <w:pPr>
        <w:pStyle w:val="4"/>
        <w:rPr>
          <w:rFonts w:cs="Times New Roman"/>
        </w:rPr>
      </w:pPr>
      <w:r>
        <w:rPr>
          <w:rFonts w:hint="eastAsia" w:cs="Times New Roman"/>
        </w:rPr>
        <w:t xml:space="preserve"> </w:t>
      </w:r>
      <w:bookmarkStart w:id="231" w:name="_Toc96680706"/>
      <w:r>
        <w:rPr>
          <w:rFonts w:cs="Times New Roman"/>
        </w:rPr>
        <w:t>生态环境现状调查与评价</w:t>
      </w:r>
      <w:bookmarkEnd w:id="231"/>
    </w:p>
    <w:p>
      <w:pPr>
        <w:pStyle w:val="5"/>
        <w:rPr>
          <w:rFonts w:cs="Times New Roman"/>
        </w:rPr>
      </w:pPr>
      <w:r>
        <w:rPr>
          <w:rFonts w:hint="eastAsia" w:cs="Times New Roman"/>
        </w:rPr>
        <w:t xml:space="preserve"> </w:t>
      </w:r>
      <w:bookmarkStart w:id="232" w:name="_Toc96680707"/>
      <w:r>
        <w:rPr>
          <w:rFonts w:hint="eastAsia" w:cs="Times New Roman"/>
        </w:rPr>
        <w:t>生态</w:t>
      </w:r>
      <w:r>
        <w:rPr>
          <w:rFonts w:cs="Times New Roman"/>
        </w:rPr>
        <w:t>功能区划</w:t>
      </w:r>
      <w:bookmarkEnd w:id="232"/>
    </w:p>
    <w:p>
      <w:pPr>
        <w:ind w:firstLine="480"/>
        <w:rPr>
          <w:kern w:val="0"/>
          <w:szCs w:val="24"/>
        </w:rPr>
      </w:pPr>
      <w:r>
        <w:rPr>
          <w:kern w:val="0"/>
          <w:szCs w:val="24"/>
        </w:rPr>
        <w:t>根据《四川省生态功能区划》，本项目位于盆北深丘农林业与土壤保持生态功能区（I-2-1），土壤侵蚀高度敏感，野生动物生境中度敏感，生态系统功能主要以农林产品提供功能，土壤保持功能为主。</w:t>
      </w:r>
    </w:p>
    <w:p>
      <w:pPr>
        <w:ind w:firstLine="480"/>
        <w:rPr>
          <w:kern w:val="0"/>
          <w:szCs w:val="24"/>
        </w:rPr>
      </w:pPr>
      <w:r>
        <w:rPr>
          <w:kern w:val="0"/>
          <w:szCs w:val="24"/>
        </w:rPr>
        <w:t>根据《巴中市生态功能区划》，项目区域位于通江南部中山水源涵养与林产品提供生态功能区（I-1-3），水土流失轻度敏感，石漠化轻度敏感，水环境污染高度敏感。生态系统主要服务功能：水源涵养保持；次要服务功能：生物多样性、林产品提供；辅助服务功能：土壤保持。</w:t>
      </w:r>
    </w:p>
    <w:p>
      <w:pPr>
        <w:ind w:firstLine="480"/>
      </w:pPr>
      <w:r>
        <w:rPr>
          <w:rFonts w:cs="Times New Roman"/>
        </w:rPr>
        <w:t>根据《巴中市人民政府关于落实“三线一单”生态环境分区管控的通知》，本项目位于一般管控单元，不涉及生态红线。</w:t>
      </w:r>
    </w:p>
    <w:p>
      <w:pPr>
        <w:pStyle w:val="5"/>
        <w:rPr>
          <w:rFonts w:cs="Times New Roman"/>
        </w:rPr>
      </w:pPr>
      <w:r>
        <w:rPr>
          <w:rFonts w:hint="eastAsia" w:cs="Times New Roman"/>
        </w:rPr>
        <w:t xml:space="preserve"> </w:t>
      </w:r>
      <w:bookmarkStart w:id="233" w:name="_Toc96680708"/>
      <w:r>
        <w:rPr>
          <w:rFonts w:cs="Times New Roman"/>
        </w:rPr>
        <w:t>生态系统调查</w:t>
      </w:r>
      <w:bookmarkEnd w:id="233"/>
    </w:p>
    <w:p>
      <w:pPr>
        <w:widowControl/>
        <w:ind w:firstLine="480"/>
        <w:jc w:val="left"/>
        <w:rPr>
          <w:rFonts w:cs="Times New Roman"/>
        </w:rPr>
      </w:pPr>
      <w:r>
        <w:rPr>
          <w:rFonts w:cs="Times New Roman"/>
          <w:lang w:bidi="ar"/>
        </w:rPr>
        <w:t>根据生态系统生态学的一般原则、方法，结合野外实地考察，按照一定的单 位、等级、系统等关系整合起来，可将评价区的陆生生态系统分为4个一级生态系统，5个二级生态系统类型，8个三级生态系统。评价区以森林生态系统为主，约占整个评价区陆生生态系统面积</w:t>
      </w:r>
      <w:r>
        <w:rPr>
          <w:rFonts w:hint="eastAsia" w:cs="Times New Roman"/>
          <w:lang w:bidi="ar"/>
        </w:rPr>
        <w:t>73.7</w:t>
      </w:r>
      <w:r>
        <w:rPr>
          <w:rFonts w:cs="Times New Roman"/>
          <w:lang w:bidi="ar"/>
        </w:rPr>
        <w:t>%。自然生态系统受人为干扰较为严重，目前主要是地带性植被受破坏后处于次生演替系列上的各类次生生态系统，由于退耕还林工程和天然林保护工程的实施，评价区自然生态系统发育良好，正在向着稳定状态逐步发展。</w:t>
      </w:r>
    </w:p>
    <w:p>
      <w:pPr>
        <w:pStyle w:val="57"/>
      </w:pPr>
      <w:r>
        <w:t>表</w:t>
      </w:r>
      <w:r>
        <w:fldChar w:fldCharType="begin"/>
      </w:r>
      <w:r>
        <w:instrText xml:space="preserve"> STYLEREF 2 \s </w:instrText>
      </w:r>
      <w:r>
        <w:fldChar w:fldCharType="separate"/>
      </w:r>
      <w:r>
        <w:t>6.6</w:t>
      </w:r>
      <w:r>
        <w:fldChar w:fldCharType="end"/>
      </w:r>
      <w:r>
        <w:t>-</w:t>
      </w:r>
      <w:r>
        <w:fldChar w:fldCharType="begin"/>
      </w:r>
      <w:r>
        <w:instrText xml:space="preserve"> SEQ 表格 \* ARABIC \s 2 </w:instrText>
      </w:r>
      <w:r>
        <w:fldChar w:fldCharType="separate"/>
      </w:r>
      <w:r>
        <w:t>1</w:t>
      </w:r>
      <w:r>
        <w:fldChar w:fldCharType="end"/>
      </w:r>
      <w:r>
        <w:t xml:space="preserve">  评价区生态系统分析表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2563"/>
        <w:gridCol w:w="3110"/>
        <w:gridCol w:w="2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op w:val="single" w:color="auto" w:sz="12" w:space="0"/>
              <w:left w:val="nil"/>
            </w:tcBorders>
            <w:vAlign w:val="center"/>
          </w:tcPr>
          <w:p>
            <w:pPr>
              <w:spacing w:line="320" w:lineRule="exact"/>
              <w:ind w:firstLine="0" w:firstLineChars="0"/>
              <w:jc w:val="center"/>
              <w:rPr>
                <w:rFonts w:cs="Times New Roman"/>
                <w:b/>
                <w:sz w:val="21"/>
              </w:rPr>
            </w:pPr>
            <w:r>
              <w:rPr>
                <w:rFonts w:cs="Times New Roman"/>
                <w:b/>
                <w:sz w:val="21"/>
              </w:rPr>
              <w:t>序号</w:t>
            </w:r>
          </w:p>
        </w:tc>
        <w:tc>
          <w:tcPr>
            <w:tcW w:w="2563" w:type="dxa"/>
            <w:tcBorders>
              <w:top w:val="single" w:color="auto" w:sz="12" w:space="0"/>
              <w:left w:val="nil"/>
            </w:tcBorders>
            <w:vAlign w:val="center"/>
          </w:tcPr>
          <w:p>
            <w:pPr>
              <w:spacing w:line="320" w:lineRule="exact"/>
              <w:ind w:firstLine="0" w:firstLineChars="0"/>
              <w:jc w:val="center"/>
              <w:rPr>
                <w:rFonts w:cs="Times New Roman"/>
                <w:b/>
                <w:sz w:val="21"/>
              </w:rPr>
            </w:pPr>
            <w:r>
              <w:rPr>
                <w:rFonts w:cs="Times New Roman"/>
                <w:b/>
                <w:sz w:val="21"/>
              </w:rPr>
              <w:t>一级生态系统</w:t>
            </w:r>
          </w:p>
        </w:tc>
        <w:tc>
          <w:tcPr>
            <w:tcW w:w="3110"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b/>
                <w:sz w:val="21"/>
              </w:rPr>
              <w:t>二级生态系统</w:t>
            </w:r>
          </w:p>
        </w:tc>
        <w:tc>
          <w:tcPr>
            <w:tcW w:w="2130" w:type="dxa"/>
            <w:tcBorders>
              <w:top w:val="single" w:color="auto" w:sz="12" w:space="0"/>
            </w:tcBorders>
            <w:vAlign w:val="center"/>
          </w:tcPr>
          <w:p>
            <w:pPr>
              <w:spacing w:line="320" w:lineRule="exact"/>
              <w:ind w:firstLine="0" w:firstLineChars="0"/>
              <w:jc w:val="center"/>
              <w:rPr>
                <w:rFonts w:cs="Times New Roman"/>
                <w:b/>
                <w:sz w:val="21"/>
              </w:rPr>
            </w:pPr>
            <w:r>
              <w:rPr>
                <w:rFonts w:cs="Times New Roman"/>
                <w:b/>
                <w:sz w:val="21"/>
              </w:rPr>
              <w:t>三级生态系统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tcBorders>
              <w:left w:val="nil"/>
            </w:tcBorders>
            <w:vAlign w:val="center"/>
          </w:tcPr>
          <w:p>
            <w:pPr>
              <w:spacing w:line="320" w:lineRule="exact"/>
              <w:ind w:firstLine="0" w:firstLineChars="0"/>
              <w:jc w:val="center"/>
              <w:rPr>
                <w:rFonts w:cs="Times New Roman"/>
                <w:bCs/>
                <w:sz w:val="21"/>
              </w:rPr>
            </w:pPr>
            <w:r>
              <w:rPr>
                <w:rFonts w:cs="Times New Roman"/>
                <w:bCs/>
                <w:sz w:val="21"/>
              </w:rPr>
              <w:t>一</w:t>
            </w:r>
          </w:p>
        </w:tc>
        <w:tc>
          <w:tcPr>
            <w:tcW w:w="2563" w:type="dxa"/>
            <w:vMerge w:val="restart"/>
            <w:tcBorders>
              <w:left w:val="nil"/>
            </w:tcBorders>
            <w:vAlign w:val="center"/>
          </w:tcPr>
          <w:p>
            <w:pPr>
              <w:spacing w:line="320" w:lineRule="exact"/>
              <w:ind w:firstLine="0" w:firstLineChars="0"/>
              <w:jc w:val="center"/>
              <w:rPr>
                <w:rFonts w:cs="Times New Roman"/>
                <w:bCs/>
                <w:sz w:val="21"/>
              </w:rPr>
            </w:pPr>
            <w:r>
              <w:rPr>
                <w:rFonts w:cs="Times New Roman"/>
                <w:bCs/>
                <w:sz w:val="21"/>
              </w:rPr>
              <w:t>森林生态系统</w:t>
            </w:r>
          </w:p>
        </w:tc>
        <w:tc>
          <w:tcPr>
            <w:tcW w:w="3110" w:type="dxa"/>
            <w:vAlign w:val="center"/>
          </w:tcPr>
          <w:p>
            <w:pPr>
              <w:spacing w:line="320" w:lineRule="exact"/>
              <w:ind w:firstLine="0" w:firstLineChars="0"/>
              <w:jc w:val="center"/>
              <w:rPr>
                <w:rFonts w:cs="Times New Roman"/>
                <w:bCs/>
                <w:sz w:val="21"/>
              </w:rPr>
            </w:pPr>
            <w:r>
              <w:rPr>
                <w:rFonts w:cs="Times New Roman"/>
                <w:bCs/>
                <w:sz w:val="21"/>
              </w:rPr>
              <w:t>常绿针叶林</w:t>
            </w:r>
          </w:p>
        </w:tc>
        <w:tc>
          <w:tcPr>
            <w:tcW w:w="2130" w:type="dxa"/>
            <w:vAlign w:val="center"/>
          </w:tcPr>
          <w:p>
            <w:pPr>
              <w:spacing w:line="320" w:lineRule="exact"/>
              <w:ind w:firstLine="0" w:firstLineChars="0"/>
              <w:jc w:val="center"/>
              <w:rPr>
                <w:rFonts w:cs="Times New Roman"/>
                <w:bCs/>
                <w:sz w:val="21"/>
              </w:rPr>
            </w:pPr>
            <w:r>
              <w:rPr>
                <w:rFonts w:cs="Times New Roman"/>
                <w:bCs/>
                <w:sz w:val="21"/>
              </w:rPr>
              <w:t>马尾松林、柏树林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tcBorders>
              <w:left w:val="nil"/>
            </w:tcBorders>
            <w:vAlign w:val="center"/>
          </w:tcPr>
          <w:p>
            <w:pPr>
              <w:spacing w:line="320" w:lineRule="exact"/>
              <w:ind w:firstLine="0" w:firstLineChars="0"/>
              <w:jc w:val="center"/>
              <w:rPr>
                <w:rFonts w:cs="Times New Roman"/>
                <w:bCs/>
                <w:sz w:val="21"/>
              </w:rPr>
            </w:pPr>
          </w:p>
        </w:tc>
        <w:tc>
          <w:tcPr>
            <w:tcW w:w="2563" w:type="dxa"/>
            <w:vMerge w:val="continue"/>
            <w:tcBorders>
              <w:left w:val="nil"/>
            </w:tcBorders>
            <w:vAlign w:val="center"/>
          </w:tcPr>
          <w:p>
            <w:pPr>
              <w:spacing w:line="320" w:lineRule="exact"/>
              <w:ind w:firstLine="0" w:firstLineChars="0"/>
              <w:jc w:val="center"/>
              <w:rPr>
                <w:rFonts w:cs="Times New Roman"/>
                <w:bCs/>
                <w:sz w:val="21"/>
              </w:rPr>
            </w:pPr>
          </w:p>
        </w:tc>
        <w:tc>
          <w:tcPr>
            <w:tcW w:w="3110" w:type="dxa"/>
            <w:vAlign w:val="center"/>
          </w:tcPr>
          <w:p>
            <w:pPr>
              <w:spacing w:line="320" w:lineRule="exact"/>
              <w:ind w:firstLine="0" w:firstLineChars="0"/>
              <w:jc w:val="center"/>
              <w:rPr>
                <w:rFonts w:cs="Times New Roman"/>
                <w:bCs/>
                <w:sz w:val="21"/>
              </w:rPr>
            </w:pPr>
            <w:bookmarkStart w:id="234" w:name="_Hlk90381390"/>
            <w:r>
              <w:rPr>
                <w:rFonts w:hint="eastAsia"/>
                <w:sz w:val="21"/>
              </w:rPr>
              <w:t>落叶阔叶林</w:t>
            </w:r>
            <w:bookmarkEnd w:id="234"/>
          </w:p>
        </w:tc>
        <w:tc>
          <w:tcPr>
            <w:tcW w:w="2130" w:type="dxa"/>
            <w:vAlign w:val="center"/>
          </w:tcPr>
          <w:p>
            <w:pPr>
              <w:spacing w:line="320" w:lineRule="exact"/>
              <w:ind w:firstLine="0" w:firstLineChars="0"/>
              <w:jc w:val="center"/>
              <w:rPr>
                <w:rFonts w:cs="Times New Roman"/>
                <w:bCs/>
                <w:sz w:val="21"/>
              </w:rPr>
            </w:pPr>
            <w:r>
              <w:t>麻栎、栓皮栎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tcBorders>
              <w:left w:val="nil"/>
            </w:tcBorders>
            <w:vAlign w:val="center"/>
          </w:tcPr>
          <w:p>
            <w:pPr>
              <w:spacing w:line="320" w:lineRule="exact"/>
              <w:ind w:firstLine="0" w:firstLineChars="0"/>
              <w:jc w:val="center"/>
              <w:rPr>
                <w:rFonts w:cs="Times New Roman"/>
                <w:bCs/>
                <w:sz w:val="21"/>
              </w:rPr>
            </w:pPr>
          </w:p>
        </w:tc>
        <w:tc>
          <w:tcPr>
            <w:tcW w:w="2563" w:type="dxa"/>
            <w:vMerge w:val="continue"/>
            <w:tcBorders>
              <w:left w:val="nil"/>
            </w:tcBorders>
            <w:vAlign w:val="center"/>
          </w:tcPr>
          <w:p>
            <w:pPr>
              <w:spacing w:line="320" w:lineRule="exact"/>
              <w:ind w:firstLine="0" w:firstLineChars="0"/>
              <w:jc w:val="center"/>
              <w:rPr>
                <w:rFonts w:cs="Times New Roman"/>
                <w:bCs/>
                <w:sz w:val="21"/>
              </w:rPr>
            </w:pPr>
          </w:p>
        </w:tc>
        <w:tc>
          <w:tcPr>
            <w:tcW w:w="3110" w:type="dxa"/>
            <w:vAlign w:val="center"/>
          </w:tcPr>
          <w:p>
            <w:pPr>
              <w:spacing w:line="320" w:lineRule="exact"/>
              <w:ind w:firstLine="0" w:firstLineChars="0"/>
              <w:jc w:val="center"/>
              <w:rPr>
                <w:sz w:val="21"/>
              </w:rPr>
            </w:pPr>
            <w:r>
              <w:rPr>
                <w:rFonts w:cs="Times New Roman"/>
                <w:bCs/>
                <w:sz w:val="21"/>
              </w:rPr>
              <w:t>常绿</w:t>
            </w:r>
            <w:r>
              <w:rPr>
                <w:rFonts w:hint="eastAsia"/>
                <w:sz w:val="21"/>
              </w:rPr>
              <w:t>阔叶林</w:t>
            </w:r>
          </w:p>
        </w:tc>
        <w:tc>
          <w:tcPr>
            <w:tcW w:w="2130" w:type="dxa"/>
            <w:vAlign w:val="center"/>
          </w:tcPr>
          <w:p>
            <w:pPr>
              <w:spacing w:line="320" w:lineRule="exact"/>
              <w:ind w:firstLine="0" w:firstLineChars="0"/>
              <w:jc w:val="center"/>
              <w:rPr>
                <w:rFonts w:cs="Times New Roman"/>
                <w:bCs/>
                <w:sz w:val="21"/>
              </w:rPr>
            </w:pPr>
            <w:r>
              <w:rPr>
                <w:rFonts w:cs="Times New Roman"/>
                <w:bCs/>
                <w:sz w:val="21"/>
              </w:rPr>
              <w:t>青冈、抱石岳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left w:val="nil"/>
            </w:tcBorders>
            <w:vAlign w:val="center"/>
          </w:tcPr>
          <w:p>
            <w:pPr>
              <w:spacing w:line="320" w:lineRule="exact"/>
              <w:ind w:firstLine="0" w:firstLineChars="0"/>
              <w:jc w:val="center"/>
              <w:rPr>
                <w:rFonts w:cs="Times New Roman"/>
                <w:bCs/>
                <w:sz w:val="21"/>
              </w:rPr>
            </w:pPr>
            <w:r>
              <w:rPr>
                <w:rFonts w:cs="Times New Roman"/>
                <w:bCs/>
                <w:sz w:val="21"/>
              </w:rPr>
              <w:t>二</w:t>
            </w:r>
          </w:p>
        </w:tc>
        <w:tc>
          <w:tcPr>
            <w:tcW w:w="2563" w:type="dxa"/>
            <w:tcBorders>
              <w:left w:val="nil"/>
            </w:tcBorders>
            <w:vAlign w:val="center"/>
          </w:tcPr>
          <w:p>
            <w:pPr>
              <w:spacing w:line="320" w:lineRule="exact"/>
              <w:ind w:firstLine="0" w:firstLineChars="0"/>
              <w:jc w:val="center"/>
              <w:rPr>
                <w:rFonts w:cs="Times New Roman"/>
                <w:bCs/>
                <w:sz w:val="21"/>
              </w:rPr>
            </w:pPr>
            <w:r>
              <w:rPr>
                <w:rFonts w:cs="Times New Roman"/>
                <w:bCs/>
                <w:sz w:val="21"/>
              </w:rPr>
              <w:t>灌丛生态系统</w:t>
            </w:r>
          </w:p>
        </w:tc>
        <w:tc>
          <w:tcPr>
            <w:tcW w:w="3110" w:type="dxa"/>
            <w:vAlign w:val="center"/>
          </w:tcPr>
          <w:p>
            <w:pPr>
              <w:spacing w:line="320" w:lineRule="exact"/>
              <w:ind w:firstLine="0" w:firstLineChars="0"/>
              <w:jc w:val="center"/>
              <w:rPr>
                <w:rFonts w:cs="Times New Roman"/>
                <w:bCs/>
                <w:sz w:val="21"/>
              </w:rPr>
            </w:pPr>
            <w:r>
              <w:rPr>
                <w:rFonts w:cs="Times New Roman"/>
                <w:bCs/>
                <w:sz w:val="21"/>
              </w:rPr>
              <w:t>灌丛</w:t>
            </w:r>
          </w:p>
        </w:tc>
        <w:tc>
          <w:tcPr>
            <w:tcW w:w="2130" w:type="dxa"/>
            <w:vAlign w:val="center"/>
          </w:tcPr>
          <w:p>
            <w:pPr>
              <w:spacing w:line="320" w:lineRule="exact"/>
              <w:ind w:firstLine="0" w:firstLineChars="0"/>
              <w:jc w:val="center"/>
              <w:rPr>
                <w:rFonts w:cs="Times New Roman"/>
                <w:bCs/>
                <w:sz w:val="21"/>
              </w:rPr>
            </w:pPr>
            <w:r>
              <w:rPr>
                <w:rFonts w:cs="Times New Roman"/>
                <w:bCs/>
                <w:sz w:val="21"/>
              </w:rPr>
              <w:t>山地灌丛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left w:val="nil"/>
            </w:tcBorders>
            <w:vAlign w:val="center"/>
          </w:tcPr>
          <w:p>
            <w:pPr>
              <w:spacing w:line="320" w:lineRule="exact"/>
              <w:ind w:firstLine="0" w:firstLineChars="0"/>
              <w:jc w:val="center"/>
              <w:rPr>
                <w:rFonts w:cs="Times New Roman"/>
                <w:bCs/>
                <w:sz w:val="21"/>
              </w:rPr>
            </w:pPr>
            <w:r>
              <w:rPr>
                <w:rFonts w:cs="Times New Roman"/>
                <w:bCs/>
                <w:sz w:val="21"/>
              </w:rPr>
              <w:t>三</w:t>
            </w:r>
          </w:p>
        </w:tc>
        <w:tc>
          <w:tcPr>
            <w:tcW w:w="2563" w:type="dxa"/>
            <w:tcBorders>
              <w:left w:val="nil"/>
            </w:tcBorders>
            <w:vAlign w:val="center"/>
          </w:tcPr>
          <w:p>
            <w:pPr>
              <w:spacing w:line="320" w:lineRule="exact"/>
              <w:ind w:firstLine="0" w:firstLineChars="0"/>
              <w:jc w:val="center"/>
              <w:rPr>
                <w:rFonts w:cs="Times New Roman"/>
                <w:bCs/>
                <w:sz w:val="21"/>
              </w:rPr>
            </w:pPr>
            <w:r>
              <w:rPr>
                <w:rFonts w:cs="Times New Roman"/>
                <w:bCs/>
                <w:sz w:val="21"/>
              </w:rPr>
              <w:t>水域生态系统</w:t>
            </w:r>
          </w:p>
        </w:tc>
        <w:tc>
          <w:tcPr>
            <w:tcW w:w="3110" w:type="dxa"/>
            <w:vAlign w:val="center"/>
          </w:tcPr>
          <w:p>
            <w:pPr>
              <w:spacing w:line="320" w:lineRule="exact"/>
              <w:ind w:firstLine="0" w:firstLineChars="0"/>
              <w:jc w:val="center"/>
              <w:rPr>
                <w:rFonts w:cs="Times New Roman"/>
                <w:bCs/>
                <w:sz w:val="21"/>
              </w:rPr>
            </w:pPr>
          </w:p>
        </w:tc>
        <w:tc>
          <w:tcPr>
            <w:tcW w:w="2130" w:type="dxa"/>
            <w:vAlign w:val="center"/>
          </w:tcPr>
          <w:p>
            <w:pPr>
              <w:spacing w:line="320" w:lineRule="exact"/>
              <w:ind w:firstLine="0" w:firstLineChars="0"/>
              <w:jc w:val="center"/>
              <w:rPr>
                <w:rFonts w:cs="Times New Roman"/>
                <w:bCs/>
                <w:sz w:val="21"/>
              </w:rPr>
            </w:pPr>
            <w:r>
              <w:rPr>
                <w:rFonts w:cs="Times New Roman"/>
                <w:bCs/>
                <w:sz w:val="21"/>
              </w:rPr>
              <w:t>水域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tcBorders>
              <w:left w:val="nil"/>
            </w:tcBorders>
            <w:vAlign w:val="center"/>
          </w:tcPr>
          <w:p>
            <w:pPr>
              <w:spacing w:line="320" w:lineRule="exact"/>
              <w:ind w:firstLine="0" w:firstLineChars="0"/>
              <w:jc w:val="center"/>
              <w:rPr>
                <w:rFonts w:cs="Times New Roman"/>
                <w:bCs/>
                <w:sz w:val="21"/>
              </w:rPr>
            </w:pPr>
            <w:r>
              <w:rPr>
                <w:rFonts w:cs="Times New Roman"/>
                <w:bCs/>
                <w:sz w:val="21"/>
              </w:rPr>
              <w:t>四</w:t>
            </w:r>
          </w:p>
        </w:tc>
        <w:tc>
          <w:tcPr>
            <w:tcW w:w="2563" w:type="dxa"/>
            <w:vMerge w:val="restart"/>
            <w:tcBorders>
              <w:left w:val="nil"/>
            </w:tcBorders>
            <w:vAlign w:val="center"/>
          </w:tcPr>
          <w:p>
            <w:pPr>
              <w:spacing w:line="320" w:lineRule="exact"/>
              <w:ind w:firstLine="0" w:firstLineChars="0"/>
              <w:jc w:val="center"/>
              <w:rPr>
                <w:rFonts w:cs="Times New Roman"/>
                <w:bCs/>
                <w:sz w:val="21"/>
              </w:rPr>
            </w:pPr>
            <w:r>
              <w:rPr>
                <w:rFonts w:cs="Times New Roman"/>
                <w:bCs/>
                <w:sz w:val="21"/>
              </w:rPr>
              <w:t>人工生态系统</w:t>
            </w:r>
          </w:p>
        </w:tc>
        <w:tc>
          <w:tcPr>
            <w:tcW w:w="3110" w:type="dxa"/>
            <w:vMerge w:val="restart"/>
            <w:vAlign w:val="center"/>
          </w:tcPr>
          <w:p>
            <w:pPr>
              <w:spacing w:line="320" w:lineRule="exact"/>
              <w:ind w:firstLine="0" w:firstLineChars="0"/>
              <w:jc w:val="center"/>
              <w:rPr>
                <w:rFonts w:cs="Times New Roman"/>
                <w:bCs/>
                <w:sz w:val="21"/>
              </w:rPr>
            </w:pPr>
            <w:r>
              <w:rPr>
                <w:rFonts w:cs="Times New Roman"/>
                <w:bCs/>
                <w:sz w:val="21"/>
              </w:rPr>
              <w:t>农田和聚落生态系统</w:t>
            </w:r>
          </w:p>
        </w:tc>
        <w:tc>
          <w:tcPr>
            <w:tcW w:w="2130" w:type="dxa"/>
            <w:vAlign w:val="center"/>
          </w:tcPr>
          <w:p>
            <w:pPr>
              <w:spacing w:line="320" w:lineRule="exact"/>
              <w:ind w:firstLine="0" w:firstLineChars="0"/>
              <w:jc w:val="center"/>
              <w:rPr>
                <w:rFonts w:cs="Times New Roman"/>
                <w:bCs/>
                <w:sz w:val="21"/>
              </w:rPr>
            </w:pPr>
            <w:r>
              <w:rPr>
                <w:rFonts w:cs="Times New Roman"/>
                <w:bCs/>
                <w:sz w:val="21"/>
              </w:rPr>
              <w:t>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tcBorders>
              <w:left w:val="nil"/>
            </w:tcBorders>
            <w:vAlign w:val="center"/>
          </w:tcPr>
          <w:p>
            <w:pPr>
              <w:spacing w:line="320" w:lineRule="exact"/>
              <w:ind w:firstLine="0" w:firstLineChars="0"/>
              <w:jc w:val="center"/>
              <w:rPr>
                <w:rFonts w:cs="Times New Roman"/>
                <w:bCs/>
                <w:sz w:val="21"/>
              </w:rPr>
            </w:pPr>
          </w:p>
        </w:tc>
        <w:tc>
          <w:tcPr>
            <w:tcW w:w="2563" w:type="dxa"/>
            <w:vMerge w:val="continue"/>
            <w:tcBorders>
              <w:left w:val="nil"/>
            </w:tcBorders>
            <w:vAlign w:val="center"/>
          </w:tcPr>
          <w:p>
            <w:pPr>
              <w:spacing w:line="320" w:lineRule="exact"/>
              <w:ind w:firstLine="0" w:firstLineChars="0"/>
              <w:jc w:val="center"/>
              <w:rPr>
                <w:rFonts w:cs="Times New Roman"/>
                <w:bCs/>
                <w:sz w:val="21"/>
              </w:rPr>
            </w:pPr>
          </w:p>
        </w:tc>
        <w:tc>
          <w:tcPr>
            <w:tcW w:w="3110" w:type="dxa"/>
            <w:vMerge w:val="continue"/>
            <w:vAlign w:val="center"/>
          </w:tcPr>
          <w:p>
            <w:pPr>
              <w:spacing w:line="320" w:lineRule="exact"/>
              <w:ind w:firstLine="0" w:firstLineChars="0"/>
              <w:jc w:val="center"/>
              <w:rPr>
                <w:rFonts w:cs="Times New Roman"/>
                <w:bCs/>
                <w:sz w:val="21"/>
              </w:rPr>
            </w:pPr>
          </w:p>
        </w:tc>
        <w:tc>
          <w:tcPr>
            <w:tcW w:w="2130" w:type="dxa"/>
            <w:vAlign w:val="center"/>
          </w:tcPr>
          <w:p>
            <w:pPr>
              <w:spacing w:line="320" w:lineRule="exact"/>
              <w:ind w:firstLine="0" w:firstLineChars="0"/>
              <w:jc w:val="center"/>
              <w:rPr>
                <w:rFonts w:cs="Times New Roman"/>
                <w:bCs/>
                <w:sz w:val="21"/>
              </w:rPr>
            </w:pPr>
            <w:r>
              <w:rPr>
                <w:rFonts w:cs="Times New Roman"/>
                <w:bCs/>
                <w:sz w:val="21"/>
              </w:rPr>
              <w:t>经济林木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tcBorders>
              <w:left w:val="nil"/>
            </w:tcBorders>
            <w:vAlign w:val="center"/>
          </w:tcPr>
          <w:p>
            <w:pPr>
              <w:spacing w:line="320" w:lineRule="exact"/>
              <w:ind w:firstLine="0" w:firstLineChars="0"/>
              <w:jc w:val="center"/>
              <w:rPr>
                <w:rFonts w:cs="Times New Roman"/>
                <w:bCs/>
                <w:sz w:val="21"/>
              </w:rPr>
            </w:pPr>
          </w:p>
        </w:tc>
        <w:tc>
          <w:tcPr>
            <w:tcW w:w="2563" w:type="dxa"/>
            <w:vMerge w:val="continue"/>
            <w:tcBorders>
              <w:left w:val="nil"/>
            </w:tcBorders>
            <w:vAlign w:val="center"/>
          </w:tcPr>
          <w:p>
            <w:pPr>
              <w:spacing w:line="320" w:lineRule="exact"/>
              <w:ind w:firstLine="0" w:firstLineChars="0"/>
              <w:jc w:val="center"/>
              <w:rPr>
                <w:rFonts w:cs="Times New Roman"/>
                <w:bCs/>
                <w:sz w:val="21"/>
              </w:rPr>
            </w:pPr>
          </w:p>
        </w:tc>
        <w:tc>
          <w:tcPr>
            <w:tcW w:w="3110" w:type="dxa"/>
            <w:vMerge w:val="continue"/>
            <w:vAlign w:val="center"/>
          </w:tcPr>
          <w:p>
            <w:pPr>
              <w:spacing w:line="320" w:lineRule="exact"/>
              <w:ind w:firstLine="0" w:firstLineChars="0"/>
              <w:jc w:val="center"/>
              <w:rPr>
                <w:rFonts w:cs="Times New Roman"/>
                <w:bCs/>
                <w:sz w:val="21"/>
              </w:rPr>
            </w:pPr>
          </w:p>
        </w:tc>
        <w:tc>
          <w:tcPr>
            <w:tcW w:w="2130" w:type="dxa"/>
            <w:vAlign w:val="center"/>
          </w:tcPr>
          <w:p>
            <w:pPr>
              <w:spacing w:line="320" w:lineRule="exact"/>
              <w:ind w:firstLine="0" w:firstLineChars="0"/>
              <w:jc w:val="center"/>
              <w:rPr>
                <w:rFonts w:cs="Times New Roman"/>
                <w:bCs/>
                <w:sz w:val="21"/>
              </w:rPr>
            </w:pPr>
            <w:r>
              <w:rPr>
                <w:rFonts w:cs="Times New Roman"/>
                <w:bCs/>
                <w:sz w:val="21"/>
              </w:rPr>
              <w:t>聚落</w:t>
            </w:r>
          </w:p>
        </w:tc>
      </w:tr>
    </w:tbl>
    <w:p>
      <w:pPr>
        <w:pStyle w:val="5"/>
        <w:rPr>
          <w:rFonts w:cs="Times New Roman"/>
        </w:rPr>
      </w:pPr>
      <w:r>
        <w:rPr>
          <w:rFonts w:hint="eastAsia"/>
        </w:rPr>
        <w:t xml:space="preserve"> </w:t>
      </w:r>
      <w:bookmarkStart w:id="235" w:name="_Toc96680709"/>
      <w:r>
        <w:t>植被现状</w:t>
      </w:r>
      <w:bookmarkEnd w:id="235"/>
    </w:p>
    <w:p>
      <w:pPr>
        <w:ind w:firstLine="482"/>
        <w:rPr>
          <w:b/>
          <w:bCs/>
        </w:rPr>
      </w:pPr>
      <w:r>
        <w:rPr>
          <w:b/>
          <w:bCs/>
        </w:rPr>
        <w:t>（1）植被分布特点</w:t>
      </w:r>
    </w:p>
    <w:p>
      <w:pPr>
        <w:ind w:firstLine="480"/>
      </w:pPr>
      <w:r>
        <w:t>通江县在植被带普上应为常绿阔叶林类型，因大面积开垦、种植，形成了以马尾松、柏木为主的亚热带针叶林；以木竹、慈竹、斑竹为主的亚热带竹林；以麻栎、栓皮栎为主的落叶阔叶林；以青冈、抱石岳、多穗是栎为主的常绿阔叶林。植被上层建群种以柏树、马尾松、麻栎、栓皮栎、杨属、柳属等乔木树种为主；灌丛建群种以黄荆、马桑、水橡、黑檀、鸡骨头、映山红、铁芒萁、哗啦等树种为主；草本藤本建群种以白茅、大芒、蕨类、粉葛、苦葛等植物为主。常见的伴生树种有猴樟、油樟、黑壳楠、密叶新木姜、巴山松等。</w:t>
      </w:r>
    </w:p>
    <w:p>
      <w:pPr>
        <w:pStyle w:val="248"/>
        <w:ind w:firstLine="480"/>
      </w:pPr>
      <w:r>
        <w:t>本项目评价区内的植被</w:t>
      </w:r>
      <w:r>
        <w:rPr>
          <w:rFonts w:hint="eastAsia"/>
        </w:rPr>
        <w:t>覆盖</w:t>
      </w:r>
      <w:r>
        <w:t>面积统计见下表，植被分布现状图见附图12。</w:t>
      </w:r>
    </w:p>
    <w:p>
      <w:pPr>
        <w:pStyle w:val="73"/>
      </w:pPr>
      <w:r>
        <w:t>表</w:t>
      </w:r>
      <w:r>
        <w:fldChar w:fldCharType="begin"/>
      </w:r>
      <w:r>
        <w:instrText xml:space="preserve"> STYLEREF 2 \s </w:instrText>
      </w:r>
      <w:r>
        <w:fldChar w:fldCharType="separate"/>
      </w:r>
      <w:r>
        <w:t>6.6</w:t>
      </w:r>
      <w:r>
        <w:fldChar w:fldCharType="end"/>
      </w:r>
      <w:r>
        <w:noBreakHyphen/>
      </w:r>
      <w:r>
        <w:fldChar w:fldCharType="begin"/>
      </w:r>
      <w:r>
        <w:instrText xml:space="preserve"> SEQ 表 \* ARABIC \s 2 </w:instrText>
      </w:r>
      <w:r>
        <w:fldChar w:fldCharType="separate"/>
      </w:r>
      <w:r>
        <w:t>1</w:t>
      </w:r>
      <w:r>
        <w:fldChar w:fldCharType="end"/>
      </w:r>
      <w:r>
        <w:t xml:space="preserve">  评价区</w:t>
      </w:r>
      <w:r>
        <w:rPr>
          <w:rFonts w:hint="eastAsia"/>
        </w:rPr>
        <w:t>内植被</w:t>
      </w:r>
      <w:r>
        <w:t>覆盖面积统计表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840"/>
        <w:gridCol w:w="2841"/>
        <w:gridCol w:w="284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840" w:type="dxa"/>
            <w:vAlign w:val="center"/>
          </w:tcPr>
          <w:p>
            <w:pPr>
              <w:pStyle w:val="248"/>
              <w:spacing w:line="240" w:lineRule="auto"/>
              <w:ind w:firstLine="0" w:firstLineChars="0"/>
              <w:jc w:val="center"/>
              <w:rPr>
                <w:rFonts w:hAnsi="Times New Roman" w:cs="Times New Roman"/>
                <w:b/>
                <w:sz w:val="21"/>
                <w:szCs w:val="21"/>
              </w:rPr>
            </w:pPr>
            <w:r>
              <w:rPr>
                <w:rFonts w:hAnsi="Times New Roman" w:cs="Times New Roman"/>
                <w:b/>
                <w:sz w:val="21"/>
                <w:szCs w:val="21"/>
              </w:rPr>
              <w:t>植被类型</w:t>
            </w:r>
          </w:p>
        </w:tc>
        <w:tc>
          <w:tcPr>
            <w:tcW w:w="2841" w:type="dxa"/>
            <w:vAlign w:val="center"/>
          </w:tcPr>
          <w:p>
            <w:pPr>
              <w:pStyle w:val="248"/>
              <w:spacing w:line="240" w:lineRule="auto"/>
              <w:ind w:firstLine="0" w:firstLineChars="0"/>
              <w:jc w:val="center"/>
              <w:rPr>
                <w:rFonts w:hAnsi="Times New Roman" w:cs="Times New Roman"/>
                <w:b/>
                <w:sz w:val="21"/>
                <w:szCs w:val="21"/>
              </w:rPr>
            </w:pPr>
            <w:r>
              <w:rPr>
                <w:rFonts w:hAnsi="Times New Roman" w:cs="Times New Roman"/>
                <w:b/>
                <w:sz w:val="21"/>
                <w:szCs w:val="21"/>
              </w:rPr>
              <w:t>面积（hm</w:t>
            </w:r>
            <w:r>
              <w:rPr>
                <w:rFonts w:hAnsi="Times New Roman" w:cs="Times New Roman"/>
                <w:b/>
                <w:sz w:val="21"/>
                <w:szCs w:val="21"/>
                <w:vertAlign w:val="superscript"/>
              </w:rPr>
              <w:t>2</w:t>
            </w:r>
            <w:r>
              <w:rPr>
                <w:rFonts w:hAnsi="Times New Roman" w:cs="Times New Roman"/>
                <w:b/>
                <w:sz w:val="21"/>
                <w:szCs w:val="21"/>
              </w:rPr>
              <w:t>）</w:t>
            </w:r>
          </w:p>
        </w:tc>
        <w:tc>
          <w:tcPr>
            <w:tcW w:w="2841" w:type="dxa"/>
            <w:vAlign w:val="center"/>
          </w:tcPr>
          <w:p>
            <w:pPr>
              <w:pStyle w:val="248"/>
              <w:spacing w:line="240" w:lineRule="auto"/>
              <w:ind w:firstLine="0" w:firstLineChars="0"/>
              <w:jc w:val="center"/>
              <w:rPr>
                <w:rFonts w:hAnsi="Times New Roman" w:cs="Times New Roman"/>
                <w:b/>
                <w:sz w:val="21"/>
                <w:szCs w:val="21"/>
              </w:rPr>
            </w:pPr>
            <w:r>
              <w:rPr>
                <w:rFonts w:hAnsi="Times New Roman" w:cs="Times New Roman"/>
                <w:b/>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6" w:hRule="atLeast"/>
        </w:trPr>
        <w:tc>
          <w:tcPr>
            <w:tcW w:w="2840" w:type="dxa"/>
            <w:vAlign w:val="center"/>
          </w:tcPr>
          <w:p>
            <w:pPr>
              <w:spacing w:line="240" w:lineRule="auto"/>
              <w:ind w:firstLine="0" w:firstLineChars="0"/>
              <w:jc w:val="center"/>
              <w:rPr>
                <w:sz w:val="21"/>
              </w:rPr>
            </w:pPr>
            <w:r>
              <w:rPr>
                <w:rFonts w:hint="eastAsia"/>
                <w:sz w:val="21"/>
              </w:rPr>
              <w:t>乔木林</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67.88</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int="eastAsia" w:hAnsi="Times New Roman" w:cs="Times New Roman"/>
                <w:sz w:val="21"/>
                <w:szCs w:val="21"/>
              </w:rPr>
              <w:t>73.70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40" w:type="dxa"/>
            <w:vAlign w:val="bottom"/>
          </w:tcPr>
          <w:p>
            <w:pPr>
              <w:spacing w:line="240" w:lineRule="auto"/>
              <w:ind w:firstLine="0" w:firstLineChars="0"/>
              <w:jc w:val="center"/>
              <w:rPr>
                <w:sz w:val="21"/>
              </w:rPr>
            </w:pPr>
            <w:r>
              <w:rPr>
                <w:rFonts w:hint="eastAsia"/>
                <w:sz w:val="21"/>
              </w:rPr>
              <w:t>&gt;25度坡耕地</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0.09</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int="eastAsia" w:hAnsi="Times New Roman" w:cs="Times New Roman"/>
                <w:sz w:val="21"/>
                <w:szCs w:val="21"/>
              </w:rPr>
              <w:t>0.10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40" w:type="dxa"/>
            <w:vAlign w:val="bottom"/>
          </w:tcPr>
          <w:p>
            <w:pPr>
              <w:spacing w:line="240" w:lineRule="auto"/>
              <w:ind w:firstLine="0" w:firstLineChars="0"/>
              <w:jc w:val="center"/>
              <w:rPr>
                <w:sz w:val="21"/>
              </w:rPr>
            </w:pPr>
            <w:r>
              <w:rPr>
                <w:rFonts w:hint="eastAsia"/>
                <w:sz w:val="21"/>
              </w:rPr>
              <w:t>其它耕地</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21.87</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int="eastAsia" w:hAnsi="Times New Roman" w:cs="Times New Roman"/>
                <w:sz w:val="21"/>
                <w:szCs w:val="21"/>
              </w:rPr>
              <w:t>23.75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40" w:type="dxa"/>
            <w:vAlign w:val="center"/>
          </w:tcPr>
          <w:p>
            <w:pPr>
              <w:spacing w:line="240" w:lineRule="auto"/>
              <w:ind w:firstLine="0" w:firstLineChars="0"/>
              <w:jc w:val="center"/>
              <w:rPr>
                <w:sz w:val="21"/>
              </w:rPr>
            </w:pPr>
            <w:r>
              <w:rPr>
                <w:rFonts w:hint="eastAsia"/>
                <w:sz w:val="21"/>
              </w:rPr>
              <w:t>水域</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1.15</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int="eastAsia" w:hAnsi="Times New Roman" w:cs="Times New Roman"/>
                <w:sz w:val="21"/>
                <w:szCs w:val="21"/>
              </w:rPr>
              <w:t>1.25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40" w:type="dxa"/>
            <w:vAlign w:val="center"/>
          </w:tcPr>
          <w:p>
            <w:pPr>
              <w:spacing w:line="240" w:lineRule="auto"/>
              <w:ind w:firstLine="0" w:firstLineChars="0"/>
              <w:jc w:val="center"/>
              <w:rPr>
                <w:sz w:val="21"/>
              </w:rPr>
            </w:pPr>
            <w:r>
              <w:rPr>
                <w:rFonts w:hint="eastAsia"/>
                <w:sz w:val="21"/>
              </w:rPr>
              <w:t>建设用地</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1.11</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int="eastAsia" w:hAnsi="Times New Roman" w:cs="Times New Roman"/>
                <w:sz w:val="21"/>
                <w:szCs w:val="21"/>
              </w:rPr>
              <w:t>1.20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40" w:type="dxa"/>
            <w:vAlign w:val="center"/>
          </w:tcPr>
          <w:p>
            <w:pPr>
              <w:spacing w:line="240" w:lineRule="auto"/>
              <w:ind w:firstLine="0" w:firstLineChars="0"/>
              <w:jc w:val="center"/>
              <w:rPr>
                <w:sz w:val="21"/>
              </w:rPr>
            </w:pPr>
            <w:r>
              <w:rPr>
                <w:rFonts w:hint="eastAsia"/>
                <w:sz w:val="21"/>
              </w:rPr>
              <w:t>总计</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int="eastAsia" w:hAnsi="Times New Roman" w:cs="Times New Roman"/>
                <w:sz w:val="21"/>
                <w:szCs w:val="21"/>
              </w:rPr>
              <w:t>92.1</w:t>
            </w:r>
            <w:r>
              <w:rPr>
                <w:rFonts w:hAnsi="Times New Roman" w:cs="Times New Roman"/>
                <w:sz w:val="21"/>
                <w:szCs w:val="21"/>
              </w:rPr>
              <w:t>0</w:t>
            </w:r>
          </w:p>
        </w:tc>
        <w:tc>
          <w:tcPr>
            <w:tcW w:w="2841" w:type="dxa"/>
            <w:vAlign w:val="center"/>
          </w:tcPr>
          <w:p>
            <w:pPr>
              <w:pStyle w:val="248"/>
              <w:spacing w:line="240" w:lineRule="auto"/>
              <w:ind w:firstLine="0" w:firstLineChars="0"/>
              <w:jc w:val="center"/>
              <w:rPr>
                <w:rFonts w:hAnsi="Times New Roman" w:cs="Times New Roman"/>
                <w:sz w:val="21"/>
                <w:szCs w:val="21"/>
              </w:rPr>
            </w:pPr>
            <w:r>
              <w:rPr>
                <w:rFonts w:hint="eastAsia" w:hAnsi="Times New Roman" w:cs="Times New Roman"/>
                <w:sz w:val="21"/>
                <w:szCs w:val="21"/>
              </w:rPr>
              <w:t>100</w:t>
            </w:r>
          </w:p>
        </w:tc>
      </w:tr>
    </w:tbl>
    <w:p>
      <w:pPr>
        <w:pStyle w:val="248"/>
        <w:ind w:firstLine="480"/>
      </w:pPr>
      <w:r>
        <w:t>本项目评价区域内</w:t>
      </w:r>
      <w:r>
        <w:rPr>
          <w:rFonts w:hint="eastAsia"/>
        </w:rPr>
        <w:t>乔木林</w:t>
      </w:r>
      <w:r>
        <w:t>植被类型面积最多</w:t>
      </w:r>
      <w:r>
        <w:rPr>
          <w:rFonts w:hint="eastAsia"/>
        </w:rPr>
        <w:t>，为</w:t>
      </w:r>
      <w:r>
        <w:t>67.88hm</w:t>
      </w:r>
      <w:r>
        <w:rPr>
          <w:vertAlign w:val="superscript"/>
        </w:rPr>
        <w:t>2</w:t>
      </w:r>
      <w:r>
        <w:t>，其次为</w:t>
      </w:r>
      <w:r>
        <w:rPr>
          <w:rFonts w:hint="eastAsia"/>
        </w:rPr>
        <w:t>耕地</w:t>
      </w:r>
      <w:r>
        <w:t>植被，面积分别为21.96hm</w:t>
      </w:r>
      <w:r>
        <w:rPr>
          <w:vertAlign w:val="superscript"/>
        </w:rPr>
        <w:t>2</w:t>
      </w:r>
      <w:r>
        <w:t>。</w:t>
      </w:r>
    </w:p>
    <w:p>
      <w:pPr>
        <w:pStyle w:val="248"/>
        <w:ind w:firstLine="439" w:firstLineChars="182"/>
        <w:rPr>
          <w:rFonts w:hAnsi="Times New Roman" w:cs="Times New Roman"/>
          <w:b/>
          <w:bCs/>
        </w:rPr>
      </w:pPr>
      <w:r>
        <w:rPr>
          <w:rFonts w:hint="eastAsia" w:hAnsi="Times New Roman" w:cs="Times New Roman"/>
          <w:b/>
          <w:bCs/>
        </w:rPr>
        <w:t>（2）评价区</w:t>
      </w:r>
      <w:r>
        <w:rPr>
          <w:rFonts w:hAnsi="Times New Roman" w:cs="Times New Roman"/>
          <w:b/>
          <w:bCs/>
        </w:rPr>
        <w:t>主要植被类型</w:t>
      </w:r>
      <w:r>
        <w:rPr>
          <w:rFonts w:hint="eastAsia" w:hAnsi="Times New Roman" w:cs="Times New Roman"/>
          <w:b/>
          <w:bCs/>
        </w:rPr>
        <w:t>描述</w:t>
      </w:r>
    </w:p>
    <w:p>
      <w:pPr>
        <w:pStyle w:val="248"/>
        <w:ind w:firstLine="482"/>
        <w:rPr>
          <w:rFonts w:hAnsi="Times New Roman" w:cs="Times New Roman"/>
          <w:b/>
          <w:bCs/>
        </w:rPr>
      </w:pPr>
      <w:r>
        <w:rPr>
          <w:rFonts w:hAnsi="Times New Roman" w:cs="Times New Roman"/>
          <w:b/>
          <w:bCs/>
        </w:rPr>
        <w:fldChar w:fldCharType="begin"/>
      </w:r>
      <w:r>
        <w:rPr>
          <w:rFonts w:hAnsi="Times New Roman" w:cs="Times New Roman"/>
          <w:b/>
          <w:bCs/>
        </w:rPr>
        <w:instrText xml:space="preserve"> = 1 \* GB3 </w:instrText>
      </w:r>
      <w:r>
        <w:rPr>
          <w:rFonts w:hAnsi="Times New Roman" w:cs="Times New Roman"/>
          <w:b/>
          <w:bCs/>
        </w:rPr>
        <w:fldChar w:fldCharType="separate"/>
      </w:r>
      <w:r>
        <w:rPr>
          <w:rFonts w:hint="eastAsia" w:hAnsi="Times New Roman" w:cs="Times New Roman"/>
          <w:b/>
          <w:bCs/>
        </w:rPr>
        <w:t>①</w:t>
      </w:r>
      <w:r>
        <w:rPr>
          <w:rFonts w:hAnsi="Times New Roman" w:cs="Times New Roman"/>
          <w:b/>
          <w:bCs/>
        </w:rPr>
        <w:fldChar w:fldCharType="end"/>
      </w:r>
      <w:r>
        <w:rPr>
          <w:rFonts w:hAnsi="Times New Roman" w:cs="Times New Roman"/>
          <w:b/>
          <w:bCs/>
        </w:rPr>
        <w:t>针叶林植被</w:t>
      </w:r>
    </w:p>
    <w:p>
      <w:pPr>
        <w:pStyle w:val="248"/>
        <w:ind w:firstLine="480"/>
        <w:rPr>
          <w:rFonts w:hAnsi="Times New Roman" w:cs="Times New Roman"/>
        </w:rPr>
      </w:pPr>
      <w:r>
        <w:rPr>
          <w:rFonts w:hint="eastAsia" w:hAnsi="Times New Roman" w:cs="Times New Roman"/>
        </w:rPr>
        <w:t>针叶林植被主要以柏木、马尾松等针叶树种为主。</w:t>
      </w:r>
    </w:p>
    <w:p>
      <w:pPr>
        <w:pStyle w:val="248"/>
        <w:ind w:firstLine="482"/>
        <w:rPr>
          <w:rFonts w:hAnsi="Times New Roman" w:cs="Times New Roman"/>
          <w:b/>
          <w:bCs/>
        </w:rPr>
      </w:pPr>
      <w:r>
        <w:rPr>
          <w:rFonts w:hint="eastAsia" w:hAnsi="Times New Roman" w:cs="Times New Roman"/>
          <w:b/>
          <w:bCs/>
        </w:rPr>
        <w:t>A</w:t>
      </w:r>
      <w:r>
        <w:rPr>
          <w:rFonts w:hAnsi="Times New Roman" w:cs="Times New Roman"/>
          <w:b/>
          <w:bCs/>
        </w:rPr>
        <w:t>.</w:t>
      </w:r>
      <w:r>
        <w:rPr>
          <w:rFonts w:hint="eastAsia" w:hAnsi="Times New Roman" w:cs="Times New Roman"/>
          <w:b/>
          <w:bCs/>
        </w:rPr>
        <w:t>柏木林（Form. Cupressus funebris）</w:t>
      </w:r>
    </w:p>
    <w:p>
      <w:pPr>
        <w:pStyle w:val="248"/>
        <w:ind w:firstLine="480"/>
        <w:rPr>
          <w:rFonts w:hAnsi="Times New Roman" w:cs="Times New Roman"/>
        </w:rPr>
      </w:pPr>
      <w:r>
        <w:rPr>
          <w:rFonts w:hint="eastAsia" w:hAnsi="Times New Roman" w:cs="Times New Roman"/>
        </w:rPr>
        <w:t>柏木林是四川省境内中低海拔地带分布的针叶树林之一，在评价区呈片状分布，目前其分布面积远大于针叶树林的其它类型。群落外貌苍绿，林冠整齐，以柏木为绝对优势物种，群落郁闭度0.7~0.85，群落中植株株高6~18m，胸径13~38cm，伴生植物常为阔叶树种，偶见有马尾松（Pinus massoniana），主要有为栓皮栎（Quercus variabilis）、桤木（Alnus cremastogyne）、女贞（Ligustrum lucidum）、青冈（Cyclobalanopsis glauca）、化香树（Platycarya strobilacea）、黑壳楠（Lindera megaphylla）等。</w:t>
      </w:r>
    </w:p>
    <w:p>
      <w:pPr>
        <w:pStyle w:val="248"/>
        <w:ind w:firstLine="480"/>
        <w:rPr>
          <w:rFonts w:hAnsi="Times New Roman" w:cs="Times New Roman"/>
        </w:rPr>
      </w:pPr>
      <w:r>
        <w:rPr>
          <w:rFonts w:hint="eastAsia" w:hAnsi="Times New Roman" w:cs="Times New Roman"/>
        </w:rPr>
        <w:t>林下灌木层物种较多，层次较为明显，常见的物种有铁仔（Myrsina africana）、菱叶冠毛榕（Ficus gasparriniana）、三叶木通（Akebia trifoliata）、细齿叶柃（Eurya nitida）、悬钩子（Rubus spp）等，群落盖度25~35%，树高主要在1.2~3.5m，偶见种主要有棣棠花（Kerria japonica）、金丝桃（Hypericum monogynum）、盐肤木（Rhus chinensis）、崖花子（Pittosporum truncatum）等。</w:t>
      </w:r>
    </w:p>
    <w:p>
      <w:pPr>
        <w:pStyle w:val="248"/>
        <w:ind w:firstLine="480"/>
        <w:rPr>
          <w:rFonts w:hAnsi="Times New Roman" w:cs="Times New Roman"/>
        </w:rPr>
      </w:pPr>
      <w:r>
        <w:rPr>
          <w:rFonts w:hint="eastAsia" w:hAnsi="Times New Roman" w:cs="Times New Roman"/>
        </w:rPr>
        <w:t>草本层植物主要以蕨类、禾本科和莎草科植物为主，草本盖度15~25%，草本高度不超过0.6m。常见的植物有江南卷柏（Selaginella moellendorffii）、贯众（Cyrtomium fortunei）、竹叶草（Oplismenus compositus）、茅叶荩草（Arthraxon prionodes）、苔草（Carex spp.）等，还有马兰（Aster indicus）、三脉紫菀（Asterageratoides）、天名精（Carpesiumabrotanoides）、宽叶腹水草（Veronicastrum latifolium）等。</w:t>
      </w:r>
    </w:p>
    <w:p>
      <w:pPr>
        <w:pStyle w:val="248"/>
        <w:ind w:firstLine="482"/>
        <w:rPr>
          <w:rFonts w:hAnsi="Times New Roman" w:cs="Times New Roman"/>
          <w:b/>
          <w:bCs/>
        </w:rPr>
      </w:pPr>
      <w:r>
        <w:rPr>
          <w:rFonts w:hint="eastAsia" w:hAnsi="Times New Roman" w:cs="Times New Roman"/>
          <w:b/>
          <w:bCs/>
        </w:rPr>
        <w:t>B</w:t>
      </w:r>
      <w:r>
        <w:rPr>
          <w:rFonts w:hAnsi="Times New Roman" w:cs="Times New Roman"/>
          <w:b/>
          <w:bCs/>
        </w:rPr>
        <w:t>.</w:t>
      </w:r>
      <w:r>
        <w:rPr>
          <w:rFonts w:hint="eastAsia" w:hAnsi="Times New Roman" w:cs="Times New Roman"/>
          <w:b/>
          <w:bCs/>
        </w:rPr>
        <w:t>马尾松林(Form. Pinus massoniana)</w:t>
      </w:r>
    </w:p>
    <w:p>
      <w:pPr>
        <w:pStyle w:val="248"/>
        <w:ind w:firstLine="480"/>
        <w:rPr>
          <w:rFonts w:hAnsi="Times New Roman" w:cs="Times New Roman"/>
        </w:rPr>
      </w:pPr>
      <w:r>
        <w:rPr>
          <w:rFonts w:hint="eastAsia" w:hAnsi="Times New Roman" w:cs="Times New Roman"/>
        </w:rPr>
        <w:t>马尾松林也是四川低海拔地区针叶林和评价区中的代表林种之一，其群落外貌翠绿色，林冠整齐，群落郁闭度0.50~0.70，株高9~18 m，胸径16~36cm左右，马尾松林常为纯林，林内比较通风透光，松针较厚，较少苔藓等活地被物，乔灌草三层层次明显。伴生植物常有柏木（Cupressus funebris）、栓皮栎（Quercus variabilis）等与之伴生。</w:t>
      </w:r>
    </w:p>
    <w:p>
      <w:pPr>
        <w:pStyle w:val="248"/>
        <w:ind w:firstLine="480"/>
        <w:rPr>
          <w:rFonts w:hAnsi="Times New Roman" w:cs="Times New Roman"/>
        </w:rPr>
      </w:pPr>
      <w:r>
        <w:rPr>
          <w:rFonts w:hint="eastAsia" w:hAnsi="Times New Roman" w:cs="Times New Roman"/>
        </w:rPr>
        <w:t>林下灌木以蔷薇属（Rosa spp.）、悬钩子属（Rubus spp.）、铁仔（Myrsina africana）为优势，其次为火棘(Pyracantha fortuneana)、盐肤木（Rhus chinensis）、黄荆（Vitex negundo）等。其灌木层树高不超过4m，盖度在15~30%之间。</w:t>
      </w:r>
    </w:p>
    <w:p>
      <w:pPr>
        <w:pStyle w:val="248"/>
        <w:ind w:firstLine="480"/>
        <w:rPr>
          <w:rFonts w:hAnsi="Times New Roman" w:cs="Times New Roman"/>
        </w:rPr>
      </w:pPr>
      <w:r>
        <w:rPr>
          <w:rFonts w:hint="eastAsia" w:hAnsi="Times New Roman" w:cs="Times New Roman"/>
        </w:rPr>
        <w:t>草本层因为松针多覆盖，所以草本植物不多，盖度常在10~30%之间，常见林下草本植物主要有茅叶荩草（Arthraxon prionode）、茜草（Rubia cordifolia）、烟管头草（Carpesium cernuum）、贯众（Cyrtomium fortunei）、斜方复叶耳蕨（Arachniodes rhomboidea）等。</w:t>
      </w:r>
    </w:p>
    <w:p>
      <w:pPr>
        <w:pStyle w:val="248"/>
        <w:ind w:firstLine="482"/>
        <w:rPr>
          <w:rFonts w:hAnsi="Times New Roman" w:cs="Times New Roman"/>
          <w:b/>
          <w:bCs/>
        </w:rPr>
      </w:pPr>
      <w:r>
        <w:rPr>
          <w:rFonts w:hAnsi="Times New Roman" w:cs="Times New Roman"/>
          <w:b/>
          <w:bCs/>
        </w:rPr>
        <w:fldChar w:fldCharType="begin"/>
      </w:r>
      <w:r>
        <w:rPr>
          <w:rFonts w:hAnsi="Times New Roman" w:cs="Times New Roman"/>
          <w:b/>
          <w:bCs/>
        </w:rPr>
        <w:instrText xml:space="preserve"> = 2 \* GB3 </w:instrText>
      </w:r>
      <w:r>
        <w:rPr>
          <w:rFonts w:hAnsi="Times New Roman" w:cs="Times New Roman"/>
          <w:b/>
          <w:bCs/>
        </w:rPr>
        <w:fldChar w:fldCharType="separate"/>
      </w:r>
      <w:r>
        <w:rPr>
          <w:rFonts w:hint="eastAsia" w:hAnsi="Times New Roman" w:cs="Times New Roman"/>
          <w:b/>
          <w:bCs/>
        </w:rPr>
        <w:t>②</w:t>
      </w:r>
      <w:r>
        <w:rPr>
          <w:rFonts w:hAnsi="Times New Roman" w:cs="Times New Roman"/>
          <w:b/>
          <w:bCs/>
        </w:rPr>
        <w:fldChar w:fldCharType="end"/>
      </w:r>
      <w:r>
        <w:rPr>
          <w:rFonts w:hint="eastAsia" w:hAnsi="Times New Roman" w:cs="Times New Roman"/>
          <w:b/>
          <w:bCs/>
        </w:rPr>
        <w:t>阔叶林</w:t>
      </w:r>
      <w:r>
        <w:rPr>
          <w:rFonts w:hAnsi="Times New Roman" w:cs="Times New Roman"/>
          <w:b/>
          <w:bCs/>
        </w:rPr>
        <w:t>植被</w:t>
      </w:r>
    </w:p>
    <w:p>
      <w:pPr>
        <w:pStyle w:val="248"/>
        <w:ind w:firstLine="480"/>
        <w:rPr>
          <w:rFonts w:hAnsi="Times New Roman" w:cs="Times New Roman"/>
        </w:rPr>
      </w:pPr>
      <w:r>
        <w:rPr>
          <w:rFonts w:hint="eastAsia" w:hAnsi="Times New Roman" w:cs="Times New Roman"/>
        </w:rPr>
        <w:t>阔叶林主要以</w:t>
      </w:r>
      <w:r>
        <w:rPr>
          <w:rFonts w:hint="eastAsia"/>
        </w:rPr>
        <w:t>青冈林</w:t>
      </w:r>
      <w:r>
        <w:rPr>
          <w:rFonts w:hint="eastAsia" w:hAnsi="Times New Roman" w:cs="Times New Roman"/>
        </w:rPr>
        <w:t>、栎林、</w:t>
      </w:r>
      <w:r>
        <w:rPr>
          <w:rFonts w:hint="eastAsia"/>
        </w:rPr>
        <w:t>桤木林</w:t>
      </w:r>
      <w:r>
        <w:rPr>
          <w:rFonts w:hint="eastAsia" w:hAnsi="Times New Roman" w:cs="Times New Roman"/>
        </w:rPr>
        <w:t>等树种为主。</w:t>
      </w:r>
    </w:p>
    <w:p>
      <w:pPr>
        <w:adjustRightInd w:val="0"/>
        <w:snapToGrid w:val="0"/>
        <w:ind w:firstLine="482"/>
        <w:rPr>
          <w:b/>
          <w:bCs/>
        </w:rPr>
      </w:pPr>
      <w:r>
        <w:rPr>
          <w:rFonts w:hint="eastAsia"/>
          <w:b/>
          <w:bCs/>
        </w:rPr>
        <w:t>A</w:t>
      </w:r>
      <w:r>
        <w:rPr>
          <w:b/>
          <w:bCs/>
        </w:rPr>
        <w:t>.青冈林(Form.</w:t>
      </w:r>
      <w:r>
        <w:rPr>
          <w:b/>
          <w:bCs/>
          <w:i/>
          <w:iCs/>
        </w:rPr>
        <w:t>Cyclobalanopsis glauca</w:t>
      </w:r>
      <w:r>
        <w:rPr>
          <w:b/>
          <w:bCs/>
        </w:rPr>
        <w:t>)</w:t>
      </w:r>
    </w:p>
    <w:p>
      <w:pPr>
        <w:adjustRightInd w:val="0"/>
        <w:snapToGrid w:val="0"/>
        <w:ind w:firstLine="480"/>
      </w:pPr>
      <w:r>
        <w:t>青冈林群落在评价区分布不大，其树林郁闭度通常在0.45~0.70，乔木层树高6 ~15m；青冈胸径为12 ~25 cm。乔木层优势物种表现不显著，除青冈外还有灯台树（</w:t>
      </w:r>
      <w:r>
        <w:rPr>
          <w:i/>
        </w:rPr>
        <w:t>Bothrocaryum controversum</w:t>
      </w:r>
      <w:r>
        <w:t>）、梧桐（</w:t>
      </w:r>
      <w:r>
        <w:rPr>
          <w:i/>
          <w:iCs/>
        </w:rPr>
        <w:t>Firmiana simplex</w:t>
      </w:r>
      <w:r>
        <w:t>）、枫香（</w:t>
      </w:r>
      <w:r>
        <w:rPr>
          <w:i/>
          <w:iCs/>
        </w:rPr>
        <w:t>Liquidambar formosana</w:t>
      </w:r>
      <w:r>
        <w:t>）、乌桕（</w:t>
      </w:r>
      <w:r>
        <w:rPr>
          <w:i/>
          <w:iCs/>
        </w:rPr>
        <w:t>Sapium sebiferum</w:t>
      </w:r>
      <w:r>
        <w:t>）等，伴生种郁闭度在0.20~0.35之间。</w:t>
      </w:r>
    </w:p>
    <w:p>
      <w:pPr>
        <w:adjustRightInd w:val="0"/>
        <w:snapToGrid w:val="0"/>
        <w:ind w:firstLine="480"/>
      </w:pPr>
      <w:r>
        <w:t>林下灌木盖度约25%，树高在1.5~3.5m之间，主要物种有杜茎山（</w:t>
      </w:r>
      <w:r>
        <w:rPr>
          <w:i/>
          <w:iCs/>
        </w:rPr>
        <w:t>Maesa japonica</w:t>
      </w:r>
      <w:r>
        <w:t>）、山胡椒（</w:t>
      </w:r>
      <w:r>
        <w:rPr>
          <w:i/>
          <w:iCs/>
        </w:rPr>
        <w:t>Lindera</w:t>
      </w:r>
      <w:r>
        <w:t xml:space="preserve"> </w:t>
      </w:r>
      <w:r>
        <w:rPr>
          <w:i/>
          <w:iCs/>
        </w:rPr>
        <w:t>glauca</w:t>
      </w:r>
      <w:r>
        <w:t>）、醉鱼草（</w:t>
      </w:r>
      <w:r>
        <w:rPr>
          <w:i/>
          <w:iCs/>
        </w:rPr>
        <w:t>Buddleja lindleyana</w:t>
      </w:r>
      <w:r>
        <w:t>）、茅莓（</w:t>
      </w:r>
      <w:r>
        <w:rPr>
          <w:i/>
          <w:iCs/>
        </w:rPr>
        <w:t>Rubus parvifolius</w:t>
      </w:r>
      <w:r>
        <w:t>）、托柄菝葜（</w:t>
      </w:r>
      <w:r>
        <w:rPr>
          <w:i/>
          <w:iCs/>
        </w:rPr>
        <w:t>Smilax discotis</w:t>
      </w:r>
      <w:r>
        <w:t>）等。</w:t>
      </w:r>
    </w:p>
    <w:p>
      <w:pPr>
        <w:adjustRightInd w:val="0"/>
        <w:snapToGrid w:val="0"/>
        <w:ind w:firstLine="480"/>
      </w:pPr>
      <w:r>
        <w:t>草本层盖度较大，在35~55%之间，以喜湿禾本科植物为主，伴有江南卷柏（</w:t>
      </w:r>
      <w:r>
        <w:rPr>
          <w:i/>
          <w:iCs/>
        </w:rPr>
        <w:t>Selaginella</w:t>
      </w:r>
      <w:r>
        <w:t xml:space="preserve"> </w:t>
      </w:r>
      <w:r>
        <w:rPr>
          <w:i/>
          <w:iCs/>
        </w:rPr>
        <w:t>moellendorffii</w:t>
      </w:r>
      <w:r>
        <w:t>）、红盖鳞毛蕨（</w:t>
      </w:r>
      <w:r>
        <w:rPr>
          <w:i/>
          <w:iCs/>
        </w:rPr>
        <w:t>Dryopteris</w:t>
      </w:r>
      <w:r>
        <w:t xml:space="preserve"> </w:t>
      </w:r>
      <w:r>
        <w:rPr>
          <w:i/>
          <w:iCs/>
        </w:rPr>
        <w:t>erythrosora</w:t>
      </w:r>
      <w:r>
        <w:t>）、丛毛羊胡子草（</w:t>
      </w:r>
      <w:r>
        <w:rPr>
          <w:i/>
          <w:iCs/>
        </w:rPr>
        <w:t>Eriophorum comosum</w:t>
      </w:r>
      <w:r>
        <w:t>）、扁竹根（</w:t>
      </w:r>
      <w:r>
        <w:rPr>
          <w:i/>
          <w:iCs/>
        </w:rPr>
        <w:t>Iris japonica</w:t>
      </w:r>
      <w:r>
        <w:t>）、东风草（</w:t>
      </w:r>
      <w:r>
        <w:rPr>
          <w:i/>
        </w:rPr>
        <w:t>Blumea megac ephala</w:t>
      </w:r>
      <w:r>
        <w:t>）、高秆珍珠茅（</w:t>
      </w:r>
      <w:r>
        <w:rPr>
          <w:i/>
          <w:iCs/>
        </w:rPr>
        <w:t>Scleria terrestris</w:t>
      </w:r>
      <w:r>
        <w:t>）、荩草（</w:t>
      </w:r>
      <w:r>
        <w:rPr>
          <w:i/>
          <w:iCs/>
        </w:rPr>
        <w:t>Arthraxon hispidus</w:t>
      </w:r>
      <w:r>
        <w:t>）、三脉紫菀（</w:t>
      </w:r>
      <w:r>
        <w:rPr>
          <w:i/>
        </w:rPr>
        <w:t>Aster ageratoides</w:t>
      </w:r>
      <w:r>
        <w:t>）、淡竹叶（</w:t>
      </w:r>
      <w:r>
        <w:rPr>
          <w:i/>
          <w:iCs/>
        </w:rPr>
        <w:t>Lophantherum gracile</w:t>
      </w:r>
      <w:r>
        <w:t>）、长蕊万寿竹（</w:t>
      </w:r>
      <w:r>
        <w:rPr>
          <w:i/>
        </w:rPr>
        <w:t>Disporum bodinieri</w:t>
      </w:r>
      <w:r>
        <w:t>）、天门冬（</w:t>
      </w:r>
      <w:r>
        <w:rPr>
          <w:i/>
        </w:rPr>
        <w:t>Asparagus cochinchinensis</w:t>
      </w:r>
      <w:r>
        <w:t>）等。</w:t>
      </w:r>
    </w:p>
    <w:p>
      <w:pPr>
        <w:adjustRightInd w:val="0"/>
        <w:snapToGrid w:val="0"/>
        <w:ind w:firstLine="482"/>
        <w:rPr>
          <w:b/>
          <w:bCs/>
        </w:rPr>
      </w:pPr>
      <w:r>
        <w:rPr>
          <w:rFonts w:hint="eastAsia"/>
          <w:b/>
          <w:bCs/>
        </w:rPr>
        <w:t>B</w:t>
      </w:r>
      <w:r>
        <w:rPr>
          <w:b/>
          <w:bCs/>
        </w:rPr>
        <w:t xml:space="preserve">.栎林（Form. </w:t>
      </w:r>
      <w:r>
        <w:rPr>
          <w:b/>
          <w:bCs/>
          <w:i/>
          <w:iCs/>
        </w:rPr>
        <w:t>Quercus</w:t>
      </w:r>
      <w:r>
        <w:rPr>
          <w:b/>
          <w:bCs/>
        </w:rPr>
        <w:t xml:space="preserve"> spp.）</w:t>
      </w:r>
    </w:p>
    <w:p>
      <w:pPr>
        <w:adjustRightInd w:val="0"/>
        <w:snapToGrid w:val="0"/>
        <w:ind w:firstLine="480"/>
      </w:pPr>
      <w:r>
        <w:t>评价区栎林主要包括栓皮栎（</w:t>
      </w:r>
      <w:r>
        <w:rPr>
          <w:i/>
          <w:iCs/>
        </w:rPr>
        <w:t>Quercus variabilis</w:t>
      </w:r>
      <w:r>
        <w:t>）、麻栎（</w:t>
      </w:r>
      <w:r>
        <w:rPr>
          <w:i/>
          <w:iCs/>
        </w:rPr>
        <w:t>Quercus acutissima</w:t>
      </w:r>
      <w:r>
        <w:t>）、栗（</w:t>
      </w:r>
      <w:r>
        <w:rPr>
          <w:i/>
          <w:iCs/>
        </w:rPr>
        <w:t>Castanea mollissima</w:t>
      </w:r>
      <w:r>
        <w:t>）等壳斗科植物组成的群落，栎林在评价区中分布较较多，其群落郁闭度0.5~0.7，植物一般生长较好。建群种栓皮栎、麻栎、栗等高度约5~14m，胸径15~32cm。乔木层伴生树种常有刺楸（</w:t>
      </w:r>
      <w:r>
        <w:rPr>
          <w:i/>
        </w:rPr>
        <w:t>Kalopanax septemlobus</w:t>
      </w:r>
      <w:r>
        <w:t>）、喜树（</w:t>
      </w:r>
      <w:r>
        <w:rPr>
          <w:i/>
          <w:iCs/>
        </w:rPr>
        <w:t>Camptotheca acuminata</w:t>
      </w:r>
      <w:r>
        <w:t>）、黄连木（</w:t>
      </w:r>
      <w:r>
        <w:rPr>
          <w:i/>
          <w:iCs/>
        </w:rPr>
        <w:t>Pistacia chinensis</w:t>
      </w:r>
      <w:r>
        <w:t>）、灯台树（</w:t>
      </w:r>
      <w:r>
        <w:rPr>
          <w:i/>
          <w:iCs/>
        </w:rPr>
        <w:t>Bothrocaryum controversum</w:t>
      </w:r>
      <w:r>
        <w:t>）、亮叶桦（</w:t>
      </w:r>
      <w:r>
        <w:rPr>
          <w:i/>
        </w:rPr>
        <w:t>Betula luminifera</w:t>
      </w:r>
      <w:r>
        <w:t>）、乌桕（</w:t>
      </w:r>
      <w:r>
        <w:rPr>
          <w:i/>
        </w:rPr>
        <w:t>Sapium sebiferum</w:t>
      </w:r>
      <w:r>
        <w:t>）等。</w:t>
      </w:r>
    </w:p>
    <w:p>
      <w:pPr>
        <w:adjustRightInd w:val="0"/>
        <w:snapToGrid w:val="0"/>
        <w:ind w:firstLine="480"/>
      </w:pPr>
      <w:r>
        <w:t>灌木层盖度20%~40%，常见的种类有插田泡（</w:t>
      </w:r>
      <w:r>
        <w:rPr>
          <w:i/>
          <w:iCs/>
        </w:rPr>
        <w:t>Rubus coreanus</w:t>
      </w:r>
      <w:r>
        <w:t>）、牛奶子（</w:t>
      </w:r>
      <w:r>
        <w:rPr>
          <w:i/>
          <w:iCs/>
        </w:rPr>
        <w:t>Elaeagnus umbellate</w:t>
      </w:r>
      <w:r>
        <w:t>）、菱叶冠毛榕（</w:t>
      </w:r>
      <w:r>
        <w:rPr>
          <w:i/>
          <w:iCs/>
        </w:rPr>
        <w:t xml:space="preserve">Ficus gasparriniana </w:t>
      </w:r>
      <w:r>
        <w:t xml:space="preserve">var. </w:t>
      </w:r>
      <w:r>
        <w:rPr>
          <w:i/>
          <w:iCs/>
        </w:rPr>
        <w:t>laceratifolia</w:t>
      </w:r>
      <w:r>
        <w:t>）、毛桐（</w:t>
      </w:r>
      <w:r>
        <w:rPr>
          <w:i/>
        </w:rPr>
        <w:t>Mallotus barbatus</w:t>
      </w:r>
      <w:r>
        <w:t>）、多花勾儿茶（</w:t>
      </w:r>
      <w:r>
        <w:rPr>
          <w:i/>
        </w:rPr>
        <w:t>Berchemia floribunda</w:t>
      </w:r>
      <w:r>
        <w:t>）、铁仔（</w:t>
      </w:r>
      <w:r>
        <w:rPr>
          <w:i/>
        </w:rPr>
        <w:t>Myrsine africana</w:t>
      </w:r>
      <w:r>
        <w:t xml:space="preserve"> var. </w:t>
      </w:r>
      <w:r>
        <w:rPr>
          <w:i/>
        </w:rPr>
        <w:t>acuminata</w:t>
      </w:r>
      <w:r>
        <w:t>）、冻绿（</w:t>
      </w:r>
      <w:r>
        <w:rPr>
          <w:i/>
          <w:iCs/>
        </w:rPr>
        <w:t>Rhamnus utilis</w:t>
      </w:r>
      <w:r>
        <w:t>）等。</w:t>
      </w:r>
    </w:p>
    <w:p>
      <w:pPr>
        <w:adjustRightInd w:val="0"/>
        <w:snapToGrid w:val="0"/>
        <w:ind w:firstLine="480"/>
      </w:pPr>
      <w:r>
        <w:t>草本层盖度30~50%，高度0.1~0.6m不等，常见种类有尼泊尔老鹳草（</w:t>
      </w:r>
      <w:r>
        <w:rPr>
          <w:i/>
        </w:rPr>
        <w:t>Geranium nepalense</w:t>
      </w:r>
      <w:r>
        <w:t>）、活血丹（</w:t>
      </w:r>
      <w:r>
        <w:rPr>
          <w:i/>
          <w:iCs/>
        </w:rPr>
        <w:t>Glechoma longituba</w:t>
      </w:r>
      <w:r>
        <w:t>）、路边青（</w:t>
      </w:r>
      <w:r>
        <w:rPr>
          <w:i/>
          <w:iCs/>
        </w:rPr>
        <w:t>Geum aleppicum</w:t>
      </w:r>
      <w:r>
        <w:t>）、野青茅（</w:t>
      </w:r>
      <w:r>
        <w:rPr>
          <w:i/>
          <w:iCs/>
        </w:rPr>
        <w:t>Deyeuxia arundinacea</w:t>
      </w:r>
      <w:r>
        <w:t>）、车前（</w:t>
      </w:r>
      <w:r>
        <w:rPr>
          <w:i/>
          <w:iCs/>
        </w:rPr>
        <w:t>Plantago asiatica</w:t>
      </w:r>
      <w:r>
        <w:t>）、早熟禾（</w:t>
      </w:r>
      <w:r>
        <w:rPr>
          <w:i/>
        </w:rPr>
        <w:t>Poa annua</w:t>
      </w:r>
      <w:r>
        <w:t>）、细风轮菜（</w:t>
      </w:r>
      <w:r>
        <w:rPr>
          <w:i/>
        </w:rPr>
        <w:t>Clinopodium gracile</w:t>
      </w:r>
      <w:r>
        <w:t>）、夏枯草（</w:t>
      </w:r>
      <w:r>
        <w:rPr>
          <w:i/>
        </w:rPr>
        <w:t>Prunella vulgaris</w:t>
      </w:r>
      <w:r>
        <w:t>）等。</w:t>
      </w:r>
    </w:p>
    <w:p>
      <w:pPr>
        <w:adjustRightInd w:val="0"/>
        <w:snapToGrid w:val="0"/>
        <w:ind w:firstLine="482"/>
        <w:rPr>
          <w:b/>
          <w:bCs/>
        </w:rPr>
      </w:pPr>
      <w:r>
        <w:rPr>
          <w:rFonts w:hint="eastAsia"/>
          <w:b/>
          <w:bCs/>
        </w:rPr>
        <w:t>C</w:t>
      </w:r>
      <w:r>
        <w:rPr>
          <w:b/>
          <w:bCs/>
        </w:rPr>
        <w:t>.桤木林（Form.</w:t>
      </w:r>
      <w:r>
        <w:rPr>
          <w:b/>
          <w:bCs/>
          <w:i/>
        </w:rPr>
        <w:t>Alnus cremastogyne</w:t>
      </w:r>
      <w:r>
        <w:rPr>
          <w:b/>
          <w:bCs/>
        </w:rPr>
        <w:t>）</w:t>
      </w:r>
    </w:p>
    <w:p>
      <w:pPr>
        <w:adjustRightInd w:val="0"/>
        <w:snapToGrid w:val="0"/>
        <w:ind w:firstLine="480"/>
      </w:pPr>
      <w:r>
        <w:t>桤木群落外貌呈浅绿色，群落结构比较简单。以桤木为单优势种的纯林，生长茂密。评价区内通常有灯台树（</w:t>
      </w:r>
      <w:r>
        <w:rPr>
          <w:i/>
          <w:iCs/>
        </w:rPr>
        <w:t>Cornus controversa</w:t>
      </w:r>
      <w:r>
        <w:t>）、化香（</w:t>
      </w:r>
      <w:r>
        <w:rPr>
          <w:i/>
        </w:rPr>
        <w:t>Platycarya strobilacea</w:t>
      </w:r>
      <w:r>
        <w:t>）、八角枫（</w:t>
      </w:r>
      <w:r>
        <w:rPr>
          <w:i/>
        </w:rPr>
        <w:t>Alangium chinense</w:t>
      </w:r>
      <w:r>
        <w:t>）和朴树（</w:t>
      </w:r>
      <w:r>
        <w:rPr>
          <w:i/>
        </w:rPr>
        <w:t>Celtis sinensi</w:t>
      </w:r>
      <w:r>
        <w:t>s）生长于其间，因而其群落外貌为翠绿与墨绿相间。乔木高度在6~14m之间，郁闭度0.5~0.7，胸径10～25cm左右，最大胸径近30cm。</w:t>
      </w:r>
    </w:p>
    <w:p>
      <w:pPr>
        <w:adjustRightInd w:val="0"/>
        <w:snapToGrid w:val="0"/>
        <w:ind w:firstLine="480"/>
      </w:pPr>
      <w:r>
        <w:t>林下灌木盖度15~55%左右，灌木高1.0~2.0m，伴生种类主有异叶榕（</w:t>
      </w:r>
      <w:r>
        <w:rPr>
          <w:i/>
          <w:iCs/>
        </w:rPr>
        <w:t>Ficus heteromorpha</w:t>
      </w:r>
      <w:r>
        <w:t>）、野鸦椿（</w:t>
      </w:r>
      <w:r>
        <w:rPr>
          <w:i/>
        </w:rPr>
        <w:t>Euscaphis japonica</w:t>
      </w:r>
      <w:r>
        <w:t>）、黄荆（</w:t>
      </w:r>
      <w:r>
        <w:rPr>
          <w:i/>
        </w:rPr>
        <w:t>Vitex negundo</w:t>
      </w:r>
      <w:r>
        <w:t>）、构树（</w:t>
      </w:r>
      <w:r>
        <w:rPr>
          <w:i/>
          <w:iCs/>
        </w:rPr>
        <w:t>Broussonetia papyrifera</w:t>
      </w:r>
      <w:r>
        <w:t>）、多花勾儿茶（</w:t>
      </w:r>
      <w:r>
        <w:rPr>
          <w:i/>
        </w:rPr>
        <w:t>Berchemia floribunda</w:t>
      </w:r>
      <w:r>
        <w:t>）、马桑（</w:t>
      </w:r>
      <w:r>
        <w:rPr>
          <w:i/>
        </w:rPr>
        <w:t>Coriaria nepalensis</w:t>
      </w:r>
      <w:r>
        <w:t>）、火棘（</w:t>
      </w:r>
      <w:r>
        <w:rPr>
          <w:i/>
        </w:rPr>
        <w:t>Pyracantha fortuneana</w:t>
      </w:r>
      <w:r>
        <w:t>）、烟管荚蒾（</w:t>
      </w:r>
      <w:r>
        <w:rPr>
          <w:i/>
        </w:rPr>
        <w:t>Viburnum utile</w:t>
      </w:r>
      <w:r>
        <w:t>）等。</w:t>
      </w:r>
    </w:p>
    <w:p>
      <w:pPr>
        <w:adjustRightInd w:val="0"/>
        <w:snapToGrid w:val="0"/>
        <w:ind w:firstLine="480"/>
      </w:pPr>
      <w:r>
        <w:t>草本层高15~35cm，盖度20~40%，草本植物有千里光（</w:t>
      </w:r>
      <w:r>
        <w:rPr>
          <w:i/>
        </w:rPr>
        <w:t>Senecio scandens</w:t>
      </w:r>
      <w:r>
        <w:t>）、过路黄（</w:t>
      </w:r>
      <w:r>
        <w:rPr>
          <w:i/>
        </w:rPr>
        <w:t>Lysimachia christinae</w:t>
      </w:r>
      <w:r>
        <w:t>）、马兰（</w:t>
      </w:r>
      <w:r>
        <w:rPr>
          <w:i/>
          <w:iCs/>
        </w:rPr>
        <w:t>Kalimeris indica</w:t>
      </w:r>
      <w:r>
        <w:t>）、蒲公英（</w:t>
      </w:r>
      <w:r>
        <w:rPr>
          <w:i/>
          <w:iCs/>
        </w:rPr>
        <w:t>Taraxacum mongolicum</w:t>
      </w:r>
      <w:r>
        <w:t>）、贯众（</w:t>
      </w:r>
      <w:r>
        <w:rPr>
          <w:i/>
          <w:iCs/>
        </w:rPr>
        <w:t>Cyrtomium fortunei</w:t>
      </w:r>
      <w:r>
        <w:t>）、菵草（</w:t>
      </w:r>
      <w:r>
        <w:rPr>
          <w:i/>
          <w:iCs/>
        </w:rPr>
        <w:t>Beckmannia syzigachne</w:t>
      </w:r>
      <w:r>
        <w:t>）等。</w:t>
      </w:r>
    </w:p>
    <w:p>
      <w:pPr>
        <w:pStyle w:val="248"/>
        <w:ind w:firstLine="482"/>
        <w:rPr>
          <w:rFonts w:hAnsi="Times New Roman" w:cs="Times New Roman"/>
          <w:b/>
          <w:bCs/>
        </w:rPr>
      </w:pPr>
      <w:r>
        <w:rPr>
          <w:rFonts w:hAnsi="Times New Roman" w:cs="Times New Roman"/>
          <w:b/>
          <w:bCs/>
        </w:rPr>
        <w:fldChar w:fldCharType="begin"/>
      </w:r>
      <w:r>
        <w:rPr>
          <w:rFonts w:hAnsi="Times New Roman" w:cs="Times New Roman"/>
          <w:b/>
          <w:bCs/>
        </w:rPr>
        <w:instrText xml:space="preserve"> = 3 \* GB3 </w:instrText>
      </w:r>
      <w:r>
        <w:rPr>
          <w:rFonts w:hAnsi="Times New Roman" w:cs="Times New Roman"/>
          <w:b/>
          <w:bCs/>
        </w:rPr>
        <w:fldChar w:fldCharType="separate"/>
      </w:r>
      <w:r>
        <w:rPr>
          <w:rFonts w:hint="eastAsia" w:hAnsi="Times New Roman" w:cs="Times New Roman"/>
          <w:b/>
          <w:bCs/>
        </w:rPr>
        <w:t>③</w:t>
      </w:r>
      <w:r>
        <w:rPr>
          <w:rFonts w:hAnsi="Times New Roman" w:cs="Times New Roman"/>
          <w:b/>
          <w:bCs/>
        </w:rPr>
        <w:fldChar w:fldCharType="end"/>
      </w:r>
      <w:r>
        <w:rPr>
          <w:rFonts w:hint="eastAsia" w:hAnsi="Times New Roman" w:cs="Times New Roman"/>
          <w:b/>
          <w:bCs/>
        </w:rPr>
        <w:t>灌丛</w:t>
      </w:r>
      <w:r>
        <w:rPr>
          <w:rFonts w:hAnsi="Times New Roman" w:cs="Times New Roman"/>
          <w:b/>
          <w:bCs/>
        </w:rPr>
        <w:t>植被</w:t>
      </w:r>
    </w:p>
    <w:p>
      <w:pPr>
        <w:pStyle w:val="248"/>
        <w:ind w:firstLine="482"/>
        <w:rPr>
          <w:rFonts w:hAnsi="Times New Roman" w:cs="Times New Roman"/>
        </w:rPr>
      </w:pPr>
      <w:r>
        <w:rPr>
          <w:rFonts w:hint="eastAsia" w:hAnsi="Times New Roman" w:cs="Times New Roman"/>
          <w:b/>
          <w:bCs/>
        </w:rPr>
        <w:t>灌丛</w:t>
      </w:r>
      <w:r>
        <w:rPr>
          <w:rFonts w:hint="eastAsia" w:hAnsi="Times New Roman" w:cs="Times New Roman"/>
        </w:rPr>
        <w:t>主要以</w:t>
      </w:r>
      <w:r>
        <w:rPr>
          <w:rFonts w:hint="eastAsia"/>
        </w:rPr>
        <w:t>黄荆灌丛</w:t>
      </w:r>
      <w:r>
        <w:rPr>
          <w:rFonts w:hint="eastAsia" w:hAnsi="Times New Roman" w:cs="Times New Roman"/>
        </w:rPr>
        <w:t>、马桑灌丛、</w:t>
      </w:r>
      <w:r>
        <w:rPr>
          <w:rFonts w:hint="eastAsia"/>
        </w:rPr>
        <w:t>蔷薇、悬钩子灌丛</w:t>
      </w:r>
      <w:r>
        <w:rPr>
          <w:rFonts w:hint="eastAsia" w:hAnsi="Times New Roman" w:cs="Times New Roman"/>
        </w:rPr>
        <w:t>为主。</w:t>
      </w:r>
    </w:p>
    <w:p>
      <w:pPr>
        <w:adjustRightInd w:val="0"/>
        <w:snapToGrid w:val="0"/>
        <w:ind w:firstLine="482"/>
        <w:rPr>
          <w:b/>
          <w:bCs/>
        </w:rPr>
      </w:pPr>
      <w:r>
        <w:rPr>
          <w:rFonts w:hint="eastAsia"/>
          <w:b/>
          <w:bCs/>
        </w:rPr>
        <w:t>A</w:t>
      </w:r>
      <w:r>
        <w:rPr>
          <w:b/>
          <w:bCs/>
        </w:rPr>
        <w:t xml:space="preserve">.黄荆灌丛（Form. </w:t>
      </w:r>
      <w:r>
        <w:rPr>
          <w:b/>
          <w:bCs/>
          <w:i/>
        </w:rPr>
        <w:t>Vitex negundo</w:t>
      </w:r>
      <w:r>
        <w:rPr>
          <w:b/>
          <w:bCs/>
        </w:rPr>
        <w:t>）</w:t>
      </w:r>
    </w:p>
    <w:p>
      <w:pPr>
        <w:adjustRightInd w:val="0"/>
        <w:snapToGrid w:val="0"/>
        <w:ind w:firstLine="480"/>
      </w:pPr>
      <w:r>
        <w:t>评价区内黄荆灌丛主要分布于山坡和坡麓等地段的树林林缘、陡坡以及耕地边，呈零星小块状间断分布。群落外貌绿色，丛状，参差不齐。高度通常在1.0~2.5m之间，盖度30~50%左右，除黄荆外其它常见的灌木有桑（</w:t>
      </w:r>
      <w:r>
        <w:rPr>
          <w:i/>
        </w:rPr>
        <w:t>Morus alba</w:t>
      </w:r>
      <w:r>
        <w:t>）、盐肤木（</w:t>
      </w:r>
      <w:r>
        <w:rPr>
          <w:i/>
        </w:rPr>
        <w:t>Rhus chinensis</w:t>
      </w:r>
      <w:r>
        <w:t>）、山莓（</w:t>
      </w:r>
      <w:r>
        <w:rPr>
          <w:i/>
          <w:iCs/>
        </w:rPr>
        <w:t>Rubuscorchorifolius</w:t>
      </w:r>
      <w:r>
        <w:t>）、醉鱼草（</w:t>
      </w:r>
      <w:r>
        <w:rPr>
          <w:i/>
        </w:rPr>
        <w:t>Buddleja lindleyana</w:t>
      </w:r>
      <w:r>
        <w:t>）等。</w:t>
      </w:r>
    </w:p>
    <w:p>
      <w:pPr>
        <w:adjustRightInd w:val="0"/>
        <w:snapToGrid w:val="0"/>
        <w:ind w:firstLine="480"/>
      </w:pPr>
      <w:r>
        <w:t>草本层盖度一般在20~88%之间，常见植物有鼠麴草（</w:t>
      </w:r>
      <w:r>
        <w:rPr>
          <w:i/>
          <w:iCs/>
        </w:rPr>
        <w:t>Gnaphalium affire</w:t>
      </w:r>
      <w:r>
        <w:t>）、鸡矢藤（</w:t>
      </w:r>
      <w:r>
        <w:rPr>
          <w:i/>
          <w:iCs/>
        </w:rPr>
        <w:t>Paederia scandens</w:t>
      </w:r>
      <w:r>
        <w:t>）、丝茅（</w:t>
      </w:r>
      <w:r>
        <w:rPr>
          <w:i/>
          <w:iCs/>
        </w:rPr>
        <w:t>Imperata cylindrica</w:t>
      </w:r>
      <w:r>
        <w:t xml:space="preserve"> var. </w:t>
      </w:r>
      <w:r>
        <w:rPr>
          <w:i/>
          <w:iCs/>
        </w:rPr>
        <w:t>major</w:t>
      </w:r>
      <w:r>
        <w:t>）、艾蒿（</w:t>
      </w:r>
      <w:r>
        <w:rPr>
          <w:i/>
          <w:iCs/>
        </w:rPr>
        <w:t>Artemisia argyi</w:t>
      </w:r>
      <w:r>
        <w:t>）、败酱（</w:t>
      </w:r>
      <w:r>
        <w:rPr>
          <w:i/>
          <w:iCs/>
        </w:rPr>
        <w:t>Patrinia scabiosifolia</w:t>
      </w:r>
      <w:r>
        <w:t>）、黄独（</w:t>
      </w:r>
      <w:r>
        <w:rPr>
          <w:i/>
          <w:iCs/>
        </w:rPr>
        <w:t>Dioscorea bulbifera</w:t>
      </w:r>
      <w:r>
        <w:t>）、夏枯草（</w:t>
      </w:r>
      <w:r>
        <w:rPr>
          <w:i/>
          <w:iCs/>
        </w:rPr>
        <w:t>Prunella</w:t>
      </w:r>
      <w:r>
        <w:t xml:space="preserve"> </w:t>
      </w:r>
      <w:r>
        <w:rPr>
          <w:i/>
          <w:iCs/>
        </w:rPr>
        <w:t>vulgaris</w:t>
      </w:r>
      <w:r>
        <w:t>）、钻叶紫菀（</w:t>
      </w:r>
      <w:r>
        <w:rPr>
          <w:i/>
          <w:iCs/>
        </w:rPr>
        <w:t>Aster subulatus</w:t>
      </w:r>
      <w:r>
        <w:t>）、车前（</w:t>
      </w:r>
      <w:r>
        <w:rPr>
          <w:i/>
          <w:iCs/>
        </w:rPr>
        <w:t>Plantago</w:t>
      </w:r>
      <w:r>
        <w:t xml:space="preserve"> </w:t>
      </w:r>
      <w:r>
        <w:rPr>
          <w:i/>
          <w:iCs/>
        </w:rPr>
        <w:t>asiatica</w:t>
      </w:r>
      <w:r>
        <w:t>）等。</w:t>
      </w:r>
    </w:p>
    <w:p>
      <w:pPr>
        <w:adjustRightInd w:val="0"/>
        <w:snapToGrid w:val="0"/>
        <w:ind w:firstLine="482"/>
        <w:rPr>
          <w:b/>
          <w:bCs/>
        </w:rPr>
      </w:pPr>
      <w:r>
        <w:rPr>
          <w:rFonts w:hint="eastAsia"/>
          <w:b/>
          <w:bCs/>
        </w:rPr>
        <w:t>B</w:t>
      </w:r>
      <w:r>
        <w:rPr>
          <w:b/>
          <w:bCs/>
        </w:rPr>
        <w:t xml:space="preserve">.马桑灌丛(Form. </w:t>
      </w:r>
      <w:r>
        <w:rPr>
          <w:b/>
          <w:bCs/>
          <w:i/>
        </w:rPr>
        <w:t>Coriaria nepalensis</w:t>
      </w:r>
      <w:r>
        <w:rPr>
          <w:b/>
          <w:bCs/>
        </w:rPr>
        <w:t>)</w:t>
      </w:r>
    </w:p>
    <w:p>
      <w:pPr>
        <w:adjustRightInd w:val="0"/>
        <w:snapToGrid w:val="0"/>
        <w:ind w:firstLine="480"/>
      </w:pPr>
      <w:r>
        <w:t>主要分布于评价区山体下部陡峭地带。该群落外貌呈绿色，丛状，参差不齐。盖度30%~55%，除优势种马桑外，主要由黄荆（</w:t>
      </w:r>
      <w:r>
        <w:rPr>
          <w:i/>
          <w:iCs/>
        </w:rPr>
        <w:t>Vitex negundo</w:t>
      </w:r>
      <w:r>
        <w:t>）、火棘（</w:t>
      </w:r>
      <w:r>
        <w:rPr>
          <w:i/>
          <w:iCs/>
        </w:rPr>
        <w:t>Pyracanthafortuneana</w:t>
      </w:r>
      <w:r>
        <w:t>）、小果蔷薇（</w:t>
      </w:r>
      <w:r>
        <w:rPr>
          <w:i/>
        </w:rPr>
        <w:t>Rosa cymosa</w:t>
      </w:r>
      <w:r>
        <w:t>）等组成。</w:t>
      </w:r>
    </w:p>
    <w:p>
      <w:pPr>
        <w:adjustRightInd w:val="0"/>
        <w:snapToGrid w:val="0"/>
        <w:ind w:firstLine="480"/>
      </w:pPr>
      <w:r>
        <w:t>草本层植物一般种类较少，盖度20%~40%。主要优势种有天门冬（</w:t>
      </w:r>
      <w:r>
        <w:rPr>
          <w:i/>
          <w:iCs/>
        </w:rPr>
        <w:t>Asparagus cochinchinensis</w:t>
      </w:r>
      <w:r>
        <w:t>）、刺儿菜（</w:t>
      </w:r>
      <w:r>
        <w:rPr>
          <w:i/>
          <w:iCs/>
        </w:rPr>
        <w:t>Cirsium arvense</w:t>
      </w:r>
      <w:r>
        <w:t xml:space="preserve"> var. </w:t>
      </w:r>
      <w:r>
        <w:rPr>
          <w:i/>
          <w:iCs/>
        </w:rPr>
        <w:t>integrifolium</w:t>
      </w:r>
      <w:r>
        <w:t>）、夏枯草（</w:t>
      </w:r>
      <w:r>
        <w:rPr>
          <w:i/>
          <w:iCs/>
        </w:rPr>
        <w:t>Prunella vulgaris</w:t>
      </w:r>
      <w:r>
        <w:t>）、败酱（</w:t>
      </w:r>
      <w:r>
        <w:rPr>
          <w:i/>
          <w:iCs/>
        </w:rPr>
        <w:t>Patrinia scabiosifolia</w:t>
      </w:r>
      <w:r>
        <w:t>）和竹叶草（</w:t>
      </w:r>
      <w:r>
        <w:rPr>
          <w:i/>
        </w:rPr>
        <w:t>Oplismenus compositus</w:t>
      </w:r>
      <w:r>
        <w:t>）、垂穗鹅观草（</w:t>
      </w:r>
      <w:r>
        <w:rPr>
          <w:i/>
        </w:rPr>
        <w:t>Roegneria nutans</w:t>
      </w:r>
      <w:r>
        <w:t>）、钻叶紫菀（</w:t>
      </w:r>
      <w:r>
        <w:rPr>
          <w:i/>
          <w:iCs/>
        </w:rPr>
        <w:t>Aster albescens</w:t>
      </w:r>
      <w:r>
        <w:t>）、车前（</w:t>
      </w:r>
      <w:r>
        <w:rPr>
          <w:i/>
          <w:iCs/>
        </w:rPr>
        <w:t>Plantago asiatica</w:t>
      </w:r>
      <w:r>
        <w:t>）、芒草等禾草构成。</w:t>
      </w:r>
    </w:p>
    <w:p>
      <w:pPr>
        <w:adjustRightInd w:val="0"/>
        <w:snapToGrid w:val="0"/>
        <w:ind w:firstLine="482"/>
        <w:rPr>
          <w:b/>
          <w:bCs/>
        </w:rPr>
      </w:pPr>
      <w:r>
        <w:rPr>
          <w:rFonts w:hint="eastAsia"/>
          <w:b/>
          <w:bCs/>
        </w:rPr>
        <w:t>C</w:t>
      </w:r>
      <w:r>
        <w:rPr>
          <w:b/>
          <w:bCs/>
        </w:rPr>
        <w:t>.蔷薇、悬钩子灌丛（Form.</w:t>
      </w:r>
      <w:r>
        <w:rPr>
          <w:b/>
          <w:bCs/>
          <w:i/>
          <w:iCs/>
        </w:rPr>
        <w:t>Rose</w:t>
      </w:r>
      <w:r>
        <w:rPr>
          <w:b/>
          <w:bCs/>
        </w:rPr>
        <w:t xml:space="preserve"> sp.,</w:t>
      </w:r>
      <w:r>
        <w:rPr>
          <w:b/>
          <w:bCs/>
          <w:i/>
        </w:rPr>
        <w:t>Rubus</w:t>
      </w:r>
      <w:r>
        <w:rPr>
          <w:b/>
          <w:bCs/>
        </w:rPr>
        <w:t xml:space="preserve"> sp.）</w:t>
      </w:r>
    </w:p>
    <w:p>
      <w:pPr>
        <w:adjustRightInd w:val="0"/>
        <w:snapToGrid w:val="0"/>
        <w:ind w:firstLine="480"/>
      </w:pPr>
      <w:r>
        <w:t>该灌丛分布于海拔650~1300m的低山、丘陵等低海拔处。群落外貌绿色，成团块状，一般盖度70%左右，高0.5m~2m，评价区内蔷薇和悬钩子种类主要有小果蔷薇（</w:t>
      </w:r>
      <w:r>
        <w:rPr>
          <w:i/>
          <w:iCs/>
        </w:rPr>
        <w:t>Rosa cymosa</w:t>
      </w:r>
      <w:r>
        <w:t>）、宜昌悬钩子（</w:t>
      </w:r>
      <w:r>
        <w:rPr>
          <w:i/>
        </w:rPr>
        <w:t>Rubus ichangensis</w:t>
      </w:r>
      <w:r>
        <w:t>）、山莓（</w:t>
      </w:r>
      <w:r>
        <w:rPr>
          <w:i/>
        </w:rPr>
        <w:t>Rubus corchorifolius</w:t>
      </w:r>
      <w:r>
        <w:t>）、西南悬钩子（</w:t>
      </w:r>
      <w:r>
        <w:rPr>
          <w:i/>
        </w:rPr>
        <w:t>Rubus assamensis</w:t>
      </w:r>
      <w:r>
        <w:t>）等。群落其他常见的种类还有水麻（</w:t>
      </w:r>
      <w:r>
        <w:rPr>
          <w:i/>
        </w:rPr>
        <w:t>Debregeasia orientalis</w:t>
      </w:r>
      <w:r>
        <w:t>）、雾水葛（</w:t>
      </w:r>
      <w:r>
        <w:rPr>
          <w:i/>
        </w:rPr>
        <w:t>Pouzolzia zeylanica</w:t>
      </w:r>
      <w:r>
        <w:t>）、火棘（</w:t>
      </w:r>
      <w:r>
        <w:rPr>
          <w:i/>
          <w:iCs/>
        </w:rPr>
        <w:t>Pyracantha fortuneana</w:t>
      </w:r>
      <w:r>
        <w:t>）、小果蔷薇（</w:t>
      </w:r>
      <w:r>
        <w:rPr>
          <w:i/>
          <w:iCs/>
        </w:rPr>
        <w:t>Rosa cymosa</w:t>
      </w:r>
      <w:r>
        <w:t>）、马桑（</w:t>
      </w:r>
      <w:r>
        <w:rPr>
          <w:i/>
        </w:rPr>
        <w:t>Coriaria nepalensis</w:t>
      </w:r>
      <w:r>
        <w:t>）、盐肤木（</w:t>
      </w:r>
      <w:r>
        <w:rPr>
          <w:i/>
        </w:rPr>
        <w:t>Rhus chinensis</w:t>
      </w:r>
      <w:r>
        <w:t>）等。</w:t>
      </w:r>
    </w:p>
    <w:p>
      <w:pPr>
        <w:adjustRightInd w:val="0"/>
        <w:snapToGrid w:val="0"/>
        <w:ind w:firstLine="480"/>
      </w:pPr>
      <w:r>
        <w:t>草本层植物总盖度20%~45%，主要有狗牙根（</w:t>
      </w:r>
      <w:r>
        <w:rPr>
          <w:i/>
          <w:iCs/>
        </w:rPr>
        <w:t>Cynodon dactylon</w:t>
      </w:r>
      <w:r>
        <w:t>）、打破碗花花（</w:t>
      </w:r>
      <w:r>
        <w:rPr>
          <w:i/>
        </w:rPr>
        <w:t>Anemone hupehensis</w:t>
      </w:r>
      <w:r>
        <w:t>）、丝茅(白茅)（Imperata cylindrica）、白车轴草（</w:t>
      </w:r>
      <w:r>
        <w:rPr>
          <w:i/>
          <w:iCs/>
        </w:rPr>
        <w:t>Trifolium repens</w:t>
      </w:r>
      <w:r>
        <w:t>）、路边青（</w:t>
      </w:r>
      <w:r>
        <w:rPr>
          <w:i/>
        </w:rPr>
        <w:t>Geum aleppicum</w:t>
      </w:r>
      <w:r>
        <w:t>）、斑茅（</w:t>
      </w:r>
      <w:r>
        <w:rPr>
          <w:i/>
          <w:iCs/>
        </w:rPr>
        <w:t>Saccharum arundinaceum</w:t>
      </w:r>
      <w:r>
        <w:t>）、鼠麴草（</w:t>
      </w:r>
      <w:r>
        <w:rPr>
          <w:i/>
        </w:rPr>
        <w:t>Gnaphalium affire</w:t>
      </w:r>
      <w:r>
        <w:t>）、蜈蚣草（</w:t>
      </w:r>
      <w:r>
        <w:rPr>
          <w:i/>
        </w:rPr>
        <w:t>Eremochloa ciliaris</w:t>
      </w:r>
      <w:r>
        <w:t>）、黄鹌菜（</w:t>
      </w:r>
      <w:r>
        <w:rPr>
          <w:i/>
          <w:iCs/>
        </w:rPr>
        <w:t>Youngia japonica</w:t>
      </w:r>
      <w:r>
        <w:t>）等种类。</w:t>
      </w:r>
    </w:p>
    <w:p>
      <w:pPr>
        <w:pStyle w:val="248"/>
        <w:ind w:firstLine="482"/>
        <w:rPr>
          <w:rFonts w:hAnsi="Times New Roman" w:cs="Times New Roman"/>
          <w:b/>
          <w:bCs/>
        </w:rPr>
      </w:pPr>
      <w:r>
        <w:rPr>
          <w:rFonts w:hAnsi="Times New Roman" w:cs="Times New Roman"/>
          <w:b/>
          <w:bCs/>
        </w:rPr>
        <w:fldChar w:fldCharType="begin"/>
      </w:r>
      <w:r>
        <w:rPr>
          <w:rFonts w:hAnsi="Times New Roman" w:cs="Times New Roman"/>
          <w:b/>
          <w:bCs/>
        </w:rPr>
        <w:instrText xml:space="preserve"> </w:instrText>
      </w:r>
      <w:r>
        <w:rPr>
          <w:rFonts w:hint="eastAsia" w:hAnsi="Times New Roman" w:cs="Times New Roman"/>
          <w:b/>
          <w:bCs/>
        </w:rPr>
        <w:instrText xml:space="preserve">= 4 \* GB3</w:instrText>
      </w:r>
      <w:r>
        <w:rPr>
          <w:rFonts w:hAnsi="Times New Roman" w:cs="Times New Roman"/>
          <w:b/>
          <w:bCs/>
        </w:rPr>
        <w:instrText xml:space="preserve"> </w:instrText>
      </w:r>
      <w:r>
        <w:rPr>
          <w:rFonts w:hAnsi="Times New Roman" w:cs="Times New Roman"/>
          <w:b/>
          <w:bCs/>
        </w:rPr>
        <w:fldChar w:fldCharType="separate"/>
      </w:r>
      <w:r>
        <w:rPr>
          <w:rFonts w:hint="eastAsia" w:hAnsi="Times New Roman" w:cs="Times New Roman"/>
          <w:b/>
          <w:bCs/>
        </w:rPr>
        <w:t>④</w:t>
      </w:r>
      <w:r>
        <w:rPr>
          <w:rFonts w:hAnsi="Times New Roman" w:cs="Times New Roman"/>
          <w:b/>
          <w:bCs/>
        </w:rPr>
        <w:fldChar w:fldCharType="end"/>
      </w:r>
      <w:r>
        <w:rPr>
          <w:rFonts w:hint="eastAsia" w:hAnsi="Times New Roman" w:cs="Times New Roman"/>
          <w:b/>
          <w:bCs/>
        </w:rPr>
        <w:t>农田栽培植被</w:t>
      </w:r>
    </w:p>
    <w:p>
      <w:pPr>
        <w:adjustRightInd w:val="0"/>
        <w:snapToGrid w:val="0"/>
        <w:ind w:firstLine="482"/>
        <w:rPr>
          <w:b/>
          <w:bCs/>
        </w:rPr>
      </w:pPr>
      <w:r>
        <w:rPr>
          <w:rFonts w:hint="eastAsia"/>
          <w:b/>
          <w:bCs/>
        </w:rPr>
        <w:t>A</w:t>
      </w:r>
      <w:r>
        <w:rPr>
          <w:b/>
          <w:bCs/>
        </w:rPr>
        <w:t>.</w:t>
      </w:r>
      <w:r>
        <w:rPr>
          <w:rFonts w:hint="eastAsia"/>
          <w:b/>
          <w:bCs/>
        </w:rPr>
        <w:t>一年两熟水田作物组合型</w:t>
      </w:r>
    </w:p>
    <w:p>
      <w:pPr>
        <w:adjustRightInd w:val="0"/>
        <w:snapToGrid w:val="0"/>
        <w:ind w:firstLine="480"/>
      </w:pPr>
      <w:r>
        <w:rPr>
          <w:rFonts w:hint="eastAsia"/>
        </w:rPr>
        <w:t>水田是评价区内非常常见的栽培植被类型。由于评价区气温适宜、年降雨丰富且河流众多、灌溉渠系纵横交错，水田作物产量较高，为主要的粮食生产基地。评价区水田作物一年两熟，夏季种植水稻（</w:t>
      </w:r>
      <w:r>
        <w:rPr>
          <w:i/>
        </w:rPr>
        <w:t>Oryza sativa</w:t>
      </w:r>
      <w:r>
        <w:rPr>
          <w:rFonts w:hint="eastAsia"/>
        </w:rPr>
        <w:t>）、冬季种植小麦（</w:t>
      </w:r>
      <w:r>
        <w:rPr>
          <w:i/>
        </w:rPr>
        <w:t>Trisetum aestivum</w:t>
      </w:r>
      <w:r>
        <w:rPr>
          <w:rFonts w:hint="eastAsia"/>
        </w:rPr>
        <w:t>）或油菜（</w:t>
      </w:r>
      <w:r>
        <w:rPr>
          <w:i/>
        </w:rPr>
        <w:t>Brassica campestris</w:t>
      </w:r>
      <w:r>
        <w:rPr>
          <w:rFonts w:hint="eastAsia"/>
        </w:rPr>
        <w:t>），其他季节也常种一些蔬菜作物。</w:t>
      </w:r>
    </w:p>
    <w:p>
      <w:pPr>
        <w:adjustRightInd w:val="0"/>
        <w:snapToGrid w:val="0"/>
        <w:ind w:firstLine="482"/>
        <w:rPr>
          <w:b/>
          <w:bCs/>
        </w:rPr>
      </w:pPr>
      <w:r>
        <w:rPr>
          <w:rFonts w:hint="eastAsia"/>
          <w:b/>
          <w:bCs/>
        </w:rPr>
        <w:t>B</w:t>
      </w:r>
      <w:r>
        <w:rPr>
          <w:b/>
          <w:bCs/>
        </w:rPr>
        <w:t>.</w:t>
      </w:r>
      <w:r>
        <w:rPr>
          <w:rFonts w:hint="eastAsia"/>
          <w:b/>
          <w:bCs/>
        </w:rPr>
        <w:t>一年两熟旱地作物组合型</w:t>
      </w:r>
    </w:p>
    <w:p>
      <w:pPr>
        <w:adjustRightInd w:val="0"/>
        <w:snapToGrid w:val="0"/>
        <w:ind w:firstLine="480"/>
      </w:pPr>
      <w:r>
        <w:rPr>
          <w:rFonts w:hint="eastAsia"/>
        </w:rPr>
        <w:t>旱地种植农作物以玉米（</w:t>
      </w:r>
      <w:r>
        <w:rPr>
          <w:i/>
        </w:rPr>
        <w:t>Zea mays</w:t>
      </w:r>
      <w:r>
        <w:rPr>
          <w:rFonts w:hint="eastAsia"/>
        </w:rPr>
        <w:t>）、油菜（</w:t>
      </w:r>
      <w:r>
        <w:rPr>
          <w:i/>
        </w:rPr>
        <w:t>Brassica campestris</w:t>
      </w:r>
      <w:r>
        <w:rPr>
          <w:rFonts w:hint="eastAsia"/>
        </w:rPr>
        <w:t>）、冬小麦（</w:t>
      </w:r>
      <w:r>
        <w:rPr>
          <w:i/>
        </w:rPr>
        <w:t>Trisetum aestivum</w:t>
      </w:r>
      <w:r>
        <w:rPr>
          <w:rFonts w:hint="eastAsia"/>
        </w:rPr>
        <w:t>）、番薯（</w:t>
      </w:r>
      <w:r>
        <w:rPr>
          <w:i/>
        </w:rPr>
        <w:t>Ipomoea batatas</w:t>
      </w:r>
      <w:r>
        <w:rPr>
          <w:rFonts w:hint="eastAsia"/>
        </w:rPr>
        <w:t>）与豆类等为主。主要分布在评价区水源相对贫瘠地带，由于水源的限制，只能种植旱地作物，以玉米、油菜、冬小麦、马铃薯、番薯与大豆为主，基本轮作倒茬方式为冬春两季种植油菜、冬小麦、蚕豆、马铃薯，夏秋两季种植玉米、番薯、豆类。近年来由于退耕还林政策的施行，农民在陡坡上退耕的旱地栽植上了桤木（</w:t>
      </w:r>
      <w:r>
        <w:rPr>
          <w:i/>
          <w:iCs/>
        </w:rPr>
        <w:t>Alnus cremastogyne</w:t>
      </w:r>
      <w:r>
        <w:rPr>
          <w:rFonts w:hint="eastAsia"/>
        </w:rPr>
        <w:t>）、乌桕（</w:t>
      </w:r>
      <w:r>
        <w:rPr>
          <w:i/>
          <w:iCs/>
        </w:rPr>
        <w:t>Triadicasebifera</w:t>
      </w:r>
      <w:r>
        <w:rPr>
          <w:rFonts w:hint="eastAsia"/>
        </w:rPr>
        <w:t>）和竹叶花椒（</w:t>
      </w:r>
      <w:r>
        <w:rPr>
          <w:i/>
          <w:iCs/>
        </w:rPr>
        <w:t>Zanthoxylum armatum</w:t>
      </w:r>
      <w:r>
        <w:rPr>
          <w:rFonts w:hint="eastAsia"/>
        </w:rPr>
        <w:t>）等经济树种，林下草本长势非常稀疏。</w:t>
      </w:r>
    </w:p>
    <w:p>
      <w:pPr>
        <w:adjustRightInd w:val="0"/>
        <w:snapToGrid w:val="0"/>
        <w:ind w:firstLine="482"/>
        <w:rPr>
          <w:b/>
          <w:bCs/>
        </w:rPr>
      </w:pPr>
      <w:r>
        <w:rPr>
          <w:rFonts w:hint="eastAsia"/>
          <w:b/>
          <w:bCs/>
        </w:rPr>
        <w:t>C</w:t>
      </w:r>
      <w:r>
        <w:rPr>
          <w:b/>
          <w:bCs/>
        </w:rPr>
        <w:t>.</w:t>
      </w:r>
      <w:r>
        <w:rPr>
          <w:rFonts w:hint="eastAsia"/>
          <w:b/>
          <w:bCs/>
        </w:rPr>
        <w:t>经济林、园地及行道树</w:t>
      </w:r>
    </w:p>
    <w:p>
      <w:pPr>
        <w:ind w:firstLine="480"/>
        <w:rPr>
          <w:rFonts w:cs="Times New Roman"/>
        </w:rPr>
      </w:pPr>
      <w:r>
        <w:rPr>
          <w:rFonts w:hint="eastAsia"/>
          <w:kern w:val="0"/>
        </w:rPr>
        <w:t>近年来随着水果与经济园林树种市场的需求和实施退耕还林政策，根据市场需求，当地农民将原有贫瘠的坡耕地种上了桂花（</w:t>
      </w:r>
      <w:r>
        <w:rPr>
          <w:i/>
          <w:iCs/>
          <w:kern w:val="0"/>
        </w:rPr>
        <w:t>Osmanthusfragrans</w:t>
      </w:r>
      <w:r>
        <w:rPr>
          <w:rFonts w:hint="eastAsia"/>
          <w:kern w:val="0"/>
        </w:rPr>
        <w:t>）、银杏（</w:t>
      </w:r>
      <w:r>
        <w:rPr>
          <w:i/>
          <w:iCs/>
          <w:kern w:val="0"/>
        </w:rPr>
        <w:t>Ginkgo biloba</w:t>
      </w:r>
      <w:r>
        <w:rPr>
          <w:rFonts w:hint="eastAsia"/>
          <w:kern w:val="0"/>
        </w:rPr>
        <w:t>）等经济林木桃（</w:t>
      </w:r>
      <w:r>
        <w:rPr>
          <w:i/>
          <w:kern w:val="0"/>
        </w:rPr>
        <w:t>Amygdalus persica</w:t>
      </w:r>
      <w:r>
        <w:rPr>
          <w:rFonts w:hint="eastAsia"/>
          <w:kern w:val="0"/>
        </w:rPr>
        <w:t>）、李（</w:t>
      </w:r>
      <w:r>
        <w:rPr>
          <w:i/>
          <w:kern w:val="0"/>
        </w:rPr>
        <w:t>Prunus salicina</w:t>
      </w:r>
      <w:r>
        <w:rPr>
          <w:rFonts w:hint="eastAsia"/>
          <w:kern w:val="0"/>
        </w:rPr>
        <w:t>）、梨（</w:t>
      </w:r>
      <w:r>
        <w:rPr>
          <w:i/>
          <w:kern w:val="0"/>
        </w:rPr>
        <w:t>Pyrus pyrifolia</w:t>
      </w:r>
      <w:r>
        <w:rPr>
          <w:rFonts w:hint="eastAsia"/>
          <w:kern w:val="0"/>
        </w:rPr>
        <w:t>）等果树。其间套种有豆类、番薯、时令蔬菜等低矮农作物。</w:t>
      </w:r>
    </w:p>
    <w:p>
      <w:pPr>
        <w:pStyle w:val="248"/>
        <w:ind w:firstLineChars="0"/>
        <w:rPr>
          <w:rFonts w:hAnsi="Times New Roman" w:cs="Times New Roman"/>
          <w:b/>
          <w:bCs/>
        </w:rPr>
      </w:pPr>
      <w:r>
        <w:rPr>
          <w:rFonts w:hint="eastAsia" w:hAnsi="Times New Roman" w:cs="Times New Roman"/>
          <w:b/>
          <w:bCs/>
        </w:rPr>
        <w:t>（3）国家重点保护植物和珍稀濒危野生植物的种类及分布</w:t>
      </w:r>
    </w:p>
    <w:p>
      <w:pPr>
        <w:ind w:firstLine="480"/>
        <w:rPr>
          <w:rFonts w:cs="Times New Roman"/>
        </w:rPr>
      </w:pPr>
      <w:r>
        <w:t>根据实地调查和通江县自然资源和规划局走访，</w:t>
      </w:r>
      <w:r>
        <w:rPr>
          <w:rFonts w:hint="eastAsia"/>
        </w:rPr>
        <w:t>评价区农业开发历史悠久、人类活动干扰强度较大，评价区基本没有未受干扰的原生生境分布，按照</w:t>
      </w:r>
      <w:r>
        <w:t>2021</w:t>
      </w:r>
      <w:r>
        <w:rPr>
          <w:rFonts w:hint="eastAsia"/>
        </w:rPr>
        <w:t>年</w:t>
      </w:r>
      <w:r>
        <w:t>9</w:t>
      </w:r>
      <w:r>
        <w:rPr>
          <w:rFonts w:hint="eastAsia"/>
        </w:rPr>
        <w:t>月</w:t>
      </w:r>
      <w:r>
        <w:t>8</w:t>
      </w:r>
      <w:r>
        <w:rPr>
          <w:rFonts w:hint="eastAsia"/>
        </w:rPr>
        <w:t>日国家林业和草原局农业农村部公告（</w:t>
      </w:r>
      <w:r>
        <w:t>2021</w:t>
      </w:r>
      <w:r>
        <w:rPr>
          <w:rFonts w:hint="eastAsia"/>
        </w:rPr>
        <w:t>年第</w:t>
      </w:r>
      <w:r>
        <w:t>15</w:t>
      </w:r>
      <w:r>
        <w:rPr>
          <w:rFonts w:hint="eastAsia"/>
        </w:rPr>
        <w:t>号）《国家重点保护野生植物名录》中所列物种，评价区</w:t>
      </w:r>
      <w:r>
        <w:t>内无国家重点保护植物和珍稀濒危野生植物</w:t>
      </w:r>
      <w:r>
        <w:rPr>
          <w:rFonts w:hint="eastAsia"/>
        </w:rPr>
        <w:t>分布。</w:t>
      </w:r>
    </w:p>
    <w:p>
      <w:pPr>
        <w:pStyle w:val="248"/>
        <w:ind w:firstLineChars="0"/>
        <w:rPr>
          <w:rFonts w:hAnsi="Times New Roman" w:cs="Times New Roman"/>
          <w:b/>
          <w:bCs/>
        </w:rPr>
      </w:pPr>
      <w:r>
        <w:rPr>
          <w:rFonts w:hint="eastAsia" w:hAnsi="Times New Roman" w:cs="Times New Roman"/>
          <w:b/>
          <w:bCs/>
        </w:rPr>
        <w:t>（4）古树名木</w:t>
      </w:r>
    </w:p>
    <w:p>
      <w:pPr>
        <w:pStyle w:val="248"/>
        <w:ind w:firstLine="480"/>
        <w:rPr>
          <w:rFonts w:hAnsi="Times New Roman" w:cs="Times New Roman"/>
        </w:rPr>
      </w:pPr>
      <w:r>
        <w:rPr>
          <w:rFonts w:hint="eastAsia"/>
        </w:rPr>
        <w:t>古树名木一般系指在人类历史过程中保存下来的年代久远或具有重要科研、历史、文化价值和纪念意义的树木。根据现场调查和访问巴中市通江县主管部门，以及四川省绿化委员会发布《关于发布全省古树名木名录的通告》可知，本项目评价区内有1棵</w:t>
      </w:r>
      <w:r>
        <w:t>古树</w:t>
      </w:r>
      <w:r>
        <w:rPr>
          <w:rFonts w:hint="eastAsia"/>
        </w:rPr>
        <w:t>，</w:t>
      </w:r>
      <w:r>
        <w:rPr>
          <w:rFonts w:hint="eastAsia" w:hAnsi="Times New Roman" w:cs="Times New Roman"/>
        </w:rPr>
        <w:t>树种</w:t>
      </w:r>
      <w:r>
        <w:rPr>
          <w:rFonts w:hint="eastAsia" w:cs="Times New Roman"/>
        </w:rPr>
        <w:t>为青冈（别称：橡树），位于</w:t>
      </w:r>
      <w:r>
        <w:rPr>
          <w:rFonts w:cs="Times New Roman"/>
        </w:rPr>
        <w:t>本项目堆管场</w:t>
      </w:r>
      <w:r>
        <w:rPr>
          <w:rFonts w:hint="eastAsia" w:cs="Times New Roman"/>
        </w:rPr>
        <w:t>东南</w:t>
      </w:r>
      <w:r>
        <w:rPr>
          <w:rFonts w:cs="Times New Roman"/>
        </w:rPr>
        <w:t>侧130m处，</w:t>
      </w:r>
      <w:r>
        <w:rPr>
          <w:rFonts w:hint="eastAsia" w:hAnsi="Times New Roman" w:cs="Times New Roman"/>
        </w:rPr>
        <w:t>具体情况详见下表。</w:t>
      </w:r>
    </w:p>
    <w:p>
      <w:pPr>
        <w:pStyle w:val="73"/>
        <w:ind w:firstLine="480"/>
      </w:pPr>
      <w:r>
        <w:rPr>
          <w:rFonts w:hint="eastAsia"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6.6</w:t>
      </w:r>
      <w:r>
        <w:rPr>
          <w:rFonts w:cs="Times New Roman"/>
        </w:rPr>
        <w:fldChar w:fldCharType="end"/>
      </w:r>
      <w:r>
        <w:rPr>
          <w:rFonts w:cs="Times New Roman"/>
        </w:rPr>
        <w:noBreakHyphen/>
      </w:r>
      <w:r>
        <w:rPr>
          <w:rFonts w:cs="Times New Roman"/>
        </w:rPr>
        <w:fldChar w:fldCharType="begin"/>
      </w:r>
      <w:r>
        <w:rPr>
          <w:rFonts w:cs="Times New Roman"/>
        </w:rPr>
        <w:instrText xml:space="preserve"> SEQ </w:instrText>
      </w:r>
      <w:r>
        <w:rPr>
          <w:rFonts w:hint="eastAsia" w:cs="Times New Roman"/>
        </w:rPr>
        <w:instrText xml:space="preserve">表格</w:instrText>
      </w:r>
      <w:r>
        <w:rPr>
          <w:rFonts w:cs="Times New Roman"/>
        </w:rPr>
        <w:instrText xml:space="preserve"> \* ARABIC \s 2 </w:instrText>
      </w:r>
      <w:r>
        <w:rPr>
          <w:rFonts w:cs="Times New Roman"/>
        </w:rPr>
        <w:fldChar w:fldCharType="separate"/>
      </w:r>
      <w:r>
        <w:rPr>
          <w:rFonts w:cs="Times New Roman"/>
        </w:rPr>
        <w:t>2</w:t>
      </w:r>
      <w:r>
        <w:rPr>
          <w:rFonts w:cs="Times New Roman"/>
        </w:rPr>
        <w:fldChar w:fldCharType="end"/>
      </w:r>
      <w:r>
        <w:t xml:space="preserve">  </w:t>
      </w:r>
      <w:r>
        <w:rPr>
          <w:rFonts w:hint="eastAsia"/>
        </w:rPr>
        <w:t>评价区内名木古树名录</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7"/>
        <w:gridCol w:w="813"/>
        <w:gridCol w:w="989"/>
        <w:gridCol w:w="1214"/>
        <w:gridCol w:w="1110"/>
        <w:gridCol w:w="846"/>
        <w:gridCol w:w="1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8" w:type="pct"/>
            <w:vAlign w:val="center"/>
          </w:tcPr>
          <w:p>
            <w:pPr>
              <w:adjustRightInd w:val="0"/>
              <w:snapToGrid w:val="0"/>
              <w:spacing w:line="240" w:lineRule="auto"/>
              <w:ind w:firstLine="0" w:firstLineChars="0"/>
              <w:jc w:val="center"/>
              <w:rPr>
                <w:b/>
                <w:bCs/>
                <w:sz w:val="21"/>
              </w:rPr>
            </w:pPr>
            <w:r>
              <w:rPr>
                <w:b/>
                <w:bCs/>
                <w:sz w:val="21"/>
              </w:rPr>
              <w:t>名称</w:t>
            </w:r>
          </w:p>
        </w:tc>
        <w:tc>
          <w:tcPr>
            <w:tcW w:w="579" w:type="pct"/>
            <w:vAlign w:val="center"/>
          </w:tcPr>
          <w:p>
            <w:pPr>
              <w:adjustRightInd w:val="0"/>
              <w:snapToGrid w:val="0"/>
              <w:spacing w:line="240" w:lineRule="auto"/>
              <w:ind w:firstLine="0" w:firstLineChars="0"/>
              <w:jc w:val="center"/>
              <w:rPr>
                <w:b/>
                <w:bCs/>
                <w:sz w:val="21"/>
              </w:rPr>
            </w:pPr>
            <w:r>
              <w:rPr>
                <w:b/>
                <w:bCs/>
                <w:sz w:val="21"/>
              </w:rPr>
              <w:t>古树等级</w:t>
            </w:r>
          </w:p>
        </w:tc>
        <w:tc>
          <w:tcPr>
            <w:tcW w:w="477" w:type="pct"/>
            <w:vAlign w:val="center"/>
          </w:tcPr>
          <w:p>
            <w:pPr>
              <w:adjustRightInd w:val="0"/>
              <w:snapToGrid w:val="0"/>
              <w:spacing w:line="240" w:lineRule="auto"/>
              <w:ind w:firstLine="0" w:firstLineChars="0"/>
              <w:jc w:val="center"/>
              <w:rPr>
                <w:b/>
                <w:bCs/>
                <w:sz w:val="21"/>
              </w:rPr>
            </w:pPr>
            <w:r>
              <w:rPr>
                <w:b/>
                <w:bCs/>
                <w:sz w:val="21"/>
              </w:rPr>
              <w:t>树高（m）</w:t>
            </w:r>
          </w:p>
        </w:tc>
        <w:tc>
          <w:tcPr>
            <w:tcW w:w="580" w:type="pct"/>
            <w:vAlign w:val="center"/>
          </w:tcPr>
          <w:p>
            <w:pPr>
              <w:adjustRightInd w:val="0"/>
              <w:snapToGrid w:val="0"/>
              <w:spacing w:line="240" w:lineRule="auto"/>
              <w:ind w:firstLine="0" w:firstLineChars="0"/>
              <w:jc w:val="center"/>
              <w:rPr>
                <w:b/>
                <w:bCs/>
                <w:sz w:val="21"/>
              </w:rPr>
            </w:pPr>
            <w:r>
              <w:rPr>
                <w:b/>
                <w:bCs/>
                <w:sz w:val="21"/>
              </w:rPr>
              <w:t>平均冠幅（m）</w:t>
            </w:r>
          </w:p>
        </w:tc>
        <w:tc>
          <w:tcPr>
            <w:tcW w:w="712" w:type="pct"/>
            <w:vAlign w:val="center"/>
          </w:tcPr>
          <w:p>
            <w:pPr>
              <w:adjustRightInd w:val="0"/>
              <w:snapToGrid w:val="0"/>
              <w:spacing w:line="240" w:lineRule="auto"/>
              <w:ind w:firstLine="0" w:firstLineChars="0"/>
              <w:jc w:val="center"/>
              <w:rPr>
                <w:b/>
                <w:bCs/>
                <w:sz w:val="21"/>
              </w:rPr>
            </w:pPr>
            <w:r>
              <w:rPr>
                <w:b/>
                <w:bCs/>
                <w:sz w:val="21"/>
              </w:rPr>
              <w:t>东经</w:t>
            </w:r>
            <w:r>
              <w:rPr>
                <w:rFonts w:hint="eastAsia"/>
                <w:b/>
                <w:bCs/>
                <w:sz w:val="21"/>
              </w:rPr>
              <w:t>（</w:t>
            </w:r>
            <w:r>
              <w:rPr>
                <w:b/>
                <w:bCs/>
                <w:sz w:val="21"/>
              </w:rPr>
              <w:t>°</w:t>
            </w:r>
            <w:r>
              <w:rPr>
                <w:rFonts w:hint="eastAsia"/>
                <w:b/>
                <w:bCs/>
                <w:sz w:val="21"/>
              </w:rPr>
              <w:t>）</w:t>
            </w:r>
          </w:p>
        </w:tc>
        <w:tc>
          <w:tcPr>
            <w:tcW w:w="651" w:type="pct"/>
            <w:vAlign w:val="center"/>
          </w:tcPr>
          <w:p>
            <w:pPr>
              <w:adjustRightInd w:val="0"/>
              <w:snapToGrid w:val="0"/>
              <w:spacing w:line="240" w:lineRule="auto"/>
              <w:ind w:firstLine="0" w:firstLineChars="0"/>
              <w:jc w:val="center"/>
              <w:rPr>
                <w:b/>
                <w:bCs/>
                <w:sz w:val="21"/>
              </w:rPr>
            </w:pPr>
            <w:r>
              <w:rPr>
                <w:b/>
                <w:bCs/>
                <w:sz w:val="21"/>
              </w:rPr>
              <w:t>北纬</w:t>
            </w:r>
            <w:r>
              <w:rPr>
                <w:rFonts w:hint="eastAsia"/>
                <w:b/>
                <w:bCs/>
                <w:sz w:val="21"/>
              </w:rPr>
              <w:t>（</w:t>
            </w:r>
            <w:r>
              <w:rPr>
                <w:b/>
                <w:bCs/>
                <w:sz w:val="21"/>
              </w:rPr>
              <w:t>°</w:t>
            </w:r>
            <w:r>
              <w:rPr>
                <w:rFonts w:hint="eastAsia"/>
                <w:b/>
                <w:bCs/>
                <w:sz w:val="21"/>
              </w:rPr>
              <w:t>）</w:t>
            </w:r>
          </w:p>
        </w:tc>
        <w:tc>
          <w:tcPr>
            <w:tcW w:w="496" w:type="pct"/>
            <w:vAlign w:val="center"/>
          </w:tcPr>
          <w:p>
            <w:pPr>
              <w:adjustRightInd w:val="0"/>
              <w:snapToGrid w:val="0"/>
              <w:spacing w:line="240" w:lineRule="auto"/>
              <w:ind w:firstLine="0" w:firstLineChars="0"/>
              <w:jc w:val="center"/>
              <w:rPr>
                <w:b/>
                <w:bCs/>
                <w:sz w:val="21"/>
              </w:rPr>
            </w:pPr>
            <w:r>
              <w:rPr>
                <w:b/>
                <w:bCs/>
                <w:sz w:val="21"/>
              </w:rPr>
              <w:t>海拔(m)</w:t>
            </w:r>
          </w:p>
        </w:tc>
        <w:tc>
          <w:tcPr>
            <w:tcW w:w="1026" w:type="pct"/>
            <w:vAlign w:val="center"/>
          </w:tcPr>
          <w:p>
            <w:pPr>
              <w:adjustRightInd w:val="0"/>
              <w:snapToGrid w:val="0"/>
              <w:spacing w:line="240" w:lineRule="auto"/>
              <w:ind w:firstLine="0" w:firstLineChars="0"/>
              <w:jc w:val="center"/>
              <w:rPr>
                <w:b/>
                <w:bCs/>
                <w:sz w:val="21"/>
              </w:rPr>
            </w:pPr>
            <w:r>
              <w:rPr>
                <w:b/>
                <w:bCs/>
                <w:sz w:val="21"/>
              </w:rPr>
              <w:t>距离</w:t>
            </w:r>
            <w:r>
              <w:rPr>
                <w:rFonts w:hint="eastAsia"/>
                <w:b/>
                <w:bCs/>
                <w:sz w:val="21"/>
              </w:rPr>
              <w:t>本项目最近距离</w:t>
            </w:r>
            <w:r>
              <w:rPr>
                <w:b/>
                <w:bCs/>
                <w:sz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8" w:type="pct"/>
            <w:vAlign w:val="center"/>
          </w:tcPr>
          <w:p>
            <w:pPr>
              <w:adjustRightInd w:val="0"/>
              <w:snapToGrid w:val="0"/>
              <w:spacing w:line="240" w:lineRule="auto"/>
              <w:ind w:firstLine="0" w:firstLineChars="0"/>
              <w:jc w:val="center"/>
              <w:rPr>
                <w:sz w:val="21"/>
              </w:rPr>
            </w:pPr>
            <w:r>
              <w:rPr>
                <w:rFonts w:hint="eastAsia"/>
                <w:sz w:val="21"/>
              </w:rPr>
              <w:t>青冈</w:t>
            </w:r>
          </w:p>
        </w:tc>
        <w:tc>
          <w:tcPr>
            <w:tcW w:w="579" w:type="pct"/>
            <w:vAlign w:val="center"/>
          </w:tcPr>
          <w:p>
            <w:pPr>
              <w:adjustRightInd w:val="0"/>
              <w:snapToGrid w:val="0"/>
              <w:spacing w:line="240" w:lineRule="auto"/>
              <w:ind w:firstLine="0" w:firstLineChars="0"/>
              <w:jc w:val="center"/>
              <w:rPr>
                <w:sz w:val="21"/>
              </w:rPr>
            </w:pPr>
            <w:r>
              <w:rPr>
                <w:sz w:val="21"/>
              </w:rPr>
              <w:t>三级</w:t>
            </w:r>
          </w:p>
        </w:tc>
        <w:tc>
          <w:tcPr>
            <w:tcW w:w="477" w:type="pct"/>
            <w:vAlign w:val="center"/>
          </w:tcPr>
          <w:p>
            <w:pPr>
              <w:adjustRightInd w:val="0"/>
              <w:snapToGrid w:val="0"/>
              <w:spacing w:line="240" w:lineRule="auto"/>
              <w:ind w:firstLine="0" w:firstLineChars="0"/>
              <w:jc w:val="center"/>
              <w:rPr>
                <w:sz w:val="21"/>
              </w:rPr>
            </w:pPr>
            <w:r>
              <w:rPr>
                <w:rFonts w:hint="eastAsia"/>
                <w:sz w:val="21"/>
              </w:rPr>
              <w:t>1</w:t>
            </w:r>
            <w:r>
              <w:rPr>
                <w:sz w:val="21"/>
              </w:rPr>
              <w:t>4</w:t>
            </w:r>
          </w:p>
        </w:tc>
        <w:tc>
          <w:tcPr>
            <w:tcW w:w="580" w:type="pct"/>
            <w:vAlign w:val="center"/>
          </w:tcPr>
          <w:p>
            <w:pPr>
              <w:adjustRightInd w:val="0"/>
              <w:snapToGrid w:val="0"/>
              <w:spacing w:line="240" w:lineRule="auto"/>
              <w:ind w:firstLine="0" w:firstLineChars="0"/>
              <w:jc w:val="center"/>
              <w:rPr>
                <w:sz w:val="21"/>
              </w:rPr>
            </w:pPr>
            <w:r>
              <w:rPr>
                <w:rFonts w:hint="eastAsia"/>
                <w:sz w:val="21"/>
              </w:rPr>
              <w:t>1</w:t>
            </w:r>
            <w:r>
              <w:rPr>
                <w:sz w:val="21"/>
              </w:rPr>
              <w:t>5</w:t>
            </w:r>
          </w:p>
        </w:tc>
        <w:tc>
          <w:tcPr>
            <w:tcW w:w="712" w:type="pct"/>
            <w:vAlign w:val="center"/>
          </w:tcPr>
          <w:p>
            <w:pPr>
              <w:spacing w:line="240" w:lineRule="auto"/>
              <w:ind w:firstLine="0" w:firstLineChars="0"/>
              <w:jc w:val="center"/>
              <w:rPr>
                <w:sz w:val="21"/>
              </w:rPr>
            </w:pPr>
            <w:r>
              <w:rPr>
                <w:sz w:val="21"/>
              </w:rPr>
              <w:t>107.138486</w:t>
            </w:r>
          </w:p>
        </w:tc>
        <w:tc>
          <w:tcPr>
            <w:tcW w:w="651" w:type="pct"/>
            <w:vAlign w:val="center"/>
          </w:tcPr>
          <w:p>
            <w:pPr>
              <w:spacing w:line="240" w:lineRule="auto"/>
              <w:ind w:firstLine="0" w:firstLineChars="0"/>
              <w:jc w:val="center"/>
              <w:rPr>
                <w:sz w:val="21"/>
              </w:rPr>
            </w:pPr>
            <w:r>
              <w:rPr>
                <w:sz w:val="21"/>
              </w:rPr>
              <w:t>32.014303</w:t>
            </w:r>
          </w:p>
        </w:tc>
        <w:tc>
          <w:tcPr>
            <w:tcW w:w="496" w:type="pct"/>
            <w:vAlign w:val="center"/>
          </w:tcPr>
          <w:p>
            <w:pPr>
              <w:adjustRightInd w:val="0"/>
              <w:snapToGrid w:val="0"/>
              <w:spacing w:line="240" w:lineRule="auto"/>
              <w:ind w:firstLine="0" w:firstLineChars="0"/>
              <w:jc w:val="center"/>
              <w:rPr>
                <w:sz w:val="21"/>
              </w:rPr>
            </w:pPr>
            <w:r>
              <w:rPr>
                <w:sz w:val="21"/>
              </w:rPr>
              <w:t>408</w:t>
            </w:r>
          </w:p>
        </w:tc>
        <w:tc>
          <w:tcPr>
            <w:tcW w:w="1026" w:type="pct"/>
            <w:vAlign w:val="center"/>
          </w:tcPr>
          <w:p>
            <w:pPr>
              <w:adjustRightInd w:val="0"/>
              <w:snapToGrid w:val="0"/>
              <w:spacing w:line="240" w:lineRule="auto"/>
              <w:ind w:firstLine="0" w:firstLineChars="0"/>
              <w:jc w:val="center"/>
              <w:rPr>
                <w:sz w:val="21"/>
              </w:rPr>
            </w:pPr>
            <w:r>
              <w:rPr>
                <w:rFonts w:hint="eastAsia"/>
                <w:sz w:val="21"/>
              </w:rPr>
              <w:t>距离堆管场约</w:t>
            </w:r>
            <w:r>
              <w:rPr>
                <w:sz w:val="21"/>
              </w:rPr>
              <w:t>130</w:t>
            </w:r>
            <w:r>
              <w:rPr>
                <w:rFonts w:hint="eastAsia"/>
                <w:sz w:val="21"/>
              </w:rPr>
              <w:t>m</w:t>
            </w:r>
          </w:p>
        </w:tc>
      </w:tr>
    </w:tbl>
    <w:p>
      <w:pPr>
        <w:ind w:firstLine="0" w:firstLineChars="0"/>
        <w:jc w:val="center"/>
      </w:pPr>
      <w:r>
        <mc:AlternateContent>
          <mc:Choice Requires="wps">
            <w:drawing>
              <wp:anchor distT="0" distB="0" distL="114300" distR="114300" simplePos="0" relativeHeight="251700224" behindDoc="0" locked="0" layoutInCell="1" allowOverlap="1">
                <wp:simplePos x="0" y="0"/>
                <wp:positionH relativeFrom="column">
                  <wp:posOffset>2525395</wp:posOffset>
                </wp:positionH>
                <wp:positionV relativeFrom="paragraph">
                  <wp:posOffset>3070225</wp:posOffset>
                </wp:positionV>
                <wp:extent cx="164465" cy="196850"/>
                <wp:effectExtent l="38100" t="38100" r="64770" b="50800"/>
                <wp:wrapNone/>
                <wp:docPr id="60495" name="直接箭头连接符 60495"/>
                <wp:cNvGraphicFramePr/>
                <a:graphic xmlns:a="http://schemas.openxmlformats.org/drawingml/2006/main">
                  <a:graphicData uri="http://schemas.microsoft.com/office/word/2010/wordprocessingShape">
                    <wps:wsp>
                      <wps:cNvCnPr/>
                      <wps:spPr>
                        <a:xfrm>
                          <a:off x="0" y="0"/>
                          <a:ext cx="164263" cy="197116"/>
                        </a:xfrm>
                        <a:prstGeom prst="straightConnector1">
                          <a:avLst/>
                        </a:prstGeom>
                        <a:ln>
                          <a:solidFill>
                            <a:schemeClr val="tx1"/>
                          </a:solidFill>
                          <a:headEnd type="triangle" w="sm" len="sm"/>
                          <a:tailEnd type="triangle" w="sm" len="sm"/>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98.85pt;margin-top:241.75pt;height:15.5pt;width:12.95pt;z-index:251700224;mso-width-relative:page;mso-height-relative:page;" filled="f" stroked="t" coordsize="21600,21600" o:gfxdata="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Mp&#10;hgjcAAAACwEAAA8AAAAAAAAAAQAgAAAAIgAAAGRycy9kb3ducmV2LnhtbFBLAQIUABQAAAAIAIdO&#10;4kCfU1v6HwIAACkEAAAOAAAAAAAAAAEAIAAAACsBAABkcnMvZTJvRG9jLnhtbFBLBQYAAAAABgAG&#10;AFkBAAC8BQAAAAA=&#10;">
                <v:fill on="f" focussize="0,0"/>
                <v:stroke weight="0.5pt" color="#000000 [3213]" miterlimit="8" joinstyle="miter" startarrow="block" startarrowwidth="narrow" startarrowlength="short" endarrow="block" endarrowwidth="narrow" endarrowlength="short"/>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3157220</wp:posOffset>
                </wp:positionH>
                <wp:positionV relativeFrom="paragraph">
                  <wp:posOffset>2909570</wp:posOffset>
                </wp:positionV>
                <wp:extent cx="274955" cy="0"/>
                <wp:effectExtent l="0" t="0" r="29845" b="19050"/>
                <wp:wrapNone/>
                <wp:docPr id="60492" name="直接连接符 60492"/>
                <wp:cNvGraphicFramePr/>
                <a:graphic xmlns:a="http://schemas.openxmlformats.org/drawingml/2006/main">
                  <a:graphicData uri="http://schemas.microsoft.com/office/word/2010/wordprocessingShape">
                    <wps:wsp>
                      <wps:cNvCnPr/>
                      <wps:spPr>
                        <a:xfrm>
                          <a:off x="0" y="0"/>
                          <a:ext cx="275232"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8.6pt;margin-top:229.1pt;height:0pt;width:21.65pt;z-index:251697152;mso-width-relative:page;mso-height-relative:page;" filled="f" stroked="t" coordsize="21600,21600" o:gfxdata="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HgV&#10;i9YAAAALAQAADwAAAAAAAAABACAAAAAiAAAAZHJzL2Rvd25yZXYueG1sUEsBAhQAFAAAAAgAh07i&#10;QEdD9zHrAQAAuQMAAA4AAAAAAAAAAQAgAAAAJQEAAGRycy9lMm9Eb2MueG1sUEsFBgAAAAAGAAYA&#10;WQEAAIIFAAAAAA==&#10;">
                <v:fill on="f" focussize="0,0"/>
                <v:stroke weight="1.25pt" color="#FF0000 [3204]" miterlimit="8" joinstyle="miter"/>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3267710</wp:posOffset>
                </wp:positionH>
                <wp:positionV relativeFrom="paragraph">
                  <wp:posOffset>3089910</wp:posOffset>
                </wp:positionV>
                <wp:extent cx="92710" cy="59055"/>
                <wp:effectExtent l="0" t="0" r="21590" b="17145"/>
                <wp:wrapNone/>
                <wp:docPr id="60498" name="矩形 60498"/>
                <wp:cNvGraphicFramePr/>
                <a:graphic xmlns:a="http://schemas.openxmlformats.org/drawingml/2006/main">
                  <a:graphicData uri="http://schemas.microsoft.com/office/word/2010/wordprocessingShape">
                    <wps:wsp>
                      <wps:cNvSpPr/>
                      <wps:spPr>
                        <a:xfrm>
                          <a:off x="0" y="0"/>
                          <a:ext cx="92710" cy="5905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3pt;margin-top:243.3pt;height:4.65pt;width:7.3pt;z-index:251702272;v-text-anchor:middle;mso-width-relative:page;mso-height-relative:page;" filled="f" stroked="t" coordsize="21600,21600" o:gfxdata="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Anxz9kAAAALAQAADwAAAAAAAAABACAAAAAiAAAAZHJzL2Rvd25yZXYueG1s&#10;UEsBAhQAFAAAAAgAh07iQMMHBn1pAgAA0AQAAA4AAAAAAAAAAQAgAAAAKAEAAGRycy9lMm9Eb2Mu&#10;eG1sUEsFBgAAAAAGAAYAWQEAAAMGAAAAAA==&#10;">
                <v:fill on="f" focussize="0,0"/>
                <v:stroke weight="1pt" color="#C00000 [3204]" miterlimit="8" joinstyle="miter"/>
                <v:imagedata o:title=""/>
                <o:lock v:ext="edit" aspectratio="f"/>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3294380</wp:posOffset>
                </wp:positionH>
                <wp:positionV relativeFrom="paragraph">
                  <wp:posOffset>3486150</wp:posOffset>
                </wp:positionV>
                <wp:extent cx="45085" cy="45085"/>
                <wp:effectExtent l="19050" t="38100" r="31115" b="31115"/>
                <wp:wrapNone/>
                <wp:docPr id="60494" name="五角星 60494"/>
                <wp:cNvGraphicFramePr/>
                <a:graphic xmlns:a="http://schemas.openxmlformats.org/drawingml/2006/main">
                  <a:graphicData uri="http://schemas.microsoft.com/office/word/2010/wordprocessingShape">
                    <wps:wsp>
                      <wps:cNvSpPr/>
                      <wps:spPr>
                        <a:xfrm>
                          <a:off x="0" y="0"/>
                          <a:ext cx="45085" cy="4508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9.4pt;margin-top:274.5pt;height:3.55pt;width:3.55pt;z-index:251699200;v-text-anchor:middle;mso-width-relative:page;mso-height-relative:page;" fillcolor="#FF0000" filled="t" stroked="t" coordsize="45085,45085" o:gfxdata="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ROZ6NkAAAALAQAADwAAAAAAAAABACAAAAAiAAAAZHJzL2Rv&#10;d25yZXYueG1sUEsBAhQAFAAAAAgAh07iQHnDu0FyAgAA/QQAAA4AAAAAAAAAAQAgAAAAKAEAAGRy&#10;cy9lMm9Eb2MueG1sUEsFBgAAAAAGAAYAWQEAAAwGAAAAAA==&#10;" path="m0,17220l17221,17221,22542,0,27863,17221,45084,17220,31152,27863,36474,45084,22542,34441,8610,45084,13932,27863xe">
                <v:path o:connectlocs="22542,0;0,17220;8610,45084;36474,45084;45084,17220" o:connectangles="247,164,82,82,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3161665</wp:posOffset>
                </wp:positionH>
                <wp:positionV relativeFrom="paragraph">
                  <wp:posOffset>3247390</wp:posOffset>
                </wp:positionV>
                <wp:extent cx="268605" cy="113030"/>
                <wp:effectExtent l="0" t="0" r="17145" b="20320"/>
                <wp:wrapNone/>
                <wp:docPr id="60493" name="圆角矩形 60493"/>
                <wp:cNvGraphicFramePr/>
                <a:graphic xmlns:a="http://schemas.openxmlformats.org/drawingml/2006/main">
                  <a:graphicData uri="http://schemas.microsoft.com/office/word/2010/wordprocessingShape">
                    <wps:wsp>
                      <wps:cNvSpPr/>
                      <wps:spPr>
                        <a:xfrm>
                          <a:off x="0" y="0"/>
                          <a:ext cx="268605" cy="11303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8.95pt;margin-top:255.7pt;height:8.9pt;width:21.15pt;z-index:251698176;v-text-anchor:middle;mso-width-relative:page;mso-height-relative:page;" fillcolor="#FFFFFF" filled="t" stroked="t" coordsize="21600,21600" arcsize="0.166666666666667" o:gfxdata="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sWpM3QAAAAsB&#10;AAAPAAAAAAAAAAEAIAAAACIAAABkcnMvZG93bnJldi54bWxQSwECFAAUAAAACACHTuJArP6K6YgC&#10;AAAGBQAADgAAAAAAAAABACAAAAAsAQAAZHJzL2Uyb0RvYy54bWxQSwUGAAAAAAYABgBZAQAAJgYA&#10;AAAA&#10;">
                <v:fill on="t" focussize="0,0"/>
                <v:stroke weight="1pt" color="#01EFE4 [3204]" miterlimit="8" joinstyle="miter"/>
                <v:imagedata o:title=""/>
                <o:lock v:ext="edit" aspectratio="f"/>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3021330</wp:posOffset>
                </wp:positionH>
                <wp:positionV relativeFrom="paragraph">
                  <wp:posOffset>2534920</wp:posOffset>
                </wp:positionV>
                <wp:extent cx="1402715" cy="1120140"/>
                <wp:effectExtent l="0" t="0" r="26035" b="22860"/>
                <wp:wrapNone/>
                <wp:docPr id="60491" name="文本框 60491"/>
                <wp:cNvGraphicFramePr/>
                <a:graphic xmlns:a="http://schemas.openxmlformats.org/drawingml/2006/main">
                  <a:graphicData uri="http://schemas.microsoft.com/office/word/2010/wordprocessingShape">
                    <wps:wsp>
                      <wps:cNvSpPr txBox="1"/>
                      <wps:spPr>
                        <a:xfrm>
                          <a:off x="0" y="0"/>
                          <a:ext cx="1402715" cy="112034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b/>
                                <w:sz w:val="18"/>
                              </w:rPr>
                            </w:pPr>
                            <w:r>
                              <w:rPr>
                                <w:rFonts w:hint="eastAsia"/>
                                <w:b/>
                                <w:sz w:val="18"/>
                              </w:rPr>
                              <w:t>图  例</w:t>
                            </w:r>
                          </w:p>
                          <w:p>
                            <w:pPr>
                              <w:pStyle w:val="2"/>
                              <w:ind w:left="840" w:hanging="360"/>
                              <w:rPr>
                                <w:sz w:val="16"/>
                                <w:szCs w:val="21"/>
                              </w:rPr>
                            </w:pPr>
                            <w:r>
                              <w:rPr>
                                <w:rFonts w:hint="eastAsia"/>
                                <w:sz w:val="18"/>
                              </w:rPr>
                              <w:t xml:space="preserve"> </w:t>
                            </w:r>
                            <w:r>
                              <w:rPr>
                                <w:rFonts w:hint="eastAsia"/>
                                <w:sz w:val="16"/>
                                <w:szCs w:val="21"/>
                              </w:rPr>
                              <w:t>本项目路由</w:t>
                            </w:r>
                          </w:p>
                          <w:p>
                            <w:pPr>
                              <w:pStyle w:val="2"/>
                              <w:ind w:left="420" w:leftChars="0" w:firstLine="160" w:firstLineChars="100"/>
                              <w:rPr>
                                <w:sz w:val="16"/>
                                <w:szCs w:val="21"/>
                              </w:rPr>
                            </w:pPr>
                            <w:r>
                              <w:rPr>
                                <w:rFonts w:hint="eastAsia"/>
                                <w:sz w:val="16"/>
                                <w:szCs w:val="21"/>
                              </w:rPr>
                              <w:t>堆管场</w:t>
                            </w:r>
                          </w:p>
                          <w:p>
                            <w:pPr>
                              <w:spacing w:line="240" w:lineRule="auto"/>
                              <w:ind w:firstLine="320"/>
                              <w:rPr>
                                <w:sz w:val="16"/>
                              </w:rPr>
                            </w:pPr>
                            <w:r>
                              <w:rPr>
                                <w:rFonts w:hint="eastAsia"/>
                                <w:sz w:val="16"/>
                              </w:rPr>
                              <w:t xml:space="preserve">   </w:t>
                            </w:r>
                            <w:r>
                              <w:rPr>
                                <w:sz w:val="16"/>
                              </w:rPr>
                              <w:t>2</w:t>
                            </w:r>
                            <w:r>
                              <w:rPr>
                                <w:rFonts w:hint="eastAsia"/>
                                <w:sz w:val="16"/>
                              </w:rPr>
                              <w:t>00m生态评价范围</w:t>
                            </w:r>
                          </w:p>
                          <w:p>
                            <w:pPr>
                              <w:pStyle w:val="2"/>
                              <w:ind w:left="840" w:leftChars="250" w:hanging="240" w:hangingChars="150"/>
                              <w:rPr>
                                <w:rFonts w:cstheme="minorBidi"/>
                                <w:sz w:val="16"/>
                                <w:szCs w:val="21"/>
                              </w:rPr>
                            </w:pPr>
                            <w:r>
                              <w:rPr>
                                <w:rFonts w:hint="eastAsia" w:cstheme="minorBidi"/>
                                <w:sz w:val="16"/>
                                <w:szCs w:val="21"/>
                              </w:rPr>
                              <w:t>古树</w:t>
                            </w:r>
                            <w:r>
                              <w:rPr>
                                <w:rFonts w:cstheme="minorBidi"/>
                                <w:sz w:val="16"/>
                                <w:szCs w:val="21"/>
                              </w:rPr>
                              <w:t>名木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9pt;margin-top:199.6pt;height:88.2pt;width:110.45pt;z-index:251665408;mso-width-relative:page;mso-height-relative:page;" fillcolor="#FFFFFF" filled="t" stroked="t" coordsize="21600,21600" o:gfxdata="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Sslxx2AAAAAsBAAAPAAAAAAAAAAEAIAAAACIAAABkcnMvZG93bnJldi54bWxQSwECFAAU&#10;AAAACACHTuJAslDg+2MCAADOBAAADgAAAAAAAAABACAAAAAnAQAAZHJzL2Uyb0RvYy54bWxQSwUG&#10;AAAAAAYABgBZAQAA/AUAAAAA&#10;">
                <v:fill on="t" focussize="0,0"/>
                <v:stroke weight="0.5pt" color="#000000 [3204]" joinstyle="round"/>
                <v:imagedata o:title=""/>
                <o:lock v:ext="edit" aspectratio="f"/>
                <v:textbox>
                  <w:txbxContent>
                    <w:p>
                      <w:pPr>
                        <w:spacing w:line="240" w:lineRule="auto"/>
                        <w:ind w:firstLine="0" w:firstLineChars="0"/>
                        <w:jc w:val="center"/>
                        <w:rPr>
                          <w:b/>
                          <w:sz w:val="18"/>
                        </w:rPr>
                      </w:pPr>
                      <w:r>
                        <w:rPr>
                          <w:rFonts w:hint="eastAsia"/>
                          <w:b/>
                          <w:sz w:val="18"/>
                        </w:rPr>
                        <w:t>图  例</w:t>
                      </w:r>
                    </w:p>
                    <w:p>
                      <w:pPr>
                        <w:pStyle w:val="2"/>
                        <w:ind w:left="840" w:hanging="360"/>
                        <w:rPr>
                          <w:sz w:val="16"/>
                          <w:szCs w:val="21"/>
                        </w:rPr>
                      </w:pPr>
                      <w:r>
                        <w:rPr>
                          <w:rFonts w:hint="eastAsia"/>
                          <w:sz w:val="18"/>
                        </w:rPr>
                        <w:t xml:space="preserve"> </w:t>
                      </w:r>
                      <w:r>
                        <w:rPr>
                          <w:rFonts w:hint="eastAsia"/>
                          <w:sz w:val="16"/>
                          <w:szCs w:val="21"/>
                        </w:rPr>
                        <w:t>本项目路由</w:t>
                      </w:r>
                    </w:p>
                    <w:p>
                      <w:pPr>
                        <w:pStyle w:val="2"/>
                        <w:ind w:left="420" w:leftChars="0" w:firstLine="160" w:firstLineChars="100"/>
                        <w:rPr>
                          <w:sz w:val="16"/>
                          <w:szCs w:val="21"/>
                        </w:rPr>
                      </w:pPr>
                      <w:r>
                        <w:rPr>
                          <w:rFonts w:hint="eastAsia"/>
                          <w:sz w:val="16"/>
                          <w:szCs w:val="21"/>
                        </w:rPr>
                        <w:t>堆管场</w:t>
                      </w:r>
                    </w:p>
                    <w:p>
                      <w:pPr>
                        <w:spacing w:line="240" w:lineRule="auto"/>
                        <w:ind w:firstLine="320"/>
                        <w:rPr>
                          <w:sz w:val="16"/>
                        </w:rPr>
                      </w:pPr>
                      <w:r>
                        <w:rPr>
                          <w:rFonts w:hint="eastAsia"/>
                          <w:sz w:val="16"/>
                        </w:rPr>
                        <w:t xml:space="preserve">   </w:t>
                      </w:r>
                      <w:r>
                        <w:rPr>
                          <w:sz w:val="16"/>
                        </w:rPr>
                        <w:t>2</w:t>
                      </w:r>
                      <w:r>
                        <w:rPr>
                          <w:rFonts w:hint="eastAsia"/>
                          <w:sz w:val="16"/>
                        </w:rPr>
                        <w:t>00m生态评价范围</w:t>
                      </w:r>
                    </w:p>
                    <w:p>
                      <w:pPr>
                        <w:pStyle w:val="2"/>
                        <w:ind w:left="840" w:leftChars="250" w:hanging="240" w:hangingChars="150"/>
                        <w:rPr>
                          <w:rFonts w:cstheme="minorBidi"/>
                          <w:sz w:val="16"/>
                          <w:szCs w:val="21"/>
                        </w:rPr>
                      </w:pPr>
                      <w:r>
                        <w:rPr>
                          <w:rFonts w:hint="eastAsia" w:cstheme="minorBidi"/>
                          <w:sz w:val="16"/>
                          <w:szCs w:val="21"/>
                        </w:rPr>
                        <w:t>古树</w:t>
                      </w:r>
                      <w:r>
                        <w:rPr>
                          <w:rFonts w:cstheme="minorBidi"/>
                          <w:sz w:val="16"/>
                          <w:szCs w:val="21"/>
                        </w:rPr>
                        <w:t>名木</w:t>
                      </w:r>
                    </w:p>
                  </w:txbxContent>
                </v:textbox>
              </v:shape>
            </w:pict>
          </mc:Fallback>
        </mc:AlternateContent>
      </w:r>
      <w:r>
        <w:rPr>
          <w:rFonts w:hint="eastAsia"/>
        </w:rPr>
        <mc:AlternateContent>
          <mc:Choice Requires="wps">
            <w:drawing>
              <wp:anchor distT="0" distB="0" distL="114300" distR="114300" simplePos="0" relativeHeight="251701248" behindDoc="0" locked="0" layoutInCell="1" allowOverlap="1">
                <wp:simplePos x="0" y="0"/>
                <wp:positionH relativeFrom="column">
                  <wp:posOffset>2501900</wp:posOffset>
                </wp:positionH>
                <wp:positionV relativeFrom="paragraph">
                  <wp:posOffset>2914650</wp:posOffset>
                </wp:positionV>
                <wp:extent cx="480695" cy="293370"/>
                <wp:effectExtent l="0" t="0" r="0" b="0"/>
                <wp:wrapNone/>
                <wp:docPr id="60496" name="文本框 60496"/>
                <wp:cNvGraphicFramePr/>
                <a:graphic xmlns:a="http://schemas.openxmlformats.org/drawingml/2006/main">
                  <a:graphicData uri="http://schemas.microsoft.com/office/word/2010/wordprocessingShape">
                    <wps:wsp>
                      <wps:cNvSpPr txBox="1"/>
                      <wps:spPr>
                        <a:xfrm>
                          <a:off x="0" y="0"/>
                          <a:ext cx="480647" cy="293077"/>
                        </a:xfrm>
                        <a:prstGeom prst="rect">
                          <a:avLst/>
                        </a:prstGeom>
                        <a:solidFill>
                          <a:schemeClr val="lt1">
                            <a:alpha val="0"/>
                          </a:schemeClr>
                        </a:solidFill>
                        <a:ln w="6350">
                          <a:noFill/>
                        </a:ln>
                      </wps:spPr>
                      <wps:txbx>
                        <w:txbxContent>
                          <w:p>
                            <w:pPr>
                              <w:ind w:firstLine="0" w:firstLineChars="0"/>
                              <w:rPr>
                                <w:color w:val="000000" w:themeColor="text1"/>
                                <w:sz w:val="15"/>
                                <w14:textFill>
                                  <w14:solidFill>
                                    <w14:schemeClr w14:val="tx1"/>
                                  </w14:solidFill>
                                </w14:textFill>
                              </w:rPr>
                            </w:pPr>
                            <w:r>
                              <w:rPr>
                                <w:rFonts w:hint="eastAsia"/>
                                <w:color w:val="000000" w:themeColor="text1"/>
                                <w:sz w:val="15"/>
                                <w14:textFill>
                                  <w14:solidFill>
                                    <w14:schemeClr w14:val="tx1"/>
                                  </w14:solidFill>
                                </w14:textFill>
                              </w:rPr>
                              <w:t>1</w:t>
                            </w:r>
                            <w:r>
                              <w:rPr>
                                <w:color w:val="000000" w:themeColor="text1"/>
                                <w:sz w:val="15"/>
                                <w14:textFill>
                                  <w14:solidFill>
                                    <w14:schemeClr w14:val="tx1"/>
                                  </w14:solidFill>
                                </w14:textFill>
                              </w:rPr>
                              <w:t>30m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pt;margin-top:229.5pt;height:23.1pt;width:37.85pt;z-index:251701248;mso-width-relative:page;mso-height-relative:page;" fillcolor="#FFFFFF [3201]" filled="t" stroked="f" coordsize="21600,21600" o:gfxdata="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LTYwNsAAAALAQAADwAAAAAAAAABACAAAAAiAAAAZHJzL2Rvd25yZXYueG1sUEsBAhQAFAAA&#10;AAgAh07iQAs7gKxeAgAAswQAAA4AAAAAAAAAAQAgAAAAKgEAAGRycy9lMm9Eb2MueG1sUEsFBgAA&#10;AAAGAAYAWQEAAPoFAAAAAA==&#10;">
                <v:fill on="t" opacity="0f" focussize="0,0"/>
                <v:stroke on="f" weight="0.5pt"/>
                <v:imagedata o:title=""/>
                <o:lock v:ext="edit" aspectratio="f"/>
                <v:textbox>
                  <w:txbxContent>
                    <w:p>
                      <w:pPr>
                        <w:ind w:firstLine="0" w:firstLineChars="0"/>
                        <w:rPr>
                          <w:color w:val="000000" w:themeColor="text1"/>
                          <w:sz w:val="15"/>
                          <w14:textFill>
                            <w14:solidFill>
                              <w14:schemeClr w14:val="tx1"/>
                            </w14:solidFill>
                          </w14:textFill>
                        </w:rPr>
                      </w:pPr>
                      <w:r>
                        <w:rPr>
                          <w:rFonts w:hint="eastAsia"/>
                          <w:color w:val="000000" w:themeColor="text1"/>
                          <w:sz w:val="15"/>
                          <w14:textFill>
                            <w14:solidFill>
                              <w14:schemeClr w14:val="tx1"/>
                            </w14:solidFill>
                          </w14:textFill>
                        </w:rPr>
                        <w:t>1</w:t>
                      </w:r>
                      <w:r>
                        <w:rPr>
                          <w:color w:val="000000" w:themeColor="text1"/>
                          <w:sz w:val="15"/>
                          <w14:textFill>
                            <w14:solidFill>
                              <w14:schemeClr w14:val="tx1"/>
                            </w14:solidFill>
                          </w14:textFill>
                        </w:rPr>
                        <w:t>30m</w:t>
                      </w:r>
                    </w:p>
                  </w:txbxContent>
                </v:textbox>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1962785</wp:posOffset>
                </wp:positionH>
                <wp:positionV relativeFrom="paragraph">
                  <wp:posOffset>3274695</wp:posOffset>
                </wp:positionV>
                <wp:extent cx="713105" cy="249555"/>
                <wp:effectExtent l="0" t="0" r="29845" b="36195"/>
                <wp:wrapNone/>
                <wp:docPr id="60490" name="直接连接符 60490"/>
                <wp:cNvGraphicFramePr/>
                <a:graphic xmlns:a="http://schemas.openxmlformats.org/drawingml/2006/main">
                  <a:graphicData uri="http://schemas.microsoft.com/office/word/2010/wordprocessingShape">
                    <wps:wsp>
                      <wps:cNvCnPr/>
                      <wps:spPr>
                        <a:xfrm flipV="1">
                          <a:off x="0" y="0"/>
                          <a:ext cx="713415" cy="24978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4.55pt;margin-top:257.85pt;height:19.65pt;width:56.15pt;z-index:251664384;mso-width-relative:page;mso-height-relative:page;" filled="f" stroked="t" coordsize="21600,21600" o:gfxdata="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Zb7ytsAAAALAQAADwAAAAAAAAABACAAAAAiAAAAZHJzL2Rvd25yZXYu&#10;eG1sUEsBAhQAFAAAAAgAh07iQMAUbKD4AQAAxwMAAA4AAAAAAAAAAQAgAAAAKgEAAGRycy9lMm9E&#10;b2MueG1sUEsFBgAAAAAGAAYAWQEAAJQFAAAAAA==&#10;">
                <v:fill on="f" focussize="0,0"/>
                <v:stroke weight="0.5pt" color="#FFFF00 [3204]" miterlimit="8" joinstyle="miter"/>
                <v:imagedata o:title=""/>
                <o:lock v:ext="edit" aspectratio="f"/>
              </v:lin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1520825</wp:posOffset>
                </wp:positionH>
                <wp:positionV relativeFrom="paragraph">
                  <wp:posOffset>3517900</wp:posOffset>
                </wp:positionV>
                <wp:extent cx="443230" cy="10795"/>
                <wp:effectExtent l="0" t="0" r="33020" b="27305"/>
                <wp:wrapNone/>
                <wp:docPr id="60484" name="直接连接符 60484"/>
                <wp:cNvGraphicFramePr/>
                <a:graphic xmlns:a="http://schemas.openxmlformats.org/drawingml/2006/main">
                  <a:graphicData uri="http://schemas.microsoft.com/office/word/2010/wordprocessingShape">
                    <wps:wsp>
                      <wps:cNvCnPr/>
                      <wps:spPr>
                        <a:xfrm flipV="1">
                          <a:off x="0" y="0"/>
                          <a:ext cx="443230" cy="1079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19.75pt;margin-top:277pt;height:0.85pt;width:34.9pt;z-index:251663360;mso-width-relative:page;mso-height-relative:page;" filled="f" stroked="t" coordsize="21600,21600" o:gfxdata="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65VM/bAAAACwEAAA8AAAAAAAAAAQAgAAAAIgAAAGRycy9kb3ducmV2Lnht&#10;bFBLAQIUABQAAAAIAIdO4kDJU48n9gEAAMYDAAAOAAAAAAAAAAEAIAAAACoBAABkcnMvZTJvRG9j&#10;LnhtbFBLBQYAAAAABgAGAFkBAACSBQAAAAA=&#10;">
                <v:fill on="f" focussize="0,0"/>
                <v:stroke weight="0.5pt" color="#FFFF00 [3204]" miterlimit="8" joinstyle="miter"/>
                <v:imagedata o:title=""/>
                <o:lock v:ext="edit" aspectratio="f"/>
              </v:lin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1442720</wp:posOffset>
                </wp:positionH>
                <wp:positionV relativeFrom="paragraph">
                  <wp:posOffset>3208655</wp:posOffset>
                </wp:positionV>
                <wp:extent cx="878205" cy="330835"/>
                <wp:effectExtent l="0" t="0" r="0" b="0"/>
                <wp:wrapNone/>
                <wp:docPr id="60483" name="文本框 60483"/>
                <wp:cNvGraphicFramePr/>
                <a:graphic xmlns:a="http://schemas.openxmlformats.org/drawingml/2006/main">
                  <a:graphicData uri="http://schemas.microsoft.com/office/word/2010/wordprocessingShape">
                    <wps:wsp>
                      <wps:cNvSpPr txBox="1"/>
                      <wps:spPr>
                        <a:xfrm>
                          <a:off x="0" y="0"/>
                          <a:ext cx="878032" cy="330630"/>
                        </a:xfrm>
                        <a:prstGeom prst="rect">
                          <a:avLst/>
                        </a:prstGeom>
                        <a:solidFill>
                          <a:schemeClr val="lt1">
                            <a:alpha val="0"/>
                          </a:schemeClr>
                        </a:solidFill>
                        <a:ln w="6350">
                          <a:noFill/>
                        </a:ln>
                      </wps:spPr>
                      <wps:txbx>
                        <w:txbxContent>
                          <w:p>
                            <w:pPr>
                              <w:ind w:firstLine="0" w:firstLineChars="0"/>
                              <w:rPr>
                                <w:color w:val="FF0000"/>
                                <w:sz w:val="18"/>
                              </w:rPr>
                            </w:pPr>
                            <w:r>
                              <w:rPr>
                                <w:rFonts w:hint="eastAsia"/>
                                <w:color w:val="FF0000"/>
                                <w:sz w:val="18"/>
                              </w:rPr>
                              <w:t>古树</w:t>
                            </w:r>
                            <w:r>
                              <w:rPr>
                                <w:color w:val="FF0000"/>
                                <w:sz w:val="18"/>
                              </w:rPr>
                              <w:t>名木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252.65pt;height:26.05pt;width:69.15pt;z-index:251662336;mso-width-relative:page;mso-height-relative:page;" fillcolor="#FFFFFF [3201]" filled="t" stroked="f" coordsize="21600,21600" o:gfxdata="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FQw8XaAAAACwEAAA8AAAAAAAAAAQAgAAAAIgAAAGRycy9kb3ducmV2LnhtbFBLAQIUABQAAAAI&#10;AIdO4kDUjBU2XQIAALMEAAAOAAAAAAAAAAEAIAAAACkBAABkcnMvZTJvRG9jLnhtbFBLBQYAAAAA&#10;BgAGAFkBAAD4BQAAAAA=&#10;">
                <v:fill on="t" opacity="0f" focussize="0,0"/>
                <v:stroke on="f" weight="0.5pt"/>
                <v:imagedata o:title=""/>
                <o:lock v:ext="edit" aspectratio="f"/>
                <v:textbox>
                  <w:txbxContent>
                    <w:p>
                      <w:pPr>
                        <w:ind w:firstLine="0" w:firstLineChars="0"/>
                        <w:rPr>
                          <w:color w:val="FF0000"/>
                          <w:sz w:val="18"/>
                        </w:rPr>
                      </w:pPr>
                      <w:r>
                        <w:rPr>
                          <w:rFonts w:hint="eastAsia"/>
                          <w:color w:val="FF0000"/>
                          <w:sz w:val="18"/>
                        </w:rPr>
                        <w:t>古树</w:t>
                      </w:r>
                      <w:r>
                        <w:rPr>
                          <w:color w:val="FF0000"/>
                          <w:sz w:val="18"/>
                        </w:rPr>
                        <w:t>名木</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2688590</wp:posOffset>
                </wp:positionH>
                <wp:positionV relativeFrom="paragraph">
                  <wp:posOffset>3256280</wp:posOffset>
                </wp:positionV>
                <wp:extent cx="45720" cy="45720"/>
                <wp:effectExtent l="19050" t="38100" r="31115" b="31115"/>
                <wp:wrapNone/>
                <wp:docPr id="57" name="五角星 57"/>
                <wp:cNvGraphicFramePr/>
                <a:graphic xmlns:a="http://schemas.openxmlformats.org/drawingml/2006/main">
                  <a:graphicData uri="http://schemas.microsoft.com/office/word/2010/wordprocessingShape">
                    <wps:wsp>
                      <wps:cNvSpPr/>
                      <wps:spPr>
                        <a:xfrm>
                          <a:off x="0" y="0"/>
                          <a:ext cx="45719" cy="457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1.7pt;margin-top:256.4pt;height:3.6pt;width:3.6pt;z-index:251661312;v-text-anchor:middle;mso-width-relative:page;mso-height-relative:page;" fillcolor="#FF0000" filled="t" stroked="t" coordsize="45719,45719" o:gfxdata="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QOgDK2QAAAAsBAAAPAAAAAAAAAAEAIAAAACIAAABkcnMvZG93bnJl&#10;di54bWxQSwECFAAUAAAACACHTuJAEsM+fW4CAAD3BAAADgAAAAAAAAABACAAAAAoAQAAZHJzL2Uy&#10;b0RvYy54bWxQSwUGAAAAAAYABgBZAQAACAYAAAAA&#10;" path="m0,17463l17463,17463,22859,0,28255,17463,45718,17463,31590,28255,36987,45718,22859,34925,8731,45718,14128,28255xe">
                <v:path o:connectlocs="22859,0;0,17463;8731,45718;36987,45718;45718,17463" o:connectangles="247,164,82,82,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2037080</wp:posOffset>
                </wp:positionH>
                <wp:positionV relativeFrom="paragraph">
                  <wp:posOffset>2591435</wp:posOffset>
                </wp:positionV>
                <wp:extent cx="873760" cy="901065"/>
                <wp:effectExtent l="0" t="0" r="22225" b="13335"/>
                <wp:wrapNone/>
                <wp:docPr id="42" name="流程图: 接点 42"/>
                <wp:cNvGraphicFramePr/>
                <a:graphic xmlns:a="http://schemas.openxmlformats.org/drawingml/2006/main">
                  <a:graphicData uri="http://schemas.microsoft.com/office/word/2010/wordprocessingShape">
                    <wps:wsp>
                      <wps:cNvSpPr/>
                      <wps:spPr>
                        <a:xfrm>
                          <a:off x="0" y="0"/>
                          <a:ext cx="873594" cy="901147"/>
                        </a:xfrm>
                        <a:prstGeom prst="flowChartConnector">
                          <a:avLst/>
                        </a:prstGeom>
                        <a:noFill/>
                        <a:ln>
                          <a:solidFill>
                            <a:srgbClr val="00BB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2" o:spid="_x0000_s1026" o:spt="120" type="#_x0000_t120" style="position:absolute;left:0pt;margin-left:160.4pt;margin-top:204.05pt;height:70.95pt;width:68.8pt;z-index:251660288;v-text-anchor:middle;mso-width-relative:page;mso-height-relative:page;" filled="f" stroked="t" coordsize="21600,21600" o:gfxdata="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IsEqH2wAAAAsB&#10;AAAPAAAAAAAAAAEAIAAAACIAAABkcnMvZG93bnJldi54bWxQSwECFAAUAAAACACHTuJACErlxIoC&#10;AADlBAAADgAAAAAAAAABACAAAAAqAQAAZHJzL2Uyb0RvYy54bWxQSwUGAAAAAAYABgBZAQAAJgYA&#10;AAAA&#10;">
                <v:fill on="f" focussize="0,0"/>
                <v:stroke weight="1pt" color="#00BBC0 [3204]" miterlimit="8" joinstyle="miter"/>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2440940</wp:posOffset>
                </wp:positionH>
                <wp:positionV relativeFrom="paragraph">
                  <wp:posOffset>3007995</wp:posOffset>
                </wp:positionV>
                <wp:extent cx="92710" cy="59690"/>
                <wp:effectExtent l="0" t="0" r="21590" b="17145"/>
                <wp:wrapNone/>
                <wp:docPr id="36" name="矩形 36"/>
                <wp:cNvGraphicFramePr/>
                <a:graphic xmlns:a="http://schemas.openxmlformats.org/drawingml/2006/main">
                  <a:graphicData uri="http://schemas.microsoft.com/office/word/2010/wordprocessingShape">
                    <wps:wsp>
                      <wps:cNvSpPr/>
                      <wps:spPr>
                        <a:xfrm>
                          <a:off x="0" y="0"/>
                          <a:ext cx="92765" cy="596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2pt;margin-top:236.85pt;height:4.7pt;width:7.3pt;z-index:251659264;v-text-anchor:middle;mso-width-relative:page;mso-height-relative:page;" filled="f" stroked="t" coordsize="21600,21600" o:gfxdata="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OYdpjaAAAACwEAAA8AAAAAAAAAAQAgAAAAIgAAAGRycy9kb3ducmV2Lnht&#10;bFBLAQIUABQAAAAIAIdO4kDtNuk7aQIAAMoEAAAOAAAAAAAAAAEAIAAAACkBAABkcnMvZTJvRG9j&#10;LnhtbFBLBQYAAAAABgAGAFkBAAAEBgAAAAA=&#10;">
                <v:fill on="f" focussize="0,0"/>
                <v:stroke weight="1pt" color="#C00000 [3204]" miterlimit="8" joinstyle="miter"/>
                <v:imagedata o:title=""/>
                <o:lock v:ext="edit" aspectratio="f"/>
              </v:rect>
            </w:pict>
          </mc:Fallback>
        </mc:AlternateContent>
      </w:r>
      <w:r>
        <w:drawing>
          <wp:inline distT="0" distB="0" distL="0" distR="0">
            <wp:extent cx="3597910" cy="3590290"/>
            <wp:effectExtent l="19050" t="19050" r="21590" b="10160"/>
            <wp:docPr id="34" name="图片 34" descr="G:\9.正在进行项目\8条管线-资料\0.报告\附图\附图4 外环境关系及监测布点图\200m缓冲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9.正在进行项目\8条管线-资料\0.报告\附图\附图4 外环境关系及监测布点图\200m缓冲区.jpg"/>
                    <pic:cNvPicPr>
                      <a:picLocks noChangeAspect="1" noChangeArrowheads="1"/>
                    </pic:cNvPicPr>
                  </pic:nvPicPr>
                  <pic:blipFill>
                    <a:blip r:embed="rId58" cstate="print">
                      <a:extLst>
                        <a:ext uri="{28A0092B-C50C-407E-A947-70E740481C1C}">
                          <a14:useLocalDpi xmlns:a14="http://schemas.microsoft.com/office/drawing/2010/main" val="0"/>
                        </a:ext>
                      </a:extLst>
                    </a:blip>
                    <a:srcRect l="19225" t="4619" r="21085" b="11183"/>
                    <a:stretch>
                      <a:fillRect/>
                    </a:stretch>
                  </pic:blipFill>
                  <pic:spPr>
                    <a:xfrm>
                      <a:off x="0" y="0"/>
                      <a:ext cx="3599989" cy="3592412"/>
                    </a:xfrm>
                    <a:prstGeom prst="rect">
                      <a:avLst/>
                    </a:prstGeom>
                    <a:noFill/>
                    <a:ln w="15875">
                      <a:solidFill>
                        <a:schemeClr val="tx1"/>
                      </a:solidFill>
                    </a:ln>
                  </pic:spPr>
                </pic:pic>
              </a:graphicData>
            </a:graphic>
          </wp:inline>
        </w:drawing>
      </w:r>
    </w:p>
    <w:p>
      <w:pPr>
        <w:pStyle w:val="73"/>
      </w:pPr>
      <w:r>
        <w:rPr>
          <w:rFonts w:hint="eastAsia"/>
        </w:rPr>
        <w:t>图</w:t>
      </w:r>
      <w:r>
        <w:fldChar w:fldCharType="begin"/>
      </w:r>
      <w:r>
        <w:instrText xml:space="preserve"> STYLEREF 2 \s </w:instrText>
      </w:r>
      <w:r>
        <w:fldChar w:fldCharType="separate"/>
      </w:r>
      <w:r>
        <w:t>6.6</w:t>
      </w:r>
      <w:r>
        <w:fldChar w:fldCharType="end"/>
      </w:r>
      <w:r>
        <w:noBreakHyphen/>
      </w:r>
      <w:r>
        <w:fldChar w:fldCharType="begin"/>
      </w:r>
      <w:r>
        <w:instrText xml:space="preserve"> SEQ </w:instrText>
      </w:r>
      <w:r>
        <w:rPr>
          <w:rFonts w:hint="eastAsia"/>
        </w:rPr>
        <w:instrText xml:space="preserve">图</w:instrText>
      </w:r>
      <w:r>
        <w:instrText xml:space="preserve"> \* ARABIC \s 2 </w:instrText>
      </w:r>
      <w:r>
        <w:fldChar w:fldCharType="separate"/>
      </w:r>
      <w:r>
        <w:t>1</w:t>
      </w:r>
      <w:r>
        <w:fldChar w:fldCharType="end"/>
      </w:r>
      <w:r>
        <w:t xml:space="preserve">  </w:t>
      </w:r>
      <w:r>
        <w:rPr>
          <w:rFonts w:hint="eastAsia"/>
        </w:rPr>
        <w:t>本项目评价范围内古树名木分布示意图</w:t>
      </w:r>
    </w:p>
    <w:p>
      <w:pPr>
        <w:pStyle w:val="5"/>
      </w:pPr>
      <w:r>
        <w:rPr>
          <w:rFonts w:hint="eastAsia"/>
        </w:rPr>
        <w:t xml:space="preserve"> </w:t>
      </w:r>
      <w:bookmarkStart w:id="236" w:name="_Toc96680710"/>
      <w:r>
        <w:t>动物资源现状</w:t>
      </w:r>
      <w:bookmarkEnd w:id="236"/>
    </w:p>
    <w:p>
      <w:pPr>
        <w:pStyle w:val="248"/>
        <w:ind w:firstLine="480"/>
        <w:rPr>
          <w:rFonts w:hAnsi="Times New Roman" w:cs="Times New Roman"/>
        </w:rPr>
      </w:pPr>
      <w:r>
        <w:rPr>
          <w:rFonts w:hAnsi="Times New Roman" w:cs="Times New Roman"/>
        </w:rPr>
        <w:t>由于受人类活动干扰，适宜野生动物栖息的环境有限，动物区系结构组成简单，在此生态境域中，动物种类比较贫乏。</w:t>
      </w:r>
    </w:p>
    <w:p>
      <w:pPr>
        <w:pStyle w:val="248"/>
        <w:ind w:firstLine="480"/>
        <w:rPr>
          <w:rFonts w:hAnsi="Times New Roman" w:cs="Times New Roman"/>
        </w:rPr>
      </w:pPr>
      <w:r>
        <w:rPr>
          <w:rFonts w:hAnsi="Times New Roman" w:cs="Times New Roman"/>
        </w:rPr>
        <w:t>据调查，近年来偶见的兽类动物有野兔、野鸡等，主要分布于有林区；爬行类动物主要有蛇类、蛙等；鸟类主要有</w:t>
      </w:r>
      <w:r>
        <w:rPr>
          <w:rFonts w:hint="eastAsia" w:hAnsi="Times New Roman" w:cs="Times New Roman"/>
        </w:rPr>
        <w:t>麻雀、金翅雀、黑鸢、普通鵟、雀鹰、啄木鸟、松鸦、红嘴蓝鹊、黑枕黄鹂、八哥、柳莺、山雀、燕雀、</w:t>
      </w:r>
      <w:r>
        <w:rPr>
          <w:rFonts w:cs="Times New Roman"/>
          <w:szCs w:val="24"/>
        </w:rPr>
        <w:t>董鸡</w:t>
      </w:r>
      <w:r>
        <w:rPr>
          <w:rFonts w:hint="eastAsia" w:hAnsi="Times New Roman" w:cs="Times New Roman"/>
        </w:rPr>
        <w:t>等</w:t>
      </w:r>
      <w:r>
        <w:rPr>
          <w:rFonts w:hAnsi="Times New Roman" w:cs="Times New Roman"/>
        </w:rPr>
        <w:t>。</w:t>
      </w:r>
      <w:r>
        <w:rPr>
          <w:rFonts w:hint="eastAsia" w:hAnsi="Times New Roman" w:cs="Times New Roman"/>
        </w:rPr>
        <w:t>根据调查和查阅文献资料，工程评价区内无国家保护动物存在。</w:t>
      </w:r>
    </w:p>
    <w:p>
      <w:pPr>
        <w:pStyle w:val="5"/>
      </w:pPr>
      <w:r>
        <w:rPr>
          <w:rFonts w:hint="eastAsia"/>
        </w:rPr>
        <w:t xml:space="preserve"> </w:t>
      </w:r>
      <w:bookmarkStart w:id="237" w:name="_Toc96680711"/>
      <w:r>
        <w:rPr>
          <w:rFonts w:hint="eastAsia"/>
        </w:rPr>
        <w:t>土地利用现状</w:t>
      </w:r>
      <w:bookmarkEnd w:id="237"/>
    </w:p>
    <w:p>
      <w:pPr>
        <w:pStyle w:val="248"/>
        <w:ind w:firstLine="480"/>
        <w:rPr>
          <w:rFonts w:hAnsi="Times New Roman" w:cs="Times New Roman"/>
        </w:rPr>
      </w:pPr>
      <w:r>
        <w:rPr>
          <w:rFonts w:hAnsi="Times New Roman" w:cs="Times New Roman"/>
        </w:rPr>
        <w:t>本项目</w:t>
      </w:r>
      <w:r>
        <w:rPr>
          <w:rFonts w:cs="Times New Roman"/>
        </w:rPr>
        <w:t>临时占地</w:t>
      </w:r>
      <w:r>
        <w:rPr>
          <w:rFonts w:hint="eastAsia" w:cs="Times New Roman"/>
        </w:rPr>
        <w:t>2.72h</w:t>
      </w:r>
      <w:r>
        <w:rPr>
          <w:rFonts w:cs="Times New Roman"/>
        </w:rPr>
        <w:t>m</w:t>
      </w:r>
      <w:r>
        <w:rPr>
          <w:rFonts w:cs="Times New Roman"/>
          <w:vertAlign w:val="superscript"/>
        </w:rPr>
        <w:t>2</w:t>
      </w:r>
      <w:r>
        <w:rPr>
          <w:rFonts w:cs="Times New Roman"/>
        </w:rPr>
        <w:t>，永久占地</w:t>
      </w:r>
      <w:r>
        <w:rPr>
          <w:rFonts w:hint="eastAsia" w:cs="Times New Roman"/>
        </w:rPr>
        <w:t>约</w:t>
      </w:r>
      <w:r>
        <w:rPr>
          <w:rFonts w:cs="Times New Roman"/>
        </w:rPr>
        <w:t>22</w:t>
      </w:r>
      <w:r>
        <w:rPr>
          <w:rFonts w:hint="eastAsia" w:cs="Times New Roman"/>
        </w:rPr>
        <w:t>m</w:t>
      </w:r>
      <w:r>
        <w:rPr>
          <w:rFonts w:cs="Times New Roman"/>
          <w:vertAlign w:val="superscript"/>
        </w:rPr>
        <w:t>2</w:t>
      </w:r>
      <w:r>
        <w:rPr>
          <w:rFonts w:hint="eastAsia" w:hAnsi="Times New Roman" w:cs="Times New Roman"/>
        </w:rPr>
        <w:t>，其中占用永久基本农田共计约</w:t>
      </w:r>
      <w:r>
        <w:rPr>
          <w:rFonts w:hAnsi="Times New Roman" w:cs="Times New Roman"/>
        </w:rPr>
        <w:t>0.62hm</w:t>
      </w:r>
      <w:r>
        <w:rPr>
          <w:rFonts w:hAnsi="Times New Roman" w:cs="Times New Roman"/>
          <w:vertAlign w:val="superscript"/>
        </w:rPr>
        <w:t>2</w:t>
      </w:r>
      <w:r>
        <w:rPr>
          <w:rFonts w:hint="eastAsia" w:hAnsi="Times New Roman" w:cs="Times New Roman"/>
        </w:rPr>
        <w:t>（绝大部分为临时用，永久占用仅6</w:t>
      </w:r>
      <w:r>
        <w:rPr>
          <w:rFonts w:hint="eastAsia" w:cs="Times New Roman"/>
        </w:rPr>
        <w:t xml:space="preserve"> m</w:t>
      </w:r>
      <w:r>
        <w:rPr>
          <w:rFonts w:cs="Times New Roman"/>
          <w:vertAlign w:val="superscript"/>
        </w:rPr>
        <w:t>2</w:t>
      </w:r>
      <w:r>
        <w:rPr>
          <w:rFonts w:hint="eastAsia" w:hAnsi="Times New Roman" w:cs="Times New Roman"/>
        </w:rPr>
        <w:t>）。</w:t>
      </w:r>
      <w:r>
        <w:rPr>
          <w:rFonts w:hAnsi="Times New Roman" w:cs="Times New Roman"/>
        </w:rPr>
        <w:t>按《自然资源部 农业农村关于加强和改进永久基本农田保护工作的通知》（自然资规</w:t>
      </w:r>
      <w:r>
        <w:rPr>
          <w:rFonts w:hint="eastAsia" w:ascii="宋体" w:hAnsi="宋体" w:cs="Times New Roman"/>
        </w:rPr>
        <w:t>〔</w:t>
      </w:r>
      <w:r>
        <w:rPr>
          <w:rFonts w:hAnsi="Times New Roman" w:cs="Times New Roman"/>
        </w:rPr>
        <w:t>2019</w:t>
      </w:r>
      <w:r>
        <w:rPr>
          <w:rFonts w:hint="eastAsia" w:ascii="宋体" w:hAnsi="宋体" w:cs="Times New Roman"/>
        </w:rPr>
        <w:t>〕</w:t>
      </w:r>
      <w:r>
        <w:rPr>
          <w:rFonts w:hAnsi="Times New Roman" w:cs="Times New Roman"/>
        </w:rPr>
        <w:t>1号）、《土地管理法》等按照永久用地相关要求办理用地手续。</w:t>
      </w:r>
    </w:p>
    <w:p>
      <w:pPr>
        <w:pStyle w:val="248"/>
        <w:ind w:firstLine="480"/>
        <w:rPr>
          <w:rFonts w:hAnsi="Times New Roman" w:cs="Times New Roman"/>
        </w:rPr>
      </w:pPr>
      <w:r>
        <w:rPr>
          <w:rFonts w:hAnsi="Times New Roman" w:cs="Times New Roman"/>
        </w:rPr>
        <w:t>本项目200m生态评价范围内共有</w:t>
      </w:r>
      <w:r>
        <w:rPr>
          <w:rFonts w:hint="eastAsia" w:hAnsi="Times New Roman" w:cs="Times New Roman"/>
        </w:rPr>
        <w:t>村庄</w:t>
      </w:r>
      <w:r>
        <w:rPr>
          <w:rFonts w:hAnsi="Times New Roman" w:cs="Times New Roman"/>
        </w:rPr>
        <w:t>、</w:t>
      </w:r>
      <w:r>
        <w:rPr>
          <w:rFonts w:hint="eastAsia" w:hAnsi="Times New Roman" w:cs="Times New Roman"/>
        </w:rPr>
        <w:t>灌木林地</w:t>
      </w:r>
      <w:r>
        <w:rPr>
          <w:rFonts w:hAnsi="Times New Roman" w:cs="Times New Roman"/>
        </w:rPr>
        <w:t>、</w:t>
      </w:r>
      <w:r>
        <w:rPr>
          <w:rFonts w:hint="eastAsia" w:hAnsi="Times New Roman" w:cs="Times New Roman"/>
        </w:rPr>
        <w:t>旱地</w:t>
      </w:r>
      <w:r>
        <w:rPr>
          <w:rFonts w:hAnsi="Times New Roman" w:cs="Times New Roman"/>
        </w:rPr>
        <w:t>、</w:t>
      </w:r>
      <w:r>
        <w:rPr>
          <w:rFonts w:hint="eastAsia" w:hAnsi="Times New Roman" w:cs="Times New Roman"/>
        </w:rPr>
        <w:t>河流水面</w:t>
      </w:r>
      <w:r>
        <w:rPr>
          <w:rFonts w:hAnsi="Times New Roman" w:cs="Times New Roman"/>
        </w:rPr>
        <w:t>、</w:t>
      </w:r>
      <w:r>
        <w:rPr>
          <w:rFonts w:hint="eastAsia" w:hAnsi="Times New Roman" w:cs="Times New Roman"/>
        </w:rPr>
        <w:t>坑塘水面</w:t>
      </w:r>
      <w:r>
        <w:rPr>
          <w:rFonts w:hAnsi="Times New Roman" w:cs="Times New Roman"/>
        </w:rPr>
        <w:t>、</w:t>
      </w:r>
      <w:r>
        <w:rPr>
          <w:rFonts w:hint="eastAsia" w:hAnsi="Times New Roman" w:cs="Times New Roman"/>
        </w:rPr>
        <w:t>其他林地、设施农用地、有林地</w:t>
      </w:r>
      <w:r>
        <w:rPr>
          <w:rFonts w:hAnsi="Times New Roman" w:cs="Times New Roman"/>
        </w:rPr>
        <w:t>等13类土地利用类型，本次评价范围内土地利用现状具体见下表，土地利用现状图见附图1</w:t>
      </w:r>
      <w:r>
        <w:rPr>
          <w:rFonts w:hint="eastAsia" w:hAnsi="Times New Roman" w:cs="Times New Roman"/>
        </w:rPr>
        <w:t>0</w:t>
      </w:r>
      <w:r>
        <w:rPr>
          <w:rFonts w:hAnsi="Times New Roman" w:cs="Times New Roman"/>
        </w:rPr>
        <w:t>。</w:t>
      </w:r>
    </w:p>
    <w:p>
      <w:pPr>
        <w:pStyle w:val="73"/>
        <w:keepNext/>
        <w:ind w:firstLine="480"/>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6.6</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2</w:t>
      </w:r>
      <w:r>
        <w:rPr>
          <w:rFonts w:cs="Times New Roman"/>
        </w:rPr>
        <w:fldChar w:fldCharType="end"/>
      </w:r>
      <w:r>
        <w:rPr>
          <w:rFonts w:cs="Times New Roman"/>
        </w:rPr>
        <w:t xml:space="preserve">  本项目生态评价范围内土地利用现状表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92"/>
        <w:gridCol w:w="2048"/>
        <w:gridCol w:w="2841"/>
        <w:gridCol w:w="284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pStyle w:val="248"/>
              <w:spacing w:line="240" w:lineRule="auto"/>
              <w:ind w:firstLine="0" w:firstLineChars="0"/>
              <w:jc w:val="center"/>
              <w:rPr>
                <w:rFonts w:hAnsi="Times New Roman" w:cs="Times New Roman"/>
                <w:b/>
                <w:bCs/>
                <w:sz w:val="21"/>
                <w:szCs w:val="21"/>
              </w:rPr>
            </w:pPr>
            <w:r>
              <w:rPr>
                <w:rFonts w:hint="eastAsia" w:hAnsi="Times New Roman" w:cs="Times New Roman"/>
                <w:b/>
                <w:bCs/>
                <w:sz w:val="21"/>
                <w:szCs w:val="21"/>
              </w:rPr>
              <w:t>序号</w:t>
            </w:r>
          </w:p>
        </w:tc>
        <w:tc>
          <w:tcPr>
            <w:tcW w:w="2048" w:type="dxa"/>
            <w:tcBorders>
              <w:left w:val="single" w:color="auto" w:sz="4" w:space="0"/>
            </w:tcBorders>
            <w:vAlign w:val="center"/>
          </w:tcPr>
          <w:p>
            <w:pPr>
              <w:pStyle w:val="248"/>
              <w:spacing w:line="240" w:lineRule="auto"/>
              <w:ind w:firstLine="422"/>
              <w:jc w:val="center"/>
              <w:rPr>
                <w:rFonts w:hAnsi="Times New Roman" w:cs="Times New Roman"/>
                <w:b/>
                <w:bCs/>
                <w:sz w:val="21"/>
                <w:szCs w:val="21"/>
              </w:rPr>
            </w:pPr>
            <w:r>
              <w:rPr>
                <w:rFonts w:hAnsi="Times New Roman" w:cs="Times New Roman"/>
                <w:b/>
                <w:bCs/>
                <w:sz w:val="21"/>
                <w:szCs w:val="21"/>
              </w:rPr>
              <w:t>类型</w:t>
            </w:r>
          </w:p>
        </w:tc>
        <w:tc>
          <w:tcPr>
            <w:tcW w:w="2841" w:type="dxa"/>
            <w:vAlign w:val="center"/>
          </w:tcPr>
          <w:p>
            <w:pPr>
              <w:pStyle w:val="248"/>
              <w:spacing w:line="240" w:lineRule="auto"/>
              <w:ind w:firstLine="0" w:firstLineChars="0"/>
              <w:jc w:val="center"/>
              <w:rPr>
                <w:rFonts w:hAnsi="Times New Roman" w:cs="Times New Roman"/>
                <w:b/>
                <w:bCs/>
                <w:sz w:val="21"/>
                <w:szCs w:val="21"/>
              </w:rPr>
            </w:pPr>
            <w:r>
              <w:rPr>
                <w:rFonts w:hAnsi="Times New Roman" w:cs="Times New Roman"/>
                <w:b/>
                <w:bCs/>
                <w:sz w:val="21"/>
                <w:szCs w:val="21"/>
              </w:rPr>
              <w:t>面积（hm</w:t>
            </w:r>
            <w:r>
              <w:rPr>
                <w:rFonts w:hAnsi="Times New Roman" w:cs="Times New Roman"/>
                <w:b/>
                <w:bCs/>
                <w:sz w:val="21"/>
                <w:szCs w:val="21"/>
                <w:vertAlign w:val="superscript"/>
              </w:rPr>
              <w:t>2</w:t>
            </w:r>
            <w:r>
              <w:rPr>
                <w:rFonts w:hAnsi="Times New Roman" w:cs="Times New Roman"/>
                <w:b/>
                <w:bCs/>
                <w:sz w:val="21"/>
                <w:szCs w:val="21"/>
              </w:rPr>
              <w:t>）</w:t>
            </w:r>
          </w:p>
        </w:tc>
        <w:tc>
          <w:tcPr>
            <w:tcW w:w="2841" w:type="dxa"/>
            <w:vAlign w:val="center"/>
          </w:tcPr>
          <w:p>
            <w:pPr>
              <w:pStyle w:val="248"/>
              <w:spacing w:line="240" w:lineRule="auto"/>
              <w:ind w:firstLine="0" w:firstLineChars="0"/>
              <w:jc w:val="center"/>
              <w:rPr>
                <w:rFonts w:hAnsi="Times New Roman" w:cs="Times New Roman"/>
                <w:b/>
                <w:bCs/>
                <w:sz w:val="21"/>
                <w:szCs w:val="21"/>
              </w:rPr>
            </w:pPr>
            <w:r>
              <w:rPr>
                <w:rFonts w:hAnsi="Times New Roman" w:cs="Times New Roman"/>
                <w:b/>
                <w:bCs/>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rFonts w:hint="eastAsia"/>
                <w:sz w:val="21"/>
              </w:rPr>
              <w:t>1</w:t>
            </w:r>
          </w:p>
        </w:tc>
        <w:tc>
          <w:tcPr>
            <w:tcW w:w="2048" w:type="dxa"/>
            <w:tcBorders>
              <w:left w:val="single" w:color="auto" w:sz="4" w:space="0"/>
            </w:tcBorders>
            <w:vAlign w:val="center"/>
          </w:tcPr>
          <w:p>
            <w:pPr>
              <w:spacing w:line="240" w:lineRule="auto"/>
              <w:ind w:firstLine="420"/>
              <w:jc w:val="center"/>
              <w:rPr>
                <w:sz w:val="21"/>
              </w:rPr>
            </w:pPr>
            <w:r>
              <w:rPr>
                <w:sz w:val="21"/>
              </w:rPr>
              <w:t>村庄</w:t>
            </w:r>
          </w:p>
        </w:tc>
        <w:tc>
          <w:tcPr>
            <w:tcW w:w="2841" w:type="dxa"/>
            <w:vAlign w:val="center"/>
          </w:tcPr>
          <w:p>
            <w:pPr>
              <w:spacing w:line="240" w:lineRule="auto"/>
              <w:ind w:firstLine="0" w:firstLineChars="0"/>
              <w:jc w:val="center"/>
              <w:rPr>
                <w:sz w:val="21"/>
              </w:rPr>
            </w:pPr>
            <w:r>
              <w:rPr>
                <w:sz w:val="21"/>
              </w:rPr>
              <w:t>2.07</w:t>
            </w:r>
          </w:p>
        </w:tc>
        <w:tc>
          <w:tcPr>
            <w:tcW w:w="2841" w:type="dxa"/>
            <w:vAlign w:val="bottom"/>
          </w:tcPr>
          <w:p>
            <w:pPr>
              <w:spacing w:line="240" w:lineRule="auto"/>
              <w:ind w:firstLine="0" w:firstLineChars="0"/>
              <w:jc w:val="center"/>
              <w:rPr>
                <w:sz w:val="21"/>
              </w:rPr>
            </w:pPr>
            <w:r>
              <w:rPr>
                <w:rFonts w:hint="eastAsia"/>
                <w:sz w:val="21"/>
              </w:rPr>
              <w:t xml:space="preserve">2.25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rFonts w:hint="eastAsia"/>
                <w:sz w:val="21"/>
              </w:rPr>
              <w:t>2</w:t>
            </w:r>
          </w:p>
        </w:tc>
        <w:tc>
          <w:tcPr>
            <w:tcW w:w="2048" w:type="dxa"/>
            <w:tcBorders>
              <w:left w:val="single" w:color="auto" w:sz="4" w:space="0"/>
            </w:tcBorders>
            <w:vAlign w:val="center"/>
          </w:tcPr>
          <w:p>
            <w:pPr>
              <w:spacing w:line="240" w:lineRule="auto"/>
              <w:ind w:firstLine="420"/>
              <w:jc w:val="center"/>
              <w:rPr>
                <w:sz w:val="21"/>
              </w:rPr>
            </w:pPr>
            <w:r>
              <w:rPr>
                <w:sz w:val="21"/>
              </w:rPr>
              <w:t>灌木林地</w:t>
            </w:r>
          </w:p>
        </w:tc>
        <w:tc>
          <w:tcPr>
            <w:tcW w:w="2841" w:type="dxa"/>
            <w:vAlign w:val="center"/>
          </w:tcPr>
          <w:p>
            <w:pPr>
              <w:spacing w:line="240" w:lineRule="auto"/>
              <w:ind w:firstLine="0" w:firstLineChars="0"/>
              <w:jc w:val="center"/>
              <w:rPr>
                <w:sz w:val="21"/>
              </w:rPr>
            </w:pPr>
            <w:r>
              <w:rPr>
                <w:sz w:val="21"/>
              </w:rPr>
              <w:t>6.44</w:t>
            </w:r>
          </w:p>
        </w:tc>
        <w:tc>
          <w:tcPr>
            <w:tcW w:w="2841" w:type="dxa"/>
            <w:vAlign w:val="bottom"/>
          </w:tcPr>
          <w:p>
            <w:pPr>
              <w:spacing w:line="240" w:lineRule="auto"/>
              <w:ind w:firstLine="0" w:firstLineChars="0"/>
              <w:jc w:val="center"/>
              <w:rPr>
                <w:sz w:val="21"/>
              </w:rPr>
            </w:pPr>
            <w:r>
              <w:rPr>
                <w:rFonts w:hint="eastAsia"/>
                <w:sz w:val="21"/>
              </w:rPr>
              <w:t xml:space="preserve">6.99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rFonts w:hint="eastAsia"/>
                <w:sz w:val="21"/>
              </w:rPr>
              <w:t>3</w:t>
            </w:r>
          </w:p>
        </w:tc>
        <w:tc>
          <w:tcPr>
            <w:tcW w:w="2048" w:type="dxa"/>
            <w:tcBorders>
              <w:left w:val="single" w:color="auto" w:sz="4" w:space="0"/>
            </w:tcBorders>
            <w:vAlign w:val="center"/>
          </w:tcPr>
          <w:p>
            <w:pPr>
              <w:spacing w:line="240" w:lineRule="auto"/>
              <w:ind w:firstLine="420"/>
              <w:jc w:val="center"/>
              <w:rPr>
                <w:sz w:val="21"/>
              </w:rPr>
            </w:pPr>
            <w:r>
              <w:rPr>
                <w:sz w:val="21"/>
              </w:rPr>
              <w:t>旱地</w:t>
            </w:r>
          </w:p>
        </w:tc>
        <w:tc>
          <w:tcPr>
            <w:tcW w:w="2841" w:type="dxa"/>
            <w:vAlign w:val="center"/>
          </w:tcPr>
          <w:p>
            <w:pPr>
              <w:spacing w:line="240" w:lineRule="auto"/>
              <w:ind w:firstLine="0" w:firstLineChars="0"/>
              <w:jc w:val="center"/>
              <w:rPr>
                <w:sz w:val="21"/>
              </w:rPr>
            </w:pPr>
            <w:r>
              <w:rPr>
                <w:rFonts w:hint="eastAsia"/>
                <w:sz w:val="21"/>
              </w:rPr>
              <w:t>7.55</w:t>
            </w:r>
          </w:p>
        </w:tc>
        <w:tc>
          <w:tcPr>
            <w:tcW w:w="2841" w:type="dxa"/>
            <w:vAlign w:val="bottom"/>
          </w:tcPr>
          <w:p>
            <w:pPr>
              <w:spacing w:line="240" w:lineRule="auto"/>
              <w:ind w:firstLine="0" w:firstLineChars="0"/>
              <w:jc w:val="center"/>
              <w:rPr>
                <w:sz w:val="21"/>
              </w:rPr>
            </w:pPr>
            <w:r>
              <w:rPr>
                <w:rFonts w:hint="eastAsia"/>
                <w:sz w:val="21"/>
              </w:rPr>
              <w:t xml:space="preserve">8.20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sz w:val="21"/>
              </w:rPr>
              <w:t>4</w:t>
            </w:r>
          </w:p>
        </w:tc>
        <w:tc>
          <w:tcPr>
            <w:tcW w:w="2048" w:type="dxa"/>
            <w:tcBorders>
              <w:left w:val="single" w:color="auto" w:sz="4" w:space="0"/>
            </w:tcBorders>
            <w:vAlign w:val="center"/>
          </w:tcPr>
          <w:p>
            <w:pPr>
              <w:spacing w:line="240" w:lineRule="auto"/>
              <w:ind w:firstLine="420"/>
              <w:jc w:val="center"/>
              <w:rPr>
                <w:sz w:val="21"/>
              </w:rPr>
            </w:pPr>
            <w:r>
              <w:rPr>
                <w:sz w:val="21"/>
              </w:rPr>
              <w:t>河流水面</w:t>
            </w:r>
          </w:p>
        </w:tc>
        <w:tc>
          <w:tcPr>
            <w:tcW w:w="2841" w:type="dxa"/>
            <w:vAlign w:val="center"/>
          </w:tcPr>
          <w:p>
            <w:pPr>
              <w:spacing w:line="240" w:lineRule="auto"/>
              <w:ind w:firstLine="0" w:firstLineChars="0"/>
              <w:jc w:val="center"/>
              <w:rPr>
                <w:sz w:val="21"/>
              </w:rPr>
            </w:pPr>
            <w:r>
              <w:rPr>
                <w:sz w:val="21"/>
              </w:rPr>
              <w:t>0.56</w:t>
            </w:r>
          </w:p>
        </w:tc>
        <w:tc>
          <w:tcPr>
            <w:tcW w:w="2841" w:type="dxa"/>
            <w:vAlign w:val="bottom"/>
          </w:tcPr>
          <w:p>
            <w:pPr>
              <w:spacing w:line="240" w:lineRule="auto"/>
              <w:ind w:firstLine="0" w:firstLineChars="0"/>
              <w:jc w:val="center"/>
              <w:rPr>
                <w:sz w:val="21"/>
              </w:rPr>
            </w:pPr>
            <w:r>
              <w:rPr>
                <w:rFonts w:hint="eastAsia"/>
                <w:sz w:val="21"/>
              </w:rPr>
              <w:t xml:space="preserve">0.61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sz w:val="21"/>
              </w:rPr>
              <w:t>5</w:t>
            </w:r>
          </w:p>
        </w:tc>
        <w:tc>
          <w:tcPr>
            <w:tcW w:w="2048" w:type="dxa"/>
            <w:tcBorders>
              <w:left w:val="single" w:color="auto" w:sz="4" w:space="0"/>
            </w:tcBorders>
            <w:vAlign w:val="center"/>
          </w:tcPr>
          <w:p>
            <w:pPr>
              <w:spacing w:line="240" w:lineRule="auto"/>
              <w:ind w:firstLine="420"/>
              <w:jc w:val="center"/>
              <w:rPr>
                <w:sz w:val="21"/>
              </w:rPr>
            </w:pPr>
            <w:r>
              <w:rPr>
                <w:sz w:val="21"/>
              </w:rPr>
              <w:t>坑塘水面</w:t>
            </w:r>
          </w:p>
        </w:tc>
        <w:tc>
          <w:tcPr>
            <w:tcW w:w="2841" w:type="dxa"/>
            <w:vAlign w:val="center"/>
          </w:tcPr>
          <w:p>
            <w:pPr>
              <w:spacing w:line="240" w:lineRule="auto"/>
              <w:ind w:firstLine="0" w:firstLineChars="0"/>
              <w:jc w:val="center"/>
              <w:rPr>
                <w:sz w:val="21"/>
              </w:rPr>
            </w:pPr>
            <w:r>
              <w:rPr>
                <w:sz w:val="21"/>
              </w:rPr>
              <w:t>0.43</w:t>
            </w:r>
          </w:p>
        </w:tc>
        <w:tc>
          <w:tcPr>
            <w:tcW w:w="2841" w:type="dxa"/>
            <w:vAlign w:val="bottom"/>
          </w:tcPr>
          <w:p>
            <w:pPr>
              <w:spacing w:line="240" w:lineRule="auto"/>
              <w:ind w:firstLine="0" w:firstLineChars="0"/>
              <w:jc w:val="center"/>
              <w:rPr>
                <w:sz w:val="21"/>
              </w:rPr>
            </w:pPr>
            <w:r>
              <w:rPr>
                <w:rFonts w:hint="eastAsia"/>
                <w:sz w:val="21"/>
              </w:rPr>
              <w:t xml:space="preserve">0.46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rFonts w:hint="eastAsia"/>
                <w:sz w:val="21"/>
              </w:rPr>
              <w:t>6</w:t>
            </w:r>
          </w:p>
        </w:tc>
        <w:tc>
          <w:tcPr>
            <w:tcW w:w="2048" w:type="dxa"/>
            <w:tcBorders>
              <w:left w:val="single" w:color="auto" w:sz="4" w:space="0"/>
            </w:tcBorders>
            <w:vAlign w:val="center"/>
          </w:tcPr>
          <w:p>
            <w:pPr>
              <w:spacing w:line="240" w:lineRule="auto"/>
              <w:ind w:firstLine="420"/>
              <w:jc w:val="center"/>
              <w:rPr>
                <w:sz w:val="21"/>
              </w:rPr>
            </w:pPr>
            <w:r>
              <w:rPr>
                <w:rFonts w:hint="eastAsia"/>
                <w:sz w:val="21"/>
              </w:rPr>
              <w:t>裸地</w:t>
            </w:r>
          </w:p>
        </w:tc>
        <w:tc>
          <w:tcPr>
            <w:tcW w:w="2841" w:type="dxa"/>
            <w:vAlign w:val="center"/>
          </w:tcPr>
          <w:p>
            <w:pPr>
              <w:spacing w:line="240" w:lineRule="auto"/>
              <w:ind w:firstLine="0" w:firstLineChars="0"/>
              <w:jc w:val="center"/>
              <w:rPr>
                <w:sz w:val="21"/>
              </w:rPr>
            </w:pPr>
            <w:r>
              <w:rPr>
                <w:rFonts w:hint="eastAsia"/>
                <w:sz w:val="21"/>
              </w:rPr>
              <w:t>0.44</w:t>
            </w:r>
          </w:p>
        </w:tc>
        <w:tc>
          <w:tcPr>
            <w:tcW w:w="2841" w:type="dxa"/>
            <w:vAlign w:val="bottom"/>
          </w:tcPr>
          <w:p>
            <w:pPr>
              <w:spacing w:line="240" w:lineRule="auto"/>
              <w:ind w:firstLine="0" w:firstLineChars="0"/>
              <w:jc w:val="center"/>
              <w:rPr>
                <w:sz w:val="21"/>
              </w:rPr>
            </w:pPr>
            <w:r>
              <w:rPr>
                <w:rFonts w:hint="eastAsia"/>
                <w:sz w:val="21"/>
              </w:rPr>
              <w:t xml:space="preserve">0.48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rFonts w:hint="eastAsia"/>
                <w:sz w:val="21"/>
              </w:rPr>
              <w:t>7</w:t>
            </w:r>
          </w:p>
        </w:tc>
        <w:tc>
          <w:tcPr>
            <w:tcW w:w="2048" w:type="dxa"/>
            <w:tcBorders>
              <w:left w:val="single" w:color="auto" w:sz="4" w:space="0"/>
            </w:tcBorders>
            <w:vAlign w:val="center"/>
          </w:tcPr>
          <w:p>
            <w:pPr>
              <w:spacing w:line="240" w:lineRule="auto"/>
              <w:ind w:firstLine="420"/>
              <w:jc w:val="center"/>
              <w:rPr>
                <w:sz w:val="21"/>
              </w:rPr>
            </w:pPr>
            <w:r>
              <w:rPr>
                <w:rFonts w:hint="eastAsia"/>
                <w:sz w:val="21"/>
              </w:rPr>
              <w:t>内陆</w:t>
            </w:r>
            <w:r>
              <w:rPr>
                <w:sz w:val="21"/>
              </w:rPr>
              <w:t>滩涂</w:t>
            </w:r>
          </w:p>
        </w:tc>
        <w:tc>
          <w:tcPr>
            <w:tcW w:w="2841" w:type="dxa"/>
            <w:vAlign w:val="center"/>
          </w:tcPr>
          <w:p>
            <w:pPr>
              <w:spacing w:line="240" w:lineRule="auto"/>
              <w:ind w:firstLine="0" w:firstLineChars="0"/>
              <w:jc w:val="center"/>
              <w:rPr>
                <w:sz w:val="21"/>
              </w:rPr>
            </w:pPr>
            <w:r>
              <w:rPr>
                <w:rFonts w:hint="eastAsia"/>
                <w:sz w:val="21"/>
              </w:rPr>
              <w:t>0.08</w:t>
            </w:r>
          </w:p>
        </w:tc>
        <w:tc>
          <w:tcPr>
            <w:tcW w:w="2841" w:type="dxa"/>
            <w:vAlign w:val="bottom"/>
          </w:tcPr>
          <w:p>
            <w:pPr>
              <w:spacing w:line="240" w:lineRule="auto"/>
              <w:ind w:firstLine="0" w:firstLineChars="0"/>
              <w:jc w:val="center"/>
              <w:rPr>
                <w:sz w:val="21"/>
              </w:rPr>
            </w:pPr>
            <w:r>
              <w:rPr>
                <w:rFonts w:hint="eastAsia"/>
                <w:sz w:val="21"/>
              </w:rPr>
              <w:t xml:space="preserve">0.09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rFonts w:hint="eastAsia"/>
                <w:sz w:val="21"/>
              </w:rPr>
              <w:t>8</w:t>
            </w:r>
          </w:p>
        </w:tc>
        <w:tc>
          <w:tcPr>
            <w:tcW w:w="2048" w:type="dxa"/>
            <w:tcBorders>
              <w:left w:val="single" w:color="auto" w:sz="4" w:space="0"/>
            </w:tcBorders>
            <w:vAlign w:val="center"/>
          </w:tcPr>
          <w:p>
            <w:pPr>
              <w:spacing w:line="240" w:lineRule="auto"/>
              <w:ind w:firstLine="420"/>
              <w:jc w:val="center"/>
              <w:rPr>
                <w:sz w:val="21"/>
              </w:rPr>
            </w:pPr>
            <w:r>
              <w:rPr>
                <w:rFonts w:hint="eastAsia"/>
                <w:sz w:val="21"/>
              </w:rPr>
              <w:t>其他草地</w:t>
            </w:r>
          </w:p>
        </w:tc>
        <w:tc>
          <w:tcPr>
            <w:tcW w:w="2841" w:type="dxa"/>
            <w:vAlign w:val="center"/>
          </w:tcPr>
          <w:p>
            <w:pPr>
              <w:spacing w:line="240" w:lineRule="auto"/>
              <w:ind w:firstLine="0" w:firstLineChars="0"/>
              <w:jc w:val="center"/>
              <w:rPr>
                <w:sz w:val="21"/>
              </w:rPr>
            </w:pPr>
            <w:r>
              <w:rPr>
                <w:rFonts w:hint="eastAsia"/>
                <w:sz w:val="21"/>
              </w:rPr>
              <w:t>0.46</w:t>
            </w:r>
          </w:p>
        </w:tc>
        <w:tc>
          <w:tcPr>
            <w:tcW w:w="2841" w:type="dxa"/>
            <w:vAlign w:val="bottom"/>
          </w:tcPr>
          <w:p>
            <w:pPr>
              <w:spacing w:line="240" w:lineRule="auto"/>
              <w:ind w:firstLine="0" w:firstLineChars="0"/>
              <w:jc w:val="center"/>
              <w:rPr>
                <w:sz w:val="21"/>
              </w:rPr>
            </w:pPr>
            <w:r>
              <w:rPr>
                <w:rFonts w:hint="eastAsia"/>
                <w:sz w:val="21"/>
              </w:rPr>
              <w:t xml:space="preserve">0.49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sz w:val="21"/>
              </w:rPr>
              <w:t>9</w:t>
            </w:r>
          </w:p>
        </w:tc>
        <w:tc>
          <w:tcPr>
            <w:tcW w:w="2048" w:type="dxa"/>
            <w:tcBorders>
              <w:left w:val="single" w:color="auto" w:sz="4" w:space="0"/>
            </w:tcBorders>
            <w:vAlign w:val="center"/>
          </w:tcPr>
          <w:p>
            <w:pPr>
              <w:spacing w:line="240" w:lineRule="auto"/>
              <w:ind w:firstLine="420"/>
              <w:jc w:val="center"/>
              <w:rPr>
                <w:sz w:val="21"/>
              </w:rPr>
            </w:pPr>
            <w:r>
              <w:rPr>
                <w:sz w:val="21"/>
              </w:rPr>
              <w:t>其他林地</w:t>
            </w:r>
          </w:p>
        </w:tc>
        <w:tc>
          <w:tcPr>
            <w:tcW w:w="2841" w:type="dxa"/>
            <w:vAlign w:val="center"/>
          </w:tcPr>
          <w:p>
            <w:pPr>
              <w:spacing w:line="240" w:lineRule="auto"/>
              <w:ind w:firstLine="0" w:firstLineChars="0"/>
              <w:jc w:val="center"/>
              <w:rPr>
                <w:sz w:val="21"/>
              </w:rPr>
            </w:pPr>
            <w:r>
              <w:rPr>
                <w:sz w:val="21"/>
              </w:rPr>
              <w:t>1.18</w:t>
            </w:r>
          </w:p>
        </w:tc>
        <w:tc>
          <w:tcPr>
            <w:tcW w:w="2841" w:type="dxa"/>
            <w:vAlign w:val="bottom"/>
          </w:tcPr>
          <w:p>
            <w:pPr>
              <w:spacing w:line="240" w:lineRule="auto"/>
              <w:ind w:firstLine="0" w:firstLineChars="0"/>
              <w:jc w:val="center"/>
              <w:rPr>
                <w:sz w:val="21"/>
              </w:rPr>
            </w:pPr>
            <w:r>
              <w:rPr>
                <w:rFonts w:hint="eastAsia"/>
                <w:sz w:val="21"/>
              </w:rPr>
              <w:t xml:space="preserve">1.28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sz w:val="21"/>
              </w:rPr>
              <w:t>10</w:t>
            </w:r>
          </w:p>
        </w:tc>
        <w:tc>
          <w:tcPr>
            <w:tcW w:w="2048" w:type="dxa"/>
            <w:tcBorders>
              <w:left w:val="single" w:color="auto" w:sz="4" w:space="0"/>
            </w:tcBorders>
            <w:vAlign w:val="center"/>
          </w:tcPr>
          <w:p>
            <w:pPr>
              <w:spacing w:line="240" w:lineRule="auto"/>
              <w:ind w:firstLine="420"/>
              <w:jc w:val="center"/>
              <w:rPr>
                <w:sz w:val="21"/>
              </w:rPr>
            </w:pPr>
            <w:r>
              <w:rPr>
                <w:sz w:val="21"/>
              </w:rPr>
              <w:t>设施农用地</w:t>
            </w:r>
          </w:p>
        </w:tc>
        <w:tc>
          <w:tcPr>
            <w:tcW w:w="2841" w:type="dxa"/>
            <w:vAlign w:val="center"/>
          </w:tcPr>
          <w:p>
            <w:pPr>
              <w:spacing w:line="240" w:lineRule="auto"/>
              <w:ind w:firstLine="0" w:firstLineChars="0"/>
              <w:jc w:val="center"/>
              <w:rPr>
                <w:sz w:val="21"/>
              </w:rPr>
            </w:pPr>
            <w:r>
              <w:rPr>
                <w:sz w:val="21"/>
              </w:rPr>
              <w:t>0.14</w:t>
            </w:r>
          </w:p>
        </w:tc>
        <w:tc>
          <w:tcPr>
            <w:tcW w:w="2841" w:type="dxa"/>
            <w:vAlign w:val="bottom"/>
          </w:tcPr>
          <w:p>
            <w:pPr>
              <w:spacing w:line="240" w:lineRule="auto"/>
              <w:ind w:firstLine="0" w:firstLineChars="0"/>
              <w:jc w:val="center"/>
              <w:rPr>
                <w:sz w:val="21"/>
              </w:rPr>
            </w:pPr>
            <w:r>
              <w:rPr>
                <w:rFonts w:hint="eastAsia"/>
                <w:sz w:val="21"/>
              </w:rPr>
              <w:t xml:space="preserve">0.15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sz w:val="21"/>
              </w:rPr>
              <w:t>11</w:t>
            </w:r>
          </w:p>
        </w:tc>
        <w:tc>
          <w:tcPr>
            <w:tcW w:w="2048" w:type="dxa"/>
            <w:tcBorders>
              <w:left w:val="single" w:color="auto" w:sz="4" w:space="0"/>
            </w:tcBorders>
            <w:vAlign w:val="center"/>
          </w:tcPr>
          <w:p>
            <w:pPr>
              <w:spacing w:line="240" w:lineRule="auto"/>
              <w:ind w:firstLine="420"/>
              <w:jc w:val="center"/>
              <w:rPr>
                <w:sz w:val="21"/>
              </w:rPr>
            </w:pPr>
            <w:r>
              <w:rPr>
                <w:sz w:val="21"/>
              </w:rPr>
              <w:t>水田</w:t>
            </w:r>
          </w:p>
        </w:tc>
        <w:tc>
          <w:tcPr>
            <w:tcW w:w="2841" w:type="dxa"/>
            <w:vAlign w:val="center"/>
          </w:tcPr>
          <w:p>
            <w:pPr>
              <w:spacing w:line="240" w:lineRule="auto"/>
              <w:ind w:firstLine="0" w:firstLineChars="0"/>
              <w:jc w:val="center"/>
              <w:rPr>
                <w:sz w:val="21"/>
              </w:rPr>
            </w:pPr>
            <w:r>
              <w:rPr>
                <w:sz w:val="21"/>
              </w:rPr>
              <w:t>14.12</w:t>
            </w:r>
          </w:p>
        </w:tc>
        <w:tc>
          <w:tcPr>
            <w:tcW w:w="2841" w:type="dxa"/>
            <w:vAlign w:val="bottom"/>
          </w:tcPr>
          <w:p>
            <w:pPr>
              <w:spacing w:line="240" w:lineRule="auto"/>
              <w:ind w:firstLine="0" w:firstLineChars="0"/>
              <w:jc w:val="center"/>
              <w:rPr>
                <w:sz w:val="21"/>
              </w:rPr>
            </w:pPr>
            <w:r>
              <w:rPr>
                <w:rFonts w:hint="eastAsia"/>
                <w:sz w:val="21"/>
              </w:rPr>
              <w:t xml:space="preserve">15.34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sz w:val="21"/>
              </w:rPr>
              <w:t>12</w:t>
            </w:r>
          </w:p>
        </w:tc>
        <w:tc>
          <w:tcPr>
            <w:tcW w:w="2048" w:type="dxa"/>
            <w:tcBorders>
              <w:left w:val="single" w:color="auto" w:sz="4" w:space="0"/>
            </w:tcBorders>
            <w:vAlign w:val="center"/>
          </w:tcPr>
          <w:p>
            <w:pPr>
              <w:spacing w:line="240" w:lineRule="auto"/>
              <w:ind w:firstLine="420"/>
              <w:jc w:val="center"/>
              <w:rPr>
                <w:sz w:val="21"/>
              </w:rPr>
            </w:pPr>
            <w:r>
              <w:rPr>
                <w:sz w:val="21"/>
              </w:rPr>
              <w:t>有林地</w:t>
            </w:r>
          </w:p>
        </w:tc>
        <w:tc>
          <w:tcPr>
            <w:tcW w:w="2841" w:type="dxa"/>
            <w:vAlign w:val="center"/>
          </w:tcPr>
          <w:p>
            <w:pPr>
              <w:spacing w:line="240" w:lineRule="auto"/>
              <w:ind w:firstLine="0" w:firstLineChars="0"/>
              <w:jc w:val="center"/>
              <w:rPr>
                <w:sz w:val="21"/>
              </w:rPr>
            </w:pPr>
            <w:r>
              <w:rPr>
                <w:sz w:val="21"/>
              </w:rPr>
              <w:t>57.79</w:t>
            </w:r>
          </w:p>
        </w:tc>
        <w:tc>
          <w:tcPr>
            <w:tcW w:w="2841" w:type="dxa"/>
            <w:vAlign w:val="bottom"/>
          </w:tcPr>
          <w:p>
            <w:pPr>
              <w:spacing w:line="240" w:lineRule="auto"/>
              <w:ind w:firstLine="0" w:firstLineChars="0"/>
              <w:jc w:val="center"/>
              <w:rPr>
                <w:sz w:val="21"/>
              </w:rPr>
            </w:pPr>
            <w:r>
              <w:rPr>
                <w:rFonts w:hint="eastAsia"/>
                <w:sz w:val="21"/>
              </w:rPr>
              <w:t xml:space="preserve">62.75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92" w:type="dxa"/>
            <w:tcBorders>
              <w:right w:val="single" w:color="auto" w:sz="4" w:space="0"/>
            </w:tcBorders>
            <w:vAlign w:val="center"/>
          </w:tcPr>
          <w:p>
            <w:pPr>
              <w:spacing w:line="240" w:lineRule="auto"/>
              <w:ind w:firstLine="0" w:firstLineChars="0"/>
              <w:jc w:val="center"/>
              <w:rPr>
                <w:sz w:val="21"/>
              </w:rPr>
            </w:pPr>
            <w:r>
              <w:rPr>
                <w:rFonts w:hint="eastAsia"/>
                <w:sz w:val="21"/>
              </w:rPr>
              <w:t>13</w:t>
            </w:r>
          </w:p>
        </w:tc>
        <w:tc>
          <w:tcPr>
            <w:tcW w:w="2048" w:type="dxa"/>
            <w:tcBorders>
              <w:left w:val="single" w:color="auto" w:sz="4" w:space="0"/>
            </w:tcBorders>
            <w:vAlign w:val="center"/>
          </w:tcPr>
          <w:p>
            <w:pPr>
              <w:spacing w:line="240" w:lineRule="auto"/>
              <w:ind w:firstLine="420"/>
              <w:jc w:val="center"/>
              <w:rPr>
                <w:sz w:val="21"/>
              </w:rPr>
            </w:pPr>
            <w:r>
              <w:rPr>
                <w:rFonts w:hint="eastAsia"/>
                <w:sz w:val="21"/>
              </w:rPr>
              <w:t>采矿用地</w:t>
            </w:r>
          </w:p>
        </w:tc>
        <w:tc>
          <w:tcPr>
            <w:tcW w:w="2841" w:type="dxa"/>
            <w:vAlign w:val="center"/>
          </w:tcPr>
          <w:p>
            <w:pPr>
              <w:spacing w:line="240" w:lineRule="auto"/>
              <w:ind w:firstLine="0" w:firstLineChars="0"/>
              <w:jc w:val="center"/>
              <w:rPr>
                <w:sz w:val="21"/>
              </w:rPr>
            </w:pPr>
            <w:r>
              <w:rPr>
                <w:rFonts w:hint="eastAsia"/>
                <w:sz w:val="21"/>
              </w:rPr>
              <w:t>0.83</w:t>
            </w:r>
          </w:p>
        </w:tc>
        <w:tc>
          <w:tcPr>
            <w:tcW w:w="2841" w:type="dxa"/>
            <w:vAlign w:val="bottom"/>
          </w:tcPr>
          <w:p>
            <w:pPr>
              <w:spacing w:line="240" w:lineRule="auto"/>
              <w:ind w:firstLine="0" w:firstLineChars="0"/>
              <w:jc w:val="center"/>
              <w:rPr>
                <w:sz w:val="21"/>
              </w:rPr>
            </w:pPr>
            <w:r>
              <w:rPr>
                <w:rFonts w:hint="eastAsia"/>
                <w:sz w:val="21"/>
              </w:rPr>
              <w:t xml:space="preserve">0.91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40" w:type="dxa"/>
            <w:gridSpan w:val="2"/>
            <w:vAlign w:val="center"/>
          </w:tcPr>
          <w:p>
            <w:pPr>
              <w:spacing w:line="240" w:lineRule="auto"/>
              <w:ind w:firstLine="420"/>
              <w:jc w:val="center"/>
              <w:rPr>
                <w:sz w:val="21"/>
              </w:rPr>
            </w:pPr>
            <w:r>
              <w:rPr>
                <w:rFonts w:hint="eastAsia"/>
                <w:sz w:val="21"/>
              </w:rPr>
              <w:t>合计</w:t>
            </w:r>
          </w:p>
        </w:tc>
        <w:tc>
          <w:tcPr>
            <w:tcW w:w="2841" w:type="dxa"/>
            <w:vAlign w:val="center"/>
          </w:tcPr>
          <w:p>
            <w:pPr>
              <w:spacing w:line="240" w:lineRule="auto"/>
              <w:ind w:firstLine="0" w:firstLineChars="0"/>
              <w:jc w:val="center"/>
              <w:rPr>
                <w:sz w:val="21"/>
              </w:rPr>
            </w:pPr>
            <w:r>
              <w:rPr>
                <w:rFonts w:hint="eastAsia"/>
                <w:sz w:val="21"/>
              </w:rPr>
              <w:t>92.10</w:t>
            </w:r>
          </w:p>
        </w:tc>
        <w:tc>
          <w:tcPr>
            <w:tcW w:w="2841" w:type="dxa"/>
            <w:vAlign w:val="bottom"/>
          </w:tcPr>
          <w:p>
            <w:pPr>
              <w:spacing w:line="240" w:lineRule="auto"/>
              <w:ind w:firstLine="0" w:firstLineChars="0"/>
              <w:jc w:val="center"/>
              <w:rPr>
                <w:sz w:val="21"/>
              </w:rPr>
            </w:pPr>
            <w:r>
              <w:rPr>
                <w:rFonts w:hint="eastAsia"/>
                <w:sz w:val="21"/>
              </w:rPr>
              <w:t>100</w:t>
            </w:r>
          </w:p>
        </w:tc>
      </w:tr>
    </w:tbl>
    <w:p>
      <w:pPr>
        <w:ind w:firstLine="480"/>
      </w:pPr>
      <w:r>
        <w:rPr>
          <w:rFonts w:cs="Times New Roman"/>
        </w:rPr>
        <w:t>由上表可知生态环境评价范围内土地利用现状以</w:t>
      </w:r>
      <w:r>
        <w:rPr>
          <w:rFonts w:hint="eastAsia" w:cs="Times New Roman"/>
        </w:rPr>
        <w:t>有林地</w:t>
      </w:r>
      <w:r>
        <w:rPr>
          <w:rFonts w:cs="Times New Roman"/>
        </w:rPr>
        <w:t>为主，</w:t>
      </w:r>
      <w:r>
        <w:rPr>
          <w:rFonts w:hint="eastAsia" w:cs="Times New Roman"/>
        </w:rPr>
        <w:t>有林地</w:t>
      </w:r>
      <w:r>
        <w:rPr>
          <w:rFonts w:cs="Times New Roman"/>
        </w:rPr>
        <w:t>土地利用类型共占调查面积的62.75%，其余类型面积占比较少。根据调查，评价范围内占地前两位为</w:t>
      </w:r>
      <w:r>
        <w:rPr>
          <w:rFonts w:hint="eastAsia" w:cs="Times New Roman"/>
        </w:rPr>
        <w:t>有林地</w:t>
      </w:r>
      <w:r>
        <w:rPr>
          <w:rFonts w:cs="Times New Roman"/>
        </w:rPr>
        <w:t>57.79hm</w:t>
      </w:r>
      <w:r>
        <w:rPr>
          <w:rFonts w:cs="Times New Roman"/>
          <w:vertAlign w:val="superscript"/>
        </w:rPr>
        <w:t>2</w:t>
      </w:r>
      <w:r>
        <w:rPr>
          <w:rFonts w:hint="eastAsia" w:cs="Times New Roman"/>
        </w:rPr>
        <w:t>、水田</w:t>
      </w:r>
      <w:r>
        <w:rPr>
          <w:rFonts w:cs="Times New Roman"/>
        </w:rPr>
        <w:t>14.12hm</w:t>
      </w:r>
      <w:r>
        <w:rPr>
          <w:rFonts w:cs="Times New Roman"/>
          <w:vertAlign w:val="superscript"/>
        </w:rPr>
        <w:t>2</w:t>
      </w:r>
      <w:r>
        <w:rPr>
          <w:rFonts w:hint="eastAsia" w:cs="Times New Roman"/>
        </w:rPr>
        <w:t>。</w:t>
      </w:r>
    </w:p>
    <w:p>
      <w:pPr>
        <w:pStyle w:val="5"/>
      </w:pPr>
      <w:r>
        <w:rPr>
          <w:rFonts w:hint="eastAsia"/>
        </w:rPr>
        <w:t xml:space="preserve"> </w:t>
      </w:r>
      <w:bookmarkStart w:id="238" w:name="_Toc96680712"/>
      <w:r>
        <w:rPr>
          <w:rFonts w:hint="eastAsia"/>
        </w:rPr>
        <w:t>土壤</w:t>
      </w:r>
      <w:r>
        <w:t>侵蚀现状</w:t>
      </w:r>
      <w:bookmarkEnd w:id="238"/>
    </w:p>
    <w:p>
      <w:pPr>
        <w:pStyle w:val="248"/>
        <w:ind w:firstLine="480"/>
        <w:rPr>
          <w:rFonts w:hAnsi="Times New Roman" w:cs="Times New Roman"/>
        </w:rPr>
      </w:pPr>
      <w:r>
        <w:rPr>
          <w:rFonts w:hAnsi="Times New Roman" w:cs="Times New Roman"/>
        </w:rPr>
        <w:t>评价区水土流失以水力侵蚀为主，</w:t>
      </w:r>
      <w:r>
        <w:rPr>
          <w:rFonts w:hint="eastAsia" w:hAnsi="Times New Roman" w:cs="Times New Roman"/>
        </w:rPr>
        <w:t>评价范围内仅涉及</w:t>
      </w:r>
      <w:r>
        <w:rPr>
          <w:rFonts w:hAnsi="Times New Roman" w:cs="Times New Roman"/>
        </w:rPr>
        <w:t>微度流失区。评价区土壤侵蚀现状见附图11，土壤侵蚀分级及面积统计见下表。</w:t>
      </w:r>
    </w:p>
    <w:p>
      <w:pPr>
        <w:pStyle w:val="73"/>
        <w:keepNext/>
        <w:ind w:firstLine="480"/>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6.6</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3</w:t>
      </w:r>
      <w:r>
        <w:rPr>
          <w:rFonts w:cs="Times New Roman"/>
        </w:rPr>
        <w:fldChar w:fldCharType="end"/>
      </w:r>
      <w:r>
        <w:rPr>
          <w:rFonts w:cs="Times New Roman"/>
        </w:rPr>
        <w:t xml:space="preserve">  评价区土壤侵蚀分级及面积统计表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682"/>
        <w:gridCol w:w="2920"/>
        <w:gridCol w:w="292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1574" w:type="pct"/>
            <w:vAlign w:val="center"/>
          </w:tcPr>
          <w:p>
            <w:pPr>
              <w:pStyle w:val="248"/>
              <w:spacing w:line="240" w:lineRule="auto"/>
              <w:ind w:firstLine="0" w:firstLineChars="0"/>
              <w:jc w:val="center"/>
              <w:rPr>
                <w:rFonts w:hAnsi="Times New Roman" w:cs="Times New Roman"/>
                <w:b/>
                <w:bCs/>
                <w:sz w:val="21"/>
                <w:szCs w:val="21"/>
              </w:rPr>
            </w:pPr>
            <w:r>
              <w:rPr>
                <w:rFonts w:hAnsi="Times New Roman" w:cs="Times New Roman"/>
                <w:b/>
                <w:bCs/>
                <w:sz w:val="21"/>
                <w:szCs w:val="21"/>
              </w:rPr>
              <w:t>土壤侵蚀强度</w:t>
            </w:r>
          </w:p>
        </w:tc>
        <w:tc>
          <w:tcPr>
            <w:tcW w:w="1713" w:type="pct"/>
            <w:vAlign w:val="center"/>
          </w:tcPr>
          <w:p>
            <w:pPr>
              <w:pStyle w:val="248"/>
              <w:spacing w:line="240" w:lineRule="auto"/>
              <w:ind w:firstLine="0" w:firstLineChars="0"/>
              <w:jc w:val="center"/>
              <w:rPr>
                <w:rFonts w:hAnsi="Times New Roman" w:cs="Times New Roman"/>
                <w:b/>
                <w:bCs/>
                <w:sz w:val="21"/>
                <w:szCs w:val="21"/>
              </w:rPr>
            </w:pPr>
            <w:r>
              <w:rPr>
                <w:rFonts w:hAnsi="Times New Roman" w:cs="Times New Roman"/>
                <w:b/>
                <w:bCs/>
                <w:sz w:val="21"/>
                <w:szCs w:val="21"/>
              </w:rPr>
              <w:t>面积（hm</w:t>
            </w:r>
            <w:r>
              <w:rPr>
                <w:rFonts w:hAnsi="Times New Roman" w:cs="Times New Roman"/>
                <w:b/>
                <w:bCs/>
                <w:sz w:val="21"/>
                <w:szCs w:val="21"/>
                <w:vertAlign w:val="superscript"/>
              </w:rPr>
              <w:t>2</w:t>
            </w:r>
            <w:r>
              <w:rPr>
                <w:rFonts w:hAnsi="Times New Roman" w:cs="Times New Roman"/>
                <w:b/>
                <w:bCs/>
                <w:sz w:val="21"/>
                <w:szCs w:val="21"/>
              </w:rPr>
              <w:t>）</w:t>
            </w:r>
          </w:p>
        </w:tc>
        <w:tc>
          <w:tcPr>
            <w:tcW w:w="1713" w:type="pct"/>
          </w:tcPr>
          <w:p>
            <w:pPr>
              <w:pStyle w:val="248"/>
              <w:spacing w:line="240" w:lineRule="auto"/>
              <w:ind w:firstLine="0" w:firstLineChars="0"/>
              <w:jc w:val="center"/>
              <w:rPr>
                <w:rFonts w:hAnsi="Times New Roman" w:cs="Times New Roman"/>
                <w:b/>
                <w:bCs/>
                <w:sz w:val="21"/>
                <w:szCs w:val="21"/>
              </w:rPr>
            </w:pPr>
            <w:r>
              <w:rPr>
                <w:rFonts w:hAnsi="Times New Roman" w:cs="Times New Roman"/>
                <w:b/>
                <w:bCs/>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6" w:hRule="atLeast"/>
        </w:trPr>
        <w:tc>
          <w:tcPr>
            <w:tcW w:w="1574" w:type="pct"/>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微度</w:t>
            </w:r>
            <w:r>
              <w:rPr>
                <w:rFonts w:hint="eastAsia" w:hAnsi="Times New Roman" w:cs="Times New Roman"/>
                <w:sz w:val="21"/>
                <w:szCs w:val="21"/>
              </w:rPr>
              <w:t>水蚀</w:t>
            </w:r>
          </w:p>
        </w:tc>
        <w:tc>
          <w:tcPr>
            <w:tcW w:w="1713" w:type="pct"/>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92.10</w:t>
            </w:r>
          </w:p>
        </w:tc>
        <w:tc>
          <w:tcPr>
            <w:tcW w:w="1713" w:type="pct"/>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0" w:hRule="atLeast"/>
        </w:trPr>
        <w:tc>
          <w:tcPr>
            <w:tcW w:w="1574" w:type="pct"/>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总计</w:t>
            </w:r>
          </w:p>
        </w:tc>
        <w:tc>
          <w:tcPr>
            <w:tcW w:w="1713" w:type="pct"/>
            <w:vAlign w:val="center"/>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92.10</w:t>
            </w:r>
          </w:p>
        </w:tc>
        <w:tc>
          <w:tcPr>
            <w:tcW w:w="1713" w:type="pct"/>
          </w:tcPr>
          <w:p>
            <w:pPr>
              <w:pStyle w:val="248"/>
              <w:spacing w:line="240" w:lineRule="auto"/>
              <w:ind w:firstLine="0" w:firstLineChars="0"/>
              <w:jc w:val="center"/>
              <w:rPr>
                <w:rFonts w:hAnsi="Times New Roman" w:cs="Times New Roman"/>
                <w:sz w:val="21"/>
                <w:szCs w:val="21"/>
              </w:rPr>
            </w:pPr>
            <w:r>
              <w:rPr>
                <w:rFonts w:hAnsi="Times New Roman" w:cs="Times New Roman"/>
                <w:sz w:val="21"/>
                <w:szCs w:val="21"/>
              </w:rPr>
              <w:t>100</w:t>
            </w:r>
          </w:p>
        </w:tc>
      </w:tr>
    </w:tbl>
    <w:p>
      <w:pPr>
        <w:ind w:firstLine="480"/>
      </w:pPr>
      <w:r>
        <w:rPr>
          <w:rFonts w:cs="Times New Roman"/>
        </w:rPr>
        <w:t>根据上表可知，本项目评价区</w:t>
      </w:r>
      <w:r>
        <w:rPr>
          <w:rFonts w:hint="eastAsia" w:cs="Times New Roman"/>
        </w:rPr>
        <w:t>内仅涉及</w:t>
      </w:r>
      <w:r>
        <w:rPr>
          <w:rFonts w:cs="Times New Roman"/>
        </w:rPr>
        <w:t>微度</w:t>
      </w:r>
      <w:r>
        <w:rPr>
          <w:rFonts w:hint="eastAsia" w:cs="Times New Roman"/>
        </w:rPr>
        <w:t>水蚀</w:t>
      </w:r>
      <w:r>
        <w:rPr>
          <w:rFonts w:cs="Times New Roman"/>
        </w:rPr>
        <w:t>。</w:t>
      </w:r>
    </w:p>
    <w:p>
      <w:pPr>
        <w:pStyle w:val="2"/>
        <w:ind w:left="900" w:hanging="420"/>
      </w:pPr>
    </w:p>
    <w:p>
      <w:pPr>
        <w:ind w:firstLine="480"/>
      </w:pPr>
    </w:p>
    <w:p>
      <w:pPr>
        <w:pStyle w:val="2"/>
        <w:ind w:left="900" w:hanging="420"/>
      </w:pPr>
    </w:p>
    <w:p>
      <w:pPr>
        <w:ind w:firstLine="480"/>
        <w:sectPr>
          <w:headerReference r:id="rId30" w:type="default"/>
          <w:pgSz w:w="11906" w:h="16838"/>
          <w:pgMar w:top="1440" w:right="1800" w:bottom="1440" w:left="1800" w:header="851" w:footer="794" w:gutter="0"/>
          <w:cols w:space="425" w:num="1"/>
          <w:docGrid w:type="lines" w:linePitch="326" w:charSpace="0"/>
        </w:sectPr>
      </w:pPr>
    </w:p>
    <w:p>
      <w:pPr>
        <w:pStyle w:val="3"/>
      </w:pPr>
      <w:r>
        <w:rPr>
          <w:rFonts w:hint="eastAsia"/>
        </w:rPr>
        <w:t xml:space="preserve"> </w:t>
      </w:r>
      <w:bookmarkStart w:id="239" w:name="_Toc96680713"/>
      <w:r>
        <w:rPr>
          <w:rFonts w:hint="eastAsia"/>
        </w:rPr>
        <w:t>环境影响</w:t>
      </w:r>
      <w:r>
        <w:t>预测与评价</w:t>
      </w:r>
      <w:bookmarkEnd w:id="239"/>
    </w:p>
    <w:p>
      <w:pPr>
        <w:pStyle w:val="4"/>
        <w:rPr>
          <w:rFonts w:cs="Times New Roman"/>
        </w:rPr>
      </w:pPr>
      <w:r>
        <w:rPr>
          <w:rFonts w:cs="Times New Roman"/>
        </w:rPr>
        <w:t xml:space="preserve"> </w:t>
      </w:r>
      <w:bookmarkStart w:id="240" w:name="_Toc96680714"/>
      <w:r>
        <w:rPr>
          <w:rFonts w:hint="eastAsia" w:cs="Times New Roman"/>
        </w:rPr>
        <w:t>施工期环境</w:t>
      </w:r>
      <w:r>
        <w:rPr>
          <w:rFonts w:cs="Times New Roman"/>
        </w:rPr>
        <w:t>影响分析</w:t>
      </w:r>
      <w:bookmarkEnd w:id="240"/>
    </w:p>
    <w:p>
      <w:pPr>
        <w:pStyle w:val="5"/>
        <w:rPr>
          <w:rFonts w:cs="Times New Roman"/>
        </w:rPr>
      </w:pPr>
      <w:r>
        <w:rPr>
          <w:rFonts w:cs="Times New Roman"/>
        </w:rPr>
        <w:t xml:space="preserve"> </w:t>
      </w:r>
      <w:bookmarkStart w:id="241" w:name="_Toc96680715"/>
      <w:r>
        <w:rPr>
          <w:rFonts w:hint="eastAsia" w:cs="Times New Roman"/>
        </w:rPr>
        <w:t>施工期大气环境</w:t>
      </w:r>
      <w:r>
        <w:rPr>
          <w:rFonts w:cs="Times New Roman"/>
        </w:rPr>
        <w:t>影响分析</w:t>
      </w:r>
      <w:bookmarkEnd w:id="241"/>
    </w:p>
    <w:p>
      <w:pPr>
        <w:widowControl/>
        <w:autoSpaceDE w:val="0"/>
        <w:ind w:firstLine="480"/>
        <w:jc w:val="left"/>
        <w:rPr>
          <w:rFonts w:cs="Times New Roman"/>
        </w:rPr>
      </w:pPr>
      <w:r>
        <w:rPr>
          <w:rFonts w:cs="Times New Roman"/>
        </w:rPr>
        <w:t>施工废气主要来自地面开挖、运输车辆行驶产生的扬尘及施工机械排放的烟气，烟气中的主要污染物为SO</w:t>
      </w:r>
      <w:r>
        <w:rPr>
          <w:rFonts w:cs="Times New Roman"/>
          <w:vertAlign w:val="subscript"/>
        </w:rPr>
        <w:t>2</w:t>
      </w:r>
      <w:r>
        <w:rPr>
          <w:rFonts w:cs="Times New Roman"/>
        </w:rPr>
        <w:t>、NO</w:t>
      </w:r>
      <w:r>
        <w:rPr>
          <w:rFonts w:cs="Times New Roman"/>
          <w:vertAlign w:val="subscript"/>
        </w:rPr>
        <w:t>2</w:t>
      </w:r>
      <w:r>
        <w:rPr>
          <w:rFonts w:cs="Times New Roman"/>
        </w:rPr>
        <w:t>、CmHn等。这些污染物会对环境空气造成一定程度的污染，但这种污染是暂时的，随着施工期的结束而消失。由于废气量较小，且施工现场均在野外，有利于空气的扩散，同时废气污染原具有间歇性和流动性，因此对局部地区的环境影响较轻。</w:t>
      </w:r>
    </w:p>
    <w:p>
      <w:pPr>
        <w:pStyle w:val="6"/>
        <w:rPr>
          <w:rFonts w:cs="Times New Roman"/>
        </w:rPr>
      </w:pPr>
      <w:r>
        <w:rPr>
          <w:rFonts w:hint="eastAsia" w:cs="Times New Roman"/>
        </w:rPr>
        <w:t xml:space="preserve"> 扬尘</w:t>
      </w:r>
    </w:p>
    <w:p>
      <w:pPr>
        <w:ind w:firstLine="480"/>
      </w:pPr>
      <w:r>
        <w:t>施工期产生扬尘的作业主要为管沟开挖土方临时堆放时产生的扬尘，其特点是排尘浓度高，涉及面广；扬尘影响范围主要是施工场地周围20m，施工场地下风向影响范围增加至30～50m。应做好扬尘防护工作，避免大风天气作业，定期进行洒水等措施，可使空气中的扬尘量减少70%以上，有效减少扬尘对附近环境空气的影响。</w:t>
      </w:r>
    </w:p>
    <w:p>
      <w:pPr>
        <w:ind w:firstLine="480"/>
      </w:pPr>
      <w:r>
        <w:t>据调查项目环境空气敏感目标为分散分布的居民点，管线沿线最近农户距离为22m，施工过程中可能会受本工程施工扬尘的影响。</w:t>
      </w:r>
    </w:p>
    <w:p>
      <w:pPr>
        <w:ind w:firstLine="480"/>
      </w:pPr>
      <w:r>
        <w:t>根据《四川省人民政府办公厅关于加强灰霾污染防治的通知》（川办发[2013]32号）及《四川省灰霾污染防治实施方案》（2013年）相关要求，建设单位要加强对建设工地的监督检查，督促施工单位落实降尘、压尘和抑尘措施。</w:t>
      </w:r>
    </w:p>
    <w:p>
      <w:pPr>
        <w:widowControl/>
        <w:ind w:firstLine="480"/>
        <w:jc w:val="left"/>
        <w:rPr>
          <w:rFonts w:cs="Times New Roman"/>
          <w:lang w:bidi="ar"/>
        </w:rPr>
      </w:pPr>
      <w:bookmarkStart w:id="242" w:name="_Hlk87369377"/>
      <w:r>
        <w:t>施工过程中推广湿式作业，采取洒水抑尘措施</w:t>
      </w:r>
      <w:bookmarkEnd w:id="242"/>
      <w:r>
        <w:t>，预计达到《四川省施工场地扬尘排放标准》（DB51/2682-2020）。施工扬尘不会对其产生较大影响。且施工期扬尘对环境空气的影响是暂时的，随着施工的结束而消失。</w:t>
      </w:r>
      <w:r>
        <w:rPr>
          <w:rFonts w:cs="Times New Roman"/>
        </w:rPr>
        <w:t>通过严格实施以上措施，可将扬尘对当地大气环境的影响降到最低，同时，施工期对大气环境的影响是短暂的，随着施工活动的结束，对当地大气环境的影响也将消失。总体而言，施工期扬尘对管道沿线各环境空气敏感点影响很小，属于可接受范围。</w:t>
      </w:r>
    </w:p>
    <w:p>
      <w:pPr>
        <w:pStyle w:val="6"/>
        <w:rPr>
          <w:rFonts w:cs="Times New Roman"/>
        </w:rPr>
      </w:pPr>
      <w:r>
        <w:rPr>
          <w:rFonts w:cs="Times New Roman"/>
        </w:rPr>
        <w:t xml:space="preserve"> </w:t>
      </w:r>
      <w:r>
        <w:rPr>
          <w:rFonts w:hint="eastAsia" w:cs="Times New Roman"/>
        </w:rPr>
        <w:t>机械废气</w:t>
      </w:r>
    </w:p>
    <w:p>
      <w:pPr>
        <w:ind w:firstLine="480"/>
        <w:rPr>
          <w:rFonts w:cs="Times New Roman"/>
        </w:rPr>
      </w:pPr>
      <w:r>
        <w:rPr>
          <w:rFonts w:cs="Times New Roman"/>
        </w:rPr>
        <w:t>施工区的燃油设备主要是施工机械和运输车辆，其排放的尾气在施工期间对施工作业点和交通道路附近的大气环境会造成一定程度的污染，产生CO、碳氢化合物、NO</w:t>
      </w:r>
      <w:r>
        <w:rPr>
          <w:rFonts w:cs="Times New Roman"/>
          <w:vertAlign w:val="subscript"/>
        </w:rPr>
        <w:t>2</w:t>
      </w:r>
      <w:r>
        <w:rPr>
          <w:rFonts w:cs="Times New Roman"/>
        </w:rPr>
        <w:t>等污染物。运输车辆的废气是沿交通路线排放，施工机械的废气基本以点源形式排放。</w:t>
      </w:r>
    </w:p>
    <w:p>
      <w:pPr>
        <w:ind w:firstLine="480"/>
        <w:rPr>
          <w:rFonts w:cs="Times New Roman"/>
        </w:rPr>
      </w:pPr>
      <w:r>
        <w:rPr>
          <w:rFonts w:cs="Times New Roman"/>
        </w:rPr>
        <w:t>由于施工区空气流通性好，排放废气中的各项污染物能够很快扩散，不会引起局部大环境质量的恶化。加之废气排放的不连续性和工程施工期有限，排放的废气对区域的环境空气质量影响是很小的。</w:t>
      </w:r>
    </w:p>
    <w:p>
      <w:pPr>
        <w:ind w:firstLine="480"/>
      </w:pPr>
      <w:r>
        <w:t>为最大限度的减少施工机械及车辆废气对大气环境的影响，建设单位应</w:t>
      </w:r>
      <w:bookmarkStart w:id="243" w:name="_Hlk87369454"/>
      <w:r>
        <w:t>加强施工车辆运行管理与维护保养，对施工过程中非道路移动机械用柴油机废气排放必须执行并满足《重型柴油车污染物排放限值及测量方法（中国第六阶段）》（GB17691-2018）及《非道路柴油移动机械排气烟度限值及测量方法》（GB36886-2018）</w:t>
      </w:r>
      <w:bookmarkEnd w:id="243"/>
      <w:r>
        <w:t>。在此条件下，汽车尾气对环境及敏感点的影响较小。</w:t>
      </w:r>
    </w:p>
    <w:p>
      <w:pPr>
        <w:pStyle w:val="6"/>
        <w:rPr>
          <w:rFonts w:cs="Times New Roman"/>
        </w:rPr>
      </w:pPr>
      <w:r>
        <w:rPr>
          <w:rFonts w:cs="Times New Roman"/>
        </w:rPr>
        <w:t xml:space="preserve"> </w:t>
      </w:r>
      <w:r>
        <w:rPr>
          <w:rFonts w:hint="eastAsia" w:cs="Times New Roman"/>
        </w:rPr>
        <w:t>焊接烟尘</w:t>
      </w:r>
    </w:p>
    <w:p>
      <w:pPr>
        <w:ind w:firstLine="480"/>
        <w:rPr>
          <w:rFonts w:cs="Times New Roman"/>
          <w:bCs/>
        </w:rPr>
      </w:pPr>
      <w:r>
        <w:rPr>
          <w:rFonts w:cs="Times New Roman"/>
          <w:bCs/>
        </w:rPr>
        <w:t>项目管道焊接采用半自动焊接，焊烟产生量较小，施工场地地势开阔，利于焊接烟气扩散，在施工过程中先布管后进行焊接，焊接点位沿管线布设，在同一个焊接点排放污染物较少，不会对环境造成明显影响。</w:t>
      </w:r>
    </w:p>
    <w:p>
      <w:pPr>
        <w:pStyle w:val="6"/>
      </w:pPr>
      <w:r>
        <w:rPr>
          <w:rFonts w:hint="eastAsia"/>
        </w:rPr>
        <w:t xml:space="preserve"> 放空</w:t>
      </w:r>
      <w:r>
        <w:t>废气</w:t>
      </w:r>
    </w:p>
    <w:p>
      <w:pPr>
        <w:ind w:firstLine="480"/>
      </w:pPr>
      <w:r>
        <w:rPr>
          <w:rFonts w:hint="eastAsia"/>
        </w:rPr>
        <w:t>新老管线连接前</w:t>
      </w:r>
      <w:r>
        <w:t>需</w:t>
      </w:r>
      <w:r>
        <w:rPr>
          <w:rFonts w:hint="eastAsia"/>
        </w:rPr>
        <w:t>对老管线进行清管作业，对</w:t>
      </w:r>
      <w:r>
        <w:t>管道内的天然气进行降压后</w:t>
      </w:r>
      <w:r>
        <w:rPr>
          <w:rFonts w:cs="Times New Roman"/>
        </w:rPr>
        <w:t>依托</w:t>
      </w:r>
      <w:r>
        <w:rPr>
          <w:rFonts w:hint="eastAsia" w:cs="Times New Roman"/>
        </w:rPr>
        <w:t>草池增压站设置的放空管进行点火燃烧，</w:t>
      </w:r>
      <w:r>
        <w:rPr>
          <w:rFonts w:cs="Times New Roman"/>
        </w:rPr>
        <w:t>放</w:t>
      </w:r>
      <w:r>
        <w:rPr>
          <w:rFonts w:hint="eastAsia" w:cs="Times New Roman"/>
        </w:rPr>
        <w:t>空</w:t>
      </w:r>
      <w:r>
        <w:rPr>
          <w:rFonts w:cs="Times New Roman"/>
        </w:rPr>
        <w:t>管高度为15m，燃烧排放的废气中主要污染物为NO</w:t>
      </w:r>
      <w:r>
        <w:rPr>
          <w:rFonts w:hint="eastAsia" w:cs="Times New Roman"/>
          <w:vertAlign w:val="subscript"/>
        </w:rPr>
        <w:t>x</w:t>
      </w:r>
      <w:r>
        <w:rPr>
          <w:rFonts w:cs="Times New Roman"/>
        </w:rPr>
        <w:t>、烟尘</w:t>
      </w:r>
      <w:r>
        <w:rPr>
          <w:rFonts w:hint="eastAsia" w:cs="Times New Roman"/>
        </w:rPr>
        <w:t>，</w:t>
      </w:r>
      <w:r>
        <w:rPr>
          <w:rFonts w:cs="Times New Roman"/>
        </w:rPr>
        <w:t>产生量较少</w:t>
      </w:r>
      <w:r>
        <w:rPr>
          <w:rFonts w:hint="eastAsia" w:cs="Times New Roman"/>
        </w:rPr>
        <w:t>，</w:t>
      </w:r>
      <w:r>
        <w:rPr>
          <w:rFonts w:cs="Times New Roman"/>
        </w:rPr>
        <w:t>对环境空气质量影响较小。</w:t>
      </w:r>
    </w:p>
    <w:p>
      <w:pPr>
        <w:pStyle w:val="5"/>
      </w:pPr>
      <w:r>
        <w:t xml:space="preserve"> </w:t>
      </w:r>
      <w:bookmarkStart w:id="244" w:name="_Toc96680716"/>
      <w:r>
        <w:rPr>
          <w:rFonts w:hint="eastAsia"/>
        </w:rPr>
        <w:t>施工期地表水</w:t>
      </w:r>
      <w:r>
        <w:t>环境影响分析</w:t>
      </w:r>
      <w:bookmarkEnd w:id="244"/>
    </w:p>
    <w:p>
      <w:pPr>
        <w:ind w:firstLine="480"/>
      </w:pPr>
      <w:r>
        <w:rPr>
          <w:rFonts w:cs="Times New Roman"/>
        </w:rPr>
        <w:t>本工程施工期对水环境的影响主要是施工人员在施工作业中产生的生活污水、管道安装完后清管试压的生产污水等排放对水环境的影响等。</w:t>
      </w:r>
    </w:p>
    <w:p>
      <w:pPr>
        <w:pStyle w:val="6"/>
      </w:pPr>
      <w:r>
        <w:t xml:space="preserve"> </w:t>
      </w:r>
      <w:r>
        <w:rPr>
          <w:rFonts w:hint="eastAsia"/>
        </w:rPr>
        <w:t>生活污水</w:t>
      </w:r>
    </w:p>
    <w:p>
      <w:pPr>
        <w:ind w:firstLine="480"/>
      </w:pPr>
      <w:r>
        <w:rPr>
          <w:rFonts w:cs="Times New Roman"/>
        </w:rPr>
        <w:t>本项目施工期间施工人员租用施工现场附近民房作为临时施工营地，施工期施工人员生活污水依托租用民房现有的污水处理设施进行处理，因此施工期施工人员的生活污水对地表水环境影响很小。</w:t>
      </w:r>
    </w:p>
    <w:p>
      <w:pPr>
        <w:pStyle w:val="6"/>
      </w:pPr>
      <w:r>
        <w:rPr>
          <w:rFonts w:hint="eastAsia"/>
        </w:rPr>
        <w:t xml:space="preserve"> </w:t>
      </w:r>
      <w:r>
        <w:t>试压废水</w:t>
      </w:r>
    </w:p>
    <w:p>
      <w:pPr>
        <w:ind w:firstLine="480"/>
      </w:pPr>
      <w:r>
        <w:rPr>
          <w:rFonts w:cs="Times New Roman"/>
        </w:rPr>
        <w:t>本项目试压用水采用的是洁净水，试压废水主要污染物质为SS、铁锈和泥砂等，不含有害物质，经沉淀处理后</w:t>
      </w:r>
      <w:r>
        <w:rPr>
          <w:rFonts w:hint="eastAsia" w:cs="Times New Roman"/>
        </w:rPr>
        <w:t>用于施工现场洒水除尘</w:t>
      </w:r>
      <w:r>
        <w:rPr>
          <w:rFonts w:cs="Times New Roman"/>
        </w:rPr>
        <w:t>。</w:t>
      </w:r>
      <w:r>
        <w:t>对地表水环境影响较小。</w:t>
      </w:r>
    </w:p>
    <w:p>
      <w:pPr>
        <w:pStyle w:val="5"/>
      </w:pPr>
      <w:bookmarkStart w:id="245" w:name="_Toc89009725"/>
      <w:r>
        <w:rPr>
          <w:rFonts w:hint="eastAsia"/>
        </w:rPr>
        <w:t xml:space="preserve"> </w:t>
      </w:r>
      <w:bookmarkStart w:id="246" w:name="_Toc96680717"/>
      <w:r>
        <w:t>施工期地下水环境影响分析</w:t>
      </w:r>
      <w:bookmarkEnd w:id="245"/>
      <w:bookmarkEnd w:id="246"/>
    </w:p>
    <w:p>
      <w:pPr>
        <w:ind w:firstLine="480"/>
        <w:rPr>
          <w:rFonts w:cs="Times New Roman"/>
        </w:rPr>
      </w:pPr>
      <w:r>
        <w:rPr>
          <w:rFonts w:hint="eastAsia" w:cs="Times New Roman"/>
        </w:rPr>
        <w:t>（1）生活污水</w:t>
      </w:r>
    </w:p>
    <w:p>
      <w:pPr>
        <w:ind w:firstLine="480"/>
        <w:rPr>
          <w:rFonts w:cs="Times New Roman"/>
        </w:rPr>
      </w:pPr>
      <w:r>
        <w:rPr>
          <w:rFonts w:hint="eastAsia" w:cs="Times New Roman"/>
        </w:rPr>
        <w:t>根据以往管道施工经验，施工队伍的吃住一般租用当地民房，生活污水处理可依托当地设施。</w:t>
      </w:r>
      <w:r>
        <w:rPr>
          <w:rFonts w:hint="eastAsia"/>
        </w:rPr>
        <w:t>不直接排入环境水体。因此，施工期生</w:t>
      </w:r>
      <w:r>
        <w:rPr>
          <w:rFonts w:hint="eastAsia" w:cs="Times New Roman"/>
        </w:rPr>
        <w:t>活污水不会对地下水造成较大的影响。</w:t>
      </w:r>
    </w:p>
    <w:p>
      <w:pPr>
        <w:ind w:firstLine="480"/>
        <w:rPr>
          <w:rFonts w:cs="Times New Roman"/>
        </w:rPr>
      </w:pPr>
      <w:r>
        <w:rPr>
          <w:rFonts w:hint="eastAsia" w:cs="Times New Roman"/>
        </w:rPr>
        <w:t>（2）生产废水</w:t>
      </w:r>
    </w:p>
    <w:p>
      <w:pPr>
        <w:ind w:firstLine="480"/>
        <w:rPr>
          <w:rFonts w:cs="Times New Roman"/>
        </w:rPr>
      </w:pPr>
      <w:r>
        <w:rPr>
          <w:rFonts w:hint="eastAsia" w:cs="Times New Roman"/>
        </w:rPr>
        <w:t>管道施工期生产废水主要来自管道安装完后清管和试压过程排放的废水。本管道试压介质为洁净水，水中的主要污染物为悬浮物，经滤布过滤后排至周边一般性环境水体、沟渠或雨水系统，不会对地下水造成较大的影响。</w:t>
      </w:r>
    </w:p>
    <w:p>
      <w:pPr>
        <w:ind w:firstLine="480"/>
        <w:rPr>
          <w:rFonts w:cs="Times New Roman"/>
        </w:rPr>
      </w:pPr>
      <w:r>
        <w:rPr>
          <w:rFonts w:hint="eastAsia" w:cs="Times New Roman"/>
        </w:rPr>
        <w:t>（3）施工废料等影响</w:t>
      </w:r>
    </w:p>
    <w:p>
      <w:pPr>
        <w:ind w:firstLine="480"/>
        <w:rPr>
          <w:rFonts w:cs="Times New Roman"/>
        </w:rPr>
      </w:pPr>
      <w:r>
        <w:rPr>
          <w:rFonts w:hint="eastAsia" w:cs="Times New Roman"/>
        </w:rPr>
        <w:t>施工期间，焊接、防腐作业中产生的施工废料等随意堆放，经过雨水淋滤可能会对地下水产生污染。</w:t>
      </w:r>
    </w:p>
    <w:p>
      <w:pPr>
        <w:ind w:firstLine="480"/>
        <w:rPr>
          <w:rFonts w:cs="Times New Roman"/>
        </w:rPr>
      </w:pPr>
      <w:r>
        <w:rPr>
          <w:rFonts w:hint="eastAsia" w:cs="Times New Roman"/>
        </w:rPr>
        <w:t>施工结束后，对于施工废料，部分可回收利用，</w:t>
      </w:r>
      <w:r>
        <w:rPr>
          <w:rFonts w:cs="Times New Roman"/>
        </w:rPr>
        <w:t>不能利用的由施工队伍统一收集清运至周边合法建筑渣场处置</w:t>
      </w:r>
      <w:r>
        <w:rPr>
          <w:rFonts w:hint="eastAsia" w:cs="Times New Roman"/>
        </w:rPr>
        <w:t>。各项固体废物得到妥善处理后不会对地下水环境造成影响。</w:t>
      </w:r>
    </w:p>
    <w:p>
      <w:pPr>
        <w:pStyle w:val="5"/>
      </w:pPr>
      <w:bookmarkStart w:id="247" w:name="_Toc89009727"/>
      <w:r>
        <w:rPr>
          <w:rFonts w:hint="eastAsia"/>
        </w:rPr>
        <w:t xml:space="preserve"> </w:t>
      </w:r>
      <w:bookmarkStart w:id="248" w:name="_Toc96680718"/>
      <w:r>
        <w:rPr>
          <w:rFonts w:hint="eastAsia"/>
        </w:rPr>
        <w:t>施工期声环境影响分析</w:t>
      </w:r>
      <w:bookmarkEnd w:id="247"/>
      <w:bookmarkEnd w:id="248"/>
    </w:p>
    <w:p>
      <w:pPr>
        <w:pStyle w:val="6"/>
      </w:pPr>
      <w:r>
        <w:rPr>
          <w:rFonts w:hint="eastAsia"/>
        </w:rPr>
        <w:t xml:space="preserve"> 主要噪声源</w:t>
      </w:r>
    </w:p>
    <w:p>
      <w:pPr>
        <w:ind w:firstLine="480"/>
      </w:pPr>
      <w:r>
        <w:rPr>
          <w:rFonts w:hint="eastAsia"/>
        </w:rPr>
        <w:t>本工程施工期噪声源主要来自施工作业机械，如挖掘机、吊管机、电焊机、推土机、切割机、柴油发电机等。在实际施工过程中，往往是各种机械同时工作，各种噪声源辐射的相互迭加，噪声级将会更高，辐射面也会更大。这些施工均为白天作业，并且机械、设备和车辆会在不同施工工序中使用，并随施工位置变化移动，在同一区域施工时间较短。如：在管沟开挖时使用挖掘机，焊口时使用电焊机和发电机，下沟时使用吊管机，管沟回填时使用推土机等。根据同类项目类比调查，施工期主要噪声源及其声级值类比详见下表。</w:t>
      </w:r>
    </w:p>
    <w:p>
      <w:pPr>
        <w:pStyle w:val="73"/>
        <w:ind w:firstLine="480"/>
      </w:pPr>
      <w:r>
        <w:rPr>
          <w:rFonts w:cs="Times New Roman"/>
        </w:rPr>
        <w:t>表</w:t>
      </w:r>
      <w:r>
        <w:rPr>
          <w:rFonts w:cs="Times New Roman"/>
          <w:b w:val="0"/>
        </w:rPr>
        <w:fldChar w:fldCharType="begin"/>
      </w:r>
      <w:r>
        <w:rPr>
          <w:rFonts w:cs="Times New Roman"/>
        </w:rPr>
        <w:instrText xml:space="preserve"> STYLEREF 2 \s </w:instrText>
      </w:r>
      <w:r>
        <w:rPr>
          <w:rFonts w:cs="Times New Roman"/>
          <w:b w:val="0"/>
        </w:rPr>
        <w:fldChar w:fldCharType="separate"/>
      </w:r>
      <w:r>
        <w:rPr>
          <w:rFonts w:cs="Times New Roman"/>
        </w:rPr>
        <w:t>7.1</w:t>
      </w:r>
      <w:r>
        <w:rPr>
          <w:rFonts w:cs="Times New Roman"/>
          <w:b w:val="0"/>
        </w:rPr>
        <w:fldChar w:fldCharType="end"/>
      </w:r>
      <w:r>
        <w:rPr>
          <w:rFonts w:cs="Times New Roman"/>
        </w:rPr>
        <w:noBreakHyphen/>
      </w:r>
      <w:r>
        <w:rPr>
          <w:rFonts w:cs="Times New Roman"/>
          <w:b w:val="0"/>
        </w:rPr>
        <w:fldChar w:fldCharType="begin"/>
      </w:r>
      <w:r>
        <w:rPr>
          <w:rFonts w:cs="Times New Roman"/>
        </w:rPr>
        <w:instrText xml:space="preserve"> SEQ 表格 \* ARABIC \s 2 </w:instrText>
      </w:r>
      <w:r>
        <w:rPr>
          <w:rFonts w:cs="Times New Roman"/>
          <w:b w:val="0"/>
        </w:rPr>
        <w:fldChar w:fldCharType="separate"/>
      </w:r>
      <w:r>
        <w:rPr>
          <w:rFonts w:cs="Times New Roman"/>
        </w:rPr>
        <w:t>1</w:t>
      </w:r>
      <w:r>
        <w:rPr>
          <w:rFonts w:cs="Times New Roman"/>
          <w:b w:val="0"/>
        </w:rPr>
        <w:fldChar w:fldCharType="end"/>
      </w:r>
      <w:r>
        <w:rPr>
          <w:rFonts w:cs="Times New Roman"/>
          <w:b w:val="0"/>
        </w:rPr>
        <w:t xml:space="preserve"> </w:t>
      </w:r>
      <w:r>
        <w:t xml:space="preserve"> </w:t>
      </w:r>
      <w:r>
        <w:rPr>
          <w:rFonts w:hint="eastAsia"/>
        </w:rPr>
        <w:t>施工期主要噪声源及其声级值</w:t>
      </w:r>
    </w:p>
    <w:tbl>
      <w:tblPr>
        <w:tblStyle w:val="246"/>
        <w:tblW w:w="83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2098"/>
        <w:gridCol w:w="1758"/>
        <w:gridCol w:w="2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2098" w:type="dxa"/>
            <w:tcBorders>
              <w:top w:val="single" w:color="auto" w:sz="12" w:space="0"/>
              <w:left w:val="nil"/>
            </w:tcBorders>
            <w:vAlign w:val="center"/>
          </w:tcPr>
          <w:p>
            <w:pPr>
              <w:pStyle w:val="63"/>
              <w:rPr>
                <w:b/>
              </w:rPr>
            </w:pPr>
            <w:r>
              <w:rPr>
                <w:rFonts w:hint="eastAsia"/>
                <w:b/>
              </w:rPr>
              <w:t>序号</w:t>
            </w:r>
          </w:p>
        </w:tc>
        <w:tc>
          <w:tcPr>
            <w:tcW w:w="2098" w:type="dxa"/>
            <w:tcBorders>
              <w:top w:val="single" w:color="auto" w:sz="12" w:space="0"/>
            </w:tcBorders>
            <w:vAlign w:val="center"/>
          </w:tcPr>
          <w:p>
            <w:pPr>
              <w:pStyle w:val="63"/>
              <w:rPr>
                <w:b/>
              </w:rPr>
            </w:pPr>
            <w:r>
              <w:rPr>
                <w:rFonts w:hint="eastAsia"/>
                <w:b/>
              </w:rPr>
              <w:t>机械、车辆类型</w:t>
            </w:r>
          </w:p>
        </w:tc>
        <w:tc>
          <w:tcPr>
            <w:tcW w:w="1758" w:type="dxa"/>
            <w:tcBorders>
              <w:top w:val="single" w:color="auto" w:sz="12" w:space="0"/>
            </w:tcBorders>
            <w:vAlign w:val="center"/>
          </w:tcPr>
          <w:p>
            <w:pPr>
              <w:pStyle w:val="63"/>
              <w:rPr>
                <w:b/>
              </w:rPr>
            </w:pPr>
            <w:r>
              <w:rPr>
                <w:rFonts w:hint="eastAsia"/>
                <w:b/>
              </w:rPr>
              <w:t>测点位置（m）</w:t>
            </w:r>
          </w:p>
        </w:tc>
        <w:tc>
          <w:tcPr>
            <w:tcW w:w="2438" w:type="dxa"/>
            <w:tcBorders>
              <w:top w:val="single" w:color="auto" w:sz="12" w:space="0"/>
            </w:tcBorders>
            <w:vAlign w:val="center"/>
          </w:tcPr>
          <w:p>
            <w:pPr>
              <w:pStyle w:val="63"/>
              <w:rPr>
                <w:b/>
              </w:rPr>
            </w:pPr>
            <w:r>
              <w:rPr>
                <w:rFonts w:hint="eastAsia"/>
                <w:b/>
              </w:rPr>
              <w:t>噪声值（</w:t>
            </w:r>
            <w:r>
              <w:rPr>
                <w:b/>
              </w:rPr>
              <w:t>dB</w:t>
            </w:r>
            <w:r>
              <w:rPr>
                <w:rFonts w:hint="eastAsia"/>
                <w:b/>
              </w:rPr>
              <w:t>（</w:t>
            </w:r>
            <w:r>
              <w:rPr>
                <w:b/>
              </w:rPr>
              <w:t>A</w:t>
            </w:r>
            <w:r>
              <w:rPr>
                <w:rFonts w:hint="eastAsia"/>
                <w:b/>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8" w:type="dxa"/>
            <w:tcBorders>
              <w:left w:val="nil"/>
            </w:tcBorders>
          </w:tcPr>
          <w:p>
            <w:pPr>
              <w:pStyle w:val="63"/>
            </w:pPr>
            <w:r>
              <w:rPr>
                <w:rFonts w:hint="eastAsia"/>
              </w:rPr>
              <w:t>1</w:t>
            </w:r>
          </w:p>
        </w:tc>
        <w:tc>
          <w:tcPr>
            <w:tcW w:w="2098" w:type="dxa"/>
          </w:tcPr>
          <w:p>
            <w:pPr>
              <w:pStyle w:val="63"/>
            </w:pPr>
            <w:r>
              <w:rPr>
                <w:rFonts w:hint="eastAsia"/>
              </w:rPr>
              <w:t>挖掘机</w:t>
            </w:r>
          </w:p>
        </w:tc>
        <w:tc>
          <w:tcPr>
            <w:tcW w:w="1758" w:type="dxa"/>
          </w:tcPr>
          <w:p>
            <w:pPr>
              <w:pStyle w:val="63"/>
            </w:pPr>
            <w:r>
              <w:t>5</w:t>
            </w:r>
          </w:p>
        </w:tc>
        <w:tc>
          <w:tcPr>
            <w:tcW w:w="2438" w:type="dxa"/>
          </w:tcPr>
          <w:p>
            <w:pPr>
              <w:pStyle w:val="63"/>
            </w:pPr>
            <w:r>
              <w:rPr>
                <w:rFonts w:hint="eastAsia"/>
              </w:rPr>
              <w:t>8</w:t>
            </w:r>
            <w: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8" w:type="dxa"/>
            <w:tcBorders>
              <w:left w:val="nil"/>
            </w:tcBorders>
          </w:tcPr>
          <w:p>
            <w:pPr>
              <w:pStyle w:val="63"/>
            </w:pPr>
            <w:r>
              <w:rPr>
                <w:rFonts w:hint="eastAsia"/>
              </w:rPr>
              <w:t>2</w:t>
            </w:r>
          </w:p>
        </w:tc>
        <w:tc>
          <w:tcPr>
            <w:tcW w:w="2098" w:type="dxa"/>
          </w:tcPr>
          <w:p>
            <w:pPr>
              <w:pStyle w:val="63"/>
            </w:pPr>
            <w:r>
              <w:rPr>
                <w:rFonts w:hint="eastAsia"/>
              </w:rPr>
              <w:t>推土机</w:t>
            </w:r>
          </w:p>
        </w:tc>
        <w:tc>
          <w:tcPr>
            <w:tcW w:w="1758" w:type="dxa"/>
          </w:tcPr>
          <w:p>
            <w:pPr>
              <w:pStyle w:val="63"/>
            </w:pPr>
            <w:r>
              <w:rPr>
                <w:rFonts w:hint="eastAsia"/>
              </w:rPr>
              <w:t>5</w:t>
            </w:r>
          </w:p>
        </w:tc>
        <w:tc>
          <w:tcPr>
            <w:tcW w:w="2438" w:type="dxa"/>
          </w:tcPr>
          <w:p>
            <w:pPr>
              <w:pStyle w:val="63"/>
            </w:pPr>
            <w:r>
              <w:rPr>
                <w:rFonts w:hint="eastAsia"/>
              </w:rPr>
              <w:t>8</w:t>
            </w:r>
            <w: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8" w:type="dxa"/>
            <w:tcBorders>
              <w:left w:val="nil"/>
            </w:tcBorders>
          </w:tcPr>
          <w:p>
            <w:pPr>
              <w:pStyle w:val="63"/>
            </w:pPr>
            <w:r>
              <w:rPr>
                <w:rFonts w:hint="eastAsia"/>
              </w:rPr>
              <w:t>3</w:t>
            </w:r>
          </w:p>
        </w:tc>
        <w:tc>
          <w:tcPr>
            <w:tcW w:w="2098" w:type="dxa"/>
          </w:tcPr>
          <w:p>
            <w:pPr>
              <w:pStyle w:val="63"/>
            </w:pPr>
            <w:r>
              <w:rPr>
                <w:rFonts w:hint="eastAsia"/>
              </w:rPr>
              <w:t>电焊机</w:t>
            </w:r>
          </w:p>
        </w:tc>
        <w:tc>
          <w:tcPr>
            <w:tcW w:w="1758" w:type="dxa"/>
          </w:tcPr>
          <w:p>
            <w:pPr>
              <w:pStyle w:val="63"/>
            </w:pPr>
            <w:r>
              <w:rPr>
                <w:rFonts w:hint="eastAsia"/>
              </w:rPr>
              <w:t>1</w:t>
            </w:r>
          </w:p>
        </w:tc>
        <w:tc>
          <w:tcPr>
            <w:tcW w:w="2438" w:type="dxa"/>
          </w:tcPr>
          <w:p>
            <w:pPr>
              <w:pStyle w:val="63"/>
            </w:pPr>
            <w:r>
              <w:rPr>
                <w:rFonts w:hint="eastAsia"/>
              </w:rPr>
              <w:t>8</w:t>
            </w:r>
            <w: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8" w:type="dxa"/>
            <w:tcBorders>
              <w:left w:val="nil"/>
            </w:tcBorders>
          </w:tcPr>
          <w:p>
            <w:pPr>
              <w:pStyle w:val="63"/>
            </w:pPr>
            <w:r>
              <w:rPr>
                <w:rFonts w:hint="eastAsia"/>
              </w:rPr>
              <w:t>4</w:t>
            </w:r>
          </w:p>
        </w:tc>
        <w:tc>
          <w:tcPr>
            <w:tcW w:w="2098" w:type="dxa"/>
          </w:tcPr>
          <w:p>
            <w:pPr>
              <w:pStyle w:val="63"/>
            </w:pPr>
            <w:r>
              <w:rPr>
                <w:rFonts w:hint="eastAsia"/>
              </w:rPr>
              <w:t>轮式装载车</w:t>
            </w:r>
          </w:p>
        </w:tc>
        <w:tc>
          <w:tcPr>
            <w:tcW w:w="1758" w:type="dxa"/>
          </w:tcPr>
          <w:p>
            <w:pPr>
              <w:pStyle w:val="63"/>
            </w:pPr>
            <w:r>
              <w:rPr>
                <w:rFonts w:hint="eastAsia"/>
              </w:rPr>
              <w:t>5</w:t>
            </w:r>
          </w:p>
        </w:tc>
        <w:tc>
          <w:tcPr>
            <w:tcW w:w="2438" w:type="dxa"/>
          </w:tcPr>
          <w:p>
            <w:pPr>
              <w:pStyle w:val="63"/>
            </w:pPr>
            <w:r>
              <w:rPr>
                <w:rFonts w:hint="eastAsia"/>
              </w:rPr>
              <w:t>9</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8" w:type="dxa"/>
            <w:tcBorders>
              <w:left w:val="nil"/>
            </w:tcBorders>
          </w:tcPr>
          <w:p>
            <w:pPr>
              <w:pStyle w:val="63"/>
            </w:pPr>
            <w:r>
              <w:rPr>
                <w:rFonts w:hint="eastAsia"/>
              </w:rPr>
              <w:t>5</w:t>
            </w:r>
          </w:p>
        </w:tc>
        <w:tc>
          <w:tcPr>
            <w:tcW w:w="2098" w:type="dxa"/>
          </w:tcPr>
          <w:p>
            <w:pPr>
              <w:pStyle w:val="63"/>
            </w:pPr>
            <w:r>
              <w:rPr>
                <w:rFonts w:hint="eastAsia"/>
              </w:rPr>
              <w:t>吊管机</w:t>
            </w:r>
          </w:p>
        </w:tc>
        <w:tc>
          <w:tcPr>
            <w:tcW w:w="1758" w:type="dxa"/>
          </w:tcPr>
          <w:p>
            <w:pPr>
              <w:pStyle w:val="63"/>
            </w:pPr>
            <w:r>
              <w:rPr>
                <w:rFonts w:hint="eastAsia"/>
              </w:rPr>
              <w:t>5</w:t>
            </w:r>
          </w:p>
        </w:tc>
        <w:tc>
          <w:tcPr>
            <w:tcW w:w="2438" w:type="dxa"/>
          </w:tcPr>
          <w:p>
            <w:pPr>
              <w:pStyle w:val="63"/>
            </w:pPr>
            <w:r>
              <w:rPr>
                <w:rFonts w:hint="eastAsia"/>
              </w:rPr>
              <w:t>8</w:t>
            </w: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8" w:type="dxa"/>
            <w:tcBorders>
              <w:left w:val="nil"/>
            </w:tcBorders>
          </w:tcPr>
          <w:p>
            <w:pPr>
              <w:pStyle w:val="63"/>
            </w:pPr>
            <w:r>
              <w:t>6</w:t>
            </w:r>
          </w:p>
        </w:tc>
        <w:tc>
          <w:tcPr>
            <w:tcW w:w="2098" w:type="dxa"/>
          </w:tcPr>
          <w:p>
            <w:pPr>
              <w:pStyle w:val="63"/>
            </w:pPr>
            <w:r>
              <w:rPr>
                <w:rFonts w:hint="eastAsia"/>
              </w:rPr>
              <w:t>柴油发电机</w:t>
            </w:r>
          </w:p>
        </w:tc>
        <w:tc>
          <w:tcPr>
            <w:tcW w:w="1758" w:type="dxa"/>
          </w:tcPr>
          <w:p>
            <w:pPr>
              <w:pStyle w:val="63"/>
            </w:pPr>
            <w:r>
              <w:rPr>
                <w:rFonts w:hint="eastAsia"/>
              </w:rPr>
              <w:t>1</w:t>
            </w:r>
          </w:p>
        </w:tc>
        <w:tc>
          <w:tcPr>
            <w:tcW w:w="2438" w:type="dxa"/>
          </w:tcPr>
          <w:p>
            <w:pPr>
              <w:pStyle w:val="63"/>
            </w:pPr>
            <w:r>
              <w:rPr>
                <w:rFonts w:hint="eastAsia"/>
              </w:rPr>
              <w:t>9</w:t>
            </w:r>
            <w:r>
              <w:t>8</w:t>
            </w:r>
          </w:p>
        </w:tc>
      </w:tr>
    </w:tbl>
    <w:p>
      <w:pPr>
        <w:pStyle w:val="6"/>
      </w:pPr>
      <w:r>
        <w:rPr>
          <w:rFonts w:hint="eastAsia"/>
        </w:rPr>
        <w:t xml:space="preserve"> 噪声预测及评价</w:t>
      </w:r>
    </w:p>
    <w:p>
      <w:pPr>
        <w:ind w:firstLine="482"/>
        <w:rPr>
          <w:b/>
          <w:bCs/>
        </w:rPr>
      </w:pPr>
      <w:r>
        <w:rPr>
          <w:rFonts w:hint="eastAsia"/>
          <w:b/>
          <w:bCs/>
        </w:rPr>
        <w:t>（1）噪声预测模式</w:t>
      </w:r>
    </w:p>
    <w:p>
      <w:pPr>
        <w:ind w:firstLine="480"/>
      </w:pPr>
      <w:r>
        <w:rPr>
          <w:rFonts w:hint="eastAsia"/>
        </w:rPr>
        <w:t>对于施工机械可以视为点声源，不考虑遮挡、空气吸收等因素的影响。根据《环境影响评价技术导则—声环境》（HJ2.4-2009）推荐的点声源衰减模式，可以估算出离声源不同距离敏感区的噪声值。预测公式如下:</w:t>
      </w:r>
    </w:p>
    <w:p>
      <w:pPr>
        <w:ind w:firstLine="480"/>
        <w:jc w:val="center"/>
        <w:rPr>
          <w:rFonts w:cs="Times New Roman"/>
        </w:rPr>
      </w:pPr>
      <w:r>
        <w:rPr>
          <w:rFonts w:cs="Times New Roman"/>
        </w:rPr>
        <w:t>L</w:t>
      </w:r>
      <w:r>
        <w:rPr>
          <w:rFonts w:cs="Times New Roman"/>
          <w:vertAlign w:val="subscript"/>
        </w:rPr>
        <w:t>2</w:t>
      </w:r>
      <w:r>
        <w:rPr>
          <w:rFonts w:cs="Times New Roman"/>
        </w:rPr>
        <w:t>＝L</w:t>
      </w:r>
      <w:r>
        <w:rPr>
          <w:rFonts w:cs="Times New Roman"/>
          <w:vertAlign w:val="subscript"/>
        </w:rPr>
        <w:t>1</w:t>
      </w:r>
      <w:r>
        <w:rPr>
          <w:rFonts w:cs="Times New Roman"/>
        </w:rPr>
        <w:t>－20lg（r</w:t>
      </w:r>
      <w:r>
        <w:rPr>
          <w:rFonts w:cs="Times New Roman"/>
          <w:vertAlign w:val="subscript"/>
        </w:rPr>
        <w:t>2</w:t>
      </w:r>
      <w:r>
        <w:rPr>
          <w:rFonts w:cs="Times New Roman"/>
        </w:rPr>
        <w:t>/r</w:t>
      </w:r>
      <w:r>
        <w:rPr>
          <w:rFonts w:cs="Times New Roman"/>
          <w:vertAlign w:val="subscript"/>
        </w:rPr>
        <w:t>1</w:t>
      </w:r>
      <w:r>
        <w:rPr>
          <w:rFonts w:cs="Times New Roman"/>
        </w:rPr>
        <w:t>）</w:t>
      </w:r>
    </w:p>
    <w:p>
      <w:pPr>
        <w:ind w:firstLine="480"/>
        <w:rPr>
          <w:rFonts w:cs="Times New Roman"/>
        </w:rPr>
      </w:pPr>
      <w:r>
        <w:rPr>
          <w:rFonts w:cs="Times New Roman"/>
        </w:rPr>
        <w:t>其中：L</w:t>
      </w:r>
      <w:r>
        <w:rPr>
          <w:rFonts w:cs="Times New Roman"/>
          <w:vertAlign w:val="subscript"/>
        </w:rPr>
        <w:t>1</w:t>
      </w:r>
      <w:r>
        <w:rPr>
          <w:rFonts w:cs="Times New Roman"/>
        </w:rPr>
        <w:t>、L</w:t>
      </w:r>
      <w:r>
        <w:rPr>
          <w:rFonts w:cs="Times New Roman"/>
          <w:vertAlign w:val="subscript"/>
        </w:rPr>
        <w:t>2</w:t>
      </w:r>
      <w:r>
        <w:rPr>
          <w:rFonts w:cs="Times New Roman"/>
        </w:rPr>
        <w:t>——距离声源r</w:t>
      </w:r>
      <w:r>
        <w:rPr>
          <w:rFonts w:cs="Times New Roman"/>
          <w:vertAlign w:val="subscript"/>
        </w:rPr>
        <w:t>1</w:t>
      </w:r>
      <w:r>
        <w:rPr>
          <w:rFonts w:cs="Times New Roman"/>
        </w:rPr>
        <w:t>、r</w:t>
      </w:r>
      <w:r>
        <w:rPr>
          <w:rFonts w:cs="Times New Roman"/>
          <w:vertAlign w:val="subscript"/>
        </w:rPr>
        <w:t>2</w:t>
      </w:r>
      <w:r>
        <w:rPr>
          <w:rFonts w:cs="Times New Roman"/>
        </w:rPr>
        <w:t>处的噪声值，Db(A)；</w:t>
      </w:r>
    </w:p>
    <w:p>
      <w:pPr>
        <w:ind w:firstLine="1200" w:firstLineChars="500"/>
        <w:rPr>
          <w:rFonts w:cs="Times New Roman"/>
        </w:rPr>
      </w:pPr>
      <w:r>
        <w:rPr>
          <w:rFonts w:cs="Times New Roman"/>
        </w:rPr>
        <w:t>r</w:t>
      </w:r>
      <w:r>
        <w:rPr>
          <w:rFonts w:cs="Times New Roman"/>
          <w:vertAlign w:val="subscript"/>
        </w:rPr>
        <w:t>1</w:t>
      </w:r>
      <w:r>
        <w:rPr>
          <w:rFonts w:cs="Times New Roman"/>
        </w:rPr>
        <w:t>、r</w:t>
      </w:r>
      <w:r>
        <w:rPr>
          <w:rFonts w:cs="Times New Roman"/>
          <w:vertAlign w:val="subscript"/>
        </w:rPr>
        <w:t>2</w:t>
      </w:r>
      <w:r>
        <w:rPr>
          <w:rFonts w:cs="Times New Roman"/>
        </w:rPr>
        <w:t>——预测点距声源距离。</w:t>
      </w:r>
    </w:p>
    <w:p>
      <w:pPr>
        <w:ind w:firstLine="482"/>
        <w:rPr>
          <w:rFonts w:cs="Times New Roman"/>
          <w:b/>
          <w:bCs/>
        </w:rPr>
      </w:pPr>
      <w:r>
        <w:rPr>
          <w:rFonts w:hint="eastAsia" w:cs="Times New Roman"/>
          <w:b/>
          <w:bCs/>
        </w:rPr>
        <w:t>（2）预测结果</w:t>
      </w:r>
    </w:p>
    <w:p>
      <w:pPr>
        <w:ind w:firstLine="480"/>
        <w:rPr>
          <w:rFonts w:cs="Times New Roman"/>
        </w:rPr>
      </w:pPr>
      <w:r>
        <w:rPr>
          <w:rFonts w:hint="eastAsia" w:cs="Times New Roman"/>
        </w:rPr>
        <w:t>通常施工场地上有多台不同种类的施工机械同时作业，它们的辐射声级将叠加，其强度增量视噪声源种类、数量、相对分布的距离等因素而不同。施工噪声随距离衰减后的预测值详见下</w:t>
      </w:r>
      <w:r>
        <w:rPr>
          <w:rFonts w:cs="Times New Roman"/>
        </w:rPr>
        <w:t>。</w:t>
      </w:r>
    </w:p>
    <w:p>
      <w:pPr>
        <w:pStyle w:val="73"/>
        <w:ind w:firstLine="480"/>
      </w:pPr>
      <w:r>
        <w:rPr>
          <w:rFonts w:cs="Times New Roman"/>
        </w:rPr>
        <w:t>表</w:t>
      </w:r>
      <w:r>
        <w:rPr>
          <w:rFonts w:cs="Times New Roman"/>
          <w:b w:val="0"/>
        </w:rPr>
        <w:fldChar w:fldCharType="begin"/>
      </w:r>
      <w:r>
        <w:rPr>
          <w:rFonts w:cs="Times New Roman"/>
        </w:rPr>
        <w:instrText xml:space="preserve"> STYLEREF 2 \s </w:instrText>
      </w:r>
      <w:r>
        <w:rPr>
          <w:rFonts w:cs="Times New Roman"/>
          <w:b w:val="0"/>
        </w:rPr>
        <w:fldChar w:fldCharType="separate"/>
      </w:r>
      <w:r>
        <w:rPr>
          <w:rFonts w:cs="Times New Roman"/>
        </w:rPr>
        <w:t>7.1</w:t>
      </w:r>
      <w:r>
        <w:rPr>
          <w:rFonts w:cs="Times New Roman"/>
          <w:b w:val="0"/>
        </w:rPr>
        <w:fldChar w:fldCharType="end"/>
      </w:r>
      <w:r>
        <w:rPr>
          <w:rFonts w:cs="Times New Roman"/>
        </w:rPr>
        <w:noBreakHyphen/>
      </w:r>
      <w:r>
        <w:rPr>
          <w:rFonts w:cs="Times New Roman"/>
          <w:b w:val="0"/>
        </w:rPr>
        <w:fldChar w:fldCharType="begin"/>
      </w:r>
      <w:r>
        <w:rPr>
          <w:rFonts w:cs="Times New Roman"/>
        </w:rPr>
        <w:instrText xml:space="preserve"> SEQ 表格 \* ARABIC \s 2 </w:instrText>
      </w:r>
      <w:r>
        <w:rPr>
          <w:rFonts w:cs="Times New Roman"/>
          <w:b w:val="0"/>
        </w:rPr>
        <w:fldChar w:fldCharType="separate"/>
      </w:r>
      <w:r>
        <w:rPr>
          <w:rFonts w:cs="Times New Roman"/>
        </w:rPr>
        <w:t>2</w:t>
      </w:r>
      <w:r>
        <w:rPr>
          <w:rFonts w:cs="Times New Roman"/>
          <w:b w:val="0"/>
        </w:rPr>
        <w:fldChar w:fldCharType="end"/>
      </w:r>
      <w:r>
        <w:rPr>
          <w:rFonts w:cs="Times New Roman"/>
          <w:b w:val="0"/>
        </w:rPr>
        <w:t xml:space="preserve"> </w:t>
      </w:r>
      <w:r>
        <w:t xml:space="preserve"> 噪声随距离的衰减关系表</w:t>
      </w:r>
    </w:p>
    <w:tbl>
      <w:tblPr>
        <w:tblStyle w:val="24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278"/>
        <w:gridCol w:w="850"/>
        <w:gridCol w:w="995"/>
        <w:gridCol w:w="850"/>
        <w:gridCol w:w="994"/>
        <w:gridCol w:w="855"/>
        <w:gridCol w:w="1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vMerge w:val="restart"/>
            <w:tcBorders>
              <w:top w:val="single" w:color="auto" w:sz="12" w:space="0"/>
              <w:left w:val="nil"/>
            </w:tcBorders>
            <w:vAlign w:val="center"/>
          </w:tcPr>
          <w:p>
            <w:pPr>
              <w:pStyle w:val="63"/>
              <w:rPr>
                <w:b/>
              </w:rPr>
            </w:pPr>
            <w:r>
              <w:rPr>
                <w:b/>
              </w:rPr>
              <w:t>机械名称</w:t>
            </w:r>
          </w:p>
        </w:tc>
        <w:tc>
          <w:tcPr>
            <w:tcW w:w="3416" w:type="pct"/>
            <w:gridSpan w:val="6"/>
            <w:tcBorders>
              <w:top w:val="single" w:color="auto" w:sz="12" w:space="0"/>
            </w:tcBorders>
            <w:vAlign w:val="center"/>
          </w:tcPr>
          <w:p>
            <w:pPr>
              <w:pStyle w:val="63"/>
              <w:rPr>
                <w:b/>
              </w:rPr>
            </w:pPr>
            <w:r>
              <w:rPr>
                <w:b/>
              </w:rPr>
              <w:t xml:space="preserve">噪声预测值 </w:t>
            </w:r>
            <w:r>
              <w:rPr>
                <w:rFonts w:hint="eastAsia"/>
                <w:b/>
              </w:rPr>
              <w:t>d</w:t>
            </w:r>
            <w:r>
              <w:rPr>
                <w:b/>
              </w:rPr>
              <w:t>B(A)</w:t>
            </w:r>
          </w:p>
        </w:tc>
        <w:tc>
          <w:tcPr>
            <w:tcW w:w="604" w:type="pct"/>
            <w:vMerge w:val="restart"/>
            <w:tcBorders>
              <w:top w:val="single" w:color="auto" w:sz="12" w:space="0"/>
            </w:tcBorders>
            <w:vAlign w:val="center"/>
          </w:tcPr>
          <w:p>
            <w:pPr>
              <w:pStyle w:val="63"/>
            </w:pPr>
            <w:r>
              <w:rPr>
                <w:b/>
                <w:bCs/>
                <w:spacing w:val="-20"/>
              </w:rPr>
              <w:t>标准限值</w:t>
            </w:r>
            <w:r>
              <w:rPr>
                <w:rFonts w:hint="eastAsia"/>
                <w:b/>
              </w:rPr>
              <w:t>d</w:t>
            </w:r>
            <w:r>
              <w:rPr>
                <w:b/>
              </w:rPr>
              <w:t>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vMerge w:val="continue"/>
            <w:tcBorders>
              <w:left w:val="nil"/>
            </w:tcBorders>
            <w:vAlign w:val="center"/>
          </w:tcPr>
          <w:p>
            <w:pPr>
              <w:pStyle w:val="63"/>
              <w:rPr>
                <w:b/>
              </w:rPr>
            </w:pPr>
          </w:p>
        </w:tc>
        <w:tc>
          <w:tcPr>
            <w:tcW w:w="750" w:type="pct"/>
            <w:vAlign w:val="center"/>
          </w:tcPr>
          <w:p>
            <w:pPr>
              <w:pStyle w:val="63"/>
              <w:rPr>
                <w:b/>
              </w:rPr>
            </w:pPr>
            <w:r>
              <w:rPr>
                <w:rFonts w:hint="eastAsia"/>
                <w:b/>
              </w:rPr>
              <w:t>1</w:t>
            </w:r>
            <w:r>
              <w:rPr>
                <w:b/>
              </w:rPr>
              <w:t>0m</w:t>
            </w:r>
          </w:p>
        </w:tc>
        <w:tc>
          <w:tcPr>
            <w:tcW w:w="499" w:type="pct"/>
            <w:vAlign w:val="center"/>
          </w:tcPr>
          <w:p>
            <w:pPr>
              <w:pStyle w:val="63"/>
              <w:rPr>
                <w:b/>
              </w:rPr>
            </w:pPr>
            <w:r>
              <w:rPr>
                <w:b/>
              </w:rPr>
              <w:t>20m</w:t>
            </w:r>
          </w:p>
        </w:tc>
        <w:tc>
          <w:tcPr>
            <w:tcW w:w="584" w:type="pct"/>
            <w:vAlign w:val="center"/>
          </w:tcPr>
          <w:p>
            <w:pPr>
              <w:pStyle w:val="63"/>
              <w:rPr>
                <w:b/>
              </w:rPr>
            </w:pPr>
            <w:r>
              <w:rPr>
                <w:b/>
              </w:rPr>
              <w:t>40m</w:t>
            </w:r>
          </w:p>
        </w:tc>
        <w:tc>
          <w:tcPr>
            <w:tcW w:w="499" w:type="pct"/>
            <w:vAlign w:val="center"/>
          </w:tcPr>
          <w:p>
            <w:pPr>
              <w:pStyle w:val="63"/>
              <w:rPr>
                <w:b/>
              </w:rPr>
            </w:pPr>
            <w:r>
              <w:rPr>
                <w:b/>
              </w:rPr>
              <w:t>80m</w:t>
            </w:r>
          </w:p>
        </w:tc>
        <w:tc>
          <w:tcPr>
            <w:tcW w:w="583" w:type="pct"/>
            <w:vAlign w:val="center"/>
          </w:tcPr>
          <w:p>
            <w:pPr>
              <w:pStyle w:val="63"/>
              <w:rPr>
                <w:b/>
              </w:rPr>
            </w:pPr>
            <w:r>
              <w:rPr>
                <w:b/>
              </w:rPr>
              <w:t>100m</w:t>
            </w:r>
          </w:p>
        </w:tc>
        <w:tc>
          <w:tcPr>
            <w:tcW w:w="501" w:type="pct"/>
            <w:vAlign w:val="center"/>
          </w:tcPr>
          <w:p>
            <w:pPr>
              <w:pStyle w:val="63"/>
              <w:rPr>
                <w:b/>
              </w:rPr>
            </w:pPr>
            <w:r>
              <w:rPr>
                <w:b/>
              </w:rPr>
              <w:t>200m</w:t>
            </w:r>
          </w:p>
        </w:tc>
        <w:tc>
          <w:tcPr>
            <w:tcW w:w="60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tcBorders>
              <w:left w:val="nil"/>
            </w:tcBorders>
            <w:vAlign w:val="center"/>
          </w:tcPr>
          <w:p>
            <w:pPr>
              <w:pStyle w:val="63"/>
            </w:pPr>
            <w:r>
              <w:t>挖掘机</w:t>
            </w:r>
          </w:p>
        </w:tc>
        <w:tc>
          <w:tcPr>
            <w:tcW w:w="750" w:type="pct"/>
            <w:vAlign w:val="center"/>
          </w:tcPr>
          <w:p>
            <w:pPr>
              <w:pStyle w:val="63"/>
            </w:pPr>
            <w:r>
              <w:rPr>
                <w:rFonts w:hint="eastAsia"/>
              </w:rPr>
              <w:t xml:space="preserve">78 </w:t>
            </w:r>
          </w:p>
        </w:tc>
        <w:tc>
          <w:tcPr>
            <w:tcW w:w="499" w:type="pct"/>
            <w:vAlign w:val="center"/>
          </w:tcPr>
          <w:p>
            <w:pPr>
              <w:pStyle w:val="63"/>
            </w:pPr>
            <w:r>
              <w:rPr>
                <w:rFonts w:hint="eastAsia"/>
              </w:rPr>
              <w:t xml:space="preserve">72 </w:t>
            </w:r>
          </w:p>
        </w:tc>
        <w:tc>
          <w:tcPr>
            <w:tcW w:w="584" w:type="pct"/>
            <w:vAlign w:val="center"/>
          </w:tcPr>
          <w:p>
            <w:pPr>
              <w:pStyle w:val="63"/>
            </w:pPr>
            <w:r>
              <w:rPr>
                <w:rFonts w:hint="eastAsia"/>
              </w:rPr>
              <w:t xml:space="preserve">66 </w:t>
            </w:r>
          </w:p>
        </w:tc>
        <w:tc>
          <w:tcPr>
            <w:tcW w:w="499" w:type="pct"/>
            <w:vAlign w:val="center"/>
          </w:tcPr>
          <w:p>
            <w:pPr>
              <w:pStyle w:val="63"/>
            </w:pPr>
            <w:r>
              <w:rPr>
                <w:rFonts w:hint="eastAsia"/>
              </w:rPr>
              <w:t xml:space="preserve">60 </w:t>
            </w:r>
          </w:p>
        </w:tc>
        <w:tc>
          <w:tcPr>
            <w:tcW w:w="583" w:type="pct"/>
            <w:vAlign w:val="center"/>
          </w:tcPr>
          <w:p>
            <w:pPr>
              <w:pStyle w:val="63"/>
            </w:pPr>
            <w:r>
              <w:rPr>
                <w:rFonts w:hint="eastAsia"/>
              </w:rPr>
              <w:t xml:space="preserve">58 </w:t>
            </w:r>
          </w:p>
        </w:tc>
        <w:tc>
          <w:tcPr>
            <w:tcW w:w="501" w:type="pct"/>
            <w:vAlign w:val="center"/>
          </w:tcPr>
          <w:p>
            <w:pPr>
              <w:pStyle w:val="63"/>
            </w:pPr>
            <w:r>
              <w:rPr>
                <w:rFonts w:hint="eastAsia"/>
              </w:rPr>
              <w:t xml:space="preserve">52 </w:t>
            </w:r>
          </w:p>
        </w:tc>
        <w:tc>
          <w:tcPr>
            <w:tcW w:w="604" w:type="pct"/>
            <w:vMerge w:val="restart"/>
            <w:vAlign w:val="center"/>
          </w:tcPr>
          <w:p>
            <w:pPr>
              <w:pStyle w:val="63"/>
            </w:pPr>
            <w:r>
              <w:rPr>
                <w:rFonts w:hint="eastAsia"/>
              </w:rPr>
              <w:t>昼间70；</w:t>
            </w:r>
            <w:r>
              <w:t>夜间</w:t>
            </w:r>
            <w:r>
              <w:rPr>
                <w:rFonts w:hint="eastAsi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tcBorders>
              <w:left w:val="nil"/>
            </w:tcBorders>
            <w:vAlign w:val="center"/>
          </w:tcPr>
          <w:p>
            <w:pPr>
              <w:pStyle w:val="63"/>
            </w:pPr>
            <w:r>
              <w:rPr>
                <w:rFonts w:hint="eastAsia"/>
              </w:rPr>
              <w:t>吊管机</w:t>
            </w:r>
          </w:p>
        </w:tc>
        <w:tc>
          <w:tcPr>
            <w:tcW w:w="750" w:type="pct"/>
            <w:vAlign w:val="center"/>
          </w:tcPr>
          <w:p>
            <w:pPr>
              <w:pStyle w:val="63"/>
            </w:pPr>
            <w:r>
              <w:rPr>
                <w:rFonts w:hint="eastAsia"/>
              </w:rPr>
              <w:t xml:space="preserve">75 </w:t>
            </w:r>
          </w:p>
        </w:tc>
        <w:tc>
          <w:tcPr>
            <w:tcW w:w="499" w:type="pct"/>
            <w:vAlign w:val="center"/>
          </w:tcPr>
          <w:p>
            <w:pPr>
              <w:pStyle w:val="63"/>
            </w:pPr>
            <w:r>
              <w:rPr>
                <w:rFonts w:hint="eastAsia"/>
              </w:rPr>
              <w:t xml:space="preserve">69 </w:t>
            </w:r>
          </w:p>
        </w:tc>
        <w:tc>
          <w:tcPr>
            <w:tcW w:w="584" w:type="pct"/>
            <w:vAlign w:val="center"/>
          </w:tcPr>
          <w:p>
            <w:pPr>
              <w:pStyle w:val="63"/>
            </w:pPr>
            <w:r>
              <w:rPr>
                <w:rFonts w:hint="eastAsia"/>
              </w:rPr>
              <w:t xml:space="preserve">63 </w:t>
            </w:r>
          </w:p>
        </w:tc>
        <w:tc>
          <w:tcPr>
            <w:tcW w:w="499" w:type="pct"/>
            <w:vAlign w:val="center"/>
          </w:tcPr>
          <w:p>
            <w:pPr>
              <w:pStyle w:val="63"/>
            </w:pPr>
            <w:r>
              <w:rPr>
                <w:rFonts w:hint="eastAsia"/>
              </w:rPr>
              <w:t xml:space="preserve">57 </w:t>
            </w:r>
          </w:p>
        </w:tc>
        <w:tc>
          <w:tcPr>
            <w:tcW w:w="583" w:type="pct"/>
            <w:vAlign w:val="center"/>
          </w:tcPr>
          <w:p>
            <w:pPr>
              <w:pStyle w:val="63"/>
            </w:pPr>
            <w:r>
              <w:rPr>
                <w:rFonts w:hint="eastAsia"/>
              </w:rPr>
              <w:t xml:space="preserve">55 </w:t>
            </w:r>
          </w:p>
        </w:tc>
        <w:tc>
          <w:tcPr>
            <w:tcW w:w="501" w:type="pct"/>
            <w:vAlign w:val="center"/>
          </w:tcPr>
          <w:p>
            <w:pPr>
              <w:pStyle w:val="63"/>
            </w:pPr>
            <w:r>
              <w:rPr>
                <w:rFonts w:hint="eastAsia"/>
              </w:rPr>
              <w:t xml:space="preserve">49 </w:t>
            </w:r>
          </w:p>
        </w:tc>
        <w:tc>
          <w:tcPr>
            <w:tcW w:w="60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tcBorders>
              <w:left w:val="nil"/>
            </w:tcBorders>
            <w:vAlign w:val="center"/>
          </w:tcPr>
          <w:p>
            <w:pPr>
              <w:pStyle w:val="63"/>
            </w:pPr>
            <w:r>
              <w:rPr>
                <w:rFonts w:hint="eastAsia"/>
              </w:rPr>
              <w:t>电焊机</w:t>
            </w:r>
          </w:p>
        </w:tc>
        <w:tc>
          <w:tcPr>
            <w:tcW w:w="750" w:type="pct"/>
            <w:vAlign w:val="center"/>
          </w:tcPr>
          <w:p>
            <w:pPr>
              <w:pStyle w:val="63"/>
            </w:pPr>
            <w:r>
              <w:t xml:space="preserve">67 </w:t>
            </w:r>
          </w:p>
        </w:tc>
        <w:tc>
          <w:tcPr>
            <w:tcW w:w="499" w:type="pct"/>
            <w:vAlign w:val="center"/>
          </w:tcPr>
          <w:p>
            <w:pPr>
              <w:pStyle w:val="63"/>
            </w:pPr>
            <w:r>
              <w:t xml:space="preserve">61 </w:t>
            </w:r>
          </w:p>
        </w:tc>
        <w:tc>
          <w:tcPr>
            <w:tcW w:w="584" w:type="pct"/>
            <w:vAlign w:val="center"/>
          </w:tcPr>
          <w:p>
            <w:pPr>
              <w:pStyle w:val="63"/>
            </w:pPr>
            <w:r>
              <w:t xml:space="preserve">55 </w:t>
            </w:r>
          </w:p>
        </w:tc>
        <w:tc>
          <w:tcPr>
            <w:tcW w:w="499" w:type="pct"/>
            <w:vAlign w:val="center"/>
          </w:tcPr>
          <w:p>
            <w:pPr>
              <w:pStyle w:val="63"/>
            </w:pPr>
            <w:r>
              <w:t xml:space="preserve">49 </w:t>
            </w:r>
          </w:p>
        </w:tc>
        <w:tc>
          <w:tcPr>
            <w:tcW w:w="583" w:type="pct"/>
            <w:vAlign w:val="center"/>
          </w:tcPr>
          <w:p>
            <w:pPr>
              <w:pStyle w:val="63"/>
            </w:pPr>
            <w:r>
              <w:t xml:space="preserve">47 </w:t>
            </w:r>
          </w:p>
        </w:tc>
        <w:tc>
          <w:tcPr>
            <w:tcW w:w="501" w:type="pct"/>
            <w:vAlign w:val="center"/>
          </w:tcPr>
          <w:p>
            <w:pPr>
              <w:pStyle w:val="63"/>
            </w:pPr>
            <w:r>
              <w:t xml:space="preserve">41 </w:t>
            </w:r>
          </w:p>
        </w:tc>
        <w:tc>
          <w:tcPr>
            <w:tcW w:w="60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tcBorders>
              <w:left w:val="nil"/>
            </w:tcBorders>
            <w:vAlign w:val="center"/>
          </w:tcPr>
          <w:p>
            <w:pPr>
              <w:pStyle w:val="63"/>
            </w:pPr>
            <w:r>
              <w:rPr>
                <w:rFonts w:hint="eastAsia"/>
              </w:rPr>
              <w:t>推土机</w:t>
            </w:r>
          </w:p>
        </w:tc>
        <w:tc>
          <w:tcPr>
            <w:tcW w:w="750" w:type="pct"/>
            <w:vAlign w:val="center"/>
          </w:tcPr>
          <w:p>
            <w:pPr>
              <w:pStyle w:val="63"/>
            </w:pPr>
            <w:r>
              <w:rPr>
                <w:rFonts w:hint="eastAsia"/>
              </w:rPr>
              <w:t xml:space="preserve">80 </w:t>
            </w:r>
          </w:p>
        </w:tc>
        <w:tc>
          <w:tcPr>
            <w:tcW w:w="499" w:type="pct"/>
            <w:vAlign w:val="center"/>
          </w:tcPr>
          <w:p>
            <w:pPr>
              <w:pStyle w:val="63"/>
            </w:pPr>
            <w:r>
              <w:rPr>
                <w:rFonts w:hint="eastAsia"/>
              </w:rPr>
              <w:t xml:space="preserve">74 </w:t>
            </w:r>
          </w:p>
        </w:tc>
        <w:tc>
          <w:tcPr>
            <w:tcW w:w="584" w:type="pct"/>
            <w:vAlign w:val="center"/>
          </w:tcPr>
          <w:p>
            <w:pPr>
              <w:pStyle w:val="63"/>
            </w:pPr>
            <w:r>
              <w:rPr>
                <w:rFonts w:hint="eastAsia"/>
              </w:rPr>
              <w:t xml:space="preserve">68 </w:t>
            </w:r>
          </w:p>
        </w:tc>
        <w:tc>
          <w:tcPr>
            <w:tcW w:w="499" w:type="pct"/>
            <w:vAlign w:val="center"/>
          </w:tcPr>
          <w:p>
            <w:pPr>
              <w:pStyle w:val="63"/>
            </w:pPr>
            <w:r>
              <w:rPr>
                <w:rFonts w:hint="eastAsia"/>
              </w:rPr>
              <w:t xml:space="preserve">62 </w:t>
            </w:r>
          </w:p>
        </w:tc>
        <w:tc>
          <w:tcPr>
            <w:tcW w:w="583" w:type="pct"/>
            <w:vAlign w:val="center"/>
          </w:tcPr>
          <w:p>
            <w:pPr>
              <w:pStyle w:val="63"/>
            </w:pPr>
            <w:r>
              <w:rPr>
                <w:rFonts w:hint="eastAsia"/>
              </w:rPr>
              <w:t xml:space="preserve">60 </w:t>
            </w:r>
          </w:p>
        </w:tc>
        <w:tc>
          <w:tcPr>
            <w:tcW w:w="501" w:type="pct"/>
            <w:vAlign w:val="center"/>
          </w:tcPr>
          <w:p>
            <w:pPr>
              <w:pStyle w:val="63"/>
            </w:pPr>
            <w:r>
              <w:rPr>
                <w:rFonts w:hint="eastAsia"/>
              </w:rPr>
              <w:t xml:space="preserve">54 </w:t>
            </w:r>
          </w:p>
        </w:tc>
        <w:tc>
          <w:tcPr>
            <w:tcW w:w="60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tcBorders>
              <w:left w:val="nil"/>
            </w:tcBorders>
            <w:vAlign w:val="center"/>
          </w:tcPr>
          <w:p>
            <w:pPr>
              <w:pStyle w:val="63"/>
            </w:pPr>
            <w:r>
              <w:rPr>
                <w:rFonts w:hint="eastAsia"/>
              </w:rPr>
              <w:t>柴油发电机</w:t>
            </w:r>
          </w:p>
        </w:tc>
        <w:tc>
          <w:tcPr>
            <w:tcW w:w="750" w:type="pct"/>
            <w:vAlign w:val="center"/>
          </w:tcPr>
          <w:p>
            <w:pPr>
              <w:pStyle w:val="63"/>
            </w:pPr>
            <w:r>
              <w:rPr>
                <w:rFonts w:hint="eastAsia"/>
              </w:rPr>
              <w:t xml:space="preserve">78 </w:t>
            </w:r>
          </w:p>
        </w:tc>
        <w:tc>
          <w:tcPr>
            <w:tcW w:w="499" w:type="pct"/>
            <w:vAlign w:val="center"/>
          </w:tcPr>
          <w:p>
            <w:pPr>
              <w:pStyle w:val="63"/>
            </w:pPr>
            <w:r>
              <w:rPr>
                <w:rFonts w:hint="eastAsia"/>
              </w:rPr>
              <w:t xml:space="preserve">72 </w:t>
            </w:r>
          </w:p>
        </w:tc>
        <w:tc>
          <w:tcPr>
            <w:tcW w:w="584" w:type="pct"/>
            <w:vAlign w:val="center"/>
          </w:tcPr>
          <w:p>
            <w:pPr>
              <w:pStyle w:val="63"/>
            </w:pPr>
            <w:r>
              <w:rPr>
                <w:rFonts w:hint="eastAsia"/>
              </w:rPr>
              <w:t xml:space="preserve">66 </w:t>
            </w:r>
          </w:p>
        </w:tc>
        <w:tc>
          <w:tcPr>
            <w:tcW w:w="499" w:type="pct"/>
            <w:vAlign w:val="center"/>
          </w:tcPr>
          <w:p>
            <w:pPr>
              <w:pStyle w:val="63"/>
            </w:pPr>
            <w:r>
              <w:rPr>
                <w:rFonts w:hint="eastAsia"/>
              </w:rPr>
              <w:t xml:space="preserve">60 </w:t>
            </w:r>
          </w:p>
        </w:tc>
        <w:tc>
          <w:tcPr>
            <w:tcW w:w="583" w:type="pct"/>
            <w:vAlign w:val="center"/>
          </w:tcPr>
          <w:p>
            <w:pPr>
              <w:pStyle w:val="63"/>
            </w:pPr>
            <w:r>
              <w:rPr>
                <w:rFonts w:hint="eastAsia"/>
              </w:rPr>
              <w:t xml:space="preserve">58 </w:t>
            </w:r>
          </w:p>
        </w:tc>
        <w:tc>
          <w:tcPr>
            <w:tcW w:w="501" w:type="pct"/>
            <w:vAlign w:val="center"/>
          </w:tcPr>
          <w:p>
            <w:pPr>
              <w:pStyle w:val="63"/>
            </w:pPr>
            <w:r>
              <w:rPr>
                <w:rFonts w:hint="eastAsia"/>
              </w:rPr>
              <w:t xml:space="preserve">52 </w:t>
            </w:r>
          </w:p>
        </w:tc>
        <w:tc>
          <w:tcPr>
            <w:tcW w:w="604" w:type="pct"/>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0" w:type="pct"/>
            <w:tcBorders>
              <w:left w:val="nil"/>
            </w:tcBorders>
            <w:vAlign w:val="center"/>
          </w:tcPr>
          <w:p>
            <w:pPr>
              <w:pStyle w:val="63"/>
            </w:pPr>
            <w:r>
              <w:t>轮式装载车</w:t>
            </w:r>
          </w:p>
        </w:tc>
        <w:tc>
          <w:tcPr>
            <w:tcW w:w="750" w:type="pct"/>
            <w:vAlign w:val="center"/>
          </w:tcPr>
          <w:p>
            <w:pPr>
              <w:pStyle w:val="63"/>
            </w:pPr>
            <w:r>
              <w:rPr>
                <w:rFonts w:hint="eastAsia"/>
              </w:rPr>
              <w:t xml:space="preserve">84 </w:t>
            </w:r>
          </w:p>
        </w:tc>
        <w:tc>
          <w:tcPr>
            <w:tcW w:w="499" w:type="pct"/>
            <w:vAlign w:val="center"/>
          </w:tcPr>
          <w:p>
            <w:pPr>
              <w:pStyle w:val="63"/>
            </w:pPr>
            <w:r>
              <w:rPr>
                <w:rFonts w:hint="eastAsia"/>
              </w:rPr>
              <w:t xml:space="preserve">78 </w:t>
            </w:r>
          </w:p>
        </w:tc>
        <w:tc>
          <w:tcPr>
            <w:tcW w:w="584" w:type="pct"/>
            <w:vAlign w:val="center"/>
          </w:tcPr>
          <w:p>
            <w:pPr>
              <w:pStyle w:val="63"/>
            </w:pPr>
            <w:r>
              <w:rPr>
                <w:rFonts w:hint="eastAsia"/>
              </w:rPr>
              <w:t xml:space="preserve">72 </w:t>
            </w:r>
          </w:p>
        </w:tc>
        <w:tc>
          <w:tcPr>
            <w:tcW w:w="499" w:type="pct"/>
            <w:vAlign w:val="center"/>
          </w:tcPr>
          <w:p>
            <w:pPr>
              <w:pStyle w:val="63"/>
            </w:pPr>
            <w:r>
              <w:rPr>
                <w:rFonts w:hint="eastAsia"/>
              </w:rPr>
              <w:t xml:space="preserve">66 </w:t>
            </w:r>
          </w:p>
        </w:tc>
        <w:tc>
          <w:tcPr>
            <w:tcW w:w="583" w:type="pct"/>
            <w:vAlign w:val="center"/>
          </w:tcPr>
          <w:p>
            <w:pPr>
              <w:pStyle w:val="63"/>
            </w:pPr>
            <w:r>
              <w:rPr>
                <w:rFonts w:hint="eastAsia"/>
              </w:rPr>
              <w:t xml:space="preserve">64 </w:t>
            </w:r>
          </w:p>
        </w:tc>
        <w:tc>
          <w:tcPr>
            <w:tcW w:w="501" w:type="pct"/>
            <w:vAlign w:val="center"/>
          </w:tcPr>
          <w:p>
            <w:pPr>
              <w:pStyle w:val="63"/>
            </w:pPr>
            <w:r>
              <w:rPr>
                <w:rFonts w:hint="eastAsia"/>
              </w:rPr>
              <w:t xml:space="preserve">58 </w:t>
            </w:r>
          </w:p>
        </w:tc>
        <w:tc>
          <w:tcPr>
            <w:tcW w:w="604" w:type="pct"/>
            <w:vMerge w:val="continue"/>
            <w:vAlign w:val="center"/>
          </w:tcPr>
          <w:p>
            <w:pPr>
              <w:pStyle w:val="63"/>
            </w:pPr>
          </w:p>
        </w:tc>
      </w:tr>
    </w:tbl>
    <w:p>
      <w:pPr>
        <w:spacing w:before="163" w:beforeLines="50"/>
        <w:ind w:firstLine="480"/>
        <w:rPr>
          <w:rFonts w:cs="Times New Roman"/>
          <w:bCs/>
        </w:rPr>
      </w:pPr>
      <w:r>
        <w:rPr>
          <w:rFonts w:hint="eastAsia" w:cs="Times New Roman"/>
        </w:rPr>
        <w:t>由上表可知，</w:t>
      </w:r>
      <w:r>
        <w:rPr>
          <w:rFonts w:cs="Times New Roman"/>
          <w:bCs/>
        </w:rPr>
        <w:t>项目施工过程中主要机械在80m以外不超过《建筑施工场界环境噪声排放标准》（GB 12523-2011）中昼间噪声限值70dB（A），而在夜间若不超过55dB（A）的标准，其距离要达到200m以上。</w:t>
      </w:r>
      <w:r>
        <w:rPr>
          <w:rFonts w:hint="eastAsia" w:cs="Times New Roman"/>
          <w:bCs/>
        </w:rPr>
        <w:t>由于夜间强噪声源是禁止施工的，且管道工程夜间不施工，基于此前提下，工程施工噪声影响主要集中在昼间。</w:t>
      </w:r>
    </w:p>
    <w:p>
      <w:pPr>
        <w:ind w:firstLine="482"/>
        <w:rPr>
          <w:rFonts w:cs="Times New Roman"/>
          <w:b/>
          <w:bCs/>
        </w:rPr>
      </w:pPr>
      <w:r>
        <w:rPr>
          <w:rFonts w:hint="eastAsia" w:cs="Times New Roman"/>
          <w:b/>
          <w:bCs/>
        </w:rPr>
        <w:t>（3）噪声</w:t>
      </w:r>
      <w:r>
        <w:rPr>
          <w:rFonts w:cs="Times New Roman"/>
          <w:b/>
          <w:bCs/>
        </w:rPr>
        <w:t>影响</w:t>
      </w:r>
      <w:r>
        <w:rPr>
          <w:rFonts w:hint="eastAsia" w:cs="Times New Roman"/>
          <w:b/>
          <w:bCs/>
        </w:rPr>
        <w:t>分析</w:t>
      </w:r>
    </w:p>
    <w:p>
      <w:pPr>
        <w:ind w:firstLine="480"/>
        <w:rPr>
          <w:rFonts w:cs="Times New Roman"/>
          <w:bCs/>
        </w:rPr>
      </w:pPr>
      <w:r>
        <w:rPr>
          <w:rFonts w:cs="Times New Roman"/>
          <w:bCs/>
        </w:rPr>
        <w:t>管线两侧200m以内的声环境保护目标在施工期会受到施工噪声的影响较大，距离施工区域越近，噪声水平有不同程度的增加，若不采取隔声降噪措施，噪声值会超过标准限值。但项目管线采取分段施工，施工噪声是短暂的且具有分散性，一般在白天施工，不会对夜间声环境产生影响。</w:t>
      </w:r>
      <w:r>
        <w:t>在施工过程中，应尽量选择合理的施工时间，高噪声设备作业可尽量避开周边农户午间休息时间，最大程度避免噪声扰民。同时，</w:t>
      </w:r>
      <w:r>
        <w:rPr>
          <w:rFonts w:hint="eastAsia"/>
        </w:rPr>
        <w:t>场站</w:t>
      </w:r>
      <w:r>
        <w:t>周围分布有树木、山体等自然声屏障，对噪声的传播会起到一定的阻隔作用。</w:t>
      </w:r>
      <w:r>
        <w:rPr>
          <w:rFonts w:cs="Times New Roman"/>
          <w:bCs/>
        </w:rPr>
        <w:t>在同一工段施工时间为3~5天，随着施工期的结束，影响也随之结束。</w:t>
      </w:r>
      <w:r>
        <w:rPr>
          <w:rFonts w:hint="eastAsia" w:cs="Times New Roman"/>
          <w:bCs/>
        </w:rPr>
        <w:t>本项目穿越公路</w:t>
      </w:r>
      <w:r>
        <w:rPr>
          <w:rFonts w:cs="Times New Roman"/>
          <w:bCs/>
        </w:rPr>
        <w:t>点</w:t>
      </w:r>
      <w:r>
        <w:rPr>
          <w:rFonts w:hint="eastAsia" w:cs="Times New Roman"/>
          <w:bCs/>
        </w:rPr>
        <w:t>现场近距离有居民，应根据实际情况采取临时围挡等降噪措施，避免施工噪声扰民。</w:t>
      </w:r>
      <w:r>
        <w:rPr>
          <w:rFonts w:cs="Times New Roman"/>
          <w:bCs/>
        </w:rPr>
        <w:t>因此，一般施工噪声对周围居民的生活影响不是很大</w:t>
      </w:r>
      <w:r>
        <w:rPr>
          <w:rFonts w:hint="eastAsia" w:cs="Times New Roman"/>
          <w:bCs/>
        </w:rPr>
        <w:t>，</w:t>
      </w:r>
      <w:r>
        <w:t>其环境影响可控制在</w:t>
      </w:r>
      <w:r>
        <w:rPr>
          <w:lang w:bidi="ar"/>
        </w:rPr>
        <w:t>当地环境可接受范围内。</w:t>
      </w:r>
    </w:p>
    <w:p>
      <w:pPr>
        <w:ind w:firstLine="480"/>
      </w:pPr>
      <w:r>
        <w:rPr>
          <w:lang w:bidi="ar"/>
        </w:rPr>
        <w:t>综上，</w:t>
      </w:r>
      <w:r>
        <w:rPr>
          <w:rFonts w:hint="eastAsia"/>
          <w:lang w:bidi="ar"/>
        </w:rPr>
        <w:t>本项目施工</w:t>
      </w:r>
      <w:r>
        <w:rPr>
          <w:lang w:bidi="ar"/>
        </w:rPr>
        <w:t>期机械噪声将对附近村民等声环境敏感点造成一定影响，但伴随着施工期结束，其影响将会消失</w:t>
      </w:r>
      <w:r>
        <w:rPr>
          <w:rFonts w:hint="eastAsia"/>
          <w:lang w:bidi="ar"/>
        </w:rPr>
        <w:t>，</w:t>
      </w:r>
      <w:r>
        <w:t>其环境影响可控制在</w:t>
      </w:r>
      <w:r>
        <w:rPr>
          <w:lang w:bidi="ar"/>
        </w:rPr>
        <w:t>当地环境可接受范围内。</w:t>
      </w:r>
    </w:p>
    <w:p>
      <w:pPr>
        <w:pStyle w:val="5"/>
      </w:pPr>
      <w:r>
        <w:t xml:space="preserve"> </w:t>
      </w:r>
      <w:bookmarkStart w:id="249" w:name="_Toc96680719"/>
      <w:r>
        <w:rPr>
          <w:rFonts w:hint="eastAsia"/>
        </w:rPr>
        <w:t>施工期固体废物</w:t>
      </w:r>
      <w:r>
        <w:t>环境影响分析</w:t>
      </w:r>
      <w:bookmarkEnd w:id="249"/>
    </w:p>
    <w:p>
      <w:pPr>
        <w:ind w:firstLine="480"/>
      </w:pPr>
      <w:r>
        <w:t>施工期产生的固体废物主要是生活垃圾、施工废料以及清管试压废渣。</w:t>
      </w:r>
    </w:p>
    <w:p>
      <w:pPr>
        <w:pStyle w:val="248"/>
        <w:ind w:firstLine="480"/>
        <w:rPr>
          <w:rFonts w:hAnsi="Times New Roman" w:cs="Times New Roman"/>
        </w:rPr>
      </w:pPr>
      <w:r>
        <w:rPr>
          <w:rFonts w:hAnsi="Times New Roman" w:cs="Times New Roman"/>
        </w:rPr>
        <w:t>本项目针对施工人员生活垃圾拟采取定点收集，收集后定期交当地环卫部门处理的措施，规范生活垃圾的管理，避免其乱堆放，确保施工场地有良好的卫生条件，减小生活垃圾对环境的不良影响。施工废料部分由施工单位回收利用，不能利用的由施工队伍统一收集清运至周边合法建筑渣场处置。清管试压废渣</w:t>
      </w:r>
      <w:r>
        <w:rPr>
          <w:rFonts w:hAnsi="Times New Roman"/>
          <w:szCs w:val="21"/>
        </w:rPr>
        <w:t>统一收集清运至周边合法建筑渣场处置</w:t>
      </w:r>
      <w:r>
        <w:rPr>
          <w:rFonts w:hAnsi="Times New Roman" w:cs="Times New Roman"/>
        </w:rPr>
        <w:t>。</w:t>
      </w:r>
    </w:p>
    <w:p>
      <w:pPr>
        <w:pStyle w:val="248"/>
        <w:ind w:firstLine="480"/>
        <w:rPr>
          <w:rFonts w:hAnsi="Times New Roman" w:cs="Times New Roman"/>
        </w:rPr>
      </w:pPr>
      <w:r>
        <w:rPr>
          <w:rFonts w:hAnsi="Times New Roman" w:cs="Times New Roman"/>
        </w:rPr>
        <w:t>本工程产生的固体废物量很少，采取上述措施可得到合理的处理与处置</w:t>
      </w:r>
      <w:r>
        <w:rPr>
          <w:rFonts w:hint="eastAsia" w:hAnsi="Times New Roman" w:cs="Times New Roman"/>
        </w:rPr>
        <w:t>，</w:t>
      </w:r>
      <w:r>
        <w:rPr>
          <w:rFonts w:hAnsi="Times New Roman" w:cs="Times New Roman"/>
        </w:rPr>
        <w:t>不会对环境造成影响。</w:t>
      </w:r>
    </w:p>
    <w:p>
      <w:pPr>
        <w:pStyle w:val="5"/>
        <w:rPr>
          <w:rFonts w:cs="Times New Roman"/>
        </w:rPr>
      </w:pPr>
      <w:r>
        <w:rPr>
          <w:rFonts w:cs="Times New Roman"/>
        </w:rPr>
        <w:t xml:space="preserve"> </w:t>
      </w:r>
      <w:bookmarkStart w:id="250" w:name="_Toc96680720"/>
      <w:r>
        <w:rPr>
          <w:rFonts w:hint="eastAsia" w:cs="Times New Roman"/>
        </w:rPr>
        <w:t>施工期生态环境</w:t>
      </w:r>
      <w:r>
        <w:rPr>
          <w:rFonts w:cs="Times New Roman"/>
        </w:rPr>
        <w:t>影响分析</w:t>
      </w:r>
      <w:bookmarkEnd w:id="250"/>
    </w:p>
    <w:p>
      <w:pPr>
        <w:pStyle w:val="6"/>
        <w:rPr>
          <w:rFonts w:cs="Times New Roman"/>
        </w:rPr>
      </w:pPr>
      <w:r>
        <w:rPr>
          <w:rFonts w:cs="Times New Roman"/>
        </w:rPr>
        <w:t xml:space="preserve"> </w:t>
      </w:r>
      <w:r>
        <w:rPr>
          <w:rFonts w:hint="eastAsia" w:cs="Times New Roman"/>
        </w:rPr>
        <w:t>土地利用</w:t>
      </w:r>
      <w:r>
        <w:rPr>
          <w:rFonts w:cs="Times New Roman"/>
        </w:rPr>
        <w:t>影响分析</w:t>
      </w:r>
    </w:p>
    <w:p>
      <w:pPr>
        <w:ind w:firstLine="480"/>
      </w:pPr>
      <w:r>
        <w:rPr>
          <w:rFonts w:hint="eastAsia"/>
        </w:rPr>
        <w:t>本项目</w:t>
      </w:r>
      <w:r>
        <w:t>管线</w:t>
      </w:r>
      <w:r>
        <w:rPr>
          <w:rFonts w:hint="eastAsia"/>
        </w:rPr>
        <w:t>敷设</w:t>
      </w:r>
      <w:r>
        <w:t>要侵占土地、破坏植被，改变原有生态系统结构和功能。在施工期间工程建设对生态环境的影响属于高强度、低频率的局地性破坏。管线</w:t>
      </w:r>
      <w:r>
        <w:rPr>
          <w:rFonts w:hint="eastAsia"/>
        </w:rPr>
        <w:t>敷设</w:t>
      </w:r>
      <w:r>
        <w:t>作业本身要占用一定面积的土地，机械、运输车辆碾压、人员践踏、材料占地、土体翻出</w:t>
      </w:r>
      <w:r>
        <w:rPr>
          <w:rFonts w:hint="eastAsia"/>
        </w:rPr>
        <w:t>堆放</w:t>
      </w:r>
      <w:r>
        <w:t>地表等活动占用的土地面积更远远超过工程本身。这些占地属暂时性影响，使植被遭砍伐、被铲除，野生动物受惊吓和驱赶，破坏了原有生态环境的自然性，同时施工期开挖土方会破坏植被，造成水土流失。</w:t>
      </w:r>
    </w:p>
    <w:p>
      <w:pPr>
        <w:ind w:firstLine="480"/>
      </w:pPr>
      <w:r>
        <w:rPr>
          <w:rFonts w:cs="Times New Roman"/>
        </w:rPr>
        <w:t>工程占地包括临时占地和永久占地。</w:t>
      </w:r>
      <w:r>
        <w:t>总占地面积约27222m</w:t>
      </w:r>
      <w:r>
        <w:rPr>
          <w:vertAlign w:val="superscript"/>
        </w:rPr>
        <w:t>2</w:t>
      </w:r>
      <w:r>
        <w:rPr>
          <w:rFonts w:hint="eastAsia"/>
        </w:rPr>
        <w:t>（</w:t>
      </w:r>
      <w:r>
        <w:t>2.7222hm</w:t>
      </w:r>
      <w:r>
        <w:rPr>
          <w:vertAlign w:val="superscript"/>
        </w:rPr>
        <w:t>2</w:t>
      </w:r>
      <w:r>
        <w:rPr>
          <w:rFonts w:hint="eastAsia"/>
        </w:rPr>
        <w:t>）</w:t>
      </w:r>
      <w:r>
        <w:t>，其中永久占地面积约22m</w:t>
      </w:r>
      <w:r>
        <w:rPr>
          <w:vertAlign w:val="superscript"/>
        </w:rPr>
        <w:t>2</w:t>
      </w:r>
      <w:r>
        <w:rPr>
          <w:rFonts w:hint="eastAsia"/>
        </w:rPr>
        <w:t>（0.0022</w:t>
      </w:r>
      <w:r>
        <w:t>hm</w:t>
      </w:r>
      <w:r>
        <w:rPr>
          <w:vertAlign w:val="superscript"/>
        </w:rPr>
        <w:t>2</w:t>
      </w:r>
      <w:r>
        <w:rPr>
          <w:rFonts w:hint="eastAsia"/>
        </w:rPr>
        <w:t>）</w:t>
      </w:r>
      <w:r>
        <w:t>，临时占地约27200m</w:t>
      </w:r>
      <w:r>
        <w:rPr>
          <w:vertAlign w:val="superscript"/>
        </w:rPr>
        <w:t>2</w:t>
      </w:r>
      <w:r>
        <w:rPr>
          <w:rFonts w:hint="eastAsia"/>
        </w:rPr>
        <w:t>（</w:t>
      </w:r>
      <w:r>
        <w:t>2.72hm</w:t>
      </w:r>
      <w:r>
        <w:rPr>
          <w:vertAlign w:val="superscript"/>
        </w:rPr>
        <w:t>2</w:t>
      </w:r>
      <w:r>
        <w:rPr>
          <w:rFonts w:hint="eastAsia"/>
        </w:rPr>
        <w:t>）</w:t>
      </w:r>
      <w:r>
        <w:t>。</w:t>
      </w:r>
      <w:r>
        <w:rPr>
          <w:rFonts w:cs="Times New Roman"/>
        </w:rPr>
        <w:t>临时占地主要</w:t>
      </w:r>
      <w:r>
        <w:rPr>
          <w:rFonts w:hint="eastAsia" w:cs="Times New Roman"/>
        </w:rPr>
        <w:t>为</w:t>
      </w:r>
      <w:r>
        <w:rPr>
          <w:rFonts w:cs="Times New Roman"/>
        </w:rPr>
        <w:t>集输管线敷设过程中</w:t>
      </w:r>
      <w:r>
        <w:rPr>
          <w:rFonts w:hint="eastAsia" w:cs="Times New Roman"/>
        </w:rPr>
        <w:t>施工便道和</w:t>
      </w:r>
      <w:r>
        <w:rPr>
          <w:rFonts w:cs="Times New Roman"/>
        </w:rPr>
        <w:t>堆管场占地，永久占地包括</w:t>
      </w:r>
      <w:r>
        <w:rPr>
          <w:rFonts w:hint="eastAsia" w:cs="Times New Roman"/>
        </w:rPr>
        <w:t>标志桩和</w:t>
      </w:r>
      <w:r>
        <w:rPr>
          <w:rFonts w:cs="Times New Roman"/>
        </w:rPr>
        <w:t>警示牌等的永久征地。具体占地情况详见</w:t>
      </w:r>
      <w:r>
        <w:rPr>
          <w:rFonts w:hint="eastAsia" w:cs="Times New Roman"/>
        </w:rPr>
        <w:t>表2.8</w:t>
      </w:r>
      <w:r>
        <w:rPr>
          <w:rFonts w:cs="Times New Roman"/>
        </w:rPr>
        <w:t>-1。</w:t>
      </w:r>
    </w:p>
    <w:p>
      <w:pPr>
        <w:ind w:firstLine="482"/>
        <w:rPr>
          <w:b/>
          <w:bCs/>
        </w:rPr>
      </w:pPr>
      <w:r>
        <w:rPr>
          <w:b/>
          <w:bCs/>
        </w:rPr>
        <w:t>（1）永久占地</w:t>
      </w:r>
      <w:r>
        <w:rPr>
          <w:rFonts w:hint="eastAsia"/>
          <w:b/>
          <w:bCs/>
        </w:rPr>
        <w:t>的</w:t>
      </w:r>
      <w:r>
        <w:rPr>
          <w:b/>
          <w:bCs/>
        </w:rPr>
        <w:t>影响分析</w:t>
      </w:r>
    </w:p>
    <w:p>
      <w:pPr>
        <w:pStyle w:val="248"/>
        <w:ind w:firstLine="480"/>
        <w:rPr>
          <w:rFonts w:hAnsi="Times New Roman" w:cs="Times New Roman"/>
        </w:rPr>
      </w:pPr>
      <w:r>
        <w:rPr>
          <w:rFonts w:hAnsi="Times New Roman" w:cs="Times New Roman"/>
        </w:rPr>
        <w:t>管线</w:t>
      </w:r>
      <w:r>
        <w:rPr>
          <w:rFonts w:hint="eastAsia" w:hAnsi="Times New Roman" w:cs="Times New Roman"/>
        </w:rPr>
        <w:t>的标志</w:t>
      </w:r>
      <w:r>
        <w:rPr>
          <w:rFonts w:hAnsi="Times New Roman" w:cs="Times New Roman"/>
        </w:rPr>
        <w:t>桩和</w:t>
      </w:r>
      <w:r>
        <w:rPr>
          <w:rFonts w:hint="eastAsia" w:hAnsi="Times New Roman" w:cs="Times New Roman"/>
        </w:rPr>
        <w:t>警示</w:t>
      </w:r>
      <w:r>
        <w:rPr>
          <w:rFonts w:hAnsi="Times New Roman" w:cs="Times New Roman"/>
        </w:rPr>
        <w:t>牌占地为永久占地，共计22m</w:t>
      </w:r>
      <w:r>
        <w:rPr>
          <w:rFonts w:hAnsi="Times New Roman" w:cs="Times New Roman"/>
          <w:vertAlign w:val="superscript"/>
        </w:rPr>
        <w:t>2</w:t>
      </w:r>
      <w:r>
        <w:rPr>
          <w:rFonts w:hAnsi="Times New Roman" w:cs="Times New Roman"/>
        </w:rPr>
        <w:t>。永久占地将彻底改变原有土地利用类型的性质，但永久占地面积相对较小，对评价区土地利用方式的影响较轻微。工程建成后，通过在</w:t>
      </w:r>
      <w:r>
        <w:rPr>
          <w:rFonts w:hint="eastAsia" w:hAnsi="Times New Roman" w:cs="Times New Roman"/>
        </w:rPr>
        <w:t>占地</w:t>
      </w:r>
      <w:r>
        <w:rPr>
          <w:rFonts w:hAnsi="Times New Roman" w:cs="Times New Roman"/>
        </w:rPr>
        <w:t>周围进行植被恢复，可一定程度上补偿永久占地造成的生态损失。</w:t>
      </w:r>
    </w:p>
    <w:p>
      <w:pPr>
        <w:ind w:firstLine="482"/>
        <w:rPr>
          <w:b/>
          <w:bCs/>
        </w:rPr>
      </w:pPr>
      <w:r>
        <w:rPr>
          <w:b/>
          <w:bCs/>
        </w:rPr>
        <w:t>（2）临时占地</w:t>
      </w:r>
      <w:r>
        <w:rPr>
          <w:rFonts w:hint="eastAsia"/>
          <w:b/>
          <w:bCs/>
        </w:rPr>
        <w:t>的</w:t>
      </w:r>
      <w:r>
        <w:rPr>
          <w:b/>
          <w:bCs/>
        </w:rPr>
        <w:t>影响分析</w:t>
      </w:r>
    </w:p>
    <w:p>
      <w:pPr>
        <w:pStyle w:val="214"/>
        <w:ind w:firstLine="480"/>
      </w:pPr>
      <w:r>
        <w:t>工程临时占地</w:t>
      </w:r>
      <w:r>
        <w:rPr>
          <w:rFonts w:hint="eastAsia"/>
        </w:rPr>
        <w:t>2.72</w:t>
      </w:r>
      <w:r>
        <w:t>hm</w:t>
      </w:r>
      <w:r>
        <w:rPr>
          <w:vertAlign w:val="superscript"/>
        </w:rPr>
        <w:t>2</w:t>
      </w:r>
      <w:r>
        <w:t>。临时占地将破坏占用土地上的植被并在短期内对土地利用功能构成较大影响。但随着施工结束后各项植被恢复及水保措施的实施，经2～3年的恢复治理，临时占地范围原有土地利用类型可基本得以恢复。</w:t>
      </w:r>
    </w:p>
    <w:p>
      <w:pPr>
        <w:pStyle w:val="6"/>
      </w:pPr>
      <w:r>
        <w:rPr>
          <w:rFonts w:hint="eastAsia"/>
        </w:rPr>
        <w:t xml:space="preserve"> </w:t>
      </w:r>
      <w:r>
        <w:t>对植被的影响分析</w:t>
      </w:r>
    </w:p>
    <w:p>
      <w:pPr>
        <w:pStyle w:val="248"/>
        <w:ind w:firstLine="480"/>
        <w:rPr>
          <w:rFonts w:hAnsi="Times New Roman" w:cs="Times New Roman"/>
        </w:rPr>
      </w:pPr>
      <w:r>
        <w:rPr>
          <w:rFonts w:hAnsi="Times New Roman" w:cs="Times New Roman"/>
        </w:rPr>
        <w:t>本项目对植被的影响主要包括直接影响和间接影响两个方面，一是对植被造成直接破坏，如施工占地、施工扬尘、人为活动等；二是通过施工活动和建设对土壤、地下水环境的改变，造成水土流失、土壤沙化等，间接影响植物生长。</w:t>
      </w:r>
    </w:p>
    <w:p>
      <w:pPr>
        <w:pStyle w:val="248"/>
        <w:ind w:firstLine="482"/>
        <w:rPr>
          <w:rFonts w:hAnsi="Times New Roman" w:cs="Times New Roman"/>
          <w:b/>
          <w:bCs/>
        </w:rPr>
      </w:pPr>
      <w:r>
        <w:rPr>
          <w:rFonts w:hAnsi="Times New Roman" w:cs="Times New Roman"/>
          <w:b/>
          <w:bCs/>
        </w:rPr>
        <w:t>（1）</w:t>
      </w:r>
      <w:r>
        <w:rPr>
          <w:rFonts w:hint="eastAsia" w:hAnsi="Times New Roman" w:cs="Times New Roman"/>
          <w:b/>
          <w:bCs/>
        </w:rPr>
        <w:t>施工</w:t>
      </w:r>
      <w:r>
        <w:rPr>
          <w:rFonts w:hAnsi="Times New Roman" w:cs="Times New Roman"/>
          <w:b/>
          <w:bCs/>
        </w:rPr>
        <w:t>对植被的影响分析</w:t>
      </w:r>
    </w:p>
    <w:p>
      <w:pPr>
        <w:pStyle w:val="248"/>
        <w:ind w:firstLine="480"/>
        <w:rPr>
          <w:rFonts w:hAnsi="Times New Roman" w:cs="Times New Roman"/>
        </w:rPr>
      </w:pPr>
      <w:r>
        <w:rPr>
          <w:rFonts w:hint="eastAsia" w:hAnsi="Times New Roman" w:cs="Times New Roman"/>
        </w:rPr>
        <w:t>本项目</w:t>
      </w:r>
      <w:r>
        <w:rPr>
          <w:rFonts w:hAnsi="Times New Roman" w:cs="Times New Roman"/>
        </w:rPr>
        <w:t>对植物的影响主要体现在施工过程中，会造成</w:t>
      </w:r>
      <w:r>
        <w:rPr>
          <w:rFonts w:hint="eastAsia" w:hAnsi="Times New Roman" w:cs="Times New Roman"/>
        </w:rPr>
        <w:t>管线</w:t>
      </w:r>
      <w:r>
        <w:rPr>
          <w:rFonts w:hAnsi="Times New Roman" w:cs="Times New Roman"/>
        </w:rPr>
        <w:t>沿线所经地区地表植被的带状损失。管沟范围内的植物地上部分与根系均被铲除，同时还会伤及近旁植物的根系，以管沟为中心，两侧施工带其他部位的植被，由于挖掘出的土石堆放、人员践踏、施工车辆和机具的碾压，会造成地上部分破坏设置去除，但根系仍可保留。施工作业带附近的植被还会由于施工人员的采摘、砍伐等活动而受到不同程度的破坏。</w:t>
      </w:r>
    </w:p>
    <w:p>
      <w:pPr>
        <w:pStyle w:val="248"/>
        <w:ind w:firstLine="480"/>
        <w:rPr>
          <w:rFonts w:hAnsi="Times New Roman" w:cs="Times New Roman"/>
        </w:rPr>
      </w:pPr>
      <w:r>
        <w:rPr>
          <w:rFonts w:hAnsi="Times New Roman" w:cs="Times New Roman"/>
        </w:rPr>
        <w:t>对不同类型的植被影响程度是不同的。灌木草丛、农田等植被类型，由于其本身群落结构比较简单，主要为草本、灌木等，对生境的环境因子要求也相对较低，根据恢复生态学的相关理论，在遭受同等干扰破坏的情况下，群落结构相对简单的抵抗稳定性较低，容易造成较大的破坏，但其恢复力较强，恢复时间较短。对于群落结构相对复杂的林地而言，管线工程采取地面与根系完全铲除的暴力性破坏干扰，且施工结束后管道两侧5m范围内不得种植深根植物，这将会对生态系统及景观造成直接影响，且植被群落的演替要经历一个长久的过程，林地恢复周期较长。此外，乔灌林的砍伐，裸露地貌会形成风沙，河流两侧坡面裸露的地表遇到大雨则会产生水土流失。</w:t>
      </w:r>
    </w:p>
    <w:p>
      <w:pPr>
        <w:ind w:firstLine="480"/>
      </w:pPr>
      <w:r>
        <w:rPr>
          <w:rFonts w:cs="Times New Roman"/>
        </w:rPr>
        <w:t>本项目输气管线长2km，施工作业带宽12m，管线工程占地面积共计2.4hm</w:t>
      </w:r>
      <w:r>
        <w:rPr>
          <w:rFonts w:cs="Times New Roman"/>
          <w:vertAlign w:val="superscript"/>
        </w:rPr>
        <w:t>2</w:t>
      </w:r>
      <w:r>
        <w:rPr>
          <w:rFonts w:cs="Times New Roman"/>
        </w:rPr>
        <w:t>。根据现场调查及遥感解译，管线工程施工作业带用地范围内有针叶林、灌丛、农田隙闲地草地、农田植被等。工程对农田植被的影响为生产减产，主要表现为耽误一季农作物生产，二季农作物减产；对灌草丛、灌丛植被及针叶林的影响，损失的植被主要为当地地带性植被，由于植被损失面积占沿线地区同一植被类型面积的比例较小，故管线工程对沿线植被资源数量影响不大，仅造成沿线植被的生物量略有减少，对区域生态完整性的破坏影响很小；管线工程导致临时用地范围内植被暂时性消失，由于这些植物种类均为区域内常见种，分布范围广，分布面积大，因此本项目管线工程不会造成评价区内植物种类的减少，也不会造成区域植物区系发生改变。</w:t>
      </w:r>
    </w:p>
    <w:p>
      <w:pPr>
        <w:pStyle w:val="214"/>
        <w:ind w:firstLine="482"/>
        <w:rPr>
          <w:b/>
        </w:rPr>
      </w:pPr>
      <w:r>
        <w:rPr>
          <w:rFonts w:hint="eastAsia"/>
          <w:b/>
        </w:rPr>
        <w:t>（2）</w:t>
      </w:r>
      <w:r>
        <w:rPr>
          <w:b/>
        </w:rPr>
        <w:t>对植物种群及多样性影响</w:t>
      </w:r>
    </w:p>
    <w:p>
      <w:pPr>
        <w:pStyle w:val="214"/>
        <w:ind w:firstLine="480"/>
      </w:pPr>
      <w:r>
        <w:t>由于地表工程建设等因素，造成植物生境的破坏，使得植被覆盖率降低，植物生产能力下降，生物多样性降低，从而导致环境功能的下降，使评价范围内的总生物量减少，对局部区域的生物量有一定影响。根据现场调查，工程建设破坏的植被以人工生态系统为主，天然次生林较少，破坏所在地现存的植物物种是周边地区常见的物种，如马尾松、柏木等。生态调查未发现区域范围内有受保护的珍稀植物的集中栖息地。</w:t>
      </w:r>
    </w:p>
    <w:p>
      <w:pPr>
        <w:pStyle w:val="214"/>
        <w:ind w:firstLine="480"/>
      </w:pPr>
      <w:r>
        <w:t>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更也不会引起物种的损失。</w:t>
      </w:r>
    </w:p>
    <w:p>
      <w:pPr>
        <w:ind w:firstLine="482"/>
        <w:rPr>
          <w:b/>
          <w:bCs/>
        </w:rPr>
      </w:pPr>
      <w:r>
        <w:rPr>
          <w:b/>
          <w:bCs/>
        </w:rPr>
        <w:t>（3）对生物量的影响</w:t>
      </w:r>
    </w:p>
    <w:p>
      <w:pPr>
        <w:ind w:firstLine="480"/>
      </w:pPr>
      <w:r>
        <w:t>施工期建设将清除地表植被，剥离地表覆盖层，势必降低植被覆盖率，导致区域植被的损失。永久占地区将对区块植被造成永久性损失；一般工程临时占地对农作物的影响主要为当季影响，在施工结束后，第二年即可复种，根据同类工程调查，复垦地1~2年即可恢复到原有产量。临时占用的林地在施工结束后进行植被恢复，需要3~10年或更长的时间才能恢复到原有产量。</w:t>
      </w:r>
    </w:p>
    <w:p>
      <w:pPr>
        <w:ind w:firstLine="480"/>
      </w:pPr>
      <w:r>
        <w:t>植被生物量损失的植被类型主要为人工植被，包括马尾松林及柏木林，对天然次生林的植被生物量损失较低。项目的建设对地表农作物或植被产生一定的扰动和破坏，但是对项目占地采取植被恢复或绿化措施，在建设期损失的地表植被生物总量和生产力会得到一定的补偿。</w:t>
      </w:r>
    </w:p>
    <w:p>
      <w:pPr>
        <w:ind w:firstLine="482"/>
        <w:rPr>
          <w:b/>
          <w:bCs/>
        </w:rPr>
      </w:pPr>
      <w:r>
        <w:rPr>
          <w:rFonts w:hint="eastAsia"/>
          <w:b/>
          <w:bCs/>
        </w:rPr>
        <w:t>（4）对</w:t>
      </w:r>
      <w:r>
        <w:rPr>
          <w:b/>
          <w:bCs/>
        </w:rPr>
        <w:t>古树名木的影响</w:t>
      </w:r>
    </w:p>
    <w:p>
      <w:pPr>
        <w:pStyle w:val="2"/>
        <w:spacing w:line="360" w:lineRule="auto"/>
        <w:ind w:left="0" w:leftChars="0" w:firstLine="480" w:firstLineChars="200"/>
      </w:pPr>
      <w:r>
        <w:rPr>
          <w:rFonts w:hint="eastAsia"/>
          <w:sz w:val="24"/>
          <w:szCs w:val="21"/>
        </w:rPr>
        <w:t>本项目评价</w:t>
      </w:r>
      <w:r>
        <w:rPr>
          <w:sz w:val="24"/>
          <w:szCs w:val="21"/>
        </w:rPr>
        <w:t>范围内的</w:t>
      </w:r>
      <w:r>
        <w:rPr>
          <w:rFonts w:hint="eastAsia"/>
          <w:sz w:val="24"/>
          <w:szCs w:val="21"/>
        </w:rPr>
        <w:t>一颗</w:t>
      </w:r>
      <w:r>
        <w:rPr>
          <w:sz w:val="24"/>
          <w:szCs w:val="21"/>
        </w:rPr>
        <w:t>古树名木位于</w:t>
      </w:r>
      <w:r>
        <w:rPr>
          <w:rFonts w:hint="eastAsia"/>
          <w:sz w:val="24"/>
          <w:szCs w:val="21"/>
        </w:rPr>
        <w:t>管道</w:t>
      </w:r>
      <w:r>
        <w:rPr>
          <w:sz w:val="24"/>
          <w:szCs w:val="21"/>
        </w:rPr>
        <w:t>工程东南侧</w:t>
      </w:r>
      <w:r>
        <w:rPr>
          <w:rFonts w:hint="eastAsia"/>
          <w:sz w:val="24"/>
          <w:szCs w:val="21"/>
        </w:rPr>
        <w:t>350</w:t>
      </w:r>
      <w:r>
        <w:rPr>
          <w:sz w:val="24"/>
          <w:szCs w:val="21"/>
        </w:rPr>
        <w:t>m</w:t>
      </w:r>
      <w:r>
        <w:rPr>
          <w:rFonts w:hint="eastAsia"/>
          <w:sz w:val="24"/>
          <w:szCs w:val="21"/>
        </w:rPr>
        <w:t>，位于</w:t>
      </w:r>
      <w:r>
        <w:rPr>
          <w:sz w:val="24"/>
          <w:szCs w:val="21"/>
        </w:rPr>
        <w:t>堆管场东南侧</w:t>
      </w:r>
      <w:r>
        <w:rPr>
          <w:rFonts w:hint="eastAsia"/>
          <w:sz w:val="24"/>
          <w:szCs w:val="21"/>
        </w:rPr>
        <w:t>130</w:t>
      </w:r>
      <w:r>
        <w:rPr>
          <w:sz w:val="24"/>
          <w:szCs w:val="21"/>
        </w:rPr>
        <w:t>m</w:t>
      </w:r>
      <w:r>
        <w:rPr>
          <w:rFonts w:hint="eastAsia"/>
          <w:sz w:val="24"/>
          <w:szCs w:val="21"/>
        </w:rPr>
        <w:t>处</w:t>
      </w:r>
      <w:r>
        <w:rPr>
          <w:sz w:val="24"/>
          <w:szCs w:val="21"/>
        </w:rPr>
        <w:t>。</w:t>
      </w:r>
      <w:r>
        <w:rPr>
          <w:rFonts w:hint="eastAsia"/>
          <w:sz w:val="24"/>
          <w:szCs w:val="21"/>
        </w:rPr>
        <w:t>本项目</w:t>
      </w:r>
      <w:r>
        <w:rPr>
          <w:sz w:val="24"/>
          <w:szCs w:val="21"/>
        </w:rPr>
        <w:t>施工作业</w:t>
      </w:r>
      <w:r>
        <w:rPr>
          <w:rFonts w:hint="eastAsia"/>
          <w:sz w:val="24"/>
          <w:szCs w:val="21"/>
        </w:rPr>
        <w:t>带</w:t>
      </w:r>
      <w:r>
        <w:rPr>
          <w:sz w:val="24"/>
          <w:szCs w:val="21"/>
        </w:rPr>
        <w:t>皆不涉及</w:t>
      </w:r>
      <w:r>
        <w:rPr>
          <w:rFonts w:hint="eastAsia"/>
          <w:sz w:val="24"/>
          <w:szCs w:val="21"/>
        </w:rPr>
        <w:t>该古</w:t>
      </w:r>
      <w:r>
        <w:rPr>
          <w:sz w:val="24"/>
          <w:szCs w:val="21"/>
        </w:rPr>
        <w:t>树</w:t>
      </w:r>
      <w:r>
        <w:rPr>
          <w:rFonts w:hint="eastAsia"/>
          <w:sz w:val="24"/>
          <w:szCs w:val="21"/>
        </w:rPr>
        <w:t>，本项目</w:t>
      </w:r>
      <w:r>
        <w:rPr>
          <w:sz w:val="24"/>
          <w:szCs w:val="21"/>
        </w:rPr>
        <w:t>施工过程</w:t>
      </w:r>
      <w:r>
        <w:rPr>
          <w:rFonts w:hint="eastAsia"/>
          <w:sz w:val="24"/>
          <w:szCs w:val="21"/>
        </w:rPr>
        <w:t>通过</w:t>
      </w:r>
      <w:r>
        <w:rPr>
          <w:sz w:val="24"/>
          <w:szCs w:val="21"/>
        </w:rPr>
        <w:t>加强施工人员的</w:t>
      </w:r>
      <w:r>
        <w:rPr>
          <w:rFonts w:hint="eastAsia"/>
          <w:sz w:val="24"/>
          <w:szCs w:val="21"/>
        </w:rPr>
        <w:t>管理</w:t>
      </w:r>
      <w:r>
        <w:rPr>
          <w:sz w:val="24"/>
          <w:szCs w:val="21"/>
        </w:rPr>
        <w:t>，不会对该古树</w:t>
      </w:r>
      <w:r>
        <w:rPr>
          <w:rFonts w:hint="eastAsia"/>
          <w:sz w:val="24"/>
          <w:szCs w:val="21"/>
        </w:rPr>
        <w:t>造成</w:t>
      </w:r>
      <w:r>
        <w:rPr>
          <w:sz w:val="24"/>
          <w:szCs w:val="21"/>
        </w:rPr>
        <w:t>影响。</w:t>
      </w:r>
    </w:p>
    <w:p>
      <w:pPr>
        <w:ind w:firstLine="480"/>
        <w:rPr>
          <w:rFonts w:cs="Times New Roman"/>
        </w:rPr>
      </w:pPr>
      <w:r>
        <w:rPr>
          <w:rFonts w:cs="Times New Roman"/>
        </w:rPr>
        <w:t>综上所述，本项目施工期工程占地范围内破坏的植被均为区内的常见种和广布种，不会对当地植物群落的种类组成产生影响，也不会造成植物物种的消失，总体来看，工程对当地植被的影响是可接受的。</w:t>
      </w:r>
    </w:p>
    <w:p>
      <w:pPr>
        <w:pStyle w:val="6"/>
      </w:pPr>
      <w:r>
        <w:rPr>
          <w:rFonts w:hint="eastAsia"/>
        </w:rPr>
        <w:t xml:space="preserve"> </w:t>
      </w:r>
      <w:r>
        <w:t>对陆生动物的影响分析</w:t>
      </w:r>
    </w:p>
    <w:p>
      <w:pPr>
        <w:pStyle w:val="248"/>
        <w:ind w:firstLine="480"/>
        <w:rPr>
          <w:rFonts w:hAnsi="Times New Roman" w:cs="Times New Roman"/>
        </w:rPr>
      </w:pPr>
      <w:r>
        <w:rPr>
          <w:rFonts w:hAnsi="Times New Roman" w:cs="Times New Roman"/>
        </w:rPr>
        <w:t>根据资料查询和现场调查，本次评价区内野生动物种类较少，未见大型野生哺乳动物出没迹象，现有的野生动物多为一些常见的蛇类、蛙类、野兔、野鸡、麻雀、喜鹊等，未见珍稀保护动物。</w:t>
      </w:r>
    </w:p>
    <w:p>
      <w:pPr>
        <w:pStyle w:val="248"/>
        <w:ind w:firstLine="480"/>
        <w:rPr>
          <w:rFonts w:hAnsi="Times New Roman" w:cs="Times New Roman"/>
        </w:rPr>
      </w:pPr>
      <w:r>
        <w:rPr>
          <w:rFonts w:hAnsi="Times New Roman" w:cs="Times New Roman"/>
        </w:rPr>
        <w:t>本项目占地面积较小，对当地地表植被的影响也是局部的，不会引起该区域野生动物生存环境大面积的明显改变，因此，本项目的建设对野生动物影响不大。本项目的施工活动对野生动物的影响主要来自施工过程中人类活动、生产机具噪声等影响，但这种影响是局部和暂时的，随施工的结束而消失，不会引起该区域野生动物大面积迁移或消亡。</w:t>
      </w:r>
    </w:p>
    <w:p>
      <w:pPr>
        <w:pStyle w:val="6"/>
      </w:pPr>
      <w:r>
        <w:rPr>
          <w:rFonts w:hint="eastAsia"/>
        </w:rPr>
        <w:t xml:space="preserve"> </w:t>
      </w:r>
      <w:r>
        <w:t>对水生动物的影响分析</w:t>
      </w:r>
    </w:p>
    <w:p>
      <w:pPr>
        <w:pStyle w:val="248"/>
        <w:ind w:firstLine="480"/>
        <w:rPr>
          <w:rFonts w:hAnsi="Times New Roman" w:cs="Times New Roman"/>
        </w:rPr>
      </w:pPr>
      <w:r>
        <w:rPr>
          <w:rFonts w:hAnsi="Times New Roman" w:cs="Times New Roman"/>
        </w:rPr>
        <w:t>本项目不涉及涉水施工，现场无废水外排，因此不会对水生生物产生明显影响。</w:t>
      </w:r>
    </w:p>
    <w:p>
      <w:pPr>
        <w:pStyle w:val="6"/>
      </w:pPr>
      <w:r>
        <w:rPr>
          <w:rFonts w:hint="eastAsia"/>
        </w:rPr>
        <w:t xml:space="preserve"> </w:t>
      </w:r>
      <w:r>
        <w:t>对水土流失影响分析</w:t>
      </w:r>
    </w:p>
    <w:p>
      <w:pPr>
        <w:pStyle w:val="248"/>
        <w:ind w:firstLine="480"/>
        <w:rPr>
          <w:rFonts w:hAnsi="Times New Roman" w:cs="Times New Roman"/>
        </w:rPr>
      </w:pPr>
      <w:r>
        <w:rPr>
          <w:rFonts w:hAnsi="Times New Roman" w:cs="Times New Roman"/>
        </w:rPr>
        <w:t>本项目在施工期间，造成水土流失的主要因素是管道施工开挖、</w:t>
      </w:r>
      <w:r>
        <w:rPr>
          <w:rFonts w:hint="eastAsia" w:hAnsi="Times New Roman" w:cs="Times New Roman"/>
        </w:rPr>
        <w:t>堆管场地表整理</w:t>
      </w:r>
      <w:r>
        <w:rPr>
          <w:rFonts w:hAnsi="Times New Roman" w:cs="Times New Roman"/>
        </w:rPr>
        <w:t>对植被进行清除等将使地表植被、地面组成物质和地貌受到扰动和破坏，使占地范围内的表层土裸露或形成松散堆积体，失去原有植被的防冲、固土能力，形成的边坡若不加以防护容易产生冲刷现象，增加新的水土流失。植被的清除使地表裸露，可能引起水土流失。同时，开挖的土石方临时堆放，防护措施不当也会引起水土流失。</w:t>
      </w:r>
    </w:p>
    <w:p>
      <w:pPr>
        <w:ind w:firstLine="480"/>
      </w:pPr>
      <w:r>
        <w:rPr>
          <w:rFonts w:cs="Times New Roman"/>
        </w:rPr>
        <w:t>本项目建设期产生的</w:t>
      </w:r>
      <w:r>
        <w:rPr>
          <w:rFonts w:hint="eastAsia" w:cs="Times New Roman"/>
        </w:rPr>
        <w:t>施工便道</w:t>
      </w:r>
      <w:r>
        <w:rPr>
          <w:rFonts w:cs="Times New Roman"/>
        </w:rPr>
        <w:t>和场地平整剥离表层土堆存于场地外表土堆场内，管线开挖土分层堆放在管线两侧，堆存于表土堆场内的土待</w:t>
      </w:r>
      <w:r>
        <w:rPr>
          <w:rFonts w:hint="eastAsia" w:cs="Times New Roman"/>
        </w:rPr>
        <w:t>施工</w:t>
      </w:r>
      <w:r>
        <w:rPr>
          <w:rFonts w:cs="Times New Roman"/>
        </w:rPr>
        <w:t>结束后用于除地面工程用地以外其余临时用地的复垦表土。剥离表层土临时堆放采用夯实、覆盖篷布等严格的水保措施防止水土流失。施工结束后，通过对施工迹地的地表植被进行恢复，临时占地即可恢复土壤的结构和功能，水土流失将得到有效控制。另外，本项目的开挖面积小，施工期短，土石方可场地内平衡，无外运土石方，工程实际新增的水土流失量小，在环境可接受范围内。</w:t>
      </w:r>
    </w:p>
    <w:p>
      <w:pPr>
        <w:pStyle w:val="4"/>
      </w:pPr>
      <w:r>
        <w:rPr>
          <w:rFonts w:hint="eastAsia"/>
        </w:rPr>
        <w:t xml:space="preserve"> </w:t>
      </w:r>
      <w:bookmarkStart w:id="251" w:name="_Toc96680721"/>
      <w:r>
        <w:rPr>
          <w:rFonts w:hint="eastAsia"/>
        </w:rPr>
        <w:t>运营期</w:t>
      </w:r>
      <w:r>
        <w:t>环境影响分析</w:t>
      </w:r>
      <w:bookmarkEnd w:id="251"/>
    </w:p>
    <w:p>
      <w:pPr>
        <w:pStyle w:val="5"/>
      </w:pPr>
      <w:bookmarkStart w:id="252" w:name="_Toc90396745"/>
      <w:r>
        <w:rPr>
          <w:rFonts w:hint="eastAsia"/>
        </w:rPr>
        <w:t xml:space="preserve"> </w:t>
      </w:r>
      <w:bookmarkStart w:id="253" w:name="_Toc96680722"/>
      <w:r>
        <w:rPr>
          <w:rFonts w:hint="eastAsia"/>
        </w:rPr>
        <w:t>运营期</w:t>
      </w:r>
      <w:r>
        <w:t>大气环境影响分析</w:t>
      </w:r>
      <w:bookmarkEnd w:id="252"/>
      <w:bookmarkEnd w:id="253"/>
    </w:p>
    <w:p>
      <w:pPr>
        <w:pStyle w:val="6"/>
      </w:pPr>
      <w:r>
        <w:t xml:space="preserve"> 正常工况</w:t>
      </w:r>
    </w:p>
    <w:p>
      <w:pPr>
        <w:ind w:firstLine="480"/>
        <w:rPr>
          <w:rFonts w:cs="Times New Roman"/>
        </w:rPr>
      </w:pPr>
      <w:r>
        <w:rPr>
          <w:rFonts w:cs="Times New Roman"/>
        </w:rPr>
        <w:t>本管道工程在正常运行期间，输气管道敷设在地下，天然气为密闭输送，管道进行了防腐处理，不会有废气排放，对环境空气无影响。</w:t>
      </w:r>
    </w:p>
    <w:p>
      <w:pPr>
        <w:pStyle w:val="6"/>
      </w:pPr>
      <w:r>
        <w:rPr>
          <w:rFonts w:hint="eastAsia"/>
        </w:rPr>
        <w:t xml:space="preserve"> </w:t>
      </w:r>
      <w:r>
        <w:t>非正常工况</w:t>
      </w:r>
    </w:p>
    <w:p>
      <w:pPr>
        <w:ind w:firstLine="480"/>
        <w:rPr>
          <w:rFonts w:cs="Times New Roman"/>
        </w:rPr>
      </w:pPr>
      <w:r>
        <w:rPr>
          <w:rFonts w:cs="Times New Roman"/>
        </w:rPr>
        <w:t>本工程的非正常工况外排的废气主要为清管、检修作业以及事故状态下时排放的少量天然气。</w:t>
      </w:r>
    </w:p>
    <w:p>
      <w:pPr>
        <w:ind w:firstLine="482"/>
        <w:rPr>
          <w:rFonts w:cs="Times New Roman"/>
          <w:b/>
          <w:bCs/>
        </w:rPr>
      </w:pPr>
      <w:r>
        <w:rPr>
          <w:rFonts w:cs="Times New Roman"/>
          <w:b/>
          <w:bCs/>
        </w:rPr>
        <w:t>（1）清管、检修废气</w:t>
      </w:r>
    </w:p>
    <w:p>
      <w:pPr>
        <w:ind w:firstLine="480"/>
        <w:rPr>
          <w:rFonts w:cs="Times New Roman"/>
        </w:rPr>
      </w:pPr>
      <w:r>
        <w:rPr>
          <w:rFonts w:cs="Times New Roman"/>
        </w:rPr>
        <w:t>本管道工程在正常运行期间，管线每年将进行1~2次清管、检修作业，清管作业时收球筒有极少量的天然气产生，排放量约为10m</w:t>
      </w:r>
      <w:r>
        <w:rPr>
          <w:rFonts w:cs="Times New Roman"/>
          <w:vertAlign w:val="superscript"/>
        </w:rPr>
        <w:t>3</w:t>
      </w:r>
      <w:r>
        <w:rPr>
          <w:rFonts w:cs="Times New Roman"/>
        </w:rPr>
        <w:t>/次。</w:t>
      </w:r>
    </w:p>
    <w:p>
      <w:pPr>
        <w:ind w:firstLine="480"/>
        <w:rPr>
          <w:rFonts w:cs="Times New Roman"/>
        </w:rPr>
      </w:pPr>
      <w:r>
        <w:rPr>
          <w:rFonts w:cs="Times New Roman"/>
        </w:rPr>
        <w:t>清管、检修产生的废气依托</w:t>
      </w:r>
      <w:r>
        <w:rPr>
          <w:rFonts w:hint="eastAsia" w:cs="Times New Roman"/>
        </w:rPr>
        <w:t>草池增压站设置的放空管进行点火燃烧，</w:t>
      </w:r>
      <w:r>
        <w:rPr>
          <w:rFonts w:cs="Times New Roman"/>
        </w:rPr>
        <w:t>放</w:t>
      </w:r>
      <w:r>
        <w:rPr>
          <w:rFonts w:hint="eastAsia" w:cs="Times New Roman"/>
        </w:rPr>
        <w:t>空</w:t>
      </w:r>
      <w:r>
        <w:rPr>
          <w:rFonts w:cs="Times New Roman"/>
        </w:rPr>
        <w:t>管高度为15m，放散时间约为10min。燃烧排放的废气中主要污染物为NO</w:t>
      </w:r>
      <w:r>
        <w:rPr>
          <w:rFonts w:hint="eastAsia" w:cs="Times New Roman"/>
          <w:vertAlign w:val="subscript"/>
        </w:rPr>
        <w:t>x</w:t>
      </w:r>
      <w:r>
        <w:rPr>
          <w:rFonts w:cs="Times New Roman"/>
        </w:rPr>
        <w:t>、烟尘</w:t>
      </w:r>
      <w:r>
        <w:rPr>
          <w:rFonts w:hint="eastAsia" w:cs="Times New Roman"/>
        </w:rPr>
        <w:t>，</w:t>
      </w:r>
      <w:r>
        <w:rPr>
          <w:rFonts w:cs="Times New Roman"/>
        </w:rPr>
        <w:t>对环境空气质量影响较小。</w:t>
      </w:r>
    </w:p>
    <w:p>
      <w:pPr>
        <w:widowControl/>
        <w:autoSpaceDE w:val="0"/>
        <w:ind w:firstLine="482"/>
        <w:jc w:val="left"/>
        <w:rPr>
          <w:rFonts w:cs="Times New Roman"/>
          <w:b/>
          <w:bCs/>
        </w:rPr>
      </w:pPr>
      <w:r>
        <w:rPr>
          <w:rFonts w:cs="Times New Roman"/>
          <w:b/>
          <w:bCs/>
        </w:rPr>
        <w:t>（2）事故状态排放的废气</w:t>
      </w:r>
    </w:p>
    <w:p>
      <w:pPr>
        <w:ind w:firstLine="480"/>
      </w:pPr>
      <w:r>
        <w:rPr>
          <w:rFonts w:cs="Times New Roman"/>
        </w:rPr>
        <w:t>事故状态一般为系统超压情况，系统超压时将排放一定量的天然气。天然气超压放空系统放空的次数极少，发生的频率约为1次/年，每次持续时间约10~30min。超压排放的天然气经15m高的放空立管</w:t>
      </w:r>
      <w:r>
        <w:rPr>
          <w:rFonts w:hint="eastAsia" w:cs="Times New Roman"/>
        </w:rPr>
        <w:t>燃烧后排放</w:t>
      </w:r>
      <w:r>
        <w:rPr>
          <w:rFonts w:cs="Times New Roman"/>
        </w:rPr>
        <w:t>，火炬燃烧排放的废气中主要污染物为NO</w:t>
      </w:r>
      <w:r>
        <w:rPr>
          <w:rFonts w:hint="eastAsia" w:cs="Times New Roman"/>
          <w:vertAlign w:val="subscript"/>
        </w:rPr>
        <w:t>x</w:t>
      </w:r>
      <w:r>
        <w:rPr>
          <w:rFonts w:cs="Times New Roman"/>
        </w:rPr>
        <w:t>、烟尘</w:t>
      </w:r>
      <w:r>
        <w:rPr>
          <w:rFonts w:hint="eastAsia" w:cs="Times New Roman"/>
        </w:rPr>
        <w:t>，</w:t>
      </w:r>
      <w:r>
        <w:rPr>
          <w:rFonts w:cs="Times New Roman"/>
        </w:rPr>
        <w:t>对环境空气质量影响较小。</w:t>
      </w:r>
    </w:p>
    <w:p>
      <w:pPr>
        <w:pStyle w:val="5"/>
      </w:pPr>
      <w:r>
        <w:rPr>
          <w:rFonts w:hint="eastAsia"/>
        </w:rPr>
        <w:t xml:space="preserve"> </w:t>
      </w:r>
      <w:bookmarkStart w:id="254" w:name="_Toc96680723"/>
      <w:r>
        <w:rPr>
          <w:rFonts w:hint="eastAsia"/>
        </w:rPr>
        <w:t>运营期地表水</w:t>
      </w:r>
      <w:r>
        <w:t>环境影响分析</w:t>
      </w:r>
      <w:bookmarkEnd w:id="254"/>
    </w:p>
    <w:p>
      <w:pPr>
        <w:ind w:firstLine="480"/>
        <w:rPr>
          <w:rFonts w:cs="Times New Roman"/>
        </w:rPr>
      </w:pPr>
      <w:r>
        <w:rPr>
          <w:rFonts w:cs="Times New Roman"/>
        </w:rPr>
        <w:t>项目管道建成后由建设单位统一调配人员管理，不新增劳动定员，因此，无新增生活废水产生。</w:t>
      </w:r>
      <w:r>
        <w:rPr>
          <w:rFonts w:hint="eastAsia"/>
        </w:rPr>
        <w:t>同时，项目管道输送的天然气，营运期无生产废水产生。因此</w:t>
      </w:r>
      <w:r>
        <w:t>本项目运营期对地表水</w:t>
      </w:r>
      <w:r>
        <w:rPr>
          <w:rFonts w:cs="Times New Roman"/>
        </w:rPr>
        <w:t>基本</w:t>
      </w:r>
      <w:r>
        <w:rPr>
          <w:rFonts w:hint="eastAsia"/>
        </w:rPr>
        <w:t>环境</w:t>
      </w:r>
      <w:r>
        <w:t>无影响。</w:t>
      </w:r>
    </w:p>
    <w:p>
      <w:pPr>
        <w:pStyle w:val="5"/>
      </w:pPr>
      <w:r>
        <w:rPr>
          <w:rFonts w:hint="eastAsia"/>
        </w:rPr>
        <w:t xml:space="preserve"> </w:t>
      </w:r>
      <w:bookmarkStart w:id="255" w:name="_Toc96680724"/>
      <w:r>
        <w:rPr>
          <w:rFonts w:hint="eastAsia"/>
        </w:rPr>
        <w:t>运营期地下水</w:t>
      </w:r>
      <w:r>
        <w:t>环境影响分析</w:t>
      </w:r>
      <w:bookmarkEnd w:id="255"/>
    </w:p>
    <w:p>
      <w:pPr>
        <w:ind w:firstLine="480"/>
      </w:pPr>
      <w:r>
        <w:rPr>
          <w:rFonts w:hint="eastAsia"/>
        </w:rPr>
        <w:t>运营期管道沿线表层地质结构受到破坏，渗透性增大，有利于地面污染物随降水渗入地下含水层。由于本工程所经区域为农村地区，地表污染物较少，因此由于地表破坏而造成的地下水影响很微小。</w:t>
      </w:r>
    </w:p>
    <w:p>
      <w:pPr>
        <w:ind w:firstLine="480"/>
      </w:pPr>
      <w:r>
        <w:rPr>
          <w:rFonts w:hint="eastAsia"/>
        </w:rPr>
        <w:t>营运期，正常工况下，由于集输管道是全封闭系统，采用外防腐层和强制电流阴极保护联合方式，如不发生泄漏事故，对地下水不会造成影响。当管道发生破裂事故，其泄漏的天然气主要成分为甲烷，为气态，不溶于水，直接进入空气中，气体不会进入地下水，对地下水基本不会造成影响。</w:t>
      </w:r>
    </w:p>
    <w:p>
      <w:pPr>
        <w:pStyle w:val="5"/>
      </w:pPr>
      <w:r>
        <w:rPr>
          <w:rFonts w:hint="eastAsia"/>
        </w:rPr>
        <w:t xml:space="preserve"> </w:t>
      </w:r>
      <w:bookmarkStart w:id="256" w:name="_Toc96680725"/>
      <w:r>
        <w:rPr>
          <w:rFonts w:hint="eastAsia"/>
        </w:rPr>
        <w:t>运营期声</w:t>
      </w:r>
      <w:r>
        <w:t>环境影响分析</w:t>
      </w:r>
      <w:bookmarkEnd w:id="256"/>
    </w:p>
    <w:p>
      <w:pPr>
        <w:ind w:firstLine="480"/>
      </w:pPr>
      <w:r>
        <w:rPr>
          <w:rFonts w:hint="eastAsia"/>
        </w:rPr>
        <w:t>营运期间主要为天然气的输送。由于项目管道全线采用埋地敷设，进行密闭输送，营运期间管道内气流噪声可忽略不计。</w:t>
      </w:r>
    </w:p>
    <w:p>
      <w:pPr>
        <w:pStyle w:val="5"/>
      </w:pPr>
      <w:r>
        <w:rPr>
          <w:rFonts w:hint="eastAsia"/>
        </w:rPr>
        <w:t xml:space="preserve"> </w:t>
      </w:r>
      <w:bookmarkStart w:id="257" w:name="_Toc96680726"/>
      <w:r>
        <w:rPr>
          <w:rFonts w:hint="eastAsia"/>
        </w:rPr>
        <w:t>运营期固体废物</w:t>
      </w:r>
      <w:r>
        <w:t>环境影响分析</w:t>
      </w:r>
      <w:bookmarkEnd w:id="257"/>
    </w:p>
    <w:p>
      <w:pPr>
        <w:ind w:firstLine="480"/>
      </w:pPr>
      <w:r>
        <w:rPr>
          <w:rFonts w:hint="eastAsia"/>
        </w:rPr>
        <w:t>项目管线</w:t>
      </w:r>
      <w:r>
        <w:t>工程建设后，管线巡查由建设单位统一管理，不再单独新增管理人员</w:t>
      </w:r>
      <w:r>
        <w:rPr>
          <w:rFonts w:hint="eastAsia"/>
        </w:rPr>
        <w:t>，营运期间无新增生活垃圾</w:t>
      </w:r>
      <w:r>
        <w:rPr>
          <w:rFonts w:hint="eastAsia" w:eastAsiaTheme="minorEastAsia"/>
        </w:rPr>
        <w:t>。</w:t>
      </w:r>
      <w:r>
        <w:t>管道每年一般进行1～2次清管，清管装置为手动操作，密闭清管通球，清管固废产生量极少，项目</w:t>
      </w:r>
      <w:r>
        <w:rPr>
          <w:rFonts w:hint="eastAsia"/>
        </w:rPr>
        <w:t>管线</w:t>
      </w:r>
      <w:r>
        <w:t>在每次清管作业时将产生约1~2kg的废渣，主要成分为铁锈和泥渣</w:t>
      </w:r>
      <w:r>
        <w:rPr>
          <w:rFonts w:hint="eastAsia"/>
        </w:rPr>
        <w:t>，</w:t>
      </w:r>
      <w:r>
        <w:t>为一般工业固废</w:t>
      </w:r>
      <w:r>
        <w:rPr>
          <w:rFonts w:hint="eastAsia"/>
        </w:rPr>
        <w:t>，于污水缓冲罐暂存，随污水一同拉运至袁家气田水处理站处理。</w:t>
      </w:r>
      <w:r>
        <w:t>通过以上措施，</w:t>
      </w:r>
      <w:r>
        <w:rPr>
          <w:rFonts w:hint="eastAsia"/>
        </w:rPr>
        <w:t>本</w:t>
      </w:r>
      <w:r>
        <w:t>项目营运期间的固体废弃物处置妥当，不会对周边环境造成明显不利影响。</w:t>
      </w:r>
    </w:p>
    <w:p>
      <w:pPr>
        <w:pStyle w:val="5"/>
      </w:pPr>
      <w:r>
        <w:rPr>
          <w:rFonts w:hint="eastAsia"/>
        </w:rPr>
        <w:t xml:space="preserve"> </w:t>
      </w:r>
      <w:bookmarkStart w:id="258" w:name="_Toc96680727"/>
      <w:r>
        <w:rPr>
          <w:rFonts w:hint="eastAsia"/>
        </w:rPr>
        <w:t>运营期生态</w:t>
      </w:r>
      <w:r>
        <w:t>环境影响分析</w:t>
      </w:r>
      <w:bookmarkEnd w:id="258"/>
    </w:p>
    <w:p>
      <w:pPr>
        <w:pStyle w:val="248"/>
        <w:ind w:firstLine="480"/>
        <w:rPr>
          <w:rFonts w:hAnsi="Times New Roman" w:cs="Times New Roman"/>
        </w:rPr>
      </w:pPr>
      <w:r>
        <w:rPr>
          <w:rFonts w:hAnsi="Times New Roman" w:cs="Times New Roman"/>
        </w:rPr>
        <w:t>根据前述分析，项目运</w:t>
      </w:r>
      <w:r>
        <w:rPr>
          <w:rFonts w:hint="eastAsia" w:hAnsi="Times New Roman" w:cs="Times New Roman"/>
        </w:rPr>
        <w:t>营</w:t>
      </w:r>
      <w:r>
        <w:rPr>
          <w:rFonts w:hAnsi="Times New Roman" w:cs="Times New Roman"/>
        </w:rPr>
        <w:t>过程中的废气、废水和固体废弃物均得到有效处置，排放量少，对生态环境造成影响很轻微</w:t>
      </w:r>
      <w:r>
        <w:rPr>
          <w:rFonts w:hint="eastAsia" w:hAnsi="Times New Roman" w:cs="Times New Roman"/>
        </w:rPr>
        <w:t>。</w:t>
      </w:r>
    </w:p>
    <w:p>
      <w:pPr>
        <w:pStyle w:val="6"/>
      </w:pPr>
      <w:r>
        <w:rPr>
          <w:rFonts w:hint="eastAsia"/>
        </w:rPr>
        <w:t xml:space="preserve"> 对耕地</w:t>
      </w:r>
      <w:r>
        <w:t>的影响</w:t>
      </w:r>
    </w:p>
    <w:p>
      <w:pPr>
        <w:pStyle w:val="248"/>
        <w:ind w:firstLine="480"/>
        <w:rPr>
          <w:rFonts w:hAnsi="Times New Roman" w:cs="Times New Roman"/>
        </w:rPr>
      </w:pPr>
      <w:r>
        <w:rPr>
          <w:rFonts w:cs="Times New Roman"/>
          <w:szCs w:val="24"/>
        </w:rPr>
        <w:t>施工结束后</w:t>
      </w:r>
      <w:r>
        <w:rPr>
          <w:rFonts w:hint="eastAsia" w:cs="Times New Roman"/>
          <w:szCs w:val="24"/>
        </w:rPr>
        <w:t>对</w:t>
      </w:r>
      <w:r>
        <w:rPr>
          <w:rFonts w:cs="Times New Roman"/>
          <w:szCs w:val="24"/>
        </w:rPr>
        <w:t>临时占地回填耕植土及时复垦，会在短时间内恢复土地利用功能。</w:t>
      </w:r>
      <w:r>
        <w:rPr>
          <w:rFonts w:hint="eastAsia" w:cs="Times New Roman"/>
          <w:szCs w:val="24"/>
        </w:rPr>
        <w:t>施工期对</w:t>
      </w:r>
      <w:r>
        <w:rPr>
          <w:rFonts w:cs="Times New Roman"/>
          <w:szCs w:val="24"/>
        </w:rPr>
        <w:t>土壤扰动的影响，在运营期通过科学复垦，可以恢复到原来的水平。</w:t>
      </w:r>
    </w:p>
    <w:p>
      <w:pPr>
        <w:pStyle w:val="6"/>
      </w:pPr>
      <w:r>
        <w:rPr>
          <w:rFonts w:hint="eastAsia"/>
        </w:rPr>
        <w:t xml:space="preserve"> 对林地</w:t>
      </w:r>
      <w:r>
        <w:t>的影响</w:t>
      </w:r>
    </w:p>
    <w:p>
      <w:pPr>
        <w:ind w:firstLine="480"/>
        <w:rPr>
          <w:rFonts w:cs="Times New Roman"/>
          <w:szCs w:val="24"/>
        </w:rPr>
      </w:pPr>
      <w:bookmarkStart w:id="259" w:name="_Hlk77969388"/>
      <w:r>
        <w:rPr>
          <w:rFonts w:cs="Times New Roman"/>
          <w:szCs w:val="24"/>
        </w:rPr>
        <w:t>根据《中华人民共和国石油天然气管道保护法》第三十三条相关内容，项目输气管道线路中心线两侧各5m地域范围内禁止种植乔木、灌木、藤类、芦苇、竹子或其他根系深达管道埋设部位可能损坏管道防腐层的深根植物。</w:t>
      </w:r>
      <w:bookmarkEnd w:id="259"/>
      <w:r>
        <w:rPr>
          <w:rFonts w:cs="Times New Roman"/>
          <w:szCs w:val="24"/>
        </w:rPr>
        <w:t>因此，运营期管道线路中心线两侧各5m范围内施工期受损的林地面积将永久消失。</w:t>
      </w:r>
    </w:p>
    <w:p>
      <w:pPr>
        <w:ind w:firstLine="480"/>
        <w:rPr>
          <w:rFonts w:cs="Times New Roman"/>
          <w:szCs w:val="24"/>
        </w:rPr>
      </w:pPr>
      <w:r>
        <w:rPr>
          <w:rFonts w:cs="Times New Roman"/>
          <w:szCs w:val="24"/>
        </w:rPr>
        <w:t>运营期时，在管道中心线5m范围外受损的乔木林、竹林和灌木可通过演替或人工造林的方式逐渐恢复。</w:t>
      </w:r>
    </w:p>
    <w:p>
      <w:pPr>
        <w:pStyle w:val="214"/>
        <w:ind w:firstLine="480"/>
      </w:pPr>
      <w:r>
        <w:t>林地面积的缩减，势必影响对依赖这些生境生存的动物，使得它们受到惊扰，远离施工区，运营期大型施工设备、人员撤离后会得到改善，迁走的动物逐步回访。并且低强度的干扰也会增加生物多样性，提高林分抗病虫害质量。</w:t>
      </w:r>
    </w:p>
    <w:p>
      <w:pPr>
        <w:ind w:firstLine="480"/>
        <w:rPr>
          <w:rFonts w:cs="Times New Roman"/>
        </w:rPr>
      </w:pPr>
      <w:r>
        <w:rPr>
          <w:rFonts w:cs="Times New Roman"/>
        </w:rPr>
        <w:t>综合分析，运营期</w:t>
      </w:r>
      <w:r>
        <w:rPr>
          <w:rFonts w:hint="eastAsia" w:cs="Times New Roman"/>
        </w:rPr>
        <w:t>本项目</w:t>
      </w:r>
      <w:r>
        <w:rPr>
          <w:rFonts w:cs="Times New Roman"/>
        </w:rPr>
        <w:t>对生态的影响</w:t>
      </w:r>
      <w:r>
        <w:rPr>
          <w:rFonts w:hint="eastAsia" w:cs="Times New Roman"/>
        </w:rPr>
        <w:t>较</w:t>
      </w:r>
      <w:r>
        <w:rPr>
          <w:rFonts w:cs="Times New Roman"/>
        </w:rPr>
        <w:t>小。</w:t>
      </w:r>
    </w:p>
    <w:p>
      <w:pPr>
        <w:pStyle w:val="6"/>
      </w:pPr>
      <w:r>
        <w:rPr>
          <w:rFonts w:hint="eastAsia"/>
        </w:rPr>
        <w:t xml:space="preserve"> 对生态系统的</w:t>
      </w:r>
      <w:r>
        <w:t>影响</w:t>
      </w:r>
    </w:p>
    <w:p>
      <w:pPr>
        <w:ind w:firstLine="482"/>
        <w:rPr>
          <w:b/>
        </w:rPr>
      </w:pPr>
      <w:r>
        <w:rPr>
          <w:rFonts w:hint="eastAsia"/>
          <w:b/>
        </w:rPr>
        <w:t>（1）对生态</w:t>
      </w:r>
      <w:r>
        <w:rPr>
          <w:b/>
        </w:rPr>
        <w:t>系统面积的影响</w:t>
      </w:r>
    </w:p>
    <w:p>
      <w:pPr>
        <w:ind w:firstLine="480"/>
      </w:pPr>
      <w:r>
        <w:t>施工结束后，临时占地区植被将得以恢复，工程建设对评价区各类生态系统的侵占影响将逐步减小和恢复，对生态系统的结构和功能影响有限，运营期对生态系统面积的影响预测为小。</w:t>
      </w:r>
    </w:p>
    <w:p>
      <w:pPr>
        <w:ind w:firstLine="482"/>
        <w:rPr>
          <w:b/>
        </w:rPr>
      </w:pPr>
      <w:r>
        <w:rPr>
          <w:rFonts w:hint="eastAsia"/>
          <w:b/>
        </w:rPr>
        <w:t>（2）对生态系统完整性的影响分析</w:t>
      </w:r>
    </w:p>
    <w:p>
      <w:pPr>
        <w:ind w:firstLine="480"/>
        <w:rPr>
          <w:rFonts w:cs="Times New Roman"/>
        </w:rPr>
      </w:pPr>
      <w:r>
        <w:rPr>
          <w:rFonts w:cs="Times New Roman"/>
        </w:rPr>
        <w:t>生态系统完整性是在生物完整性概念的基础上发展起来的，且因“系统”的特性，其内涵更加丰富。从系统的角度考察完整性，包括三个层次：一是组成系统的成分是否完整，即系统是否具有本生的全部物种，二是系统的组织结构是否完整，三是系统的功能是否健康。</w:t>
      </w:r>
    </w:p>
    <w:p>
      <w:pPr>
        <w:ind w:firstLine="480"/>
        <w:rPr>
          <w:rFonts w:cs="Times New Roman"/>
        </w:rPr>
      </w:pPr>
      <w:r>
        <w:rPr>
          <w:rFonts w:cs="Times New Roman"/>
        </w:rPr>
        <w:t>从第一个层次来看，本项目施工在生态系统内侵占的多为临时用地，施工后将及时选择当地物种进行植被恢复，生态系统内的物种组成不会发生改变，因此项目建设前后生态系统组成成分具有完整性。</w:t>
      </w:r>
    </w:p>
    <w:p>
      <w:pPr>
        <w:ind w:firstLine="480"/>
        <w:rPr>
          <w:rFonts w:cs="Times New Roman"/>
        </w:rPr>
      </w:pPr>
      <w:r>
        <w:rPr>
          <w:rFonts w:cs="Times New Roman"/>
        </w:rPr>
        <w:t>从第二个层次来看，项目建成后除占地区域内的植物群落发生改变外，生态系统的绝大部分区域原有生境不变，以这一生境为依托的动植物关系、生物与非生物环境关系、食物链及能流渠道都没有发生变化，因此生态系统总体的组织结构仍然完整。</w:t>
      </w:r>
    </w:p>
    <w:p>
      <w:pPr>
        <w:ind w:firstLine="480"/>
        <w:rPr>
          <w:rFonts w:cs="Times New Roman"/>
        </w:rPr>
      </w:pPr>
      <w:r>
        <w:rPr>
          <w:rFonts w:cs="Times New Roman"/>
        </w:rPr>
        <w:t>从第三个层次来看，本项目建设仅对评价区生态系统的局部区域带来侵占和干扰影响，直接侵占区域面积占生态系统面积的比重很小，因此不会导致整个生态系统功能的崩溃，生态系统仍然具有良好的自我调控能力。</w:t>
      </w:r>
    </w:p>
    <w:p>
      <w:pPr>
        <w:ind w:firstLine="480"/>
        <w:rPr>
          <w:rFonts w:cs="Times New Roman"/>
        </w:rPr>
      </w:pPr>
      <w:r>
        <w:rPr>
          <w:rFonts w:cs="Times New Roman"/>
        </w:rPr>
        <w:t>综上所述，本项目建设不会破坏生态系统的完整性。</w:t>
      </w:r>
    </w:p>
    <w:p>
      <w:pPr>
        <w:pStyle w:val="214"/>
        <w:numPr>
          <w:ilvl w:val="0"/>
          <w:numId w:val="5"/>
        </w:numPr>
        <w:ind w:firstLine="482" w:firstLineChars="0"/>
        <w:rPr>
          <w:b/>
        </w:rPr>
      </w:pPr>
      <w:r>
        <w:rPr>
          <w:rFonts w:hint="eastAsia"/>
          <w:b/>
        </w:rPr>
        <w:t>对生态系统多样性的影响分析</w:t>
      </w:r>
    </w:p>
    <w:p>
      <w:pPr>
        <w:pStyle w:val="214"/>
        <w:ind w:firstLine="480"/>
      </w:pPr>
      <w:r>
        <w:t>生态系统多样性指的是一个地区的生态多样化程度，是一个区域不同生态系统类型的总和。</w:t>
      </w:r>
    </w:p>
    <w:p>
      <w:pPr>
        <w:pStyle w:val="214"/>
        <w:ind w:firstLine="480"/>
        <w:rPr>
          <w:b/>
        </w:rPr>
      </w:pPr>
      <w:r>
        <w:t>评价区共有4类生态系统，项目建设将略微减小各类生态系统的面积，但项目建成后评价区内的生态系统组成类型不会减少，因此项目建设对生态系统多样性没有影响。</w:t>
      </w:r>
    </w:p>
    <w:p>
      <w:pPr>
        <w:ind w:firstLine="482"/>
        <w:rPr>
          <w:b/>
        </w:rPr>
      </w:pPr>
      <w:r>
        <w:rPr>
          <w:rFonts w:hint="eastAsia"/>
          <w:b/>
        </w:rPr>
        <w:t>（4）对</w:t>
      </w:r>
      <w:r>
        <w:rPr>
          <w:b/>
        </w:rPr>
        <w:t>景观的影响</w:t>
      </w:r>
    </w:p>
    <w:p>
      <w:pPr>
        <w:ind w:firstLine="480"/>
        <w:rPr>
          <w:rFonts w:cs="Times New Roman"/>
          <w:szCs w:val="24"/>
        </w:rPr>
      </w:pPr>
      <w:r>
        <w:rPr>
          <w:rFonts w:hint="eastAsia" w:cs="Times New Roman"/>
          <w:szCs w:val="24"/>
        </w:rPr>
        <w:t>运营期</w:t>
      </w:r>
      <w:r>
        <w:rPr>
          <w:rFonts w:cs="Times New Roman"/>
          <w:szCs w:val="24"/>
        </w:rPr>
        <w:t>，临时占用地已恢复原有土地利用状况，原有耕作制度已恢复。采取科学人工培肥、土壤熟化措施，临时性占用的农田土壤肥力很快可以恢复。</w:t>
      </w:r>
      <w:r>
        <w:rPr>
          <w:rFonts w:hint="eastAsia" w:cs="Times New Roman"/>
          <w:szCs w:val="24"/>
        </w:rPr>
        <w:t>项目</w:t>
      </w:r>
      <w:r>
        <w:rPr>
          <w:rFonts w:cs="Times New Roman"/>
          <w:szCs w:val="24"/>
        </w:rPr>
        <w:t>不会改变区域农田景观的格局，也不会改变评价范围的农业生产结构。在施工结束后，对区块的景观格局影响不大。</w:t>
      </w:r>
    </w:p>
    <w:p>
      <w:pPr>
        <w:ind w:firstLine="480"/>
        <w:rPr>
          <w:rFonts w:cs="Times New Roman"/>
          <w:szCs w:val="24"/>
        </w:rPr>
      </w:pPr>
      <w:r>
        <w:rPr>
          <w:rFonts w:cs="Times New Roman"/>
          <w:szCs w:val="24"/>
        </w:rPr>
        <w:t>管道工程在施工结束后，覆土回填，土壤经过1～2年的恢复期，农作物产量恢复到施工前的水平，带状斑块效应逐渐减弱甚至消失，农田生态景观几乎不受影响。</w:t>
      </w:r>
    </w:p>
    <w:p>
      <w:pPr>
        <w:ind w:firstLine="480"/>
        <w:rPr>
          <w:rFonts w:cs="Times New Roman"/>
          <w:szCs w:val="24"/>
        </w:rPr>
      </w:pPr>
      <w:r>
        <w:rPr>
          <w:rFonts w:cs="Times New Roman"/>
          <w:szCs w:val="24"/>
        </w:rPr>
        <w:t>对于林地生态景观，由于管道中心线两侧5m范围不能恢复为林地，因此，内外输管道穿越林区段在施工结束后将形成条状景观切割带，森林景观连续性、整体性降低。但是，经过一段时间的恢复演替之后，这种带状景观切割只会越来越弱。如下图</w:t>
      </w:r>
      <w:r>
        <w:rPr>
          <w:rFonts w:hint="eastAsia" w:cs="Times New Roman"/>
          <w:szCs w:val="24"/>
        </w:rPr>
        <w:t>现河巴线</w:t>
      </w:r>
      <w:r>
        <w:rPr>
          <w:rFonts w:cs="Times New Roman"/>
          <w:szCs w:val="24"/>
        </w:rPr>
        <w:t>集输管线植被恢复效果照片，其管线切割生态系统和景观已经不明显，项目对其影响较小。</w:t>
      </w:r>
    </w:p>
    <w:p>
      <w:pPr>
        <w:pStyle w:val="56"/>
        <w:rPr>
          <w:b/>
        </w:rPr>
      </w:pPr>
      <w:r>
        <w:rPr>
          <w:b/>
        </w:rPr>
        <mc:AlternateContent>
          <mc:Choice Requires="wps">
            <w:drawing>
              <wp:anchor distT="0" distB="0" distL="114300" distR="114300" simplePos="0" relativeHeight="251704320" behindDoc="0" locked="0" layoutInCell="1" allowOverlap="1">
                <wp:simplePos x="0" y="0"/>
                <wp:positionH relativeFrom="column">
                  <wp:posOffset>4091305</wp:posOffset>
                </wp:positionH>
                <wp:positionV relativeFrom="paragraph">
                  <wp:posOffset>825500</wp:posOffset>
                </wp:positionV>
                <wp:extent cx="914400" cy="340360"/>
                <wp:effectExtent l="95250" t="0" r="19050" b="269240"/>
                <wp:wrapNone/>
                <wp:docPr id="60501" name="矩形标注 60501"/>
                <wp:cNvGraphicFramePr/>
                <a:graphic xmlns:a="http://schemas.openxmlformats.org/drawingml/2006/main">
                  <a:graphicData uri="http://schemas.microsoft.com/office/word/2010/wordprocessingShape">
                    <wps:wsp>
                      <wps:cNvSpPr/>
                      <wps:spPr>
                        <a:xfrm>
                          <a:off x="0" y="0"/>
                          <a:ext cx="914400" cy="340360"/>
                        </a:xfrm>
                        <a:prstGeom prst="wedgeRectCallout">
                          <a:avLst>
                            <a:gd name="adj1" fmla="val -55615"/>
                            <a:gd name="adj2" fmla="val 111622"/>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color w:val="FFC000"/>
                              </w:rPr>
                            </w:pPr>
                            <w:r>
                              <w:rPr>
                                <w:rFonts w:hint="eastAsia"/>
                                <w:color w:val="FFC000"/>
                              </w:rPr>
                              <w:t>现</w:t>
                            </w:r>
                            <w:r>
                              <w:rPr>
                                <w:color w:val="FFC000"/>
                              </w:rPr>
                              <w:t>河巴线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2.15pt;margin-top:65pt;height:26.8pt;width:72pt;z-index:251704320;v-text-anchor:middle;mso-width-relative:page;mso-height-relative:page;" filled="f" stroked="t" coordsize="21600,21600" o:gfxdata="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jK2s22AAAAAsBAAAPAAAAAAAAAAEAIAAAACIAAABkcnMvZG93&#10;bnJldi54bWxQSwECFAAUAAAACACHTuJAHERUnqsCAABCBQAADgAAAAAAAAABACAAAAAnAQAAZHJz&#10;L2Uyb0RvYy54bWxQSwUGAAAAAAYABgBZAQAARAYAAAAA&#10;" adj="-1213,34910">
                <v:fill on="f" focussize="0,0"/>
                <v:stroke weight="1pt" color="#FFC000 [3204]" miterlimit="8" joinstyle="miter"/>
                <v:imagedata o:title=""/>
                <o:lock v:ext="edit" aspectratio="f"/>
                <v:textbox>
                  <w:txbxContent>
                    <w:p>
                      <w:pPr>
                        <w:ind w:firstLine="0" w:firstLineChars="0"/>
                        <w:rPr>
                          <w:color w:val="FFC000"/>
                        </w:rPr>
                      </w:pPr>
                      <w:r>
                        <w:rPr>
                          <w:rFonts w:hint="eastAsia"/>
                          <w:color w:val="FFC000"/>
                        </w:rPr>
                        <w:t>现</w:t>
                      </w:r>
                      <w:r>
                        <w:rPr>
                          <w:color w:val="FFC000"/>
                        </w:rPr>
                        <w:t>河巴线</w:t>
                      </w:r>
                    </w:p>
                  </w:txbxContent>
                </v:textbox>
              </v:shape>
            </w:pict>
          </mc:Fallback>
        </mc:AlternateContent>
      </w:r>
      <w:r>
        <w:rPr>
          <w:b/>
        </w:rPr>
        <mc:AlternateContent>
          <mc:Choice Requires="wps">
            <w:drawing>
              <wp:anchor distT="0" distB="0" distL="114300" distR="114300" simplePos="0" relativeHeight="251703296" behindDoc="0" locked="0" layoutInCell="1" allowOverlap="1">
                <wp:simplePos x="0" y="0"/>
                <wp:positionH relativeFrom="column">
                  <wp:posOffset>3140710</wp:posOffset>
                </wp:positionH>
                <wp:positionV relativeFrom="paragraph">
                  <wp:posOffset>208915</wp:posOffset>
                </wp:positionV>
                <wp:extent cx="1148715" cy="1738630"/>
                <wp:effectExtent l="0" t="0" r="13335" b="14605"/>
                <wp:wrapNone/>
                <wp:docPr id="60500" name="任意多边形 60500"/>
                <wp:cNvGraphicFramePr/>
                <a:graphic xmlns:a="http://schemas.openxmlformats.org/drawingml/2006/main">
                  <a:graphicData uri="http://schemas.microsoft.com/office/word/2010/wordprocessingShape">
                    <wps:wsp>
                      <wps:cNvSpPr/>
                      <wps:spPr>
                        <a:xfrm>
                          <a:off x="0" y="0"/>
                          <a:ext cx="1148862" cy="1738365"/>
                        </a:xfrm>
                        <a:custGeom>
                          <a:avLst/>
                          <a:gdLst>
                            <a:gd name="connsiteX0" fmla="*/ 0 w 1148862"/>
                            <a:gd name="connsiteY0" fmla="*/ 0 h 1738365"/>
                            <a:gd name="connsiteX1" fmla="*/ 348343 w 1148862"/>
                            <a:gd name="connsiteY1" fmla="*/ 113882 h 1738365"/>
                            <a:gd name="connsiteX2" fmla="*/ 666541 w 1148862"/>
                            <a:gd name="connsiteY2" fmla="*/ 237811 h 1738365"/>
                            <a:gd name="connsiteX3" fmla="*/ 743578 w 1148862"/>
                            <a:gd name="connsiteY3" fmla="*/ 355042 h 1738365"/>
                            <a:gd name="connsiteX4" fmla="*/ 763675 w 1148862"/>
                            <a:gd name="connsiteY4" fmla="*/ 552660 h 1738365"/>
                            <a:gd name="connsiteX5" fmla="*/ 783772 w 1148862"/>
                            <a:gd name="connsiteY5" fmla="*/ 753627 h 1738365"/>
                            <a:gd name="connsiteX6" fmla="*/ 820616 w 1148862"/>
                            <a:gd name="connsiteY6" fmla="*/ 931148 h 1738365"/>
                            <a:gd name="connsiteX7" fmla="*/ 874207 w 1148862"/>
                            <a:gd name="connsiteY7" fmla="*/ 1122066 h 1738365"/>
                            <a:gd name="connsiteX8" fmla="*/ 947895 w 1148862"/>
                            <a:gd name="connsiteY8" fmla="*/ 1279491 h 1738365"/>
                            <a:gd name="connsiteX9" fmla="*/ 1021583 w 1148862"/>
                            <a:gd name="connsiteY9" fmla="*/ 1460361 h 1738365"/>
                            <a:gd name="connsiteX10" fmla="*/ 1108668 w 1148862"/>
                            <a:gd name="connsiteY10" fmla="*/ 1627833 h 1738365"/>
                            <a:gd name="connsiteX11" fmla="*/ 1148862 w 1148862"/>
                            <a:gd name="connsiteY11" fmla="*/ 1738365 h 1738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48862" h="1738365">
                              <a:moveTo>
                                <a:pt x="0" y="0"/>
                              </a:moveTo>
                              <a:cubicBezTo>
                                <a:pt x="118626" y="37123"/>
                                <a:pt x="237253" y="74247"/>
                                <a:pt x="348343" y="113882"/>
                              </a:cubicBezTo>
                              <a:cubicBezTo>
                                <a:pt x="459433" y="153517"/>
                                <a:pt x="600669" y="197618"/>
                                <a:pt x="666541" y="237811"/>
                              </a:cubicBezTo>
                              <a:cubicBezTo>
                                <a:pt x="732413" y="278004"/>
                                <a:pt x="727389" y="302567"/>
                                <a:pt x="743578" y="355042"/>
                              </a:cubicBezTo>
                              <a:cubicBezTo>
                                <a:pt x="759767" y="407517"/>
                                <a:pt x="756976" y="486229"/>
                                <a:pt x="763675" y="552660"/>
                              </a:cubicBezTo>
                              <a:cubicBezTo>
                                <a:pt x="770374" y="619091"/>
                                <a:pt x="774282" y="690546"/>
                                <a:pt x="783772" y="753627"/>
                              </a:cubicBezTo>
                              <a:cubicBezTo>
                                <a:pt x="793262" y="816708"/>
                                <a:pt x="805544" y="869742"/>
                                <a:pt x="820616" y="931148"/>
                              </a:cubicBezTo>
                              <a:cubicBezTo>
                                <a:pt x="835689" y="992555"/>
                                <a:pt x="852994" y="1064009"/>
                                <a:pt x="874207" y="1122066"/>
                              </a:cubicBezTo>
                              <a:cubicBezTo>
                                <a:pt x="895420" y="1180123"/>
                                <a:pt x="923332" y="1223109"/>
                                <a:pt x="947895" y="1279491"/>
                              </a:cubicBezTo>
                              <a:cubicBezTo>
                                <a:pt x="972458" y="1335873"/>
                                <a:pt x="994788" y="1402304"/>
                                <a:pt x="1021583" y="1460361"/>
                              </a:cubicBezTo>
                              <a:cubicBezTo>
                                <a:pt x="1048378" y="1518418"/>
                                <a:pt x="1087455" y="1581499"/>
                                <a:pt x="1108668" y="1627833"/>
                              </a:cubicBezTo>
                              <a:cubicBezTo>
                                <a:pt x="1129881" y="1674167"/>
                                <a:pt x="1139371" y="1706266"/>
                                <a:pt x="1148862" y="173836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247.3pt;margin-top:16.45pt;height:136.9pt;width:90.45pt;z-index:251703296;v-text-anchor:middle;mso-width-relative:page;mso-height-relative:page;" filled="f" stroked="t" coordsize="1148862,1738365" o:gfxdata="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" path="m0,0c118626,37123,237253,74247,348343,113882c459433,153517,600669,197618,666541,237811c732413,278004,727389,302567,743578,355042c759767,407517,756976,486229,763675,552660c770374,619091,774282,690546,783772,753627c793262,816708,805544,869742,820616,931148c835689,992555,852994,1064009,874207,1122066c895420,1180123,923332,1223109,947895,1279491c972458,1335873,994788,1402304,1021583,1460361c1048378,1518418,1087455,1581499,1108668,1627833c1129881,1674167,1139371,1706266,1148862,1738365e">
                <v:path o:connectlocs="0,0;348343,113882;666541,237811;743578,355042;763675,552660;783772,753627;820616,931148;874207,1122066;947895,1279491;1021583,1460361;1108668,1627833;1148862,1738365" o:connectangles="0,0,0,0,0,0,0,0,0,0,0,0"/>
                <v:fill on="f" focussize="0,0"/>
                <v:stroke weight="1pt" color="#FF0000 [3204]" miterlimit="8" joinstyle="miter"/>
                <v:imagedata o:title=""/>
                <o:lock v:ext="edit" aspectratio="f"/>
              </v:shape>
            </w:pict>
          </mc:Fallback>
        </mc:AlternateContent>
      </w:r>
      <w:r>
        <w:rPr>
          <w:b/>
        </w:rPr>
        <w:drawing>
          <wp:inline distT="0" distB="0" distL="0" distR="0">
            <wp:extent cx="2494280" cy="1871980"/>
            <wp:effectExtent l="0" t="0" r="1270" b="0"/>
            <wp:docPr id="21" name="图片 21" descr="G:\9.正在进行项目\8条管线-资料\2.照片\活水沟照片\IMG_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9.正在进行项目\8条管线-资料\2.照片\活水沟照片\IMG_899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494515" cy="1872000"/>
                    </a:xfrm>
                    <a:prstGeom prst="rect">
                      <a:avLst/>
                    </a:prstGeom>
                    <a:noFill/>
                    <a:ln>
                      <a:noFill/>
                    </a:ln>
                  </pic:spPr>
                </pic:pic>
              </a:graphicData>
            </a:graphic>
          </wp:inline>
        </w:drawing>
      </w:r>
      <w:r>
        <w:rPr>
          <w:rFonts w:hint="eastAsia"/>
          <w:b/>
        </w:rPr>
        <w:t xml:space="preserve"> </w:t>
      </w:r>
      <w:r>
        <w:rPr>
          <w:b/>
        </w:rPr>
        <w:drawing>
          <wp:inline distT="0" distB="0" distL="0" distR="0">
            <wp:extent cx="2367915" cy="1871980"/>
            <wp:effectExtent l="0" t="0" r="0" b="0"/>
            <wp:docPr id="27" name="图片 27" descr="G:\9.正在进行项目\8条管线-资料\2.照片\活水沟照片\DJI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9.正在进行项目\8条管线-资料\2.照片\活水沟照片\DJI_0957.JPG"/>
                    <pic:cNvPicPr>
                      <a:picLocks noChangeAspect="1" noChangeArrowheads="1"/>
                    </pic:cNvPicPr>
                  </pic:nvPicPr>
                  <pic:blipFill>
                    <a:blip r:embed="rId60" cstate="print">
                      <a:extLst>
                        <a:ext uri="{28A0092B-C50C-407E-A947-70E740481C1C}">
                          <a14:useLocalDpi xmlns:a14="http://schemas.microsoft.com/office/drawing/2010/main" val="0"/>
                        </a:ext>
                      </a:extLst>
                    </a:blip>
                    <a:srcRect l="14127" t="16739" r="27639" b="1450"/>
                    <a:stretch>
                      <a:fillRect/>
                    </a:stretch>
                  </pic:blipFill>
                  <pic:spPr>
                    <a:xfrm>
                      <a:off x="0" y="0"/>
                      <a:ext cx="2368298" cy="1872000"/>
                    </a:xfrm>
                    <a:prstGeom prst="rect">
                      <a:avLst/>
                    </a:prstGeom>
                    <a:noFill/>
                    <a:ln>
                      <a:noFill/>
                    </a:ln>
                  </pic:spPr>
                </pic:pic>
              </a:graphicData>
            </a:graphic>
          </wp:inline>
        </w:drawing>
      </w:r>
    </w:p>
    <w:p>
      <w:pPr>
        <w:pStyle w:val="222"/>
      </w:pPr>
      <w:r>
        <w:t>图</w:t>
      </w:r>
      <w:r>
        <w:fldChar w:fldCharType="begin"/>
      </w:r>
      <w:r>
        <w:instrText xml:space="preserve"> STYLEREF 2 \s </w:instrText>
      </w:r>
      <w:r>
        <w:fldChar w:fldCharType="separate"/>
      </w:r>
      <w:r>
        <w:t>7.2</w:t>
      </w:r>
      <w:r>
        <w:fldChar w:fldCharType="end"/>
      </w:r>
      <w:r>
        <w:noBreakHyphen/>
      </w:r>
      <w:r>
        <w:fldChar w:fldCharType="begin"/>
      </w:r>
      <w:r>
        <w:instrText xml:space="preserve"> SEQ 图 \* ARABIC \s 2 </w:instrText>
      </w:r>
      <w:r>
        <w:fldChar w:fldCharType="separate"/>
      </w:r>
      <w:r>
        <w:t>1</w:t>
      </w:r>
      <w:r>
        <w:fldChar w:fldCharType="end"/>
      </w:r>
      <w:r>
        <w:rPr>
          <w:rFonts w:hint="eastAsia"/>
        </w:rPr>
        <w:t xml:space="preserve"> </w:t>
      </w:r>
      <w:r>
        <w:t xml:space="preserve"> </w:t>
      </w:r>
      <w:r>
        <w:rPr>
          <w:rFonts w:hint="eastAsia"/>
        </w:rPr>
        <w:t>现河巴线</w:t>
      </w:r>
      <w:r>
        <w:t>集输管线</w:t>
      </w:r>
      <w:r>
        <w:rPr>
          <w:rFonts w:hint="eastAsia"/>
        </w:rPr>
        <w:t>生态</w:t>
      </w:r>
      <w:r>
        <w:t>恢复照片</w:t>
      </w:r>
    </w:p>
    <w:p>
      <w:pPr>
        <w:ind w:firstLine="480"/>
        <w:rPr>
          <w:rFonts w:cs="Times New Roman"/>
          <w:szCs w:val="24"/>
        </w:rPr>
      </w:pPr>
      <w:r>
        <w:rPr>
          <w:rFonts w:cs="Times New Roman"/>
          <w:szCs w:val="24"/>
        </w:rPr>
        <w:t>管道对景观的切割作用主要是由于管道的阻隔，导致景观体系碎化和景观格局改变；恢复后对农田景观影响基本不存在，对林地的影响除由于保护的要求在管道两侧5m内不得种植根深植物之外，不会切断管道两侧的物质能量流和生物</w:t>
      </w:r>
      <w:bookmarkStart w:id="398" w:name="_GoBack"/>
      <w:bookmarkEnd w:id="398"/>
      <w:r>
        <w:rPr>
          <w:rFonts w:hint="eastAsia" w:cs="Times New Roman"/>
          <w:szCs w:val="24"/>
          <w:lang w:eastAsia="zh-CN"/>
        </w:rPr>
        <w:t>迁徙</w:t>
      </w:r>
      <w:r>
        <w:rPr>
          <w:rFonts w:cs="Times New Roman"/>
          <w:szCs w:val="24"/>
        </w:rPr>
        <w:t>。</w:t>
      </w:r>
    </w:p>
    <w:p>
      <w:pPr>
        <w:pStyle w:val="214"/>
        <w:ind w:firstLine="480"/>
      </w:pPr>
      <w:r>
        <w:t>总体而言，项目建设后评价区景观组成格局基本不变。</w:t>
      </w:r>
    </w:p>
    <w:p>
      <w:pPr>
        <w:pStyle w:val="4"/>
      </w:pPr>
      <w:r>
        <w:rPr>
          <w:rFonts w:hint="eastAsia"/>
        </w:rPr>
        <w:t xml:space="preserve"> </w:t>
      </w:r>
      <w:bookmarkStart w:id="260" w:name="_Toc96680728"/>
      <w:r>
        <w:rPr>
          <w:rFonts w:hint="eastAsia"/>
        </w:rPr>
        <w:t>对</w:t>
      </w:r>
      <w:r>
        <w:t>环境敏感区的影响分析</w:t>
      </w:r>
      <w:bookmarkEnd w:id="260"/>
    </w:p>
    <w:p>
      <w:pPr>
        <w:pStyle w:val="5"/>
      </w:pPr>
      <w:bookmarkStart w:id="261" w:name="_Toc82180576"/>
      <w:bookmarkStart w:id="262" w:name="_Toc90396753"/>
      <w:r>
        <w:rPr>
          <w:rFonts w:hint="eastAsia"/>
        </w:rPr>
        <w:t xml:space="preserve"> </w:t>
      </w:r>
      <w:bookmarkStart w:id="263" w:name="_Toc96680729"/>
      <w:r>
        <w:t>对永久基本农田环境影响分析</w:t>
      </w:r>
      <w:bookmarkEnd w:id="261"/>
      <w:bookmarkEnd w:id="262"/>
      <w:bookmarkEnd w:id="263"/>
    </w:p>
    <w:p>
      <w:pPr>
        <w:ind w:firstLine="480"/>
      </w:pPr>
      <w:r>
        <w:t>根据通江县自然资源和规划局的走访调查，本项目涉及基本农田。临时占用</w:t>
      </w:r>
      <w:bookmarkStart w:id="264" w:name="_Hlk65434741"/>
      <w:r>
        <w:t>永久基本农田</w:t>
      </w:r>
      <w:bookmarkEnd w:id="264"/>
      <w:r>
        <w:t>约0.62hm</w:t>
      </w:r>
      <w:r>
        <w:rPr>
          <w:vertAlign w:val="superscript"/>
        </w:rPr>
        <w:t>2</w:t>
      </w:r>
      <w:r>
        <w:t>，永久占用永久基本农田6m</w:t>
      </w:r>
      <w:r>
        <w:rPr>
          <w:vertAlign w:val="superscript"/>
        </w:rPr>
        <w:t>2</w:t>
      </w:r>
      <w:r>
        <w:t>。</w:t>
      </w:r>
    </w:p>
    <w:p>
      <w:pPr>
        <w:pStyle w:val="53"/>
        <w:ind w:left="-29" w:firstLine="482"/>
        <w:rPr>
          <w:rFonts w:cs="Times New Roman"/>
        </w:rPr>
      </w:pPr>
      <w:r>
        <w:rPr>
          <w:rFonts w:cs="Times New Roman"/>
        </w:rPr>
        <w:t>（1）</w:t>
      </w:r>
      <w:r>
        <w:rPr>
          <w:rFonts w:hint="eastAsia" w:cs="Times New Roman"/>
        </w:rPr>
        <w:t>永久占地</w:t>
      </w:r>
      <w:r>
        <w:rPr>
          <w:rFonts w:cs="Times New Roman"/>
        </w:rPr>
        <w:t>对永久基本农田环境影响分析</w:t>
      </w:r>
    </w:p>
    <w:p>
      <w:pPr>
        <w:ind w:firstLine="480"/>
      </w:pPr>
      <w:r>
        <w:t>本项目</w:t>
      </w:r>
      <w:r>
        <w:rPr>
          <w:rFonts w:cs="Times New Roman"/>
        </w:rPr>
        <w:t>永久占地包括</w:t>
      </w:r>
      <w:r>
        <w:rPr>
          <w:rFonts w:hint="eastAsia" w:cs="Times New Roman"/>
        </w:rPr>
        <w:t>标志桩和</w:t>
      </w:r>
      <w:r>
        <w:rPr>
          <w:rFonts w:cs="Times New Roman"/>
        </w:rPr>
        <w:t>警示牌等的永久征地</w:t>
      </w:r>
      <w:r>
        <w:rPr>
          <w:rFonts w:hint="eastAsia" w:cs="Times New Roman"/>
        </w:rPr>
        <w:t>，共占面积</w:t>
      </w:r>
      <w:r>
        <w:rPr>
          <w:rFonts w:cs="Times New Roman"/>
        </w:rPr>
        <w:t>为</w:t>
      </w:r>
      <w:r>
        <w:rPr>
          <w:rFonts w:hint="eastAsia" w:cs="Times New Roman"/>
        </w:rPr>
        <w:t>22</w:t>
      </w:r>
      <w:r>
        <w:t xml:space="preserve"> m</w:t>
      </w:r>
      <w:r>
        <w:rPr>
          <w:vertAlign w:val="superscript"/>
        </w:rPr>
        <w:t>2</w:t>
      </w:r>
      <w:r>
        <w:rPr>
          <w:rFonts w:hint="eastAsia" w:cs="Times New Roman"/>
        </w:rPr>
        <w:t>，其中</w:t>
      </w:r>
      <w:r>
        <w:rPr>
          <w:rFonts w:cs="Times New Roman"/>
        </w:rPr>
        <w:t>占永久基本农田6</w:t>
      </w:r>
      <w:r>
        <w:t>m</w:t>
      </w:r>
      <w:r>
        <w:rPr>
          <w:vertAlign w:val="superscript"/>
        </w:rPr>
        <w:t>2</w:t>
      </w:r>
      <w:r>
        <w:rPr>
          <w:rFonts w:cs="Times New Roman"/>
        </w:rPr>
        <w:t>，</w:t>
      </w:r>
      <w:r>
        <w:rPr>
          <w:rFonts w:hint="eastAsia" w:cs="Times New Roman"/>
        </w:rPr>
        <w:t>占地</w:t>
      </w:r>
      <w:r>
        <w:rPr>
          <w:rFonts w:cs="Times New Roman"/>
        </w:rPr>
        <w:t>面积</w:t>
      </w:r>
      <w:r>
        <w:rPr>
          <w:rFonts w:hint="eastAsia" w:cs="Times New Roman"/>
        </w:rPr>
        <w:t>较小。</w:t>
      </w:r>
      <w:r>
        <w:t>主要影响为永久占用基本农田</w:t>
      </w:r>
      <w:r>
        <w:rPr>
          <w:rFonts w:hint="eastAsia"/>
        </w:rPr>
        <w:t>，</w:t>
      </w:r>
      <w:r>
        <w:t>改变其土地利用现状</w:t>
      </w:r>
      <w:r>
        <w:rPr>
          <w:rFonts w:hint="eastAsia"/>
        </w:rPr>
        <w:t>。</w:t>
      </w:r>
      <w:r>
        <w:t>应依法办理农用地转用和土地征收审批手续，按规定补划永久基本农田。</w:t>
      </w:r>
    </w:p>
    <w:p>
      <w:pPr>
        <w:ind w:firstLine="480"/>
      </w:pPr>
      <w:r>
        <w:t>根据现场调查，项目占地在当地现有土地利用类型中所占比例很小，不会导致区域土地利用格局的变化，对区域土地利用格局产生的影响甚微。本项目对农业生产的直接影响主要体现为因永久占用耕地及永久基本农田而造成无法种植经济作物，本次环评要求严格控制占地范围，尽量减小占用永久基本农田的范围，严禁随意扩大占用永久基本农田的范围。若确因实际情况需要扩大占地范围的，应严格执行国家及地方法律、法规有关永久基本农田征占审批和补偿的规定，在施工前应办理好相关土地使用手续。</w:t>
      </w:r>
    </w:p>
    <w:p>
      <w:pPr>
        <w:ind w:firstLine="480"/>
      </w:pPr>
      <w:r>
        <w:t>采气运营期间针对按照“源头控制、过程控制”相结合的原则，从污染物的产生、入渗、扩散、事故状态应急响应等各方面进行了土壤污染防治措施，确保运营期不会对当地永久基本农田产生不利影响。</w:t>
      </w:r>
    </w:p>
    <w:p>
      <w:pPr>
        <w:pStyle w:val="53"/>
        <w:ind w:left="-29" w:firstLine="482"/>
        <w:rPr>
          <w:rFonts w:cs="Times New Roman"/>
        </w:rPr>
      </w:pPr>
      <w:r>
        <w:rPr>
          <w:rFonts w:cs="Times New Roman"/>
        </w:rPr>
        <w:t>（2）</w:t>
      </w:r>
      <w:r>
        <w:rPr>
          <w:rFonts w:hint="eastAsia" w:cs="Times New Roman"/>
        </w:rPr>
        <w:t>临时占地</w:t>
      </w:r>
      <w:r>
        <w:rPr>
          <w:rFonts w:cs="Times New Roman"/>
        </w:rPr>
        <w:t>对永久基本农田的环境影响分析</w:t>
      </w:r>
    </w:p>
    <w:p>
      <w:pPr>
        <w:ind w:firstLine="480"/>
      </w:pPr>
      <w:r>
        <w:t>本项目</w:t>
      </w:r>
      <w:r>
        <w:rPr>
          <w:rFonts w:hint="eastAsia"/>
        </w:rPr>
        <w:t>临时</w:t>
      </w:r>
      <w:r>
        <w:t>占地对永久基本农田的影响主要为穿越永久基本农田的管段在施工期对永久基本农田的影响，施工结束后通过生态恢复及生态补偿，运营期正常情况下不会对永久基本农田产生不利影响。各集输管线建设占用永久基本农田主要为施工作业带临时占用，占用区域呈条带状，施工结束后即可恢复生产。</w:t>
      </w:r>
    </w:p>
    <w:p>
      <w:pPr>
        <w:ind w:firstLine="480"/>
      </w:pPr>
      <w:r>
        <w:t>管沟开挖将对临时占用的永久基本农田开挖，使被开挖区域的土壤层耕层发生破坏，导致耕地质量下降，主要表现为可能耽误一季农作物生产，这种影响是临时的；由于管道施工分标段进行，每个标段的施工周期较短，一般不超过1个月，因此，施工作业带和施工便道临时占地只影响永久基本农田一季的产出功能。本次环评要求施工单位对临时占地除了在施工中采取措施减少永久基本农田破坏、严格做好对永久基本农田的保护及恢复措施，土壤应分层开挖、分层堆放、分层回填外，在施工结束后，一定要负责开挖破坏段耕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及监测工作，及时掌握耕地质量变化状况，直至恢复到原来的生产力水平。考虑到国家对永久基本农田内的耕地实行特殊保护，为严格永久基本农田占用的监督管理，项目需由省级国土资源部门批准后再进行施工，并编制土地复垦方案，临时用地使用完成后，建设单位应按经批准的土地复垦方案及时组织复垦，确保被压占破坏土地恢复原土地使用状态。在施工结束后对临时占地应委托原被征地农户进行耕地的复耕复种工作，进行必要的土壤抚育，多使用有机肥，恢复临时占用耕地及永久基本农田的生产力，确保不降低项目占用的永久基本农田地力。</w:t>
      </w:r>
    </w:p>
    <w:p>
      <w:pPr>
        <w:ind w:firstLine="480"/>
      </w:pPr>
      <w:r>
        <w:t>正常工况下，天然气于管线中密闭输送，营期不会对土壤环境造成影响。本项目采气站场拟采用“湿气加热保温，气液分输”，即天然气采用管道输送，管道内为分离后的天然气，即使管道泄露对土壤影响很小。</w:t>
      </w:r>
    </w:p>
    <w:p>
      <w:pPr>
        <w:pStyle w:val="214"/>
        <w:ind w:firstLine="480"/>
      </w:pPr>
      <w:r>
        <w:rPr>
          <w:rFonts w:hint="eastAsia"/>
        </w:rPr>
        <w:t>综上</w:t>
      </w:r>
      <w:r>
        <w:t>，本项目建设对永久基本农田的影响较小。</w:t>
      </w:r>
    </w:p>
    <w:p>
      <w:pPr>
        <w:pStyle w:val="5"/>
      </w:pPr>
      <w:r>
        <w:rPr>
          <w:rFonts w:hint="eastAsia"/>
        </w:rPr>
        <w:t xml:space="preserve"> </w:t>
      </w:r>
      <w:bookmarkStart w:id="265" w:name="_Toc96680730"/>
      <w:r>
        <w:rPr>
          <w:rFonts w:hint="eastAsia"/>
        </w:rPr>
        <w:t>对天然林的</w:t>
      </w:r>
      <w:r>
        <w:t>影响分析</w:t>
      </w:r>
      <w:bookmarkEnd w:id="265"/>
    </w:p>
    <w:p>
      <w:pPr>
        <w:ind w:firstLine="480"/>
        <w:rPr>
          <w:rFonts w:cs="Times New Roman"/>
        </w:rPr>
      </w:pPr>
      <w:r>
        <w:rPr>
          <w:rFonts w:cs="Times New Roman"/>
        </w:rPr>
        <w:t>根据现场调查并结合对</w:t>
      </w:r>
      <w:r>
        <w:rPr>
          <w:rFonts w:hint="eastAsia" w:cs="Times New Roman"/>
        </w:rPr>
        <w:t>通江县林业局</w:t>
      </w:r>
      <w:r>
        <w:rPr>
          <w:rFonts w:cs="Times New Roman"/>
        </w:rPr>
        <w:t>的走访调查，本项目涉及占用天然林。在施工期总计占用天然林0.06公顷，</w:t>
      </w:r>
      <w:r>
        <w:rPr>
          <w:rFonts w:hint="eastAsia" w:cs="Times New Roman"/>
        </w:rPr>
        <w:t>管线在施工过程中尽量缩小施工占地范围，尽量减少天然林的占用，另外严格</w:t>
      </w:r>
      <w:r>
        <w:rPr>
          <w:rFonts w:cs="Times New Roman"/>
        </w:rPr>
        <w:t>按照《四川省天然林保护条例》中要求在林业主管部门指定的地块植树造林，恢复植被，或者按照国务院规定缴纳森林植被恢复费后能实现占补平衡，且本项目占地较小，对当地的林地资源消耗属于可接受水平。</w:t>
      </w:r>
    </w:p>
    <w:p>
      <w:pPr>
        <w:pStyle w:val="214"/>
        <w:ind w:firstLine="480"/>
      </w:pPr>
      <w:r>
        <w:t>总之，本项目占用天然林面积较小，对占用林地按照《四川省天然林保护条例》采取补偿措施后环境影响是可接受的。</w:t>
      </w:r>
    </w:p>
    <w:p>
      <w:pPr>
        <w:pStyle w:val="5"/>
      </w:pPr>
      <w:bookmarkStart w:id="266" w:name="_Toc37172678"/>
      <w:bookmarkStart w:id="267" w:name="_Toc90396755"/>
      <w:bookmarkStart w:id="268" w:name="_Toc82180577"/>
      <w:bookmarkStart w:id="269" w:name="_Toc29808384"/>
      <w:bookmarkStart w:id="270" w:name="_Toc60305194"/>
      <w:r>
        <w:rPr>
          <w:rFonts w:hint="eastAsia"/>
        </w:rPr>
        <w:t xml:space="preserve"> </w:t>
      </w:r>
      <w:bookmarkStart w:id="271" w:name="_Toc96680731"/>
      <w:r>
        <w:t>水土保持分析与评价</w:t>
      </w:r>
      <w:bookmarkEnd w:id="266"/>
      <w:bookmarkEnd w:id="267"/>
      <w:bookmarkEnd w:id="268"/>
      <w:bookmarkEnd w:id="269"/>
      <w:bookmarkEnd w:id="270"/>
      <w:bookmarkEnd w:id="271"/>
    </w:p>
    <w:p>
      <w:pPr>
        <w:ind w:firstLine="480"/>
      </w:pPr>
      <w:r>
        <w:t>本项目位于通江县，根据《水利部办公厅关于印发&lt;全国水土保持规划国家级水土流失重点预防区和重点治理区复核划分成果&gt;的通知》（办水保〔2013〕188号），通江县属于嘉陵江上游国家级水土流失重点预防区。</w:t>
      </w:r>
    </w:p>
    <w:p>
      <w:pPr>
        <w:pStyle w:val="214"/>
        <w:ind w:firstLine="480"/>
      </w:pPr>
      <w:r>
        <w:t>根据《通江县水土保持规划（2015-2030年）》，为水土流失重点治理区（附图13）。</w:t>
      </w:r>
    </w:p>
    <w:p>
      <w:pPr>
        <w:pStyle w:val="6"/>
      </w:pPr>
      <w:r>
        <w:rPr>
          <w:rFonts w:hint="eastAsia"/>
        </w:rPr>
        <w:t xml:space="preserve"> 水土流失</w:t>
      </w:r>
      <w:r>
        <w:t>成</w:t>
      </w:r>
      <w:r>
        <w:rPr>
          <w:rFonts w:hint="eastAsia"/>
        </w:rPr>
        <w:t>因</w:t>
      </w:r>
    </w:p>
    <w:p>
      <w:pPr>
        <w:ind w:firstLine="480"/>
      </w:pPr>
      <w:r>
        <w:t>本项目集输工程建设</w:t>
      </w:r>
      <w:r>
        <w:rPr>
          <w:lang w:val="zh-CN"/>
        </w:rPr>
        <w:t>水土流失的形成与工程区地形地貌、岩性、地面组成物质、气候等自然因素和人为因素密切相关。水土流失自然因素是导致水土流失的重要条件，人为因素则进一步加剧了水土流失。</w:t>
      </w:r>
    </w:p>
    <w:p>
      <w:pPr>
        <w:ind w:firstLine="480"/>
      </w:pPr>
      <w:r>
        <w:t>本项目在施工期间，造成水土流失的主要因素是表土剥离、集输管道沟槽开挖和填筑、对施工作业带内的植被进行清除等将使地表植被、地面组成物质和地貌受到扰动和破坏，使占地范围内的表层土裸露或形成松散堆积体，失去原有植被的防冲、固土能力，形成的边坡若不加以防护容易产生冲刷现象，增加新的水土流失。植被的清除使地表裸露，可能引起水土流失。同时，开挖的土石方临时堆放和自然恢复期可能产生的水土流失。</w:t>
      </w:r>
    </w:p>
    <w:p>
      <w:pPr>
        <w:pStyle w:val="6"/>
      </w:pPr>
      <w:r>
        <w:rPr>
          <w:rFonts w:hint="eastAsia"/>
        </w:rPr>
        <w:t xml:space="preserve"> 防治</w:t>
      </w:r>
      <w:r>
        <w:t>措施</w:t>
      </w:r>
    </w:p>
    <w:p>
      <w:pPr>
        <w:ind w:firstLine="480"/>
      </w:pPr>
      <w:r>
        <w:t>本项目永久占地面积约0.0022hm</w:t>
      </w:r>
      <w:r>
        <w:rPr>
          <w:vertAlign w:val="superscript"/>
        </w:rPr>
        <w:t>2</w:t>
      </w:r>
      <w:r>
        <w:t>，临时占地约</w:t>
      </w:r>
      <w:r>
        <w:rPr>
          <w:rFonts w:hint="eastAsia"/>
        </w:rPr>
        <w:t>2.72</w:t>
      </w:r>
      <w:r>
        <w:t>hm</w:t>
      </w:r>
      <w:r>
        <w:rPr>
          <w:vertAlign w:val="superscript"/>
        </w:rPr>
        <w:t>2</w:t>
      </w:r>
      <w:r>
        <w:rPr>
          <w:rFonts w:hint="eastAsia"/>
          <w:lang w:val="zh-CN"/>
        </w:rPr>
        <w:t>，</w:t>
      </w:r>
      <w:r>
        <w:rPr>
          <w:lang w:val="zh-CN"/>
        </w:rPr>
        <w:t>占地以林地</w:t>
      </w:r>
      <w:r>
        <w:rPr>
          <w:rFonts w:hint="eastAsia"/>
          <w:lang w:val="zh-CN"/>
        </w:rPr>
        <w:t>、</w:t>
      </w:r>
      <w:r>
        <w:rPr>
          <w:lang w:val="zh-CN"/>
        </w:rPr>
        <w:t>耕地为主</w:t>
      </w:r>
      <w:r>
        <w:rPr>
          <w:rFonts w:hint="eastAsia"/>
          <w:lang w:val="zh-CN"/>
        </w:rPr>
        <w:t>。</w:t>
      </w:r>
      <w:r>
        <w:rPr>
          <w:lang w:val="zh-CN"/>
        </w:rPr>
        <w:t>临时占地完成后，需马上进行迹地恢复，进行复耕或种植植物。</w:t>
      </w:r>
      <w:r>
        <w:t>项目对表层熟化土堆放进行覆盖，在施工结束后，及时对临时占地形成的地表扰动区域进行植被恢复和土地复耕。</w:t>
      </w:r>
    </w:p>
    <w:p>
      <w:pPr>
        <w:ind w:firstLine="480"/>
      </w:pPr>
      <w:r>
        <w:t>集输管线管沟开挖时对土壤实行分层开挖、分层堆放和分层回填的方法，管道经过深沟、陡坎地段，做好护坡、堡坎和排水设施。管道在穿越时，应根据地形和岩性条件设置护</w:t>
      </w:r>
      <w:r>
        <w:rPr>
          <w:rFonts w:hint="eastAsia"/>
        </w:rPr>
        <w:t>坡</w:t>
      </w:r>
      <w:r>
        <w:t>堡坎等。施工结束后，通过采用复耕、植树造林等措施，水土流失将逐渐降低，恢复到破坏前的水平。施工结束后，通过采用复耕、植树造林等措施，水土流失将逐渐降低，恢复到破坏前的水平。</w:t>
      </w:r>
    </w:p>
    <w:p>
      <w:pPr>
        <w:pStyle w:val="214"/>
        <w:ind w:firstLine="480"/>
      </w:pPr>
      <w:r>
        <w:t>另外，施工时注意合理分配施工时段，避开降雨集中时段，开挖的土石方、开挖裸露面做好防治措施，尽量缩短暴露时间，开挖的土石方在及时回填、清运的情况下，施工阶段造成的水土流失影响不大。</w:t>
      </w:r>
    </w:p>
    <w:p>
      <w:pPr>
        <w:pStyle w:val="214"/>
        <w:ind w:firstLine="480"/>
        <w:rPr>
          <w:b/>
        </w:rPr>
      </w:pPr>
      <w:r>
        <w:rPr>
          <w:rFonts w:hint="eastAsia"/>
        </w:rPr>
        <w:t>综上</w:t>
      </w:r>
      <w:r>
        <w:t>，在本项目施工阶段采取水土保持措施</w:t>
      </w:r>
      <w:r>
        <w:rPr>
          <w:rFonts w:hint="eastAsia"/>
        </w:rPr>
        <w:t>后</w:t>
      </w:r>
      <w:r>
        <w:t>，造成水土流失</w:t>
      </w:r>
      <w:r>
        <w:rPr>
          <w:rFonts w:hint="eastAsia"/>
        </w:rPr>
        <w:t>影响</w:t>
      </w:r>
      <w:r>
        <w:t>不大。</w:t>
      </w:r>
    </w:p>
    <w:p>
      <w:pPr>
        <w:spacing w:line="440" w:lineRule="exact"/>
        <w:ind w:firstLine="480"/>
        <w:rPr>
          <w:rFonts w:cs="Times New Roman"/>
        </w:rPr>
      </w:pPr>
    </w:p>
    <w:p>
      <w:pPr>
        <w:widowControl/>
        <w:ind w:firstLine="480"/>
        <w:jc w:val="left"/>
        <w:rPr>
          <w:rFonts w:cs="Times New Roman"/>
          <w:lang w:bidi="ar"/>
        </w:rPr>
      </w:pPr>
    </w:p>
    <w:p>
      <w:pPr>
        <w:ind w:firstLine="480"/>
        <w:rPr>
          <w:rFonts w:cs="Times New Roman"/>
        </w:rPr>
        <w:sectPr>
          <w:headerReference r:id="rId31" w:type="default"/>
          <w:pgSz w:w="11906" w:h="16838"/>
          <w:pgMar w:top="1440" w:right="1800" w:bottom="1440" w:left="1800" w:header="851" w:footer="794" w:gutter="0"/>
          <w:cols w:space="425" w:num="1"/>
          <w:docGrid w:type="lines" w:linePitch="326" w:charSpace="0"/>
        </w:sectPr>
      </w:pPr>
    </w:p>
    <w:p>
      <w:pPr>
        <w:pStyle w:val="3"/>
        <w:rPr>
          <w:rFonts w:cs="Times New Roman"/>
        </w:rPr>
      </w:pPr>
      <w:r>
        <w:rPr>
          <w:rFonts w:cs="Times New Roman"/>
        </w:rPr>
        <w:t xml:space="preserve"> </w:t>
      </w:r>
      <w:bookmarkStart w:id="272" w:name="_Toc96680732"/>
      <w:r>
        <w:rPr>
          <w:rFonts w:cs="Times New Roman"/>
        </w:rPr>
        <w:t>环境风险影响评价</w:t>
      </w:r>
      <w:bookmarkEnd w:id="272"/>
    </w:p>
    <w:p>
      <w:pPr>
        <w:pStyle w:val="4"/>
        <w:rPr>
          <w:rFonts w:cs="Times New Roman"/>
        </w:rPr>
      </w:pPr>
      <w:bookmarkStart w:id="273" w:name="_Toc69044746"/>
      <w:r>
        <w:rPr>
          <w:rFonts w:cs="Times New Roman"/>
        </w:rPr>
        <w:t xml:space="preserve"> </w:t>
      </w:r>
      <w:bookmarkStart w:id="274" w:name="_Toc96680733"/>
      <w:r>
        <w:rPr>
          <w:rFonts w:cs="Times New Roman"/>
        </w:rPr>
        <w:t>评价原则</w:t>
      </w:r>
      <w:bookmarkEnd w:id="273"/>
      <w:bookmarkEnd w:id="274"/>
    </w:p>
    <w:p>
      <w:pPr>
        <w:adjustRightInd w:val="0"/>
        <w:snapToGrid w:val="0"/>
        <w:ind w:firstLine="480"/>
        <w:rPr>
          <w:rFonts w:cs="Times New Roman"/>
        </w:rPr>
      </w:pPr>
      <w:r>
        <w:rPr>
          <w:rFonts w:cs="Times New Roman"/>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pStyle w:val="4"/>
        <w:rPr>
          <w:rFonts w:cs="Times New Roman"/>
        </w:rPr>
      </w:pPr>
      <w:bookmarkStart w:id="275" w:name="_Toc69044747"/>
      <w:r>
        <w:rPr>
          <w:rFonts w:cs="Times New Roman"/>
        </w:rPr>
        <w:t xml:space="preserve"> </w:t>
      </w:r>
      <w:bookmarkStart w:id="276" w:name="_Toc96680734"/>
      <w:r>
        <w:rPr>
          <w:rFonts w:cs="Times New Roman"/>
        </w:rPr>
        <w:t>风险评价程序</w:t>
      </w:r>
      <w:bookmarkEnd w:id="275"/>
      <w:bookmarkEnd w:id="276"/>
    </w:p>
    <w:p>
      <w:pPr>
        <w:adjustRightInd w:val="0"/>
        <w:snapToGrid w:val="0"/>
        <w:ind w:firstLine="480"/>
        <w:rPr>
          <w:rFonts w:cs="Times New Roman"/>
        </w:rPr>
      </w:pPr>
      <w:r>
        <w:rPr>
          <w:rFonts w:cs="Times New Roman"/>
        </w:rPr>
        <w:t xml:space="preserve">风险评价工作程序见下图。     </w:t>
      </w:r>
    </w:p>
    <w:p>
      <w:pPr>
        <w:pStyle w:val="56"/>
        <w:ind w:firstLine="360"/>
        <w:rPr>
          <w:rFonts w:cs="Times New Roman"/>
        </w:rPr>
      </w:pPr>
      <w:r>
        <w:rPr>
          <w:rFonts w:cs="Times New Roman"/>
        </w:rPr>
        <w:drawing>
          <wp:inline distT="0" distB="0" distL="0" distR="0">
            <wp:extent cx="5020310" cy="5039360"/>
            <wp:effectExtent l="0" t="0" r="8890" b="8890"/>
            <wp:docPr id="1092"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92"/>
                    <pic:cNvPicPr>
                      <a:picLocks noChangeAspect="1" noChangeArrowheads="1"/>
                    </pic:cNvPicPr>
                  </pic:nvPicPr>
                  <pic:blipFill>
                    <a:blip r:embed="rId61" cstate="print"/>
                    <a:srcRect/>
                    <a:stretch>
                      <a:fillRect/>
                    </a:stretch>
                  </pic:blipFill>
                  <pic:spPr>
                    <a:xfrm>
                      <a:off x="0" y="0"/>
                      <a:ext cx="5025906" cy="5045426"/>
                    </a:xfrm>
                    <a:prstGeom prst="rect">
                      <a:avLst/>
                    </a:prstGeom>
                    <a:noFill/>
                    <a:ln w="9525">
                      <a:noFill/>
                      <a:miter lim="800000"/>
                      <a:headEnd/>
                      <a:tailEnd/>
                    </a:ln>
                  </pic:spPr>
                </pic:pic>
              </a:graphicData>
            </a:graphic>
          </wp:inline>
        </w:drawing>
      </w:r>
    </w:p>
    <w:p>
      <w:pPr>
        <w:pStyle w:val="57"/>
        <w:ind w:firstLine="480"/>
      </w:pPr>
      <w:r>
        <w:t>图</w:t>
      </w:r>
      <w:r>
        <w:fldChar w:fldCharType="begin"/>
      </w:r>
      <w:r>
        <w:instrText xml:space="preserve"> STYLEREF 2 \s </w:instrText>
      </w:r>
      <w:r>
        <w:fldChar w:fldCharType="separate"/>
      </w:r>
      <w:r>
        <w:t>8.2</w:t>
      </w:r>
      <w:r>
        <w:fldChar w:fldCharType="end"/>
      </w:r>
      <w:r>
        <w:noBreakHyphen/>
      </w:r>
      <w:r>
        <w:fldChar w:fldCharType="begin"/>
      </w:r>
      <w:r>
        <w:instrText xml:space="preserve"> SEQ 图 \* ARABIC \s 2 </w:instrText>
      </w:r>
      <w:r>
        <w:fldChar w:fldCharType="separate"/>
      </w:r>
      <w:r>
        <w:t>1</w:t>
      </w:r>
      <w:r>
        <w:fldChar w:fldCharType="end"/>
      </w:r>
      <w:r>
        <w:t xml:space="preserve">   环境风险评价流程框图</w:t>
      </w:r>
    </w:p>
    <w:p>
      <w:pPr>
        <w:pStyle w:val="4"/>
        <w:rPr>
          <w:rFonts w:cs="Times New Roman"/>
        </w:rPr>
      </w:pPr>
      <w:bookmarkStart w:id="277" w:name="_Toc69044748"/>
      <w:bookmarkStart w:id="278" w:name="_Toc57711057"/>
      <w:r>
        <w:rPr>
          <w:rFonts w:cs="Times New Roman"/>
        </w:rPr>
        <w:t xml:space="preserve"> </w:t>
      </w:r>
      <w:bookmarkStart w:id="279" w:name="_Toc96680735"/>
      <w:r>
        <w:rPr>
          <w:rFonts w:cs="Times New Roman"/>
        </w:rPr>
        <w:t>风险调查</w:t>
      </w:r>
      <w:bookmarkEnd w:id="277"/>
      <w:bookmarkEnd w:id="278"/>
      <w:bookmarkEnd w:id="279"/>
    </w:p>
    <w:p>
      <w:pPr>
        <w:pStyle w:val="5"/>
        <w:rPr>
          <w:rFonts w:cs="Times New Roman"/>
        </w:rPr>
      </w:pPr>
      <w:r>
        <w:rPr>
          <w:rFonts w:cs="Times New Roman"/>
        </w:rPr>
        <w:t xml:space="preserve"> </w:t>
      </w:r>
      <w:bookmarkStart w:id="280" w:name="_Toc96680736"/>
      <w:bookmarkStart w:id="281" w:name="_Toc69044749"/>
      <w:r>
        <w:rPr>
          <w:rFonts w:cs="Times New Roman"/>
        </w:rPr>
        <w:t>风险源调查</w:t>
      </w:r>
      <w:bookmarkEnd w:id="280"/>
      <w:bookmarkEnd w:id="281"/>
      <w:r>
        <w:rPr>
          <w:rFonts w:cs="Times New Roman"/>
        </w:rPr>
        <w:t xml:space="preserve"> </w:t>
      </w:r>
    </w:p>
    <w:p>
      <w:pPr>
        <w:pStyle w:val="248"/>
        <w:ind w:firstLine="480"/>
        <w:rPr>
          <w:rFonts w:hAnsi="Times New Roman" w:cs="Times New Roman"/>
        </w:rPr>
      </w:pPr>
      <w:r>
        <w:rPr>
          <w:rFonts w:cs="Times New Roman"/>
        </w:rPr>
        <w:t>本项目为</w:t>
      </w:r>
      <w:r>
        <w:rPr>
          <w:rFonts w:hint="eastAsia" w:cs="Times New Roman"/>
        </w:rPr>
        <w:t>天然气集输</w:t>
      </w:r>
      <w:r>
        <w:rPr>
          <w:rFonts w:cs="Times New Roman"/>
        </w:rPr>
        <w:t>管线工程，</w:t>
      </w:r>
      <w:r>
        <w:rPr>
          <w:rFonts w:cs="Times New Roman"/>
          <w:szCs w:val="24"/>
        </w:rPr>
        <w:t>根据工艺生产特点，该项目运营过程</w:t>
      </w:r>
      <w:r>
        <w:rPr>
          <w:rFonts w:hint="eastAsia" w:cs="Times New Roman"/>
          <w:szCs w:val="24"/>
        </w:rPr>
        <w:t>管道输送</w:t>
      </w:r>
      <w:r>
        <w:rPr>
          <w:rFonts w:cs="Times New Roman"/>
          <w:szCs w:val="24"/>
        </w:rPr>
        <w:t>物质为</w:t>
      </w:r>
      <w:r>
        <w:rPr>
          <w:rFonts w:hint="eastAsia" w:cs="Times New Roman"/>
          <w:szCs w:val="24"/>
        </w:rPr>
        <w:t>天然气（不含硫化氢）。</w:t>
      </w:r>
      <w:r>
        <w:rPr>
          <w:rFonts w:hAnsi="Times New Roman" w:cs="Times New Roman"/>
        </w:rPr>
        <w:t>天然气以甲烷等烃类物质为主</w:t>
      </w:r>
      <w:r>
        <w:rPr>
          <w:rFonts w:hint="eastAsia" w:hAnsi="Times New Roman" w:cs="Times New Roman"/>
        </w:rPr>
        <w:t>，</w:t>
      </w:r>
      <w:r>
        <w:rPr>
          <w:rFonts w:hAnsi="Times New Roman" w:cs="Times New Roman"/>
        </w:rPr>
        <w:t>主要成分摩尔分数甲烷97.6%、</w:t>
      </w:r>
      <w:r>
        <w:rPr>
          <w:rFonts w:hint="eastAsia" w:hAnsi="Times New Roman" w:cs="Times New Roman"/>
        </w:rPr>
        <w:t>二氧化碳0.368</w:t>
      </w:r>
      <w:r>
        <w:rPr>
          <w:rFonts w:hAnsi="Times New Roman" w:cs="Times New Roman"/>
        </w:rPr>
        <w:t>%、</w:t>
      </w:r>
      <w:r>
        <w:rPr>
          <w:rFonts w:hint="eastAsia" w:hAnsi="Times New Roman" w:cs="Times New Roman"/>
        </w:rPr>
        <w:t>重烃0.522</w:t>
      </w:r>
      <w:r>
        <w:rPr>
          <w:rFonts w:hAnsi="Times New Roman" w:cs="Times New Roman"/>
        </w:rPr>
        <w:t>%</w:t>
      </w:r>
      <w:r>
        <w:rPr>
          <w:rFonts w:hint="eastAsia" w:hAnsi="Times New Roman" w:cs="Times New Roman"/>
        </w:rPr>
        <w:t>、</w:t>
      </w:r>
      <w:r>
        <w:rPr>
          <w:rFonts w:hAnsi="Times New Roman" w:cs="Times New Roman"/>
        </w:rPr>
        <w:t>氮气</w:t>
      </w:r>
      <w:r>
        <w:rPr>
          <w:rFonts w:hint="eastAsia" w:hAnsi="Times New Roman" w:cs="Times New Roman"/>
        </w:rPr>
        <w:t>1.51</w:t>
      </w:r>
      <w:r>
        <w:rPr>
          <w:rFonts w:hAnsi="Times New Roman" w:cs="Times New Roman"/>
        </w:rPr>
        <w:t>%。</w:t>
      </w:r>
      <w:r>
        <w:rPr>
          <w:rFonts w:hint="eastAsia" w:hAnsi="Times New Roman" w:cs="Times New Roman"/>
        </w:rPr>
        <w:t>甲烷</w:t>
      </w:r>
      <w:r>
        <w:rPr>
          <w:rFonts w:hAnsi="Times New Roman" w:cs="Times New Roman"/>
        </w:rPr>
        <w:t>的物化性质见下表。</w:t>
      </w:r>
    </w:p>
    <w:p>
      <w:pPr>
        <w:pStyle w:val="230"/>
        <w:ind w:firstLine="420"/>
        <w:rPr>
          <w:color w:val="auto"/>
        </w:rPr>
      </w:pPr>
      <w:r>
        <w:rPr>
          <w:color w:val="auto"/>
        </w:rPr>
        <w:t>表</w:t>
      </w:r>
      <w:r>
        <w:rPr>
          <w:color w:val="auto"/>
        </w:rPr>
        <w:fldChar w:fldCharType="begin"/>
      </w:r>
      <w:r>
        <w:rPr>
          <w:color w:val="auto"/>
        </w:rPr>
        <w:instrText xml:space="preserve"> STYLEREF 2 \s </w:instrText>
      </w:r>
      <w:r>
        <w:rPr>
          <w:color w:val="auto"/>
        </w:rPr>
        <w:fldChar w:fldCharType="separate"/>
      </w:r>
      <w:r>
        <w:rPr>
          <w:color w:val="auto"/>
        </w:rPr>
        <w:t>8.3</w:t>
      </w:r>
      <w:r>
        <w:rPr>
          <w:color w:val="auto"/>
        </w:rPr>
        <w:fldChar w:fldCharType="end"/>
      </w:r>
      <w:r>
        <w:rPr>
          <w:color w:val="auto"/>
        </w:rPr>
        <w:noBreakHyphen/>
      </w:r>
      <w:r>
        <w:rPr>
          <w:color w:val="auto"/>
        </w:rPr>
        <w:fldChar w:fldCharType="begin"/>
      </w:r>
      <w:r>
        <w:rPr>
          <w:color w:val="auto"/>
        </w:rPr>
        <w:instrText xml:space="preserve"> SEQ 表格 \* ARABIC \s 2 </w:instrText>
      </w:r>
      <w:r>
        <w:rPr>
          <w:color w:val="auto"/>
        </w:rPr>
        <w:fldChar w:fldCharType="separate"/>
      </w:r>
      <w:r>
        <w:rPr>
          <w:color w:val="auto"/>
        </w:rPr>
        <w:t>1</w:t>
      </w:r>
      <w:r>
        <w:rPr>
          <w:color w:val="auto"/>
        </w:rPr>
        <w:fldChar w:fldCharType="end"/>
      </w:r>
      <w:r>
        <w:rPr>
          <w:color w:val="auto"/>
        </w:rPr>
        <w:t xml:space="preserve">  CH</w:t>
      </w:r>
      <w:r>
        <w:rPr>
          <w:color w:val="auto"/>
          <w:vertAlign w:val="subscript"/>
        </w:rPr>
        <w:t>4</w:t>
      </w:r>
      <w:r>
        <w:rPr>
          <w:color w:val="auto"/>
        </w:rPr>
        <w:t>的物理化学特性</w:t>
      </w:r>
    </w:p>
    <w:tbl>
      <w:tblPr>
        <w:tblStyle w:val="35"/>
        <w:tblW w:w="5000" w:type="pct"/>
        <w:jc w:val="center"/>
        <w:tblCellSpacing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164"/>
        <w:gridCol w:w="2745"/>
        <w:gridCol w:w="1044"/>
        <w:gridCol w:w="35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8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国标编号</w:t>
            </w:r>
          </w:p>
        </w:tc>
        <w:tc>
          <w:tcPr>
            <w:tcW w:w="4277" w:type="pct"/>
            <w:gridSpan w:val="3"/>
            <w:vAlign w:val="center"/>
          </w:tcPr>
          <w:p>
            <w:pPr>
              <w:widowControl/>
              <w:spacing w:line="280" w:lineRule="exact"/>
              <w:ind w:firstLine="0" w:firstLineChars="0"/>
              <w:jc w:val="center"/>
              <w:rPr>
                <w:kern w:val="0"/>
                <w:sz w:val="21"/>
              </w:rPr>
            </w:pPr>
            <w:r>
              <w:rPr>
                <w:kern w:val="0"/>
                <w:sz w:val="21"/>
              </w:rPr>
              <w:t>21007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1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CAS号</w:t>
            </w:r>
          </w:p>
        </w:tc>
        <w:tc>
          <w:tcPr>
            <w:tcW w:w="4277" w:type="pct"/>
            <w:gridSpan w:val="3"/>
            <w:vAlign w:val="center"/>
          </w:tcPr>
          <w:p>
            <w:pPr>
              <w:widowControl/>
              <w:spacing w:line="280" w:lineRule="exact"/>
              <w:ind w:firstLine="0" w:firstLineChars="0"/>
              <w:jc w:val="center"/>
              <w:rPr>
                <w:kern w:val="0"/>
                <w:sz w:val="21"/>
              </w:rPr>
            </w:pPr>
            <w:r>
              <w:rPr>
                <w:kern w:val="0"/>
                <w:sz w:val="21"/>
              </w:rPr>
              <w:t>74-82-8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1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中文名称</w:t>
            </w:r>
          </w:p>
        </w:tc>
        <w:tc>
          <w:tcPr>
            <w:tcW w:w="4277" w:type="pct"/>
            <w:gridSpan w:val="3"/>
            <w:vAlign w:val="center"/>
          </w:tcPr>
          <w:p>
            <w:pPr>
              <w:widowControl/>
              <w:spacing w:line="280" w:lineRule="exact"/>
              <w:ind w:firstLine="0" w:firstLineChars="0"/>
              <w:jc w:val="center"/>
              <w:rPr>
                <w:kern w:val="0"/>
                <w:sz w:val="21"/>
              </w:rPr>
            </w:pPr>
            <w:r>
              <w:rPr>
                <w:kern w:val="0"/>
                <w:sz w:val="21"/>
              </w:rPr>
              <w:t>甲烷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1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英文名称</w:t>
            </w:r>
          </w:p>
        </w:tc>
        <w:tc>
          <w:tcPr>
            <w:tcW w:w="4277" w:type="pct"/>
            <w:gridSpan w:val="3"/>
            <w:vAlign w:val="center"/>
          </w:tcPr>
          <w:p>
            <w:pPr>
              <w:widowControl/>
              <w:spacing w:line="280" w:lineRule="exact"/>
              <w:ind w:firstLine="0" w:firstLineChars="0"/>
              <w:jc w:val="center"/>
              <w:rPr>
                <w:kern w:val="0"/>
                <w:sz w:val="21"/>
              </w:rPr>
            </w:pPr>
            <w:r>
              <w:rPr>
                <w:kern w:val="0"/>
                <w:sz w:val="21"/>
              </w:rPr>
              <w:t>methane；Marsh gas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1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别  名</w:t>
            </w:r>
          </w:p>
        </w:tc>
        <w:tc>
          <w:tcPr>
            <w:tcW w:w="4277" w:type="pct"/>
            <w:gridSpan w:val="3"/>
            <w:vAlign w:val="center"/>
          </w:tcPr>
          <w:p>
            <w:pPr>
              <w:widowControl/>
              <w:spacing w:line="280" w:lineRule="exact"/>
              <w:ind w:firstLine="0" w:firstLineChars="0"/>
              <w:jc w:val="center"/>
              <w:rPr>
                <w:kern w:val="0"/>
                <w:sz w:val="21"/>
              </w:rPr>
            </w:pPr>
            <w:r>
              <w:rPr>
                <w:kern w:val="0"/>
                <w:sz w:val="21"/>
              </w:rPr>
              <w:t>沼气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分子式</w:t>
            </w:r>
          </w:p>
        </w:tc>
        <w:tc>
          <w:tcPr>
            <w:tcW w:w="1623" w:type="pct"/>
            <w:vAlign w:val="center"/>
          </w:tcPr>
          <w:p>
            <w:pPr>
              <w:widowControl/>
              <w:spacing w:line="280" w:lineRule="exact"/>
              <w:ind w:firstLine="0" w:firstLineChars="0"/>
              <w:jc w:val="center"/>
              <w:rPr>
                <w:kern w:val="0"/>
                <w:sz w:val="21"/>
              </w:rPr>
            </w:pPr>
            <w:r>
              <w:rPr>
                <w:kern w:val="0"/>
                <w:sz w:val="21"/>
              </w:rPr>
              <w:t>CH</w:t>
            </w:r>
            <w:r>
              <w:rPr>
                <w:kern w:val="0"/>
                <w:sz w:val="21"/>
                <w:vertAlign w:val="subscript"/>
              </w:rPr>
              <w:t>4</w:t>
            </w:r>
          </w:p>
        </w:tc>
        <w:tc>
          <w:tcPr>
            <w:tcW w:w="606" w:type="pct"/>
            <w:vAlign w:val="center"/>
          </w:tcPr>
          <w:p>
            <w:pPr>
              <w:widowControl/>
              <w:spacing w:line="280" w:lineRule="exact"/>
              <w:ind w:firstLine="0" w:firstLineChars="0"/>
              <w:jc w:val="center"/>
              <w:rPr>
                <w:kern w:val="0"/>
                <w:sz w:val="21"/>
              </w:rPr>
            </w:pPr>
            <w:r>
              <w:rPr>
                <w:kern w:val="0"/>
                <w:sz w:val="21"/>
              </w:rPr>
              <w:t>外观与性状</w:t>
            </w:r>
          </w:p>
        </w:tc>
        <w:tc>
          <w:tcPr>
            <w:tcW w:w="2013" w:type="pct"/>
            <w:vAlign w:val="center"/>
          </w:tcPr>
          <w:p>
            <w:pPr>
              <w:widowControl/>
              <w:spacing w:line="280" w:lineRule="exact"/>
              <w:ind w:firstLine="0" w:firstLineChars="0"/>
              <w:jc w:val="center"/>
              <w:rPr>
                <w:kern w:val="0"/>
                <w:sz w:val="21"/>
              </w:rPr>
            </w:pPr>
            <w:r>
              <w:rPr>
                <w:kern w:val="0"/>
                <w:sz w:val="21"/>
              </w:rPr>
              <w:t>无色无臭气体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分子量</w:t>
            </w:r>
          </w:p>
        </w:tc>
        <w:tc>
          <w:tcPr>
            <w:tcW w:w="1623" w:type="pct"/>
            <w:vAlign w:val="center"/>
          </w:tcPr>
          <w:p>
            <w:pPr>
              <w:widowControl/>
              <w:spacing w:line="280" w:lineRule="exact"/>
              <w:ind w:firstLine="0" w:firstLineChars="0"/>
              <w:jc w:val="center"/>
              <w:rPr>
                <w:kern w:val="0"/>
                <w:sz w:val="21"/>
              </w:rPr>
            </w:pPr>
            <w:r>
              <w:rPr>
                <w:kern w:val="0"/>
                <w:sz w:val="21"/>
              </w:rPr>
              <w:t>16.04</w:t>
            </w:r>
          </w:p>
        </w:tc>
        <w:tc>
          <w:tcPr>
            <w:tcW w:w="606" w:type="pct"/>
            <w:vAlign w:val="center"/>
          </w:tcPr>
          <w:p>
            <w:pPr>
              <w:widowControl/>
              <w:spacing w:line="280" w:lineRule="exact"/>
              <w:ind w:firstLine="0" w:firstLineChars="0"/>
              <w:jc w:val="center"/>
              <w:rPr>
                <w:kern w:val="0"/>
                <w:sz w:val="21"/>
              </w:rPr>
            </w:pPr>
            <w:r>
              <w:rPr>
                <w:kern w:val="0"/>
                <w:sz w:val="21"/>
              </w:rPr>
              <w:t>蒸汽压</w:t>
            </w:r>
          </w:p>
        </w:tc>
        <w:tc>
          <w:tcPr>
            <w:tcW w:w="2013" w:type="pct"/>
            <w:vAlign w:val="center"/>
          </w:tcPr>
          <w:p>
            <w:pPr>
              <w:widowControl/>
              <w:spacing w:line="280" w:lineRule="exact"/>
              <w:ind w:firstLine="0" w:firstLineChars="0"/>
              <w:jc w:val="center"/>
              <w:rPr>
                <w:kern w:val="0"/>
                <w:sz w:val="21"/>
              </w:rPr>
            </w:pPr>
            <w:r>
              <w:rPr>
                <w:kern w:val="0"/>
                <w:sz w:val="21"/>
              </w:rPr>
              <w:t>53.32kPa/-168.8</w:t>
            </w:r>
            <w:r>
              <w:rPr>
                <w:rFonts w:hint="eastAsia" w:ascii="宋体" w:hAnsi="宋体" w:cs="宋体"/>
                <w:kern w:val="0"/>
                <w:sz w:val="21"/>
              </w:rPr>
              <w:t>℃</w:t>
            </w:r>
            <w:r>
              <w:rPr>
                <w:kern w:val="0"/>
                <w:sz w:val="21"/>
              </w:rPr>
              <w:t xml:space="preserve"> 闪点：-188</w:t>
            </w:r>
            <w:r>
              <w:rPr>
                <w:rFonts w:hint="eastAsia" w:ascii="宋体" w:hAnsi="宋体" w:cs="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13"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熔  点</w:t>
            </w:r>
          </w:p>
        </w:tc>
        <w:tc>
          <w:tcPr>
            <w:tcW w:w="1623" w:type="pct"/>
            <w:vAlign w:val="center"/>
          </w:tcPr>
          <w:p>
            <w:pPr>
              <w:widowControl/>
              <w:spacing w:line="280" w:lineRule="exact"/>
              <w:ind w:firstLine="0" w:firstLineChars="0"/>
              <w:jc w:val="center"/>
              <w:rPr>
                <w:kern w:val="0"/>
                <w:sz w:val="21"/>
              </w:rPr>
            </w:pPr>
            <w:r>
              <w:rPr>
                <w:kern w:val="0"/>
                <w:sz w:val="21"/>
              </w:rPr>
              <w:t>-182.5</w:t>
            </w:r>
            <w:r>
              <w:rPr>
                <w:rFonts w:hint="eastAsia" w:ascii="宋体" w:hAnsi="宋体" w:cs="宋体"/>
                <w:kern w:val="0"/>
                <w:sz w:val="21"/>
              </w:rPr>
              <w:t>℃</w:t>
            </w:r>
            <w:r>
              <w:rPr>
                <w:kern w:val="0"/>
                <w:sz w:val="21"/>
              </w:rPr>
              <w:t xml:space="preserve"> 沸点：-161.5</w:t>
            </w:r>
            <w:r>
              <w:rPr>
                <w:rFonts w:hint="eastAsia" w:ascii="宋体" w:hAnsi="宋体" w:cs="宋体"/>
                <w:kern w:val="0"/>
                <w:sz w:val="21"/>
              </w:rPr>
              <w:t>℃</w:t>
            </w:r>
          </w:p>
        </w:tc>
        <w:tc>
          <w:tcPr>
            <w:tcW w:w="606" w:type="pct"/>
            <w:vAlign w:val="center"/>
          </w:tcPr>
          <w:p>
            <w:pPr>
              <w:widowControl/>
              <w:spacing w:line="280" w:lineRule="exact"/>
              <w:ind w:firstLine="0" w:firstLineChars="0"/>
              <w:jc w:val="center"/>
              <w:rPr>
                <w:kern w:val="0"/>
                <w:sz w:val="21"/>
              </w:rPr>
            </w:pPr>
            <w:r>
              <w:rPr>
                <w:kern w:val="0"/>
                <w:sz w:val="21"/>
              </w:rPr>
              <w:t>溶解性</w:t>
            </w:r>
          </w:p>
        </w:tc>
        <w:tc>
          <w:tcPr>
            <w:tcW w:w="2013" w:type="pct"/>
            <w:vAlign w:val="center"/>
          </w:tcPr>
          <w:p>
            <w:pPr>
              <w:widowControl/>
              <w:spacing w:line="280" w:lineRule="exact"/>
              <w:ind w:firstLine="0" w:firstLineChars="0"/>
              <w:jc w:val="center"/>
              <w:rPr>
                <w:kern w:val="0"/>
                <w:sz w:val="21"/>
              </w:rPr>
            </w:pPr>
            <w:r>
              <w:rPr>
                <w:kern w:val="0"/>
                <w:sz w:val="21"/>
              </w:rPr>
              <w:t>微溶于水，溶于醇、乙醚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569"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密  度</w:t>
            </w:r>
          </w:p>
        </w:tc>
        <w:tc>
          <w:tcPr>
            <w:tcW w:w="1623" w:type="pct"/>
            <w:vAlign w:val="center"/>
          </w:tcPr>
          <w:p>
            <w:pPr>
              <w:widowControl/>
              <w:tabs>
                <w:tab w:val="left" w:pos="3203"/>
              </w:tabs>
              <w:spacing w:line="280" w:lineRule="exact"/>
              <w:ind w:firstLine="0" w:firstLineChars="0"/>
              <w:jc w:val="center"/>
              <w:rPr>
                <w:kern w:val="0"/>
                <w:sz w:val="21"/>
              </w:rPr>
            </w:pPr>
            <w:r>
              <w:rPr>
                <w:kern w:val="0"/>
                <w:sz w:val="21"/>
              </w:rPr>
              <w:t>相对密度(水=1)0.42</w:t>
            </w:r>
          </w:p>
          <w:p>
            <w:pPr>
              <w:widowControl/>
              <w:tabs>
                <w:tab w:val="left" w:pos="3203"/>
              </w:tabs>
              <w:spacing w:line="280" w:lineRule="exact"/>
              <w:ind w:firstLine="0" w:firstLineChars="0"/>
              <w:jc w:val="center"/>
              <w:rPr>
                <w:kern w:val="0"/>
                <w:sz w:val="21"/>
              </w:rPr>
            </w:pPr>
            <w:r>
              <w:rPr>
                <w:kern w:val="0"/>
                <w:sz w:val="21"/>
              </w:rPr>
              <w:t>相对密度(空气=1)0.55</w:t>
            </w:r>
          </w:p>
        </w:tc>
        <w:tc>
          <w:tcPr>
            <w:tcW w:w="606" w:type="pct"/>
            <w:vAlign w:val="center"/>
          </w:tcPr>
          <w:p>
            <w:pPr>
              <w:widowControl/>
              <w:spacing w:line="280" w:lineRule="exact"/>
              <w:ind w:firstLine="0" w:firstLineChars="0"/>
              <w:jc w:val="center"/>
              <w:rPr>
                <w:kern w:val="0"/>
                <w:sz w:val="21"/>
              </w:rPr>
            </w:pPr>
            <w:r>
              <w:rPr>
                <w:kern w:val="0"/>
                <w:sz w:val="21"/>
              </w:rPr>
              <w:t>稳定性</w:t>
            </w:r>
          </w:p>
        </w:tc>
        <w:tc>
          <w:tcPr>
            <w:tcW w:w="2013" w:type="pct"/>
            <w:vAlign w:val="center"/>
          </w:tcPr>
          <w:p>
            <w:pPr>
              <w:widowControl/>
              <w:spacing w:line="280" w:lineRule="exact"/>
              <w:ind w:firstLine="0" w:firstLineChars="0"/>
              <w:jc w:val="center"/>
              <w:rPr>
                <w:kern w:val="0"/>
                <w:sz w:val="21"/>
              </w:rPr>
            </w:pPr>
            <w:r>
              <w:rPr>
                <w:kern w:val="0"/>
                <w:sz w:val="21"/>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569" w:hRule="atLeast"/>
          <w:tblCellSpacing w:w="15" w:type="dxa"/>
          <w:jc w:val="center"/>
        </w:trPr>
        <w:tc>
          <w:tcPr>
            <w:tcW w:w="669" w:type="pct"/>
            <w:vAlign w:val="center"/>
          </w:tcPr>
          <w:p>
            <w:pPr>
              <w:widowControl/>
              <w:spacing w:line="280" w:lineRule="exact"/>
              <w:ind w:firstLine="0" w:firstLineChars="0"/>
              <w:jc w:val="center"/>
              <w:rPr>
                <w:kern w:val="0"/>
                <w:sz w:val="21"/>
              </w:rPr>
            </w:pPr>
            <w:r>
              <w:rPr>
                <w:kern w:val="0"/>
                <w:sz w:val="21"/>
              </w:rPr>
              <w:t>危险标记</w:t>
            </w:r>
          </w:p>
        </w:tc>
        <w:tc>
          <w:tcPr>
            <w:tcW w:w="1623" w:type="pct"/>
            <w:vAlign w:val="center"/>
          </w:tcPr>
          <w:p>
            <w:pPr>
              <w:widowControl/>
              <w:spacing w:line="280" w:lineRule="exact"/>
              <w:ind w:firstLine="0" w:firstLineChars="0"/>
              <w:jc w:val="center"/>
              <w:rPr>
                <w:kern w:val="0"/>
                <w:sz w:val="21"/>
              </w:rPr>
            </w:pPr>
            <w:r>
              <w:rPr>
                <w:kern w:val="0"/>
                <w:sz w:val="21"/>
              </w:rPr>
              <w:t>4(易燃气体)</w:t>
            </w:r>
          </w:p>
        </w:tc>
        <w:tc>
          <w:tcPr>
            <w:tcW w:w="606" w:type="pct"/>
            <w:vAlign w:val="center"/>
          </w:tcPr>
          <w:p>
            <w:pPr>
              <w:widowControl/>
              <w:spacing w:line="280" w:lineRule="exact"/>
              <w:ind w:firstLine="0" w:firstLineChars="0"/>
              <w:jc w:val="center"/>
              <w:rPr>
                <w:kern w:val="0"/>
                <w:sz w:val="21"/>
              </w:rPr>
            </w:pPr>
            <w:r>
              <w:rPr>
                <w:kern w:val="0"/>
                <w:sz w:val="21"/>
              </w:rPr>
              <w:t>主要用途</w:t>
            </w:r>
          </w:p>
        </w:tc>
        <w:tc>
          <w:tcPr>
            <w:tcW w:w="2013" w:type="pct"/>
            <w:vAlign w:val="center"/>
          </w:tcPr>
          <w:p>
            <w:pPr>
              <w:widowControl/>
              <w:spacing w:line="280" w:lineRule="exact"/>
              <w:ind w:firstLine="0" w:firstLineChars="0"/>
              <w:jc w:val="center"/>
              <w:rPr>
                <w:kern w:val="0"/>
                <w:sz w:val="21"/>
              </w:rPr>
            </w:pPr>
            <w:r>
              <w:rPr>
                <w:kern w:val="0"/>
                <w:sz w:val="21"/>
              </w:rPr>
              <w:t>燃料和用于炭黑、氢、乙炔、甲醛等的制造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6" w:hRule="atLeast"/>
          <w:tblCellSpacing w:w="15" w:type="dxa"/>
          <w:jc w:val="center"/>
        </w:trPr>
        <w:tc>
          <w:tcPr>
            <w:tcW w:w="4965" w:type="pct"/>
            <w:gridSpan w:val="4"/>
            <w:vAlign w:val="center"/>
          </w:tcPr>
          <w:p>
            <w:pPr>
              <w:spacing w:line="280" w:lineRule="exact"/>
              <w:ind w:firstLine="0" w:firstLineChars="0"/>
              <w:rPr>
                <w:sz w:val="21"/>
              </w:rPr>
            </w:pPr>
            <w:r>
              <w:rPr>
                <w:b/>
                <w:bCs/>
                <w:sz w:val="21"/>
              </w:rPr>
              <w:t>1、健康危害</w:t>
            </w:r>
          </w:p>
          <w:p>
            <w:pPr>
              <w:spacing w:line="280" w:lineRule="exact"/>
              <w:ind w:firstLine="210" w:firstLineChars="100"/>
              <w:rPr>
                <w:sz w:val="21"/>
              </w:rPr>
            </w:pPr>
            <w:r>
              <w:rPr>
                <w:sz w:val="21"/>
              </w:rPr>
              <w:t>侵入途径：吸入。</w:t>
            </w:r>
          </w:p>
          <w:p>
            <w:pPr>
              <w:spacing w:line="280" w:lineRule="exact"/>
              <w:ind w:firstLine="210" w:firstLineChars="100"/>
              <w:rPr>
                <w:sz w:val="21"/>
              </w:rPr>
            </w:pPr>
            <w:r>
              <w:rPr>
                <w:sz w:val="21"/>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p>
            <w:pPr>
              <w:spacing w:line="280" w:lineRule="exact"/>
              <w:ind w:firstLine="0" w:firstLineChars="0"/>
              <w:rPr>
                <w:sz w:val="21"/>
              </w:rPr>
            </w:pPr>
            <w:r>
              <w:rPr>
                <w:b/>
                <w:bCs/>
                <w:sz w:val="21"/>
              </w:rPr>
              <w:t>2、毒理学资料及环境行为</w:t>
            </w:r>
          </w:p>
          <w:p>
            <w:pPr>
              <w:spacing w:line="280" w:lineRule="exact"/>
              <w:ind w:firstLine="210" w:firstLineChars="100"/>
              <w:rPr>
                <w:sz w:val="21"/>
              </w:rPr>
            </w:pPr>
            <w:r>
              <w:rPr>
                <w:sz w:val="21"/>
              </w:rPr>
              <w:t>毒性：属微毒类。允许气体安全地扩散到大气中或当作燃料使用。有单纯性窒息作用，在高浓度时因缺氧窒息而引起中毒。空气中达到25～30%出现头昏、呼吸加速、运动失调。</w:t>
            </w:r>
          </w:p>
          <w:p>
            <w:pPr>
              <w:spacing w:line="280" w:lineRule="exact"/>
              <w:ind w:firstLine="210" w:firstLineChars="100"/>
              <w:rPr>
                <w:sz w:val="21"/>
              </w:rPr>
            </w:pPr>
            <w:r>
              <w:rPr>
                <w:sz w:val="21"/>
              </w:rPr>
              <w:t>危险特性：易燃，与空气混合能形成爆炸性混合物，遇热源和明火有燃烧爆炸的危险。与五氧化溴、氯气、次氯酸、三氟化氮、液氧、二氟化氧及其它强氧化剂接触剧烈反应。</w:t>
            </w:r>
            <w:r>
              <w:rPr>
                <w:sz w:val="21"/>
              </w:rPr>
              <w:br w:type="textWrapping"/>
            </w:r>
            <w:r>
              <w:rPr>
                <w:sz w:val="21"/>
              </w:rPr>
              <w:t xml:space="preserve">  燃烧(分解)产物：一氧化碳、二氧化碳。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77" w:hRule="atLeast"/>
          <w:tblCellSpacing w:w="15" w:type="dxa"/>
          <w:jc w:val="center"/>
        </w:trPr>
        <w:tc>
          <w:tcPr>
            <w:tcW w:w="4965" w:type="pct"/>
            <w:gridSpan w:val="4"/>
            <w:vAlign w:val="center"/>
          </w:tcPr>
          <w:p>
            <w:pPr>
              <w:spacing w:line="280" w:lineRule="exact"/>
              <w:ind w:firstLine="0" w:firstLineChars="0"/>
              <w:rPr>
                <w:sz w:val="21"/>
              </w:rPr>
            </w:pPr>
            <w:bookmarkStart w:id="282" w:name="_Toc1663"/>
            <w:r>
              <w:rPr>
                <w:b/>
                <w:bCs/>
                <w:sz w:val="21"/>
              </w:rPr>
              <w:t>3.环境标准</w:t>
            </w:r>
            <w:bookmarkEnd w:id="282"/>
          </w:p>
          <w:p>
            <w:pPr>
              <w:spacing w:line="280" w:lineRule="exact"/>
              <w:ind w:firstLine="0" w:firstLineChars="0"/>
              <w:rPr>
                <w:sz w:val="21"/>
              </w:rPr>
            </w:pPr>
            <w:r>
              <w:rPr>
                <w:sz w:val="21"/>
              </w:rPr>
              <w:t>前苏联车间空气中有害物质的最高容许浓度 300mg/m</w:t>
            </w:r>
            <w:r>
              <w:rPr>
                <w:sz w:val="21"/>
                <w:vertAlign w:val="superscript"/>
              </w:rPr>
              <w:t>3</w:t>
            </w:r>
            <w:r>
              <w:rPr>
                <w:sz w:val="21"/>
              </w:rPr>
              <w:br w:type="textWrapping"/>
            </w:r>
            <w:r>
              <w:rPr>
                <w:sz w:val="21"/>
              </w:rPr>
              <w:t>美国车间卫生标准窒息性气体</w:t>
            </w:r>
          </w:p>
          <w:p>
            <w:pPr>
              <w:spacing w:line="280" w:lineRule="exact"/>
              <w:ind w:firstLine="0" w:firstLineChars="0"/>
              <w:rPr>
                <w:sz w:val="21"/>
              </w:rPr>
            </w:pPr>
            <w:bookmarkStart w:id="283" w:name="_Toc31652"/>
            <w:r>
              <w:rPr>
                <w:b/>
                <w:bCs/>
                <w:sz w:val="21"/>
              </w:rPr>
              <w:t>4.应急处理处置方法</w:t>
            </w:r>
            <w:bookmarkEnd w:id="283"/>
          </w:p>
          <w:p>
            <w:pPr>
              <w:spacing w:line="280" w:lineRule="exact"/>
              <w:ind w:firstLine="0" w:firstLineChars="0"/>
              <w:rPr>
                <w:sz w:val="21"/>
              </w:rPr>
            </w:pPr>
            <w:r>
              <w:rPr>
                <w:sz w:val="21"/>
              </w:rPr>
              <w:t>一、泄漏应急处理</w:t>
            </w:r>
          </w:p>
          <w:p>
            <w:pPr>
              <w:spacing w:line="280" w:lineRule="exact"/>
              <w:ind w:firstLine="210" w:firstLineChars="100"/>
              <w:rPr>
                <w:sz w:val="21"/>
              </w:rPr>
            </w:pPr>
            <w:r>
              <w:rPr>
                <w:sz w:val="21"/>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p>
            <w:pPr>
              <w:spacing w:line="280" w:lineRule="exact"/>
              <w:ind w:firstLine="0" w:firstLineChars="0"/>
              <w:rPr>
                <w:sz w:val="21"/>
              </w:rPr>
            </w:pPr>
            <w:r>
              <w:rPr>
                <w:sz w:val="21"/>
              </w:rPr>
              <w:t>二、防护措施</w:t>
            </w:r>
          </w:p>
          <w:p>
            <w:pPr>
              <w:spacing w:line="280" w:lineRule="exact"/>
              <w:ind w:firstLine="210" w:firstLineChars="100"/>
              <w:rPr>
                <w:sz w:val="21"/>
              </w:rPr>
            </w:pPr>
            <w:r>
              <w:rPr>
                <w:sz w:val="21"/>
              </w:rPr>
              <w:t>呼吸系统防护：一般不需要特殊防护，但建议特殊情况下，佩戴自吸过滤式防毒面具(半面罩)。</w:t>
            </w:r>
            <w:r>
              <w:rPr>
                <w:sz w:val="21"/>
              </w:rPr>
              <w:br w:type="textWrapping"/>
            </w:r>
            <w:r>
              <w:rPr>
                <w:sz w:val="21"/>
              </w:rPr>
              <w:t xml:space="preserve">  眼睛防护：一般不需要特别防护，高浓度接触时可戴安全防护眼镜。</w:t>
            </w:r>
            <w:r>
              <w:rPr>
                <w:sz w:val="21"/>
              </w:rPr>
              <w:br w:type="textWrapping"/>
            </w:r>
            <w:r>
              <w:rPr>
                <w:sz w:val="21"/>
              </w:rPr>
              <w:t xml:space="preserve">  身体防护：穿防静电工作服。  手防护：戴一般作业防护手套。</w:t>
            </w:r>
            <w:r>
              <w:rPr>
                <w:sz w:val="21"/>
              </w:rPr>
              <w:br w:type="textWrapping"/>
            </w:r>
            <w:r>
              <w:rPr>
                <w:sz w:val="21"/>
              </w:rPr>
              <w:t xml:space="preserve">  其它：工作现场严禁吸烟。避免长期反复接触。进入罐、限制性空间或其它高浓度区作业，须有人监护。</w:t>
            </w:r>
          </w:p>
          <w:p>
            <w:pPr>
              <w:spacing w:line="280" w:lineRule="exact"/>
              <w:ind w:firstLine="0" w:firstLineChars="0"/>
              <w:rPr>
                <w:sz w:val="21"/>
              </w:rPr>
            </w:pPr>
            <w:r>
              <w:rPr>
                <w:sz w:val="21"/>
              </w:rPr>
              <w:t>三、急救措施</w:t>
            </w:r>
          </w:p>
          <w:p>
            <w:pPr>
              <w:spacing w:line="280" w:lineRule="exact"/>
              <w:ind w:left="240" w:leftChars="100" w:firstLine="0" w:firstLineChars="0"/>
              <w:rPr>
                <w:sz w:val="21"/>
              </w:rPr>
            </w:pPr>
            <w:r>
              <w:rPr>
                <w:sz w:val="21"/>
              </w:rPr>
              <w:t>皮肤接触：若有冻伤，就医治疗。</w:t>
            </w:r>
          </w:p>
          <w:p>
            <w:pPr>
              <w:spacing w:line="280" w:lineRule="exact"/>
              <w:ind w:firstLine="210" w:firstLineChars="100"/>
              <w:rPr>
                <w:sz w:val="21"/>
              </w:rPr>
            </w:pPr>
            <w:r>
              <w:rPr>
                <w:sz w:val="21"/>
              </w:rPr>
              <w:t>吸入：迅速脱离现场至空气新鲜处。保持呼吸道通畅。如呼吸困难，给输氧。如呼吸停止，立即进行人工呼吸。就医。</w:t>
            </w:r>
          </w:p>
          <w:p>
            <w:pPr>
              <w:spacing w:line="280" w:lineRule="exact"/>
              <w:ind w:firstLine="210" w:firstLineChars="100"/>
              <w:rPr>
                <w:sz w:val="21"/>
              </w:rPr>
            </w:pPr>
            <w:r>
              <w:rPr>
                <w:sz w:val="21"/>
              </w:rPr>
              <w:t>灭火方法：切断气源。若不能立即切断气源，则不允许熄灭正在燃烧的气体。喷水冷却容器，可能的话将容器从火场移至空旷处。灭火剂：雾状水、泡沫、二氧化碳、干粉</w:t>
            </w:r>
          </w:p>
        </w:tc>
      </w:tr>
    </w:tbl>
    <w:p>
      <w:pPr>
        <w:pStyle w:val="5"/>
        <w:rPr>
          <w:rFonts w:cs="Times New Roman"/>
        </w:rPr>
      </w:pPr>
      <w:r>
        <w:rPr>
          <w:rFonts w:cs="Times New Roman"/>
        </w:rPr>
        <w:t xml:space="preserve"> </w:t>
      </w:r>
      <w:bookmarkStart w:id="284" w:name="_Toc96680737"/>
      <w:r>
        <w:rPr>
          <w:rFonts w:cs="Times New Roman"/>
        </w:rPr>
        <w:t>环境敏感目标调查</w:t>
      </w:r>
      <w:bookmarkEnd w:id="284"/>
    </w:p>
    <w:p>
      <w:pPr>
        <w:pStyle w:val="214"/>
        <w:ind w:firstLine="480"/>
        <w:rPr>
          <w:spacing w:val="-4"/>
          <w:szCs w:val="22"/>
        </w:rPr>
      </w:pPr>
      <w:r>
        <w:t>本次风险评价</w:t>
      </w:r>
      <w:r>
        <w:rPr>
          <w:rFonts w:hint="eastAsia"/>
        </w:rPr>
        <w:t>大气</w:t>
      </w:r>
      <w:r>
        <w:t>环境</w:t>
      </w:r>
      <w:r>
        <w:rPr>
          <w:rFonts w:hint="eastAsia"/>
        </w:rPr>
        <w:t>风险</w:t>
      </w:r>
      <w:r>
        <w:t>保护目标为</w:t>
      </w:r>
      <w:r>
        <w:rPr>
          <w:spacing w:val="-4"/>
          <w:szCs w:val="22"/>
        </w:rPr>
        <w:t>管线周边200m范围内共有分散居民</w:t>
      </w:r>
      <w:r>
        <w:rPr>
          <w:rFonts w:hint="eastAsia"/>
          <w:spacing w:val="-4"/>
          <w:szCs w:val="22"/>
        </w:rPr>
        <w:t>约1</w:t>
      </w:r>
      <w:r>
        <w:rPr>
          <w:spacing w:val="-4"/>
          <w:szCs w:val="22"/>
        </w:rPr>
        <w:t>6户</w:t>
      </w:r>
      <w:r>
        <w:rPr>
          <w:rFonts w:hint="eastAsia"/>
          <w:spacing w:val="-4"/>
          <w:szCs w:val="22"/>
        </w:rPr>
        <w:t>（见</w:t>
      </w:r>
      <w:r>
        <w:rPr>
          <w:spacing w:val="-4"/>
          <w:szCs w:val="22"/>
        </w:rPr>
        <w:t>表</w:t>
      </w:r>
      <w:r>
        <w:rPr>
          <w:rFonts w:hint="eastAsia"/>
          <w:spacing w:val="-4"/>
          <w:szCs w:val="22"/>
        </w:rPr>
        <w:t>1.7</w:t>
      </w:r>
      <w:r>
        <w:rPr>
          <w:spacing w:val="-4"/>
          <w:szCs w:val="22"/>
        </w:rPr>
        <w:t>-1</w:t>
      </w:r>
      <w:r>
        <w:rPr>
          <w:rFonts w:hint="eastAsia"/>
          <w:spacing w:val="-4"/>
          <w:szCs w:val="22"/>
        </w:rPr>
        <w:t>）。</w:t>
      </w:r>
    </w:p>
    <w:p>
      <w:pPr>
        <w:pStyle w:val="214"/>
        <w:ind w:firstLine="480"/>
      </w:pPr>
      <w:r>
        <w:t>地表水环境风险为</w:t>
      </w:r>
      <w:r>
        <w:rPr>
          <w:rFonts w:hint="eastAsia"/>
        </w:rPr>
        <w:t>东南侧450</w:t>
      </w:r>
      <w:r>
        <w:t>m</w:t>
      </w:r>
      <w:r>
        <w:rPr>
          <w:rFonts w:hint="eastAsia"/>
        </w:rPr>
        <w:t>小通江（</w:t>
      </w:r>
      <w:r>
        <w:t>见表1.8-1</w:t>
      </w:r>
      <w:r>
        <w:rPr>
          <w:rFonts w:hint="eastAsia"/>
        </w:rPr>
        <w:t>）</w:t>
      </w:r>
      <w:r>
        <w:t>。</w:t>
      </w:r>
    </w:p>
    <w:p>
      <w:pPr>
        <w:pStyle w:val="214"/>
        <w:ind w:firstLine="480"/>
      </w:pPr>
      <w:r>
        <w:t>地下水环境风险敏感目标为评价范围地下水评价范围内的白垩系、侏罗系碎屑岩风化裂隙水含水层和分散式饮用水水源地（农户水井）</w:t>
      </w:r>
      <w:r>
        <w:rPr>
          <w:rFonts w:hint="eastAsia"/>
        </w:rPr>
        <w:t>（</w:t>
      </w:r>
      <w:r>
        <w:t>见表1.8-2</w:t>
      </w:r>
      <w:r>
        <w:rPr>
          <w:rFonts w:hint="eastAsia"/>
        </w:rPr>
        <w:t>）。</w:t>
      </w:r>
    </w:p>
    <w:p>
      <w:pPr>
        <w:pStyle w:val="4"/>
        <w:rPr>
          <w:rFonts w:cs="Times New Roman"/>
        </w:rPr>
      </w:pPr>
      <w:bookmarkStart w:id="285" w:name="_Toc69044751"/>
      <w:r>
        <w:rPr>
          <w:rFonts w:hint="eastAsia" w:cs="Times New Roman"/>
        </w:rPr>
        <w:t xml:space="preserve"> </w:t>
      </w:r>
      <w:bookmarkStart w:id="286" w:name="_Toc96680738"/>
      <w:r>
        <w:rPr>
          <w:rFonts w:cs="Times New Roman"/>
        </w:rPr>
        <w:t>风险潜势初判</w:t>
      </w:r>
      <w:bookmarkEnd w:id="285"/>
      <w:bookmarkEnd w:id="286"/>
    </w:p>
    <w:p>
      <w:pPr>
        <w:pStyle w:val="5"/>
      </w:pPr>
      <w:r>
        <w:rPr>
          <w:rFonts w:hint="eastAsia"/>
        </w:rPr>
        <w:t xml:space="preserve"> </w:t>
      </w:r>
      <w:bookmarkStart w:id="287" w:name="_Toc96680739"/>
      <w:r>
        <w:t>环境敏感程度（E）的确定</w:t>
      </w:r>
      <w:bookmarkEnd w:id="287"/>
    </w:p>
    <w:p>
      <w:pPr>
        <w:pStyle w:val="6"/>
      </w:pPr>
      <w:r>
        <w:rPr>
          <w:rFonts w:hint="eastAsia"/>
        </w:rPr>
        <w:t xml:space="preserve"> </w:t>
      </w:r>
      <w:r>
        <w:t>大气环境</w:t>
      </w:r>
    </w:p>
    <w:p>
      <w:pPr>
        <w:ind w:firstLine="480"/>
        <w:rPr>
          <w:rFonts w:cs="Times New Roman"/>
        </w:rPr>
      </w:pPr>
      <w:r>
        <w:rPr>
          <w:rFonts w:cs="Times New Roman"/>
        </w:rPr>
        <w:t>根据《建设项目环境风险评价技术导则》（HJ169－2018）附录D，油气、化学品输送管线管段周边200m范围内每km人口数进行判断，本项目大气环境敏感程度统计见下表。</w:t>
      </w:r>
    </w:p>
    <w:p>
      <w:pPr>
        <w:pStyle w:val="227"/>
      </w:pPr>
      <w:r>
        <w:t>表</w:t>
      </w:r>
      <w:r>
        <w:rPr>
          <w:b w:val="0"/>
        </w:rPr>
        <w:fldChar w:fldCharType="begin"/>
      </w:r>
      <w:r>
        <w:instrText xml:space="preserve"> STYLEREF 2 \s </w:instrText>
      </w:r>
      <w:r>
        <w:rPr>
          <w:b w:val="0"/>
        </w:rPr>
        <w:fldChar w:fldCharType="separate"/>
      </w:r>
      <w:r>
        <w:t>8.4</w:t>
      </w:r>
      <w:r>
        <w:rPr>
          <w:b w:val="0"/>
        </w:rPr>
        <w:fldChar w:fldCharType="end"/>
      </w:r>
      <w:r>
        <w:noBreakHyphen/>
      </w:r>
      <w:r>
        <w:rPr>
          <w:b w:val="0"/>
        </w:rPr>
        <w:fldChar w:fldCharType="begin"/>
      </w:r>
      <w:r>
        <w:instrText xml:space="preserve"> SEQ 表格 \* ARABIC \s 2 </w:instrText>
      </w:r>
      <w:r>
        <w:rPr>
          <w:b w:val="0"/>
        </w:rPr>
        <w:fldChar w:fldCharType="separate"/>
      </w:r>
      <w:r>
        <w:t>1</w:t>
      </w:r>
      <w:r>
        <w:rPr>
          <w:b w:val="0"/>
        </w:rPr>
        <w:fldChar w:fldCharType="end"/>
      </w:r>
      <w:r>
        <w:t xml:space="preserve"> 本项目大气环境风险敏感程度统计表</w:t>
      </w:r>
    </w:p>
    <w:tbl>
      <w:tblPr>
        <w:tblStyle w:val="24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3928"/>
        <w:gridCol w:w="2269"/>
        <w:gridCol w:w="1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op w:val="single" w:color="auto" w:sz="12" w:space="0"/>
              <w:left w:val="nil"/>
            </w:tcBorders>
            <w:vAlign w:val="center"/>
          </w:tcPr>
          <w:p>
            <w:pPr>
              <w:pStyle w:val="63"/>
              <w:rPr>
                <w:b/>
              </w:rPr>
            </w:pPr>
            <w:r>
              <w:rPr>
                <w:b/>
              </w:rPr>
              <w:t>序号</w:t>
            </w:r>
          </w:p>
        </w:tc>
        <w:tc>
          <w:tcPr>
            <w:tcW w:w="2304" w:type="pct"/>
            <w:tcBorders>
              <w:top w:val="single" w:color="auto" w:sz="12" w:space="0"/>
            </w:tcBorders>
            <w:vAlign w:val="center"/>
          </w:tcPr>
          <w:p>
            <w:pPr>
              <w:pStyle w:val="63"/>
              <w:rPr>
                <w:b/>
              </w:rPr>
            </w:pPr>
            <w:r>
              <w:rPr>
                <w:b/>
              </w:rPr>
              <w:t>管段</w:t>
            </w:r>
          </w:p>
        </w:tc>
        <w:tc>
          <w:tcPr>
            <w:tcW w:w="1331" w:type="pct"/>
            <w:tcBorders>
              <w:top w:val="single" w:color="auto" w:sz="12" w:space="0"/>
            </w:tcBorders>
            <w:vAlign w:val="center"/>
          </w:tcPr>
          <w:p>
            <w:pPr>
              <w:pStyle w:val="63"/>
              <w:rPr>
                <w:b/>
              </w:rPr>
            </w:pPr>
            <w:r>
              <w:rPr>
                <w:b/>
              </w:rPr>
              <w:t>人口数</w:t>
            </w:r>
          </w:p>
        </w:tc>
        <w:tc>
          <w:tcPr>
            <w:tcW w:w="861" w:type="pct"/>
            <w:tcBorders>
              <w:top w:val="single" w:color="auto" w:sz="12" w:space="0"/>
            </w:tcBorders>
            <w:vAlign w:val="center"/>
          </w:tcPr>
          <w:p>
            <w:pPr>
              <w:pStyle w:val="63"/>
              <w:rPr>
                <w:b/>
              </w:rPr>
            </w:pPr>
            <w:r>
              <w:rPr>
                <w:b/>
              </w:rPr>
              <w:t>敏感程度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left w:val="nil"/>
            </w:tcBorders>
            <w:vAlign w:val="center"/>
          </w:tcPr>
          <w:p>
            <w:pPr>
              <w:pStyle w:val="63"/>
            </w:pPr>
            <w:r>
              <w:t>1</w:t>
            </w:r>
          </w:p>
        </w:tc>
        <w:tc>
          <w:tcPr>
            <w:tcW w:w="2304" w:type="pct"/>
            <w:vAlign w:val="center"/>
          </w:tcPr>
          <w:p>
            <w:pPr>
              <w:pStyle w:val="63"/>
            </w:pPr>
            <w:r>
              <w:rPr>
                <w:rFonts w:hint="eastAsia"/>
              </w:rPr>
              <w:t>0~1km段</w:t>
            </w:r>
          </w:p>
        </w:tc>
        <w:tc>
          <w:tcPr>
            <w:tcW w:w="1331" w:type="pct"/>
            <w:vAlign w:val="center"/>
          </w:tcPr>
          <w:p>
            <w:pPr>
              <w:pStyle w:val="63"/>
            </w:pPr>
            <w:r>
              <w:t>约</w:t>
            </w:r>
            <w:r>
              <w:rPr>
                <w:rFonts w:hint="eastAsia"/>
              </w:rPr>
              <w:t>5</w:t>
            </w:r>
            <w:r>
              <w:t>6人</w:t>
            </w:r>
          </w:p>
        </w:tc>
        <w:tc>
          <w:tcPr>
            <w:tcW w:w="861" w:type="pct"/>
            <w:vMerge w:val="restart"/>
            <w:vAlign w:val="center"/>
          </w:tcPr>
          <w:p>
            <w:pPr>
              <w:pStyle w:val="63"/>
            </w:pPr>
            <w:r>
              <w:rPr>
                <w:rFonts w:hint="eastAsia"/>
              </w:rP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left w:val="nil"/>
            </w:tcBorders>
            <w:vAlign w:val="center"/>
          </w:tcPr>
          <w:p>
            <w:pPr>
              <w:pStyle w:val="63"/>
            </w:pPr>
            <w:r>
              <w:rPr>
                <w:rFonts w:hint="eastAsia"/>
              </w:rPr>
              <w:t>2</w:t>
            </w:r>
          </w:p>
        </w:tc>
        <w:tc>
          <w:tcPr>
            <w:tcW w:w="2304" w:type="pct"/>
            <w:vAlign w:val="center"/>
          </w:tcPr>
          <w:p>
            <w:pPr>
              <w:pStyle w:val="63"/>
            </w:pPr>
            <w:r>
              <w:rPr>
                <w:rFonts w:hint="eastAsia"/>
              </w:rPr>
              <w:t>1km~2km段</w:t>
            </w:r>
          </w:p>
        </w:tc>
        <w:tc>
          <w:tcPr>
            <w:tcW w:w="1331" w:type="pct"/>
            <w:vAlign w:val="center"/>
          </w:tcPr>
          <w:p>
            <w:pPr>
              <w:pStyle w:val="63"/>
            </w:pPr>
            <w:r>
              <w:t>约</w:t>
            </w:r>
            <w:r>
              <w:rPr>
                <w:rFonts w:hint="eastAsia"/>
              </w:rPr>
              <w:t>8人</w:t>
            </w:r>
          </w:p>
        </w:tc>
        <w:tc>
          <w:tcPr>
            <w:tcW w:w="861" w:type="pct"/>
            <w:vMerge w:val="continue"/>
            <w:vAlign w:val="center"/>
          </w:tcPr>
          <w:p>
            <w:pPr>
              <w:pStyle w:val="63"/>
            </w:pPr>
          </w:p>
        </w:tc>
      </w:tr>
    </w:tbl>
    <w:p>
      <w:pPr>
        <w:ind w:firstLine="480"/>
        <w:rPr>
          <w:rFonts w:cs="Times New Roman"/>
        </w:rPr>
      </w:pPr>
      <w:r>
        <w:rPr>
          <w:rFonts w:cs="Times New Roman"/>
        </w:rPr>
        <w:t>由上表可知，</w:t>
      </w:r>
      <w:r>
        <w:rPr>
          <w:rFonts w:cs="Times New Roman"/>
          <w:bCs/>
        </w:rPr>
        <w:t>本项目大气环境敏感程度为E</w:t>
      </w:r>
      <w:r>
        <w:rPr>
          <w:rFonts w:hint="eastAsia" w:cs="Times New Roman"/>
          <w:bCs/>
        </w:rPr>
        <w:t>3</w:t>
      </w:r>
      <w:r>
        <w:rPr>
          <w:rFonts w:cs="Times New Roman"/>
          <w:bCs/>
        </w:rPr>
        <w:t>。</w:t>
      </w:r>
    </w:p>
    <w:p>
      <w:pPr>
        <w:pStyle w:val="6"/>
      </w:pPr>
      <w:r>
        <w:rPr>
          <w:rFonts w:hint="eastAsia"/>
        </w:rPr>
        <w:t xml:space="preserve"> </w:t>
      </w:r>
      <w:r>
        <w:t>地表水环境</w:t>
      </w:r>
    </w:p>
    <w:p>
      <w:pPr>
        <w:pStyle w:val="214"/>
        <w:ind w:firstLine="480"/>
      </w:pPr>
      <w:r>
        <w:t>本项目正常状况下无废水产生，</w:t>
      </w:r>
      <w:r>
        <w:rPr>
          <w:rFonts w:hint="eastAsia"/>
        </w:rPr>
        <w:t>事故状态下泄漏的天然气基本不溶于水，泄漏的天然气也不会排放到地表水体中，故不对地表水环境敏感程度进行判定</w:t>
      </w:r>
      <w:r>
        <w:t>。</w:t>
      </w:r>
    </w:p>
    <w:p>
      <w:pPr>
        <w:pStyle w:val="6"/>
      </w:pPr>
      <w:r>
        <w:rPr>
          <w:rFonts w:hint="eastAsia"/>
        </w:rPr>
        <w:t xml:space="preserve"> </w:t>
      </w:r>
      <w:r>
        <w:t>地下水环境</w:t>
      </w:r>
    </w:p>
    <w:p>
      <w:pPr>
        <w:ind w:firstLine="480"/>
        <w:rPr>
          <w:rFonts w:cs="Times New Roman"/>
        </w:rPr>
      </w:pPr>
      <w:r>
        <w:rPr>
          <w:rFonts w:cs="Times New Roman"/>
        </w:rPr>
        <w:t>本项目正常状况下无废水产生，</w:t>
      </w:r>
      <w:r>
        <w:rPr>
          <w:rFonts w:hint="eastAsia" w:cs="Times New Roman"/>
        </w:rPr>
        <w:t>事故状态下</w:t>
      </w:r>
      <w:r>
        <w:rPr>
          <w:rFonts w:cs="Times New Roman"/>
        </w:rPr>
        <w:t>泄漏状况下也无废水产生</w:t>
      </w:r>
      <w:r>
        <w:rPr>
          <w:rFonts w:hint="eastAsia" w:cs="Times New Roman"/>
        </w:rPr>
        <w:t>，泄漏的天然气基本不溶于水，故不对地下水环境敏感程度进行判定</w:t>
      </w:r>
      <w:r>
        <w:rPr>
          <w:rFonts w:cs="Times New Roman"/>
        </w:rPr>
        <w:t>。</w:t>
      </w:r>
    </w:p>
    <w:p>
      <w:pPr>
        <w:pStyle w:val="5"/>
      </w:pPr>
      <w:r>
        <w:rPr>
          <w:rFonts w:hint="eastAsia"/>
        </w:rPr>
        <w:t xml:space="preserve"> </w:t>
      </w:r>
      <w:bookmarkStart w:id="288" w:name="_Toc96680740"/>
      <w:r>
        <w:t>危险物质及工艺系统危险性（P）的分级确定</w:t>
      </w:r>
      <w:bookmarkEnd w:id="288"/>
    </w:p>
    <w:p>
      <w:pPr>
        <w:ind w:firstLine="480"/>
      </w:pPr>
      <w:r>
        <w:rPr>
          <w:rFonts w:cs="Times New Roman"/>
        </w:rPr>
        <w:t>根据《建设项目环境风险评价技术导则》（HJ169-2018），危险物质及工艺系统危害性（P）应根据危险物质数量与临界量的比值（Q）和行业及生产工艺（M）确定。</w:t>
      </w:r>
    </w:p>
    <w:p>
      <w:pPr>
        <w:pStyle w:val="6"/>
      </w:pPr>
      <w:r>
        <w:rPr>
          <w:rFonts w:hint="eastAsia"/>
        </w:rPr>
        <w:t xml:space="preserve"> 危险物质数量与临界量比值（Q）</w:t>
      </w:r>
    </w:p>
    <w:p>
      <w:pPr>
        <w:ind w:firstLine="480"/>
        <w:rPr>
          <w:rFonts w:cs="Times New Roman"/>
        </w:rPr>
      </w:pPr>
      <w:r>
        <w:rPr>
          <w:rFonts w:cs="Times New Roman"/>
        </w:rPr>
        <w:t>根据《建设项目环境风险评价技术导则》（HJ169－2018）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ind w:firstLine="480"/>
        <w:rPr>
          <w:rFonts w:cs="Times New Roman"/>
        </w:rPr>
      </w:pPr>
      <w:r>
        <w:rPr>
          <w:rFonts w:cs="Times New Roman"/>
        </w:rPr>
        <w:t>Q 按下式进行计算：</w:t>
      </w:r>
    </w:p>
    <w:p>
      <w:pPr>
        <w:pStyle w:val="211"/>
        <w:ind w:firstLine="480"/>
        <w:jc w:val="center"/>
      </w:pPr>
      <w:r>
        <w:rPr>
          <w:sz w:val="24"/>
        </w:rPr>
        <w:drawing>
          <wp:inline distT="0" distB="0" distL="0" distR="0">
            <wp:extent cx="2073275" cy="5740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073275" cy="574040"/>
                    </a:xfrm>
                    <a:prstGeom prst="rect">
                      <a:avLst/>
                    </a:prstGeom>
                    <a:noFill/>
                    <a:ln>
                      <a:noFill/>
                    </a:ln>
                  </pic:spPr>
                </pic:pic>
              </a:graphicData>
            </a:graphic>
          </wp:inline>
        </w:drawing>
      </w:r>
    </w:p>
    <w:p>
      <w:pPr>
        <w:ind w:firstLine="480"/>
        <w:rPr>
          <w:rFonts w:cs="Times New Roman"/>
        </w:rPr>
      </w:pPr>
      <w:r>
        <w:rPr>
          <w:rFonts w:cs="Times New Roman"/>
        </w:rPr>
        <w:t>式中：q1，q2，....，qn ——每种危险物质的最大存在总量，t；</w:t>
      </w:r>
    </w:p>
    <w:p>
      <w:pPr>
        <w:ind w:firstLine="480"/>
        <w:rPr>
          <w:rFonts w:cs="Times New Roman"/>
        </w:rPr>
      </w:pPr>
      <w:r>
        <w:rPr>
          <w:rFonts w:cs="Times New Roman"/>
        </w:rPr>
        <w:t>Q1 ，Q2 ，...，Q n ——每种危险物质的临界量，t。</w:t>
      </w:r>
    </w:p>
    <w:p>
      <w:pPr>
        <w:ind w:firstLine="480"/>
        <w:rPr>
          <w:rFonts w:cs="Times New Roman"/>
        </w:rPr>
      </w:pPr>
      <w:r>
        <w:rPr>
          <w:rFonts w:cs="Times New Roman"/>
        </w:rPr>
        <w:t>当 Q＜1 时，该项目环境风险潜势为</w:t>
      </w: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cs="Times New Roman"/>
        </w:rPr>
        <w:t>。</w:t>
      </w:r>
    </w:p>
    <w:p>
      <w:pPr>
        <w:ind w:firstLine="480"/>
        <w:rPr>
          <w:rFonts w:cs="Times New Roman"/>
        </w:rPr>
      </w:pPr>
      <w:r>
        <w:rPr>
          <w:rFonts w:cs="Times New Roman"/>
        </w:rPr>
        <w:t>当 Q≥1 时，将Q值划分为：（1）1≤Q＜10；（2）10≤Q＜100；（3）Q≥100。</w:t>
      </w:r>
    </w:p>
    <w:p>
      <w:pPr>
        <w:pStyle w:val="214"/>
        <w:ind w:firstLine="480"/>
      </w:pPr>
      <w:r>
        <w:t>本项目</w:t>
      </w:r>
      <w:r>
        <w:rPr>
          <w:rFonts w:hint="eastAsia"/>
        </w:rPr>
        <w:t>为</w:t>
      </w:r>
      <w:r>
        <w:t>长输管线项目，</w:t>
      </w:r>
      <w:r>
        <w:rPr>
          <w:rFonts w:hint="eastAsia"/>
        </w:rPr>
        <w:t>应按照</w:t>
      </w:r>
      <w:r>
        <w:t>两个截断阀室</w:t>
      </w:r>
      <w:r>
        <w:rPr>
          <w:rFonts w:hint="eastAsia"/>
        </w:rPr>
        <w:t>（草池站</w:t>
      </w:r>
      <w:r>
        <w:t>和涪阳阀室</w:t>
      </w:r>
      <w:r>
        <w:rPr>
          <w:rFonts w:hint="eastAsia"/>
        </w:rPr>
        <w:t>）之间</w:t>
      </w:r>
      <w:r>
        <w:t>的管道</w:t>
      </w:r>
      <w:r>
        <w:rPr>
          <w:rFonts w:hint="eastAsia"/>
        </w:rPr>
        <w:t>长度</w:t>
      </w:r>
      <w:r>
        <w:t>计算甲烷</w:t>
      </w:r>
      <w:r>
        <w:rPr>
          <w:rFonts w:hint="eastAsia"/>
        </w:rPr>
        <w:t>及</w:t>
      </w:r>
      <w:r>
        <w:t>重烃存在的最大量</w:t>
      </w:r>
      <w:r>
        <w:rPr>
          <w:rFonts w:hint="eastAsia"/>
        </w:rPr>
        <w:t>。计算</w:t>
      </w:r>
      <w:r>
        <w:t>参数及结果见下表。</w:t>
      </w:r>
    </w:p>
    <w:p>
      <w:pPr>
        <w:pStyle w:val="227"/>
      </w:pPr>
      <w:r>
        <w:t>表</w:t>
      </w:r>
      <w:r>
        <w:rPr>
          <w:b w:val="0"/>
        </w:rPr>
        <w:fldChar w:fldCharType="begin"/>
      </w:r>
      <w:r>
        <w:instrText xml:space="preserve"> STYLEREF 2 \s </w:instrText>
      </w:r>
      <w:r>
        <w:rPr>
          <w:b w:val="0"/>
        </w:rPr>
        <w:fldChar w:fldCharType="separate"/>
      </w:r>
      <w:r>
        <w:t>8.4</w:t>
      </w:r>
      <w:r>
        <w:rPr>
          <w:b w:val="0"/>
        </w:rPr>
        <w:fldChar w:fldCharType="end"/>
      </w:r>
      <w:r>
        <w:noBreakHyphen/>
      </w:r>
      <w:r>
        <w:rPr>
          <w:b w:val="0"/>
        </w:rPr>
        <w:fldChar w:fldCharType="begin"/>
      </w:r>
      <w:r>
        <w:instrText xml:space="preserve"> SEQ 表格 \* ARABIC \s 2 </w:instrText>
      </w:r>
      <w:r>
        <w:rPr>
          <w:b w:val="0"/>
        </w:rPr>
        <w:fldChar w:fldCharType="separate"/>
      </w:r>
      <w:r>
        <w:t>2</w:t>
      </w:r>
      <w:r>
        <w:rPr>
          <w:b w:val="0"/>
        </w:rPr>
        <w:fldChar w:fldCharType="end"/>
      </w:r>
      <w:r>
        <w:t xml:space="preserve"> 危险物质数量与临界量比值（Q）</w:t>
      </w:r>
    </w:p>
    <w:tbl>
      <w:tblPr>
        <w:tblStyle w:val="24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277"/>
        <w:gridCol w:w="1275"/>
        <w:gridCol w:w="1418"/>
        <w:gridCol w:w="1663"/>
        <w:gridCol w:w="1132"/>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tcBorders>
              <w:top w:val="single" w:color="auto" w:sz="12" w:space="0"/>
              <w:left w:val="nil"/>
            </w:tcBorders>
            <w:vAlign w:val="center"/>
          </w:tcPr>
          <w:p>
            <w:pPr>
              <w:pStyle w:val="63"/>
              <w:rPr>
                <w:b/>
              </w:rPr>
            </w:pPr>
            <w:r>
              <w:rPr>
                <w:rFonts w:hint="eastAsia"/>
                <w:b/>
              </w:rPr>
              <w:t>序号</w:t>
            </w:r>
          </w:p>
        </w:tc>
        <w:tc>
          <w:tcPr>
            <w:tcW w:w="749" w:type="pct"/>
            <w:tcBorders>
              <w:top w:val="single" w:color="auto" w:sz="12" w:space="0"/>
            </w:tcBorders>
            <w:vAlign w:val="center"/>
          </w:tcPr>
          <w:p>
            <w:pPr>
              <w:pStyle w:val="63"/>
              <w:rPr>
                <w:b/>
              </w:rPr>
            </w:pPr>
            <w:r>
              <w:rPr>
                <w:b/>
              </w:rPr>
              <w:t>长度（km）</w:t>
            </w:r>
          </w:p>
        </w:tc>
        <w:tc>
          <w:tcPr>
            <w:tcW w:w="748" w:type="pct"/>
            <w:tcBorders>
              <w:top w:val="single" w:color="auto" w:sz="12" w:space="0"/>
            </w:tcBorders>
            <w:vAlign w:val="center"/>
          </w:tcPr>
          <w:p>
            <w:pPr>
              <w:pStyle w:val="63"/>
              <w:rPr>
                <w:b/>
              </w:rPr>
            </w:pPr>
            <w:r>
              <w:rPr>
                <w:b/>
              </w:rPr>
              <w:t>内径（mm）</w:t>
            </w:r>
          </w:p>
        </w:tc>
        <w:tc>
          <w:tcPr>
            <w:tcW w:w="832" w:type="pct"/>
            <w:tcBorders>
              <w:top w:val="single" w:color="auto" w:sz="12" w:space="0"/>
            </w:tcBorders>
            <w:vAlign w:val="center"/>
          </w:tcPr>
          <w:p>
            <w:pPr>
              <w:pStyle w:val="63"/>
              <w:rPr>
                <w:b/>
              </w:rPr>
            </w:pPr>
            <w:r>
              <w:rPr>
                <w:b/>
              </w:rPr>
              <w:t>设计压强（MPa）</w:t>
            </w:r>
          </w:p>
        </w:tc>
        <w:tc>
          <w:tcPr>
            <w:tcW w:w="976" w:type="pct"/>
            <w:tcBorders>
              <w:top w:val="single" w:color="auto" w:sz="12" w:space="0"/>
            </w:tcBorders>
            <w:vAlign w:val="center"/>
          </w:tcPr>
          <w:p>
            <w:pPr>
              <w:pStyle w:val="63"/>
              <w:rPr>
                <w:b/>
              </w:rPr>
            </w:pPr>
            <w:r>
              <w:rPr>
                <w:b/>
              </w:rPr>
              <w:t>甲烷</w:t>
            </w:r>
            <w:r>
              <w:rPr>
                <w:rFonts w:hint="eastAsia"/>
                <w:b/>
              </w:rPr>
              <w:t>及</w:t>
            </w:r>
            <w:r>
              <w:rPr>
                <w:b/>
              </w:rPr>
              <w:t>重烃存在量（t）</w:t>
            </w:r>
          </w:p>
        </w:tc>
        <w:tc>
          <w:tcPr>
            <w:tcW w:w="664" w:type="pct"/>
            <w:tcBorders>
              <w:top w:val="single" w:color="auto" w:sz="12" w:space="0"/>
            </w:tcBorders>
            <w:vAlign w:val="center"/>
          </w:tcPr>
          <w:p>
            <w:pPr>
              <w:pStyle w:val="63"/>
              <w:rPr>
                <w:b/>
              </w:rPr>
            </w:pPr>
            <w:r>
              <w:rPr>
                <w:b/>
              </w:rPr>
              <w:t>临界量（t）</w:t>
            </w:r>
          </w:p>
        </w:tc>
        <w:tc>
          <w:tcPr>
            <w:tcW w:w="552" w:type="pct"/>
            <w:tcBorders>
              <w:top w:val="single" w:color="auto" w:sz="12" w:space="0"/>
            </w:tcBorders>
            <w:vAlign w:val="center"/>
          </w:tcPr>
          <w:p>
            <w:pPr>
              <w:pStyle w:val="63"/>
              <w:rPr>
                <w:b/>
              </w:rPr>
            </w:pPr>
            <w:r>
              <w:rPr>
                <w:b/>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tcBorders>
              <w:left w:val="nil"/>
            </w:tcBorders>
          </w:tcPr>
          <w:p>
            <w:pPr>
              <w:pStyle w:val="63"/>
            </w:pPr>
            <w:r>
              <w:rPr>
                <w:rFonts w:hint="eastAsia"/>
              </w:rPr>
              <w:t>1</w:t>
            </w:r>
          </w:p>
        </w:tc>
        <w:tc>
          <w:tcPr>
            <w:tcW w:w="749" w:type="pct"/>
          </w:tcPr>
          <w:p>
            <w:pPr>
              <w:pStyle w:val="63"/>
            </w:pPr>
            <w:r>
              <w:t>8.745</w:t>
            </w:r>
          </w:p>
        </w:tc>
        <w:tc>
          <w:tcPr>
            <w:tcW w:w="748" w:type="pct"/>
          </w:tcPr>
          <w:p>
            <w:pPr>
              <w:pStyle w:val="63"/>
            </w:pPr>
            <w:r>
              <w:t>273</w:t>
            </w:r>
          </w:p>
        </w:tc>
        <w:tc>
          <w:tcPr>
            <w:tcW w:w="832" w:type="pct"/>
          </w:tcPr>
          <w:p>
            <w:pPr>
              <w:pStyle w:val="63"/>
            </w:pPr>
            <w:r>
              <w:t>8</w:t>
            </w:r>
          </w:p>
        </w:tc>
        <w:tc>
          <w:tcPr>
            <w:tcW w:w="976" w:type="pct"/>
          </w:tcPr>
          <w:p>
            <w:pPr>
              <w:pStyle w:val="63"/>
              <w:rPr>
                <w:highlight w:val="yellow"/>
              </w:rPr>
            </w:pPr>
            <w:r>
              <w:rPr>
                <w:rFonts w:hint="eastAsia"/>
              </w:rPr>
              <w:t>21.61</w:t>
            </w:r>
          </w:p>
        </w:tc>
        <w:tc>
          <w:tcPr>
            <w:tcW w:w="664" w:type="pct"/>
          </w:tcPr>
          <w:p>
            <w:pPr>
              <w:pStyle w:val="63"/>
            </w:pPr>
            <w:r>
              <w:t>10</w:t>
            </w:r>
          </w:p>
        </w:tc>
        <w:tc>
          <w:tcPr>
            <w:tcW w:w="552" w:type="pct"/>
          </w:tcPr>
          <w:p>
            <w:pPr>
              <w:pStyle w:val="63"/>
            </w:pPr>
            <w:r>
              <w:rPr>
                <w:rFonts w:hint="eastAsia"/>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7"/>
            <w:tcBorders>
              <w:left w:val="nil"/>
            </w:tcBorders>
          </w:tcPr>
          <w:p>
            <w:pPr>
              <w:pStyle w:val="63"/>
              <w:jc w:val="left"/>
            </w:pPr>
            <w:r>
              <w:rPr>
                <w:rFonts w:hint="eastAsia"/>
              </w:rPr>
              <w:t>注：危险物质存在量按照在线量计算.</w:t>
            </w:r>
          </w:p>
        </w:tc>
      </w:tr>
    </w:tbl>
    <w:p>
      <w:pPr>
        <w:ind w:firstLine="480"/>
        <w:rPr>
          <w:rFonts w:cs="Times New Roman"/>
        </w:rPr>
      </w:pPr>
      <w:r>
        <w:rPr>
          <w:rFonts w:cs="Times New Roman"/>
        </w:rPr>
        <w:t>由上表可知，本项目管线输气控制单元</w:t>
      </w:r>
      <w:r>
        <w:t>甲烷</w:t>
      </w:r>
      <w:r>
        <w:rPr>
          <w:rFonts w:hint="eastAsia"/>
        </w:rPr>
        <w:t>及</w:t>
      </w:r>
      <w:r>
        <w:t>重烃存在</w:t>
      </w:r>
      <w:r>
        <w:rPr>
          <w:rFonts w:cs="Times New Roman"/>
        </w:rPr>
        <w:t>量1≤Q&lt;10。</w:t>
      </w:r>
    </w:p>
    <w:p>
      <w:pPr>
        <w:pStyle w:val="6"/>
      </w:pPr>
      <w:r>
        <w:rPr>
          <w:rFonts w:hint="eastAsia"/>
        </w:rPr>
        <w:t xml:space="preserve"> 行业及生产工艺（M）</w:t>
      </w:r>
    </w:p>
    <w:p>
      <w:pPr>
        <w:ind w:firstLine="480"/>
        <w:rPr>
          <w:rFonts w:cs="Times New Roman"/>
        </w:rPr>
      </w:pPr>
      <w:r>
        <w:rPr>
          <w:rFonts w:cs="Times New Roman"/>
        </w:rPr>
        <w:t>根据《建设项目环境风险评价技术导则》（HJ169－2018）附录C，本项目M值确定具体见下表。</w:t>
      </w:r>
    </w:p>
    <w:p>
      <w:pPr>
        <w:pStyle w:val="73"/>
        <w:ind w:firstLine="480"/>
        <w:rPr>
          <w:rFonts w:cs="Times New Roman"/>
        </w:rPr>
      </w:pPr>
      <w:r>
        <w:rPr>
          <w:rFonts w:cs="Times New Roman"/>
        </w:rPr>
        <w:t>表</w:t>
      </w:r>
      <w:r>
        <w:rPr>
          <w:rFonts w:cs="Times New Roman"/>
          <w:b w:val="0"/>
        </w:rPr>
        <w:fldChar w:fldCharType="begin"/>
      </w:r>
      <w:r>
        <w:rPr>
          <w:rFonts w:cs="Times New Roman"/>
        </w:rPr>
        <w:instrText xml:space="preserve"> STYLEREF 2 \s </w:instrText>
      </w:r>
      <w:r>
        <w:rPr>
          <w:rFonts w:cs="Times New Roman"/>
          <w:b w:val="0"/>
        </w:rPr>
        <w:fldChar w:fldCharType="separate"/>
      </w:r>
      <w:r>
        <w:rPr>
          <w:rFonts w:cs="Times New Roman"/>
        </w:rPr>
        <w:t>8.4</w:t>
      </w:r>
      <w:r>
        <w:rPr>
          <w:rFonts w:cs="Times New Roman"/>
          <w:b w:val="0"/>
        </w:rPr>
        <w:fldChar w:fldCharType="end"/>
      </w:r>
      <w:r>
        <w:rPr>
          <w:rFonts w:cs="Times New Roman"/>
        </w:rPr>
        <w:noBreakHyphen/>
      </w:r>
      <w:r>
        <w:rPr>
          <w:rFonts w:cs="Times New Roman"/>
          <w:b w:val="0"/>
        </w:rPr>
        <w:fldChar w:fldCharType="begin"/>
      </w:r>
      <w:r>
        <w:rPr>
          <w:rFonts w:cs="Times New Roman"/>
        </w:rPr>
        <w:instrText xml:space="preserve"> SEQ 表格 \* ARABIC \s 2 </w:instrText>
      </w:r>
      <w:r>
        <w:rPr>
          <w:rFonts w:cs="Times New Roman"/>
          <w:b w:val="0"/>
        </w:rPr>
        <w:fldChar w:fldCharType="separate"/>
      </w:r>
      <w:r>
        <w:rPr>
          <w:rFonts w:cs="Times New Roman"/>
        </w:rPr>
        <w:t>3</w:t>
      </w:r>
      <w:r>
        <w:rPr>
          <w:rFonts w:cs="Times New Roman"/>
          <w:b w:val="0"/>
        </w:rPr>
        <w:fldChar w:fldCharType="end"/>
      </w:r>
      <w:r>
        <w:rPr>
          <w:rFonts w:cs="Times New Roman"/>
        </w:rPr>
        <w:t xml:space="preserve"> 本项目M值确定</w:t>
      </w:r>
    </w:p>
    <w:tbl>
      <w:tblPr>
        <w:tblStyle w:val="35"/>
        <w:tblW w:w="856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79"/>
        <w:gridCol w:w="5386"/>
        <w:gridCol w:w="993"/>
        <w:gridCol w:w="120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5" w:hRule="atLeast"/>
          <w:tblHeader/>
          <w:jc w:val="center"/>
        </w:trPr>
        <w:tc>
          <w:tcPr>
            <w:tcW w:w="979" w:type="dxa"/>
            <w:vAlign w:val="center"/>
          </w:tcPr>
          <w:p>
            <w:pPr>
              <w:pStyle w:val="63"/>
              <w:rPr>
                <w:b/>
              </w:rPr>
            </w:pPr>
            <w:r>
              <w:rPr>
                <w:b/>
              </w:rPr>
              <w:t>行业</w:t>
            </w:r>
          </w:p>
        </w:tc>
        <w:tc>
          <w:tcPr>
            <w:tcW w:w="5386" w:type="dxa"/>
            <w:vAlign w:val="center"/>
          </w:tcPr>
          <w:p>
            <w:pPr>
              <w:pStyle w:val="63"/>
              <w:rPr>
                <w:b/>
              </w:rPr>
            </w:pPr>
            <w:r>
              <w:rPr>
                <w:b/>
              </w:rPr>
              <w:t>评 估 依 据</w:t>
            </w:r>
          </w:p>
        </w:tc>
        <w:tc>
          <w:tcPr>
            <w:tcW w:w="993" w:type="dxa"/>
            <w:vAlign w:val="center"/>
          </w:tcPr>
          <w:p>
            <w:pPr>
              <w:pStyle w:val="63"/>
              <w:rPr>
                <w:b/>
              </w:rPr>
            </w:pPr>
            <w:r>
              <w:rPr>
                <w:b/>
              </w:rPr>
              <w:t>分值</w:t>
            </w:r>
          </w:p>
        </w:tc>
        <w:tc>
          <w:tcPr>
            <w:tcW w:w="1204" w:type="dxa"/>
            <w:vAlign w:val="center"/>
          </w:tcPr>
          <w:p>
            <w:pPr>
              <w:pStyle w:val="63"/>
              <w:rPr>
                <w:b/>
              </w:rPr>
            </w:pPr>
            <w:r>
              <w:rPr>
                <w:b/>
              </w:rPr>
              <w:t>得分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979" w:type="dxa"/>
            <w:vAlign w:val="center"/>
          </w:tcPr>
          <w:p>
            <w:pPr>
              <w:pStyle w:val="63"/>
            </w:pPr>
            <w:r>
              <w:t>石油天然气</w:t>
            </w:r>
          </w:p>
        </w:tc>
        <w:tc>
          <w:tcPr>
            <w:tcW w:w="5386" w:type="dxa"/>
            <w:vAlign w:val="center"/>
          </w:tcPr>
          <w:p>
            <w:pPr>
              <w:pStyle w:val="63"/>
              <w:jc w:val="left"/>
            </w:pPr>
            <w:r>
              <w:t>石油、天然气、页岩气开采（含净化），气库（不含加气站的气库），油库（不含加气站的油库）、油气管线b（不含城镇燃气管线）</w:t>
            </w:r>
          </w:p>
        </w:tc>
        <w:tc>
          <w:tcPr>
            <w:tcW w:w="993" w:type="dxa"/>
            <w:vAlign w:val="center"/>
          </w:tcPr>
          <w:p>
            <w:pPr>
              <w:pStyle w:val="63"/>
            </w:pPr>
            <w:r>
              <w:t>10</w:t>
            </w:r>
          </w:p>
        </w:tc>
        <w:tc>
          <w:tcPr>
            <w:tcW w:w="1204" w:type="dxa"/>
            <w:vAlign w:val="center"/>
          </w:tcPr>
          <w:p>
            <w:pPr>
              <w:pStyle w:val="63"/>
            </w:pPr>
            <w: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7358" w:type="dxa"/>
            <w:gridSpan w:val="3"/>
            <w:vAlign w:val="center"/>
          </w:tcPr>
          <w:p>
            <w:pPr>
              <w:pStyle w:val="63"/>
            </w:pPr>
            <w:r>
              <w:t>项目M值∑</w:t>
            </w:r>
          </w:p>
        </w:tc>
        <w:tc>
          <w:tcPr>
            <w:tcW w:w="1204" w:type="dxa"/>
            <w:vAlign w:val="center"/>
          </w:tcPr>
          <w:p>
            <w:pPr>
              <w:pStyle w:val="63"/>
            </w:pPr>
            <w: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8562" w:type="dxa"/>
            <w:gridSpan w:val="4"/>
          </w:tcPr>
          <w:p>
            <w:pPr>
              <w:pStyle w:val="63"/>
              <w:jc w:val="left"/>
            </w:pPr>
            <w:r>
              <w:t>注：b 长输管道运输项目应按站场、管线分段进行评价。</w:t>
            </w:r>
          </w:p>
        </w:tc>
      </w:tr>
    </w:tbl>
    <w:p>
      <w:pPr>
        <w:spacing w:before="163" w:beforeLines="50"/>
        <w:ind w:firstLine="480"/>
        <w:rPr>
          <w:rFonts w:cs="Times New Roman"/>
          <w:szCs w:val="26"/>
        </w:rPr>
      </w:pPr>
      <w:r>
        <w:rPr>
          <w:rFonts w:cs="Times New Roman"/>
          <w:szCs w:val="26"/>
        </w:rPr>
        <w:t>由上表可知，本项目行业及生产工艺M值总计为10，即本项目为M3。</w:t>
      </w:r>
    </w:p>
    <w:p>
      <w:pPr>
        <w:pStyle w:val="6"/>
        <w:jc w:val="both"/>
        <w:rPr>
          <w:rFonts w:cs="Times New Roman"/>
        </w:rPr>
      </w:pPr>
      <w:r>
        <w:rPr>
          <w:rFonts w:hint="eastAsia" w:cs="Times New Roman"/>
        </w:rPr>
        <w:t xml:space="preserve"> </w:t>
      </w:r>
      <w:r>
        <w:rPr>
          <w:rFonts w:cs="Times New Roman"/>
        </w:rPr>
        <w:t>危险物质及工艺系统危险性（P）</w:t>
      </w:r>
    </w:p>
    <w:p>
      <w:pPr>
        <w:ind w:firstLine="480"/>
        <w:rPr>
          <w:rFonts w:cs="Times New Roman"/>
          <w:szCs w:val="26"/>
        </w:rPr>
      </w:pPr>
      <w:r>
        <w:rPr>
          <w:rFonts w:cs="Times New Roman"/>
          <w:szCs w:val="26"/>
        </w:rPr>
        <w:t>根据《建设项目环境风险评价技术导则》（HJ 169-2018）附录 C，已知危险物质数量与临界量比值（Q）和行业及生产工艺（M），按照下表确定危险物质及工艺系统危险性等级（P），分别以 P1、P2、P3、P4 表示。</w:t>
      </w:r>
    </w:p>
    <w:p>
      <w:pPr>
        <w:pStyle w:val="73"/>
        <w:ind w:firstLine="480"/>
        <w:rPr>
          <w:rFonts w:cs="Times New Roman"/>
        </w:rPr>
      </w:pPr>
      <w:r>
        <w:rPr>
          <w:rFonts w:cs="Times New Roman"/>
        </w:rPr>
        <w:t>表</w:t>
      </w:r>
      <w:r>
        <w:rPr>
          <w:rFonts w:cs="Times New Roman"/>
          <w:b w:val="0"/>
        </w:rPr>
        <w:fldChar w:fldCharType="begin"/>
      </w:r>
      <w:r>
        <w:rPr>
          <w:rFonts w:cs="Times New Roman"/>
        </w:rPr>
        <w:instrText xml:space="preserve"> STYLEREF 2 \s </w:instrText>
      </w:r>
      <w:r>
        <w:rPr>
          <w:rFonts w:cs="Times New Roman"/>
          <w:b w:val="0"/>
        </w:rPr>
        <w:fldChar w:fldCharType="separate"/>
      </w:r>
      <w:r>
        <w:rPr>
          <w:rFonts w:cs="Times New Roman"/>
        </w:rPr>
        <w:t>8.4</w:t>
      </w:r>
      <w:r>
        <w:rPr>
          <w:rFonts w:cs="Times New Roman"/>
          <w:b w:val="0"/>
        </w:rPr>
        <w:fldChar w:fldCharType="end"/>
      </w:r>
      <w:r>
        <w:rPr>
          <w:rFonts w:cs="Times New Roman"/>
        </w:rPr>
        <w:noBreakHyphen/>
      </w:r>
      <w:r>
        <w:rPr>
          <w:rFonts w:cs="Times New Roman"/>
          <w:b w:val="0"/>
        </w:rPr>
        <w:fldChar w:fldCharType="begin"/>
      </w:r>
      <w:r>
        <w:rPr>
          <w:rFonts w:cs="Times New Roman"/>
        </w:rPr>
        <w:instrText xml:space="preserve"> SEQ 表格 \* ARABIC \s 2 </w:instrText>
      </w:r>
      <w:r>
        <w:rPr>
          <w:rFonts w:cs="Times New Roman"/>
          <w:b w:val="0"/>
        </w:rPr>
        <w:fldChar w:fldCharType="separate"/>
      </w:r>
      <w:r>
        <w:rPr>
          <w:rFonts w:cs="Times New Roman"/>
        </w:rPr>
        <w:t>4</w:t>
      </w:r>
      <w:r>
        <w:rPr>
          <w:rFonts w:cs="Times New Roman"/>
          <w:b w:val="0"/>
        </w:rPr>
        <w:fldChar w:fldCharType="end"/>
      </w:r>
      <w:r>
        <w:rPr>
          <w:rFonts w:cs="Times New Roman"/>
        </w:rPr>
        <w:t xml:space="preserve">  危险物质及工艺系统危险性等级判断（P）</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93"/>
        <w:gridCol w:w="1313"/>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093" w:type="dxa"/>
            <w:vMerge w:val="restart"/>
            <w:tcBorders>
              <w:top w:val="single" w:color="auto" w:sz="12" w:space="0"/>
              <w:left w:val="nil"/>
            </w:tcBorders>
          </w:tcPr>
          <w:p>
            <w:pPr>
              <w:pStyle w:val="63"/>
              <w:rPr>
                <w:b/>
              </w:rPr>
            </w:pPr>
            <w:r>
              <w:rPr>
                <w:b/>
              </w:rPr>
              <w:t>危险物质数量与临界量比值（Q）</w:t>
            </w:r>
          </w:p>
        </w:tc>
        <w:tc>
          <w:tcPr>
            <w:tcW w:w="6423" w:type="dxa"/>
            <w:gridSpan w:val="4"/>
            <w:tcBorders>
              <w:top w:val="single" w:color="auto" w:sz="12" w:space="0"/>
            </w:tcBorders>
          </w:tcPr>
          <w:p>
            <w:pPr>
              <w:pStyle w:val="63"/>
              <w:rPr>
                <w:b/>
              </w:rPr>
            </w:pPr>
            <w:r>
              <w:rPr>
                <w:b/>
              </w:rPr>
              <w:t>行业及生产工艺（M）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093" w:type="dxa"/>
            <w:vMerge w:val="continue"/>
            <w:tcBorders>
              <w:left w:val="nil"/>
            </w:tcBorders>
          </w:tcPr>
          <w:p>
            <w:pPr>
              <w:pStyle w:val="63"/>
              <w:rPr>
                <w:b/>
              </w:rPr>
            </w:pPr>
          </w:p>
        </w:tc>
        <w:tc>
          <w:tcPr>
            <w:tcW w:w="1313" w:type="dxa"/>
          </w:tcPr>
          <w:p>
            <w:pPr>
              <w:pStyle w:val="63"/>
              <w:rPr>
                <w:b/>
              </w:rPr>
            </w:pPr>
            <w:r>
              <w:rPr>
                <w:b/>
              </w:rPr>
              <w:t>M1</w:t>
            </w:r>
          </w:p>
        </w:tc>
        <w:tc>
          <w:tcPr>
            <w:tcW w:w="1703" w:type="dxa"/>
          </w:tcPr>
          <w:p>
            <w:pPr>
              <w:pStyle w:val="63"/>
              <w:rPr>
                <w:b/>
              </w:rPr>
            </w:pPr>
            <w:r>
              <w:rPr>
                <w:b/>
              </w:rPr>
              <w:t>M2</w:t>
            </w:r>
          </w:p>
        </w:tc>
        <w:tc>
          <w:tcPr>
            <w:tcW w:w="1703" w:type="dxa"/>
          </w:tcPr>
          <w:p>
            <w:pPr>
              <w:pStyle w:val="63"/>
              <w:rPr>
                <w:b/>
              </w:rPr>
            </w:pPr>
            <w:r>
              <w:rPr>
                <w:b/>
              </w:rPr>
              <w:t>M3</w:t>
            </w:r>
          </w:p>
        </w:tc>
        <w:tc>
          <w:tcPr>
            <w:tcW w:w="1704" w:type="dxa"/>
          </w:tcPr>
          <w:p>
            <w:pPr>
              <w:pStyle w:val="63"/>
              <w:rPr>
                <w:b/>
              </w:rPr>
            </w:pPr>
            <w:r>
              <w:rPr>
                <w:b/>
              </w:rPr>
              <w:t>M4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0" w:hRule="atLeast"/>
        </w:trPr>
        <w:tc>
          <w:tcPr>
            <w:tcW w:w="2093" w:type="dxa"/>
            <w:tcBorders>
              <w:left w:val="nil"/>
            </w:tcBorders>
          </w:tcPr>
          <w:p>
            <w:pPr>
              <w:pStyle w:val="63"/>
            </w:pPr>
            <w:r>
              <w:t>Q≥100</w:t>
            </w:r>
          </w:p>
        </w:tc>
        <w:tc>
          <w:tcPr>
            <w:tcW w:w="1313" w:type="dxa"/>
          </w:tcPr>
          <w:p>
            <w:pPr>
              <w:pStyle w:val="63"/>
            </w:pPr>
            <w:r>
              <w:t>P1</w:t>
            </w:r>
          </w:p>
        </w:tc>
        <w:tc>
          <w:tcPr>
            <w:tcW w:w="1703" w:type="dxa"/>
          </w:tcPr>
          <w:p>
            <w:pPr>
              <w:pStyle w:val="63"/>
            </w:pPr>
            <w:r>
              <w:t>P1</w:t>
            </w:r>
          </w:p>
        </w:tc>
        <w:tc>
          <w:tcPr>
            <w:tcW w:w="1703" w:type="dxa"/>
          </w:tcPr>
          <w:p>
            <w:pPr>
              <w:pStyle w:val="63"/>
            </w:pPr>
            <w:r>
              <w:t>P2</w:t>
            </w:r>
          </w:p>
        </w:tc>
        <w:tc>
          <w:tcPr>
            <w:tcW w:w="1704" w:type="dxa"/>
          </w:tcPr>
          <w:p>
            <w:pPr>
              <w:pStyle w:val="63"/>
            </w:pPr>
            <w:r>
              <w:t>P3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093" w:type="dxa"/>
            <w:tcBorders>
              <w:left w:val="nil"/>
            </w:tcBorders>
          </w:tcPr>
          <w:p>
            <w:pPr>
              <w:pStyle w:val="63"/>
            </w:pPr>
            <w:r>
              <w:t>10≤Q＜100</w:t>
            </w:r>
          </w:p>
        </w:tc>
        <w:tc>
          <w:tcPr>
            <w:tcW w:w="1313" w:type="dxa"/>
            <w:shd w:val="clear" w:color="auto" w:fill="auto"/>
          </w:tcPr>
          <w:p>
            <w:pPr>
              <w:pStyle w:val="63"/>
            </w:pPr>
            <w:r>
              <w:t>P1</w:t>
            </w:r>
          </w:p>
        </w:tc>
        <w:tc>
          <w:tcPr>
            <w:tcW w:w="1703" w:type="dxa"/>
            <w:shd w:val="clear" w:color="auto" w:fill="auto"/>
          </w:tcPr>
          <w:p>
            <w:pPr>
              <w:pStyle w:val="63"/>
            </w:pPr>
            <w:r>
              <w:rPr>
                <w:rFonts w:hint="eastAsia"/>
              </w:rPr>
              <w:t>P2</w:t>
            </w:r>
          </w:p>
        </w:tc>
        <w:tc>
          <w:tcPr>
            <w:tcW w:w="1703" w:type="dxa"/>
          </w:tcPr>
          <w:p>
            <w:pPr>
              <w:pStyle w:val="63"/>
            </w:pPr>
            <w:r>
              <w:t>P3</w:t>
            </w:r>
          </w:p>
        </w:tc>
        <w:tc>
          <w:tcPr>
            <w:tcW w:w="1704" w:type="dxa"/>
          </w:tcPr>
          <w:p>
            <w:pPr>
              <w:pStyle w:val="63"/>
            </w:pPr>
            <w:r>
              <w:t>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093" w:type="dxa"/>
            <w:tcBorders>
              <w:left w:val="nil"/>
            </w:tcBorders>
          </w:tcPr>
          <w:p>
            <w:pPr>
              <w:pStyle w:val="63"/>
            </w:pPr>
            <w:r>
              <w:t>1≤Q＜10</w:t>
            </w:r>
          </w:p>
        </w:tc>
        <w:tc>
          <w:tcPr>
            <w:tcW w:w="1313" w:type="dxa"/>
          </w:tcPr>
          <w:p>
            <w:pPr>
              <w:pStyle w:val="63"/>
            </w:pPr>
            <w:r>
              <w:t>P2</w:t>
            </w:r>
          </w:p>
        </w:tc>
        <w:tc>
          <w:tcPr>
            <w:tcW w:w="1703" w:type="dxa"/>
          </w:tcPr>
          <w:p>
            <w:pPr>
              <w:pStyle w:val="63"/>
            </w:pPr>
            <w:r>
              <w:t>P3</w:t>
            </w:r>
          </w:p>
        </w:tc>
        <w:tc>
          <w:tcPr>
            <w:tcW w:w="1703" w:type="dxa"/>
          </w:tcPr>
          <w:p>
            <w:pPr>
              <w:pStyle w:val="63"/>
            </w:pPr>
            <w:r>
              <w:t>P4</w:t>
            </w:r>
            <w:r>
              <w:rPr>
                <w:rFonts w:hint="eastAsia"/>
              </w:rPr>
              <w:t>（√）</w:t>
            </w:r>
          </w:p>
        </w:tc>
        <w:tc>
          <w:tcPr>
            <w:tcW w:w="1704" w:type="dxa"/>
          </w:tcPr>
          <w:p>
            <w:pPr>
              <w:pStyle w:val="63"/>
            </w:pPr>
            <w:r>
              <w:t>P4</w:t>
            </w:r>
          </w:p>
        </w:tc>
      </w:tr>
    </w:tbl>
    <w:p>
      <w:pPr>
        <w:pStyle w:val="2"/>
        <w:spacing w:before="163" w:beforeLines="50"/>
        <w:ind w:left="960" w:hanging="480"/>
        <w:rPr>
          <w:sz w:val="24"/>
          <w:szCs w:val="26"/>
        </w:rPr>
      </w:pPr>
      <w:r>
        <w:rPr>
          <w:sz w:val="24"/>
          <w:szCs w:val="26"/>
        </w:rPr>
        <w:t>由上表对比可知，本项目危险物质及工艺系统危险性等级为P4。</w:t>
      </w:r>
    </w:p>
    <w:p>
      <w:pPr>
        <w:pStyle w:val="5"/>
      </w:pPr>
      <w:bookmarkStart w:id="289" w:name="_Toc81772147"/>
      <w:bookmarkStart w:id="290" w:name="_Toc89009759"/>
      <w:r>
        <w:rPr>
          <w:rFonts w:hint="eastAsia"/>
        </w:rPr>
        <w:t xml:space="preserve"> </w:t>
      </w:r>
      <w:bookmarkStart w:id="291" w:name="_Toc96680741"/>
      <w:r>
        <w:t>环境风险潜势划分</w:t>
      </w:r>
      <w:bookmarkEnd w:id="289"/>
      <w:bookmarkEnd w:id="290"/>
      <w:bookmarkEnd w:id="291"/>
    </w:p>
    <w:p>
      <w:pPr>
        <w:pStyle w:val="214"/>
        <w:ind w:firstLine="480"/>
      </w:pPr>
      <w:r>
        <w:t>建设项目环境风险潜势划分为</w:t>
      </w: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t>、</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t>、</w:t>
      </w: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t>、</w:t>
      </w: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t>/</w:t>
      </w: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rPr>
          <w:vertAlign w:val="superscript"/>
        </w:rPr>
        <w:t>+</w:t>
      </w:r>
      <w:r>
        <w:t>级，根据建设项目涉及的物质和工艺系统的危险性及其所在地的环境敏感程度，结合事故情形下环境影响途径，对建设项目潜在环境危害程度进行概化分析。</w:t>
      </w:r>
      <w:r>
        <w:rPr>
          <w:spacing w:val="-4"/>
        </w:rPr>
        <w:t>根据《建设项目环境风险评价技术导则》（HJ169－2018）表2 划分依据，</w:t>
      </w:r>
      <w:r>
        <w:t>确定本项目环境风险潜势见下表。</w:t>
      </w:r>
    </w:p>
    <w:p>
      <w:pPr>
        <w:pStyle w:val="222"/>
      </w:pPr>
      <w:r>
        <w:t>表</w:t>
      </w:r>
      <w:r>
        <w:fldChar w:fldCharType="begin"/>
      </w:r>
      <w:r>
        <w:instrText xml:space="preserve"> STYLEREF 2 \s </w:instrText>
      </w:r>
      <w:r>
        <w:fldChar w:fldCharType="separate"/>
      </w:r>
      <w:r>
        <w:t>8.4</w:t>
      </w:r>
      <w:r>
        <w:fldChar w:fldCharType="end"/>
      </w:r>
      <w:r>
        <w:noBreakHyphen/>
      </w:r>
      <w:r>
        <w:fldChar w:fldCharType="begin"/>
      </w:r>
      <w:r>
        <w:instrText xml:space="preserve"> SEQ 表格 \* ARABIC \s 2 </w:instrText>
      </w:r>
      <w:r>
        <w:fldChar w:fldCharType="separate"/>
      </w:r>
      <w:r>
        <w:t>5</w:t>
      </w:r>
      <w:r>
        <w:fldChar w:fldCharType="end"/>
      </w:r>
      <w:r>
        <w:t xml:space="preserve">  建设项目环境风险潜势划分结果</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09"/>
        <w:gridCol w:w="1513"/>
        <w:gridCol w:w="1661"/>
        <w:gridCol w:w="1661"/>
        <w:gridCol w:w="16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09" w:type="dxa"/>
            <w:vMerge w:val="restart"/>
            <w:tcBorders>
              <w:top w:val="single" w:color="auto" w:sz="12" w:space="0"/>
              <w:left w:val="nil"/>
            </w:tcBorders>
            <w:vAlign w:val="center"/>
          </w:tcPr>
          <w:p>
            <w:pPr>
              <w:pStyle w:val="63"/>
              <w:rPr>
                <w:b/>
              </w:rPr>
            </w:pPr>
            <w:r>
              <w:rPr>
                <w:b/>
              </w:rPr>
              <w:t>环境敏感程度（E）</w:t>
            </w:r>
          </w:p>
        </w:tc>
        <w:tc>
          <w:tcPr>
            <w:tcW w:w="6497" w:type="dxa"/>
            <w:gridSpan w:val="4"/>
            <w:tcBorders>
              <w:top w:val="single" w:color="auto" w:sz="12" w:space="0"/>
            </w:tcBorders>
            <w:vAlign w:val="center"/>
          </w:tcPr>
          <w:p>
            <w:pPr>
              <w:pStyle w:val="63"/>
              <w:rPr>
                <w:b/>
              </w:rPr>
            </w:pPr>
            <w:r>
              <w:rPr>
                <w:b/>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09" w:type="dxa"/>
            <w:vMerge w:val="continue"/>
            <w:tcBorders>
              <w:left w:val="nil"/>
            </w:tcBorders>
            <w:vAlign w:val="center"/>
          </w:tcPr>
          <w:p>
            <w:pPr>
              <w:pStyle w:val="63"/>
              <w:rPr>
                <w:b/>
              </w:rPr>
            </w:pPr>
          </w:p>
        </w:tc>
        <w:tc>
          <w:tcPr>
            <w:tcW w:w="1513" w:type="dxa"/>
            <w:vAlign w:val="center"/>
          </w:tcPr>
          <w:p>
            <w:pPr>
              <w:pStyle w:val="63"/>
              <w:rPr>
                <w:b/>
              </w:rPr>
            </w:pPr>
            <w:r>
              <w:rPr>
                <w:b/>
              </w:rPr>
              <w:t>极高危害（P1）</w:t>
            </w:r>
          </w:p>
        </w:tc>
        <w:tc>
          <w:tcPr>
            <w:tcW w:w="1661" w:type="dxa"/>
            <w:vAlign w:val="center"/>
          </w:tcPr>
          <w:p>
            <w:pPr>
              <w:pStyle w:val="63"/>
              <w:rPr>
                <w:b/>
              </w:rPr>
            </w:pPr>
            <w:r>
              <w:rPr>
                <w:b/>
              </w:rPr>
              <w:t>高度危害（P2）</w:t>
            </w:r>
          </w:p>
        </w:tc>
        <w:tc>
          <w:tcPr>
            <w:tcW w:w="1661" w:type="dxa"/>
            <w:vAlign w:val="center"/>
          </w:tcPr>
          <w:p>
            <w:pPr>
              <w:pStyle w:val="63"/>
              <w:rPr>
                <w:b/>
              </w:rPr>
            </w:pPr>
            <w:r>
              <w:rPr>
                <w:b/>
              </w:rPr>
              <w:t>中度危害（P3）</w:t>
            </w:r>
          </w:p>
        </w:tc>
        <w:tc>
          <w:tcPr>
            <w:tcW w:w="1662" w:type="dxa"/>
            <w:vAlign w:val="center"/>
          </w:tcPr>
          <w:p>
            <w:pPr>
              <w:pStyle w:val="63"/>
              <w:rPr>
                <w:b/>
              </w:rPr>
            </w:pPr>
            <w:r>
              <w:rPr>
                <w:b/>
              </w:rPr>
              <w:t>轻度危害（P4）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809" w:type="dxa"/>
            <w:tcBorders>
              <w:left w:val="nil"/>
            </w:tcBorders>
            <w:vAlign w:val="center"/>
          </w:tcPr>
          <w:p>
            <w:pPr>
              <w:pStyle w:val="63"/>
            </w:pPr>
            <w:r>
              <w:t>高度敏感区（E1）</w:t>
            </w:r>
          </w:p>
        </w:tc>
        <w:tc>
          <w:tcPr>
            <w:tcW w:w="1513" w:type="dxa"/>
            <w:vAlign w:val="center"/>
          </w:tcPr>
          <w:p>
            <w:pPr>
              <w:pStyle w:val="63"/>
            </w:pP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t>+</w:t>
            </w:r>
          </w:p>
        </w:tc>
        <w:tc>
          <w:tcPr>
            <w:tcW w:w="1661" w:type="dxa"/>
            <w:vAlign w:val="center"/>
          </w:tcPr>
          <w:p>
            <w:pPr>
              <w:pStyle w:val="63"/>
            </w:pP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p>
        </w:tc>
        <w:tc>
          <w:tcPr>
            <w:tcW w:w="1661" w:type="dxa"/>
            <w:vAlign w:val="center"/>
          </w:tcPr>
          <w:p>
            <w:pPr>
              <w:pStyle w:val="63"/>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p>
        </w:tc>
        <w:tc>
          <w:tcPr>
            <w:tcW w:w="1662" w:type="dxa"/>
            <w:vAlign w:val="center"/>
          </w:tcPr>
          <w:p>
            <w:pPr>
              <w:pStyle w:val="63"/>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09" w:type="dxa"/>
            <w:tcBorders>
              <w:left w:val="nil"/>
            </w:tcBorders>
            <w:vAlign w:val="center"/>
          </w:tcPr>
          <w:p>
            <w:pPr>
              <w:pStyle w:val="63"/>
            </w:pPr>
            <w:r>
              <w:t>中度敏感区（E2）</w:t>
            </w:r>
          </w:p>
        </w:tc>
        <w:tc>
          <w:tcPr>
            <w:tcW w:w="1513" w:type="dxa"/>
            <w:shd w:val="clear" w:color="auto" w:fill="auto"/>
            <w:vAlign w:val="center"/>
          </w:tcPr>
          <w:p>
            <w:pPr>
              <w:pStyle w:val="63"/>
            </w:pP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p>
        </w:tc>
        <w:tc>
          <w:tcPr>
            <w:tcW w:w="1661" w:type="dxa"/>
            <w:shd w:val="clear" w:color="auto" w:fill="auto"/>
            <w:vAlign w:val="center"/>
          </w:tcPr>
          <w:p>
            <w:pPr>
              <w:pStyle w:val="63"/>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p>
        </w:tc>
        <w:tc>
          <w:tcPr>
            <w:tcW w:w="1661" w:type="dxa"/>
            <w:shd w:val="clear" w:color="auto" w:fill="auto"/>
            <w:vAlign w:val="center"/>
          </w:tcPr>
          <w:p>
            <w:pPr>
              <w:pStyle w:val="63"/>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p>
        </w:tc>
        <w:tc>
          <w:tcPr>
            <w:tcW w:w="1662" w:type="dxa"/>
            <w:vAlign w:val="center"/>
          </w:tcPr>
          <w:p>
            <w:pPr>
              <w:pStyle w:val="63"/>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09" w:type="dxa"/>
            <w:tcBorders>
              <w:left w:val="nil"/>
            </w:tcBorders>
            <w:vAlign w:val="center"/>
          </w:tcPr>
          <w:p>
            <w:pPr>
              <w:pStyle w:val="63"/>
            </w:pPr>
            <w:r>
              <w:t>低度敏感区（E3）</w:t>
            </w:r>
          </w:p>
        </w:tc>
        <w:tc>
          <w:tcPr>
            <w:tcW w:w="1513" w:type="dxa"/>
            <w:vAlign w:val="center"/>
          </w:tcPr>
          <w:p>
            <w:pPr>
              <w:pStyle w:val="63"/>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p>
        </w:tc>
        <w:tc>
          <w:tcPr>
            <w:tcW w:w="1661" w:type="dxa"/>
            <w:vAlign w:val="center"/>
          </w:tcPr>
          <w:p>
            <w:pPr>
              <w:pStyle w:val="63"/>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p>
        </w:tc>
        <w:tc>
          <w:tcPr>
            <w:tcW w:w="1661" w:type="dxa"/>
            <w:vAlign w:val="center"/>
          </w:tcPr>
          <w:p>
            <w:pPr>
              <w:pStyle w:val="63"/>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p>
        </w:tc>
        <w:tc>
          <w:tcPr>
            <w:tcW w:w="1662" w:type="dxa"/>
            <w:vAlign w:val="center"/>
          </w:tcPr>
          <w:p>
            <w:pPr>
              <w:pStyle w:val="63"/>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6" w:type="dxa"/>
            <w:gridSpan w:val="5"/>
            <w:tcBorders>
              <w:left w:val="nil"/>
            </w:tcBorders>
            <w:vAlign w:val="center"/>
          </w:tcPr>
          <w:p>
            <w:pPr>
              <w:pStyle w:val="63"/>
              <w:jc w:val="left"/>
            </w:pPr>
            <w:r>
              <w:t>注：</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t>+为极高环境风险。</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本项目为天然气输送泄漏后不涉及水环境影响途径。</w:t>
            </w:r>
          </w:p>
        </w:tc>
      </w:tr>
    </w:tbl>
    <w:p>
      <w:pPr>
        <w:pStyle w:val="214"/>
        <w:ind w:firstLine="480"/>
      </w:pPr>
      <w:r>
        <w:rPr>
          <w:rFonts w:hint="eastAsia"/>
        </w:rPr>
        <w:t>根据上表，本项目只涉及大气风险，风险潜势为</w:t>
      </w: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t>。</w:t>
      </w:r>
    </w:p>
    <w:p>
      <w:pPr>
        <w:pStyle w:val="4"/>
        <w:rPr>
          <w:rFonts w:cs="Times New Roman"/>
        </w:rPr>
      </w:pPr>
      <w:r>
        <w:rPr>
          <w:rFonts w:cs="Times New Roman"/>
        </w:rPr>
        <w:t xml:space="preserve"> </w:t>
      </w:r>
      <w:bookmarkStart w:id="292" w:name="_Toc96680742"/>
      <w:r>
        <w:rPr>
          <w:rFonts w:cs="Times New Roman"/>
        </w:rPr>
        <w:t>评价等级和评价范围</w:t>
      </w:r>
      <w:bookmarkEnd w:id="292"/>
    </w:p>
    <w:p>
      <w:pPr>
        <w:pStyle w:val="5"/>
      </w:pPr>
      <w:r>
        <w:rPr>
          <w:rFonts w:hint="eastAsia"/>
        </w:rPr>
        <w:t xml:space="preserve"> </w:t>
      </w:r>
      <w:bookmarkStart w:id="293" w:name="_Toc96680743"/>
      <w:r>
        <w:rPr>
          <w:rFonts w:hint="eastAsia"/>
        </w:rPr>
        <w:t>评价等级</w:t>
      </w:r>
      <w:bookmarkEnd w:id="293"/>
    </w:p>
    <w:p>
      <w:pPr>
        <w:ind w:firstLine="480"/>
        <w:rPr>
          <w:rFonts w:cs="Times New Roman"/>
        </w:rPr>
      </w:pPr>
      <w:r>
        <w:rPr>
          <w:rFonts w:cs="Times New Roman"/>
        </w:rPr>
        <w:t>根据《建设项目环境风险评价技术导则》（HJ169-2018）评价工作等级划分要求，确定本项目环境风险评价等级为</w:t>
      </w:r>
      <w:r>
        <w:rPr>
          <w:rFonts w:cs="Times New Roman"/>
          <w:b/>
          <w:bCs/>
        </w:rPr>
        <w:t>简单分析</w:t>
      </w:r>
      <w:r>
        <w:rPr>
          <w:rFonts w:cs="Times New Roman"/>
        </w:rPr>
        <w:t>。</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8.5</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风险评价工作级别划分</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710"/>
        <w:gridCol w:w="1695"/>
        <w:gridCol w:w="1695"/>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pPr>
              <w:spacing w:line="320" w:lineRule="exact"/>
              <w:ind w:firstLine="0" w:firstLineChars="0"/>
              <w:jc w:val="center"/>
              <w:rPr>
                <w:rFonts w:cs="Times New Roman"/>
                <w:sz w:val="21"/>
              </w:rPr>
            </w:pPr>
            <w:r>
              <w:rPr>
                <w:rFonts w:cs="Times New Roman"/>
                <w:sz w:val="21"/>
              </w:rPr>
              <w:t>环境风险潜势</w:t>
            </w:r>
          </w:p>
        </w:tc>
        <w:tc>
          <w:tcPr>
            <w:tcW w:w="1710" w:type="dxa"/>
            <w:vAlign w:val="center"/>
          </w:tcPr>
          <w:p>
            <w:pPr>
              <w:spacing w:line="320" w:lineRule="exact"/>
              <w:ind w:firstLine="0" w:firstLineChars="0"/>
              <w:jc w:val="center"/>
              <w:rPr>
                <w:rFonts w:cs="Times New Roman"/>
                <w:sz w:val="21"/>
              </w:rPr>
            </w:pPr>
            <w:r>
              <w:rPr>
                <w:rFonts w:cs="Times New Roman"/>
                <w:sz w:val="21"/>
              </w:rPr>
              <w:t>IV、IV +</w:t>
            </w:r>
          </w:p>
        </w:tc>
        <w:tc>
          <w:tcPr>
            <w:tcW w:w="1695" w:type="dxa"/>
            <w:vAlign w:val="center"/>
          </w:tcPr>
          <w:p>
            <w:pPr>
              <w:spacing w:line="320" w:lineRule="exact"/>
              <w:ind w:firstLine="0" w:firstLineChars="0"/>
              <w:jc w:val="center"/>
              <w:rPr>
                <w:rFonts w:cs="Times New Roman"/>
                <w:sz w:val="21"/>
              </w:rPr>
            </w:pPr>
            <w:r>
              <w:rPr>
                <w:rFonts w:cs="Times New Roman"/>
                <w:sz w:val="21"/>
              </w:rPr>
              <w:t>III</w:t>
            </w:r>
          </w:p>
        </w:tc>
        <w:tc>
          <w:tcPr>
            <w:tcW w:w="1695" w:type="dxa"/>
            <w:vAlign w:val="center"/>
          </w:tcPr>
          <w:p>
            <w:pPr>
              <w:spacing w:line="320" w:lineRule="exact"/>
              <w:ind w:firstLine="0" w:firstLineChars="0"/>
              <w:jc w:val="center"/>
              <w:rPr>
                <w:rFonts w:cs="Times New Roman"/>
                <w:sz w:val="21"/>
              </w:rPr>
            </w:pPr>
            <w:r>
              <w:rPr>
                <w:rFonts w:cs="Times New Roman"/>
                <w:sz w:val="21"/>
              </w:rPr>
              <w:t>II</w:t>
            </w:r>
          </w:p>
        </w:tc>
        <w:tc>
          <w:tcPr>
            <w:tcW w:w="1728" w:type="dxa"/>
            <w:vAlign w:val="center"/>
          </w:tcPr>
          <w:p>
            <w:pPr>
              <w:spacing w:line="320" w:lineRule="exact"/>
              <w:ind w:firstLine="0" w:firstLineChars="0"/>
              <w:jc w:val="center"/>
              <w:rPr>
                <w:rFonts w:cs="Times New Roman"/>
                <w:sz w:val="21"/>
              </w:rPr>
            </w:pPr>
            <w:r>
              <w:rPr>
                <w:rFonts w:cs="Times New Roman"/>
                <w:sz w:val="21"/>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pPr>
              <w:spacing w:line="320" w:lineRule="exact"/>
              <w:ind w:firstLine="0" w:firstLineChars="0"/>
              <w:jc w:val="center"/>
              <w:rPr>
                <w:rFonts w:cs="Times New Roman"/>
                <w:sz w:val="21"/>
              </w:rPr>
            </w:pPr>
            <w:r>
              <w:rPr>
                <w:rFonts w:cs="Times New Roman"/>
                <w:sz w:val="21"/>
              </w:rPr>
              <w:t>评价工作等级</w:t>
            </w:r>
          </w:p>
        </w:tc>
        <w:tc>
          <w:tcPr>
            <w:tcW w:w="1710" w:type="dxa"/>
            <w:vAlign w:val="center"/>
          </w:tcPr>
          <w:p>
            <w:pPr>
              <w:spacing w:line="320" w:lineRule="exact"/>
              <w:ind w:firstLine="0" w:firstLineChars="0"/>
              <w:jc w:val="center"/>
              <w:rPr>
                <w:rFonts w:cs="Times New Roman"/>
                <w:sz w:val="21"/>
              </w:rPr>
            </w:pPr>
            <w:r>
              <w:rPr>
                <w:rFonts w:cs="Times New Roman"/>
                <w:sz w:val="21"/>
              </w:rPr>
              <w:t>一</w:t>
            </w:r>
          </w:p>
        </w:tc>
        <w:tc>
          <w:tcPr>
            <w:tcW w:w="1695" w:type="dxa"/>
            <w:vAlign w:val="center"/>
          </w:tcPr>
          <w:p>
            <w:pPr>
              <w:spacing w:line="320" w:lineRule="exact"/>
              <w:ind w:firstLine="0" w:firstLineChars="0"/>
              <w:jc w:val="center"/>
              <w:rPr>
                <w:rFonts w:cs="Times New Roman"/>
                <w:sz w:val="21"/>
              </w:rPr>
            </w:pPr>
            <w:r>
              <w:rPr>
                <w:rFonts w:cs="Times New Roman"/>
                <w:sz w:val="21"/>
              </w:rPr>
              <w:t>二</w:t>
            </w:r>
          </w:p>
        </w:tc>
        <w:tc>
          <w:tcPr>
            <w:tcW w:w="1695" w:type="dxa"/>
            <w:vAlign w:val="center"/>
          </w:tcPr>
          <w:p>
            <w:pPr>
              <w:spacing w:line="320" w:lineRule="exact"/>
              <w:ind w:firstLine="0" w:firstLineChars="0"/>
              <w:jc w:val="center"/>
              <w:rPr>
                <w:rFonts w:cs="Times New Roman"/>
                <w:sz w:val="21"/>
              </w:rPr>
            </w:pPr>
            <w:r>
              <w:rPr>
                <w:rFonts w:cs="Times New Roman"/>
                <w:sz w:val="21"/>
              </w:rPr>
              <w:t>三</w:t>
            </w:r>
          </w:p>
        </w:tc>
        <w:tc>
          <w:tcPr>
            <w:tcW w:w="1728" w:type="dxa"/>
            <w:vAlign w:val="center"/>
          </w:tcPr>
          <w:p>
            <w:pPr>
              <w:spacing w:line="320" w:lineRule="exact"/>
              <w:ind w:firstLine="0" w:firstLineChars="0"/>
              <w:jc w:val="center"/>
              <w:rPr>
                <w:rFonts w:cs="Times New Roman"/>
                <w:sz w:val="21"/>
              </w:rPr>
            </w:pPr>
            <w:r>
              <w:rPr>
                <w:rFonts w:cs="Times New Roman"/>
                <w:sz w:val="21"/>
              </w:rPr>
              <w:t>简单分析a</w:t>
            </w:r>
            <w:r>
              <w:rPr>
                <w:rFonts w:cs="Times New Roman"/>
                <w:sz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center"/>
          </w:tcPr>
          <w:p>
            <w:pPr>
              <w:spacing w:line="320" w:lineRule="exact"/>
              <w:ind w:firstLine="0" w:firstLineChars="0"/>
              <w:jc w:val="left"/>
              <w:rPr>
                <w:rFonts w:cs="Times New Roman"/>
                <w:sz w:val="21"/>
              </w:rPr>
            </w:pPr>
            <w:r>
              <w:rPr>
                <w:rFonts w:cs="Times New Roman"/>
                <w:sz w:val="21"/>
              </w:rPr>
              <w:t>a 是相对于详细评价工作内容而言，在描述危险物质、环境影响途径、环境危害后果、风险防范措施等方面给出定性说明。见附录A。</w:t>
            </w:r>
          </w:p>
        </w:tc>
      </w:tr>
    </w:tbl>
    <w:p>
      <w:pPr>
        <w:pStyle w:val="5"/>
      </w:pPr>
      <w:bookmarkStart w:id="294" w:name="_Toc25854"/>
      <w:r>
        <w:t xml:space="preserve"> </w:t>
      </w:r>
      <w:bookmarkStart w:id="295" w:name="_Toc96680744"/>
      <w:r>
        <w:t>评价范围</w:t>
      </w:r>
      <w:bookmarkEnd w:id="294"/>
      <w:bookmarkEnd w:id="295"/>
    </w:p>
    <w:p>
      <w:pPr>
        <w:adjustRightInd w:val="0"/>
        <w:snapToGrid w:val="0"/>
        <w:ind w:firstLine="482"/>
        <w:rPr>
          <w:rFonts w:cs="Times New Roman"/>
          <w:b/>
          <w:kern w:val="0"/>
          <w:sz w:val="22"/>
          <w:szCs w:val="24"/>
        </w:rPr>
      </w:pPr>
      <w:r>
        <w:rPr>
          <w:rFonts w:cs="Times New Roman"/>
          <w:b/>
          <w:kern w:val="0"/>
          <w:szCs w:val="26"/>
        </w:rPr>
        <w:t>（1）大气环境风险评价范围</w:t>
      </w:r>
    </w:p>
    <w:p>
      <w:pPr>
        <w:adjustRightInd w:val="0"/>
        <w:snapToGrid w:val="0"/>
        <w:ind w:firstLine="480"/>
        <w:rPr>
          <w:rFonts w:cs="Times New Roman"/>
          <w:kern w:val="0"/>
          <w:szCs w:val="24"/>
        </w:rPr>
      </w:pPr>
      <w:r>
        <w:t>根据《建设项目环境风险评价技术导则》（</w:t>
      </w:r>
      <w:r>
        <w:rPr>
          <w:rFonts w:eastAsia="TimesNewRomanPSMT"/>
        </w:rPr>
        <w:t>HJ169-2018</w:t>
      </w:r>
      <w:r>
        <w:t>），</w:t>
      </w:r>
      <w:r>
        <w:rPr>
          <w:rFonts w:hint="eastAsia"/>
        </w:rPr>
        <w:t>未规定简单分析大气环境风险评价范围，参考大气环境评价范围，大气环境风险评价范围设置为管线两侧</w:t>
      </w:r>
      <w:r>
        <w:t>1</w:t>
      </w:r>
      <w:r>
        <w:rPr>
          <w:rFonts w:hint="eastAsia"/>
        </w:rPr>
        <w:t>00m范围</w:t>
      </w:r>
      <w:r>
        <w:rPr>
          <w:rFonts w:cs="Times New Roman"/>
          <w:kern w:val="0"/>
          <w:szCs w:val="24"/>
        </w:rPr>
        <w:t>。</w:t>
      </w:r>
    </w:p>
    <w:p>
      <w:pPr>
        <w:adjustRightInd w:val="0"/>
        <w:snapToGrid w:val="0"/>
        <w:ind w:firstLine="482"/>
        <w:rPr>
          <w:rFonts w:cs="Times New Roman"/>
          <w:b/>
          <w:kern w:val="0"/>
          <w:sz w:val="22"/>
          <w:szCs w:val="24"/>
        </w:rPr>
      </w:pPr>
      <w:r>
        <w:rPr>
          <w:rFonts w:cs="Times New Roman"/>
          <w:b/>
          <w:kern w:val="0"/>
          <w:szCs w:val="26"/>
        </w:rPr>
        <w:t>（2）地表水环境风险评价范围</w:t>
      </w:r>
    </w:p>
    <w:p>
      <w:pPr>
        <w:adjustRightInd w:val="0"/>
        <w:snapToGrid w:val="0"/>
        <w:ind w:firstLine="480"/>
        <w:rPr>
          <w:rFonts w:cs="Times New Roman"/>
          <w:kern w:val="0"/>
          <w:szCs w:val="24"/>
        </w:rPr>
      </w:pPr>
      <w:r>
        <w:rPr>
          <w:rFonts w:cs="Times New Roman"/>
          <w:kern w:val="0"/>
          <w:szCs w:val="24"/>
        </w:rPr>
        <w:t>地表水环境风险评价范围与</w:t>
      </w:r>
      <w:r>
        <w:rPr>
          <w:rFonts w:cs="Times New Roman"/>
          <w:snapToGrid w:val="0"/>
          <w:kern w:val="0"/>
          <w:szCs w:val="24"/>
        </w:rPr>
        <w:t>地表水环境影响评价范围一致，不划定</w:t>
      </w:r>
      <w:r>
        <w:t>地表水评价范围</w:t>
      </w:r>
      <w:r>
        <w:rPr>
          <w:rFonts w:cs="Times New Roman"/>
          <w:snapToGrid w:val="0"/>
          <w:kern w:val="0"/>
          <w:szCs w:val="24"/>
        </w:rPr>
        <w:t>。</w:t>
      </w:r>
    </w:p>
    <w:p>
      <w:pPr>
        <w:adjustRightInd w:val="0"/>
        <w:snapToGrid w:val="0"/>
        <w:ind w:firstLine="482"/>
        <w:rPr>
          <w:rFonts w:cs="Times New Roman"/>
          <w:b/>
          <w:kern w:val="0"/>
          <w:sz w:val="22"/>
          <w:szCs w:val="24"/>
        </w:rPr>
      </w:pPr>
      <w:r>
        <w:rPr>
          <w:rFonts w:cs="Times New Roman"/>
          <w:b/>
          <w:kern w:val="0"/>
          <w:szCs w:val="26"/>
        </w:rPr>
        <w:t>（3）地下水环境风险评价范围</w:t>
      </w:r>
    </w:p>
    <w:p>
      <w:pPr>
        <w:adjustRightInd w:val="0"/>
        <w:snapToGrid w:val="0"/>
        <w:ind w:firstLine="480"/>
        <w:rPr>
          <w:rFonts w:cs="Times New Roman"/>
          <w:snapToGrid w:val="0"/>
          <w:kern w:val="0"/>
          <w:szCs w:val="24"/>
        </w:rPr>
      </w:pPr>
      <w:r>
        <w:rPr>
          <w:rFonts w:cs="Times New Roman"/>
          <w:snapToGrid w:val="0"/>
          <w:kern w:val="0"/>
          <w:szCs w:val="24"/>
        </w:rPr>
        <w:t>地下水风险评价范围与地下水环境影响评价范围一致。</w:t>
      </w:r>
    </w:p>
    <w:p>
      <w:pPr>
        <w:pStyle w:val="4"/>
        <w:rPr>
          <w:rFonts w:cs="Times New Roman"/>
        </w:rPr>
      </w:pPr>
      <w:r>
        <w:rPr>
          <w:rFonts w:cs="Times New Roman"/>
        </w:rPr>
        <w:t xml:space="preserve"> </w:t>
      </w:r>
      <w:bookmarkStart w:id="296" w:name="_Toc96680745"/>
      <w:r>
        <w:rPr>
          <w:rFonts w:cs="Times New Roman"/>
        </w:rPr>
        <w:t>环境风险识别</w:t>
      </w:r>
      <w:bookmarkEnd w:id="296"/>
    </w:p>
    <w:p>
      <w:pPr>
        <w:pStyle w:val="5"/>
        <w:rPr>
          <w:rFonts w:cs="Times New Roman"/>
        </w:rPr>
      </w:pPr>
      <w:r>
        <w:rPr>
          <w:rFonts w:cs="Times New Roman"/>
        </w:rPr>
        <w:t xml:space="preserve"> </w:t>
      </w:r>
      <w:bookmarkStart w:id="297" w:name="_Toc96680746"/>
      <w:r>
        <w:rPr>
          <w:rFonts w:cs="Times New Roman"/>
        </w:rPr>
        <w:t>风险物质识别</w:t>
      </w:r>
      <w:bookmarkEnd w:id="297"/>
    </w:p>
    <w:p>
      <w:pPr>
        <w:ind w:firstLine="480"/>
        <w:rPr>
          <w:rFonts w:cs="Times New Roman"/>
          <w:kern w:val="0"/>
          <w:szCs w:val="24"/>
        </w:rPr>
      </w:pPr>
      <w:r>
        <w:rPr>
          <w:rFonts w:cs="Times New Roman"/>
          <w:kern w:val="0"/>
          <w:szCs w:val="24"/>
        </w:rPr>
        <w:t>拟建管道涉及的主要物料为天然气，按照《石油天然气工程设计防火规范》(GB50183—2004)标准，天然气属于甲B类火灾危险物质。天然气具有以下特性。</w:t>
      </w:r>
    </w:p>
    <w:p>
      <w:pPr>
        <w:ind w:firstLine="482"/>
        <w:rPr>
          <w:rFonts w:cs="Times New Roman"/>
          <w:b/>
          <w:bCs/>
        </w:rPr>
      </w:pPr>
      <w:r>
        <w:rPr>
          <w:rFonts w:cs="Times New Roman"/>
          <w:b/>
          <w:bCs/>
        </w:rPr>
        <w:t>（</w:t>
      </w:r>
      <w:r>
        <w:rPr>
          <w:rFonts w:hint="eastAsia" w:cs="Times New Roman"/>
          <w:b/>
          <w:bCs/>
        </w:rPr>
        <w:t>1</w:t>
      </w:r>
      <w:r>
        <w:rPr>
          <w:rFonts w:cs="Times New Roman"/>
          <w:b/>
          <w:bCs/>
        </w:rPr>
        <w:t>）易燃性</w:t>
      </w:r>
    </w:p>
    <w:p>
      <w:pPr>
        <w:ind w:firstLine="480"/>
        <w:rPr>
          <w:rFonts w:cs="Times New Roman"/>
          <w:kern w:val="0"/>
          <w:szCs w:val="24"/>
        </w:rPr>
      </w:pPr>
      <w:r>
        <w:rPr>
          <w:rFonts w:cs="Times New Roman"/>
          <w:kern w:val="0"/>
          <w:szCs w:val="24"/>
        </w:rPr>
        <w:t>天然气属于甲类火灾危险物质。对于石油蒸气、天然气常常在作业场所或储存区弥散、扩散或在低洼处聚集，在空气中只要较小的点燃能量就会燃烧，因此具有较大的火灾危险性。</w:t>
      </w:r>
    </w:p>
    <w:p>
      <w:pPr>
        <w:ind w:firstLine="482"/>
        <w:rPr>
          <w:rFonts w:cs="Times New Roman"/>
          <w:b/>
          <w:bCs/>
        </w:rPr>
      </w:pPr>
      <w:r>
        <w:rPr>
          <w:rFonts w:cs="Times New Roman"/>
          <w:b/>
          <w:bCs/>
        </w:rPr>
        <w:t>（</w:t>
      </w:r>
      <w:r>
        <w:rPr>
          <w:rFonts w:hint="eastAsia" w:cs="Times New Roman"/>
          <w:b/>
          <w:bCs/>
        </w:rPr>
        <w:t>2</w:t>
      </w:r>
      <w:r>
        <w:rPr>
          <w:rFonts w:cs="Times New Roman"/>
          <w:b/>
          <w:bCs/>
        </w:rPr>
        <w:t>）易爆性</w:t>
      </w:r>
    </w:p>
    <w:p>
      <w:pPr>
        <w:ind w:firstLine="480"/>
        <w:rPr>
          <w:rFonts w:cs="Times New Roman"/>
          <w:kern w:val="0"/>
          <w:szCs w:val="24"/>
        </w:rPr>
      </w:pPr>
      <w:r>
        <w:rPr>
          <w:rFonts w:cs="Times New Roman"/>
          <w:kern w:val="0"/>
          <w:szCs w:val="24"/>
        </w:rPr>
        <w:t>天然气与空气组成混合气体，其浓度处于一定范围时，遇火即发生爆炸。天然气（甲烷）的爆炸极限范围为6.0</w:t>
      </w:r>
      <w:r>
        <w:rPr>
          <w:rFonts w:eastAsia="微软雅黑" w:cs="Times New Roman"/>
          <w:kern w:val="0"/>
          <w:szCs w:val="24"/>
        </w:rPr>
        <w:t>~</w:t>
      </w:r>
      <w:r>
        <w:rPr>
          <w:rFonts w:cs="Times New Roman"/>
          <w:kern w:val="0"/>
          <w:szCs w:val="24"/>
        </w:rPr>
        <w:t>16(%V/V)，爆炸浓度极限范围愈宽，爆炸下限浓度值越低，物质爆炸危险性就越大。</w:t>
      </w:r>
    </w:p>
    <w:p>
      <w:pPr>
        <w:ind w:firstLine="482"/>
        <w:rPr>
          <w:rFonts w:cs="Times New Roman"/>
          <w:b/>
          <w:bCs/>
        </w:rPr>
      </w:pPr>
      <w:r>
        <w:rPr>
          <w:rFonts w:cs="Times New Roman"/>
          <w:b/>
          <w:bCs/>
        </w:rPr>
        <w:t>（</w:t>
      </w:r>
      <w:r>
        <w:rPr>
          <w:rFonts w:hint="eastAsia" w:cs="Times New Roman"/>
          <w:b/>
          <w:bCs/>
        </w:rPr>
        <w:t>3</w:t>
      </w:r>
      <w:r>
        <w:rPr>
          <w:rFonts w:cs="Times New Roman"/>
          <w:b/>
          <w:bCs/>
        </w:rPr>
        <w:t>）毒性</w:t>
      </w:r>
    </w:p>
    <w:p>
      <w:pPr>
        <w:ind w:firstLine="480"/>
        <w:rPr>
          <w:rFonts w:cs="Times New Roman"/>
          <w:kern w:val="0"/>
          <w:szCs w:val="24"/>
        </w:rPr>
      </w:pPr>
      <w:r>
        <w:rPr>
          <w:rFonts w:cs="Times New Roman"/>
          <w:kern w:val="0"/>
          <w:szCs w:val="24"/>
        </w:rPr>
        <w:t>天然气为烃类混合物，属低毒性物质，但长期接触可导致神经衰弱综合症。甲烷属“单纯窒息性”气体，高浓度时因缺氧窒息而引起中毒，空气中甲烷浓度达到26°%—30°%时出现头晕，呼吸加速、运动失调。</w:t>
      </w:r>
    </w:p>
    <w:p>
      <w:pPr>
        <w:ind w:firstLine="482"/>
        <w:rPr>
          <w:rFonts w:cs="Times New Roman"/>
          <w:b/>
          <w:bCs/>
        </w:rPr>
      </w:pPr>
      <w:r>
        <w:rPr>
          <w:rFonts w:cs="Times New Roman"/>
          <w:b/>
          <w:bCs/>
        </w:rPr>
        <w:t>（</w:t>
      </w:r>
      <w:r>
        <w:rPr>
          <w:rFonts w:hint="eastAsia" w:cs="Times New Roman"/>
          <w:b/>
          <w:bCs/>
        </w:rPr>
        <w:t>4</w:t>
      </w:r>
      <w:r>
        <w:rPr>
          <w:rFonts w:cs="Times New Roman"/>
          <w:b/>
          <w:bCs/>
        </w:rPr>
        <w:t>）易扩散性</w:t>
      </w:r>
    </w:p>
    <w:p>
      <w:pPr>
        <w:ind w:firstLine="480"/>
        <w:rPr>
          <w:rFonts w:cs="Times New Roman"/>
          <w:kern w:val="0"/>
          <w:szCs w:val="24"/>
        </w:rPr>
      </w:pPr>
      <w:r>
        <w:rPr>
          <w:rFonts w:cs="Times New Roman"/>
          <w:kern w:val="0"/>
          <w:szCs w:val="24"/>
        </w:rPr>
        <w:t>天然气的泄漏不仅会影响管道的正常输送，还会污染周围的环境，甚至使人中毒，更为严重的是增加了火灾爆炸的危险。当管道系统密封不严时，天然气极易发生泄漏，并可随风四处扩散，遇到明火极易引起火灾或爆炸。</w:t>
      </w:r>
    </w:p>
    <w:p>
      <w:pPr>
        <w:ind w:firstLine="482"/>
        <w:rPr>
          <w:rFonts w:cs="Times New Roman"/>
          <w:b/>
          <w:bCs/>
        </w:rPr>
      </w:pPr>
      <w:r>
        <w:rPr>
          <w:rFonts w:cs="Times New Roman"/>
          <w:b/>
          <w:bCs/>
        </w:rPr>
        <w:t>（</w:t>
      </w:r>
      <w:r>
        <w:rPr>
          <w:rFonts w:hint="eastAsia" w:cs="Times New Roman"/>
          <w:b/>
          <w:bCs/>
        </w:rPr>
        <w:t>5</w:t>
      </w:r>
      <w:r>
        <w:rPr>
          <w:rFonts w:cs="Times New Roman"/>
          <w:b/>
          <w:bCs/>
        </w:rPr>
        <w:t>）热膨胀性</w:t>
      </w:r>
    </w:p>
    <w:p>
      <w:pPr>
        <w:ind w:firstLine="480"/>
        <w:rPr>
          <w:rFonts w:cs="Times New Roman"/>
          <w:kern w:val="0"/>
          <w:szCs w:val="24"/>
        </w:rPr>
      </w:pPr>
      <w:r>
        <w:rPr>
          <w:rFonts w:cs="Times New Roman"/>
          <w:kern w:val="0"/>
          <w:szCs w:val="24"/>
        </w:rPr>
        <w:t>天然气的体积随着温度的升高而膨胀，如果站场容器遭受暴晒或靠近高温热源，容器内的介质受热膨胀造成容器内压增大而膨胀。这种热胀冷缩作用往往损坏储存容器，造成介质泄漏。天然气储存容器在低温下还可能引起外压失稳。</w:t>
      </w:r>
    </w:p>
    <w:p>
      <w:pPr>
        <w:ind w:firstLine="482"/>
        <w:rPr>
          <w:rFonts w:cs="Times New Roman"/>
          <w:b/>
          <w:bCs/>
        </w:rPr>
      </w:pPr>
      <w:r>
        <w:rPr>
          <w:rFonts w:cs="Times New Roman"/>
          <w:b/>
          <w:bCs/>
        </w:rPr>
        <w:t>（</w:t>
      </w:r>
      <w:r>
        <w:rPr>
          <w:rFonts w:hint="eastAsia" w:cs="Times New Roman"/>
          <w:b/>
          <w:bCs/>
        </w:rPr>
        <w:t>6</w:t>
      </w:r>
      <w:r>
        <w:rPr>
          <w:rFonts w:cs="Times New Roman"/>
          <w:b/>
          <w:bCs/>
        </w:rPr>
        <w:t>）静电荷聚集性</w:t>
      </w:r>
    </w:p>
    <w:p>
      <w:pPr>
        <w:pStyle w:val="214"/>
        <w:ind w:firstLine="480"/>
      </w:pPr>
      <w:r>
        <w:t>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pPr>
        <w:pStyle w:val="5"/>
        <w:spacing w:before="180"/>
        <w:rPr>
          <w:rFonts w:cs="Times New Roman"/>
        </w:rPr>
      </w:pPr>
      <w:bookmarkStart w:id="298" w:name="_Toc69044759"/>
      <w:r>
        <w:rPr>
          <w:rFonts w:cs="Times New Roman"/>
        </w:rPr>
        <w:t xml:space="preserve"> </w:t>
      </w:r>
      <w:bookmarkStart w:id="299" w:name="_Toc96680747"/>
      <w:r>
        <w:rPr>
          <w:rFonts w:cs="Times New Roman"/>
        </w:rPr>
        <w:t>生产系统风险识别</w:t>
      </w:r>
      <w:bookmarkEnd w:id="298"/>
      <w:bookmarkEnd w:id="299"/>
    </w:p>
    <w:p>
      <w:pPr>
        <w:pStyle w:val="6"/>
      </w:pPr>
      <w:r>
        <w:rPr>
          <w:rFonts w:hint="eastAsia"/>
        </w:rPr>
        <w:t xml:space="preserve"> 生产系统风险</w:t>
      </w:r>
    </w:p>
    <w:p>
      <w:pPr>
        <w:ind w:firstLine="480"/>
        <w:rPr>
          <w:rFonts w:cs="Times New Roman"/>
        </w:rPr>
      </w:pPr>
      <w:r>
        <w:rPr>
          <w:rFonts w:cs="Times New Roman"/>
        </w:rPr>
        <w:t>本项目主要涉及的风险生产系统为集输管线。输送的天然气的集输管线可能发生的风险事故为火灾或爆炸产生的次生污染物、天然气泄露。</w:t>
      </w:r>
    </w:p>
    <w:p>
      <w:pPr>
        <w:pStyle w:val="6"/>
      </w:pPr>
      <w:r>
        <w:rPr>
          <w:rFonts w:hint="eastAsia"/>
        </w:rPr>
        <w:t xml:space="preserve"> 风险因素</w:t>
      </w:r>
    </w:p>
    <w:p>
      <w:pPr>
        <w:ind w:firstLine="480"/>
        <w:rPr>
          <w:rFonts w:cs="Times New Roman"/>
          <w:kern w:val="0"/>
          <w:szCs w:val="24"/>
        </w:rPr>
      </w:pPr>
      <w:r>
        <w:rPr>
          <w:rFonts w:cs="Times New Roman"/>
          <w:kern w:val="0"/>
          <w:szCs w:val="24"/>
        </w:rPr>
        <w:t>输送的介质具有易燃、易爆危险性。在设计、施工、运行管理过程中，可能存在设计不合理、施工质量问题、腐蚀、疲劳等因素，可能造成阀门、仪器仪表、管线等设备设施及连接部位泄漏而引起火灾、爆炸事故。</w:t>
      </w:r>
    </w:p>
    <w:p>
      <w:pPr>
        <w:pStyle w:val="2"/>
        <w:ind w:left="922" w:hanging="442"/>
        <w:jc w:val="center"/>
        <w:rPr>
          <w:rFonts w:eastAsia="楷体"/>
          <w:b/>
          <w:kern w:val="0"/>
          <w:sz w:val="22"/>
        </w:rPr>
      </w:pPr>
      <w:r>
        <w:rPr>
          <w:rFonts w:eastAsia="楷体"/>
          <w:b/>
          <w:kern w:val="0"/>
          <w:sz w:val="22"/>
        </w:rPr>
        <w:t>表</w:t>
      </w:r>
      <w:r>
        <w:rPr>
          <w:rFonts w:eastAsia="楷体"/>
          <w:b/>
          <w:kern w:val="0"/>
          <w:sz w:val="22"/>
        </w:rPr>
        <w:fldChar w:fldCharType="begin"/>
      </w:r>
      <w:r>
        <w:rPr>
          <w:rFonts w:eastAsia="楷体"/>
          <w:b/>
          <w:kern w:val="0"/>
          <w:sz w:val="22"/>
        </w:rPr>
        <w:instrText xml:space="preserve"> STYLEREF 2 \s </w:instrText>
      </w:r>
      <w:r>
        <w:rPr>
          <w:rFonts w:eastAsia="楷体"/>
          <w:b/>
          <w:kern w:val="0"/>
          <w:sz w:val="22"/>
        </w:rPr>
        <w:fldChar w:fldCharType="separate"/>
      </w:r>
      <w:r>
        <w:rPr>
          <w:rFonts w:eastAsia="楷体"/>
          <w:b/>
          <w:kern w:val="0"/>
          <w:sz w:val="22"/>
        </w:rPr>
        <w:t>8.6</w:t>
      </w:r>
      <w:r>
        <w:rPr>
          <w:rFonts w:eastAsia="楷体"/>
          <w:b/>
          <w:kern w:val="0"/>
          <w:sz w:val="22"/>
        </w:rPr>
        <w:fldChar w:fldCharType="end"/>
      </w:r>
      <w:r>
        <w:rPr>
          <w:rFonts w:eastAsia="楷体"/>
          <w:b/>
          <w:kern w:val="0"/>
          <w:sz w:val="22"/>
        </w:rPr>
        <w:noBreakHyphen/>
      </w:r>
      <w:r>
        <w:rPr>
          <w:rFonts w:eastAsia="楷体"/>
          <w:b/>
          <w:kern w:val="0"/>
          <w:sz w:val="22"/>
        </w:rPr>
        <w:fldChar w:fldCharType="begin"/>
      </w:r>
      <w:r>
        <w:rPr>
          <w:rFonts w:eastAsia="楷体"/>
          <w:b/>
          <w:kern w:val="0"/>
          <w:sz w:val="22"/>
        </w:rPr>
        <w:instrText xml:space="preserve"> SEQ 表格 \* ARABIC \s 2 </w:instrText>
      </w:r>
      <w:r>
        <w:rPr>
          <w:rFonts w:eastAsia="楷体"/>
          <w:b/>
          <w:kern w:val="0"/>
          <w:sz w:val="22"/>
        </w:rPr>
        <w:fldChar w:fldCharType="separate"/>
      </w:r>
      <w:r>
        <w:rPr>
          <w:rFonts w:eastAsia="楷体"/>
          <w:b/>
          <w:kern w:val="0"/>
          <w:sz w:val="22"/>
        </w:rPr>
        <w:t>1</w:t>
      </w:r>
      <w:r>
        <w:rPr>
          <w:rFonts w:eastAsia="楷体"/>
          <w:b/>
          <w:kern w:val="0"/>
          <w:sz w:val="22"/>
        </w:rPr>
        <w:fldChar w:fldCharType="end"/>
      </w:r>
      <w:r>
        <w:rPr>
          <w:rFonts w:eastAsia="楷体"/>
          <w:b/>
          <w:kern w:val="0"/>
          <w:sz w:val="22"/>
        </w:rPr>
        <w:t xml:space="preserve">  管道风险因素</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977"/>
        <w:gridCol w:w="4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12" w:space="0"/>
              <w:left w:val="nil"/>
            </w:tcBorders>
          </w:tcPr>
          <w:p>
            <w:pPr>
              <w:spacing w:line="240" w:lineRule="auto"/>
              <w:ind w:firstLine="0" w:firstLineChars="0"/>
              <w:jc w:val="center"/>
              <w:rPr>
                <w:b/>
                <w:sz w:val="21"/>
              </w:rPr>
            </w:pPr>
            <w:r>
              <w:rPr>
                <w:rFonts w:hint="eastAsia"/>
                <w:b/>
                <w:sz w:val="21"/>
              </w:rPr>
              <w:t>分类</w:t>
            </w:r>
          </w:p>
        </w:tc>
        <w:tc>
          <w:tcPr>
            <w:tcW w:w="2977" w:type="dxa"/>
            <w:tcBorders>
              <w:top w:val="single" w:color="auto" w:sz="12" w:space="0"/>
            </w:tcBorders>
          </w:tcPr>
          <w:p>
            <w:pPr>
              <w:spacing w:line="240" w:lineRule="auto"/>
              <w:ind w:firstLine="0" w:firstLineChars="0"/>
              <w:jc w:val="center"/>
              <w:rPr>
                <w:b/>
                <w:sz w:val="21"/>
              </w:rPr>
            </w:pPr>
            <w:r>
              <w:rPr>
                <w:rFonts w:hint="eastAsia"/>
                <w:b/>
                <w:sz w:val="21"/>
              </w:rPr>
              <w:t>风险</w:t>
            </w:r>
            <w:r>
              <w:rPr>
                <w:b/>
                <w:sz w:val="21"/>
              </w:rPr>
              <w:t>因素</w:t>
            </w:r>
          </w:p>
        </w:tc>
        <w:tc>
          <w:tcPr>
            <w:tcW w:w="4870" w:type="dxa"/>
            <w:tcBorders>
              <w:top w:val="single" w:color="auto" w:sz="12" w:space="0"/>
            </w:tcBorders>
          </w:tcPr>
          <w:p>
            <w:pPr>
              <w:spacing w:line="240" w:lineRule="auto"/>
              <w:ind w:firstLine="0" w:firstLineChars="0"/>
              <w:jc w:val="center"/>
              <w:rPr>
                <w:b/>
                <w:sz w:val="21"/>
              </w:rPr>
            </w:pPr>
            <w:r>
              <w:rPr>
                <w:rFonts w:hint="eastAsia"/>
                <w:b/>
                <w:sz w:val="21"/>
              </w:rPr>
              <w:t>子</w:t>
            </w:r>
            <w:r>
              <w:rPr>
                <w:b/>
                <w:sz w:val="21"/>
              </w:rPr>
              <w:t>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tcBorders>
              <w:left w:val="nil"/>
            </w:tcBorders>
            <w:vAlign w:val="center"/>
          </w:tcPr>
          <w:p>
            <w:pPr>
              <w:spacing w:line="240" w:lineRule="auto"/>
              <w:ind w:firstLine="0" w:firstLineChars="0"/>
              <w:rPr>
                <w:sz w:val="21"/>
              </w:rPr>
            </w:pPr>
            <w:r>
              <w:rPr>
                <w:rFonts w:hint="eastAsia"/>
                <w:sz w:val="21"/>
              </w:rPr>
              <w:t>时间</w:t>
            </w:r>
            <w:r>
              <w:rPr>
                <w:sz w:val="21"/>
              </w:rPr>
              <w:t>相关</w:t>
            </w:r>
          </w:p>
        </w:tc>
        <w:tc>
          <w:tcPr>
            <w:tcW w:w="2977" w:type="dxa"/>
            <w:vAlign w:val="center"/>
          </w:tcPr>
          <w:p>
            <w:pPr>
              <w:spacing w:line="240" w:lineRule="auto"/>
              <w:ind w:firstLine="0" w:firstLineChars="0"/>
              <w:jc w:val="center"/>
              <w:rPr>
                <w:sz w:val="21"/>
              </w:rPr>
            </w:pPr>
            <w:r>
              <w:rPr>
                <w:rFonts w:hint="eastAsia"/>
                <w:sz w:val="21"/>
              </w:rPr>
              <w:t>外腐蚀</w:t>
            </w:r>
          </w:p>
        </w:tc>
        <w:tc>
          <w:tcPr>
            <w:tcW w:w="4870" w:type="dxa"/>
          </w:tcPr>
          <w:p>
            <w:pPr>
              <w:spacing w:line="240" w:lineRule="auto"/>
              <w:ind w:firstLine="0" w:firstLineChars="0"/>
              <w:jc w:val="center"/>
              <w:rPr>
                <w:sz w:val="21"/>
              </w:rPr>
            </w:pPr>
            <w:r>
              <w:rPr>
                <w:rFonts w:hint="eastAsia"/>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nil"/>
            </w:tcBorders>
            <w:vAlign w:val="center"/>
          </w:tcPr>
          <w:p>
            <w:pPr>
              <w:spacing w:line="240" w:lineRule="auto"/>
              <w:ind w:firstLine="0" w:firstLineChars="0"/>
              <w:rPr>
                <w:sz w:val="21"/>
              </w:rPr>
            </w:pPr>
          </w:p>
        </w:tc>
        <w:tc>
          <w:tcPr>
            <w:tcW w:w="2977" w:type="dxa"/>
            <w:vAlign w:val="center"/>
          </w:tcPr>
          <w:p>
            <w:pPr>
              <w:spacing w:line="240" w:lineRule="auto"/>
              <w:ind w:firstLine="0" w:firstLineChars="0"/>
              <w:jc w:val="center"/>
              <w:rPr>
                <w:sz w:val="21"/>
              </w:rPr>
            </w:pPr>
            <w:r>
              <w:rPr>
                <w:rFonts w:hint="eastAsia"/>
                <w:sz w:val="21"/>
              </w:rPr>
              <w:t>内腐蚀/磨蚀</w:t>
            </w:r>
          </w:p>
        </w:tc>
        <w:tc>
          <w:tcPr>
            <w:tcW w:w="4870" w:type="dxa"/>
          </w:tcPr>
          <w:p>
            <w:pPr>
              <w:spacing w:line="240" w:lineRule="auto"/>
              <w:ind w:firstLine="0" w:firstLineChars="0"/>
              <w:jc w:val="center"/>
              <w:rPr>
                <w:sz w:val="21"/>
              </w:rPr>
            </w:pPr>
            <w:r>
              <w:rPr>
                <w:rFonts w:hint="eastAsia"/>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nil"/>
            </w:tcBorders>
            <w:vAlign w:val="center"/>
          </w:tcPr>
          <w:p>
            <w:pPr>
              <w:spacing w:line="240" w:lineRule="auto"/>
              <w:ind w:firstLine="0" w:firstLineChars="0"/>
              <w:rPr>
                <w:sz w:val="21"/>
              </w:rPr>
            </w:pPr>
          </w:p>
        </w:tc>
        <w:tc>
          <w:tcPr>
            <w:tcW w:w="2977" w:type="dxa"/>
            <w:vAlign w:val="center"/>
          </w:tcPr>
          <w:p>
            <w:pPr>
              <w:spacing w:line="240" w:lineRule="auto"/>
              <w:ind w:firstLine="0" w:firstLineChars="0"/>
              <w:jc w:val="center"/>
              <w:rPr>
                <w:sz w:val="21"/>
              </w:rPr>
            </w:pPr>
            <w:r>
              <w:rPr>
                <w:rFonts w:hint="eastAsia"/>
                <w:sz w:val="21"/>
              </w:rPr>
              <w:t>应力腐蚀</w:t>
            </w:r>
            <w:r>
              <w:rPr>
                <w:sz w:val="21"/>
              </w:rPr>
              <w:t>开裂</w:t>
            </w:r>
            <w:r>
              <w:rPr>
                <w:rFonts w:hint="eastAsia"/>
                <w:sz w:val="21"/>
              </w:rPr>
              <w:t>/氢致</w:t>
            </w:r>
            <w:r>
              <w:rPr>
                <w:sz w:val="21"/>
              </w:rPr>
              <w:t>损伤</w:t>
            </w:r>
          </w:p>
        </w:tc>
        <w:tc>
          <w:tcPr>
            <w:tcW w:w="4870" w:type="dxa"/>
          </w:tcPr>
          <w:p>
            <w:pPr>
              <w:spacing w:line="240" w:lineRule="auto"/>
              <w:ind w:firstLine="0" w:firstLineChars="0"/>
              <w:jc w:val="center"/>
              <w:rPr>
                <w:sz w:val="21"/>
              </w:rPr>
            </w:pPr>
            <w:r>
              <w:rPr>
                <w:rFonts w:hint="eastAsia"/>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nil"/>
            </w:tcBorders>
            <w:vAlign w:val="center"/>
          </w:tcPr>
          <w:p>
            <w:pPr>
              <w:spacing w:line="240" w:lineRule="auto"/>
              <w:ind w:firstLine="0" w:firstLineChars="0"/>
              <w:rPr>
                <w:sz w:val="21"/>
              </w:rPr>
            </w:pPr>
          </w:p>
        </w:tc>
        <w:tc>
          <w:tcPr>
            <w:tcW w:w="2977" w:type="dxa"/>
            <w:vAlign w:val="center"/>
          </w:tcPr>
          <w:p>
            <w:pPr>
              <w:spacing w:line="240" w:lineRule="auto"/>
              <w:ind w:firstLine="0" w:firstLineChars="0"/>
              <w:jc w:val="center"/>
              <w:rPr>
                <w:sz w:val="21"/>
              </w:rPr>
            </w:pPr>
            <w:r>
              <w:rPr>
                <w:rFonts w:hint="eastAsia"/>
                <w:sz w:val="21"/>
              </w:rPr>
              <w:t>凹陷</w:t>
            </w:r>
            <w:r>
              <w:rPr>
                <w:sz w:val="21"/>
              </w:rPr>
              <w:t>疲劳损伤</w:t>
            </w:r>
          </w:p>
        </w:tc>
        <w:tc>
          <w:tcPr>
            <w:tcW w:w="4870" w:type="dxa"/>
          </w:tcPr>
          <w:p>
            <w:pPr>
              <w:spacing w:line="240" w:lineRule="auto"/>
              <w:ind w:firstLine="0" w:firstLineChars="0"/>
              <w:jc w:val="center"/>
              <w:rPr>
                <w:sz w:val="21"/>
              </w:rPr>
            </w:pPr>
            <w:r>
              <w:rPr>
                <w:rFonts w:hint="eastAsia"/>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tcBorders>
              <w:left w:val="nil"/>
            </w:tcBorders>
            <w:vAlign w:val="center"/>
          </w:tcPr>
          <w:p>
            <w:pPr>
              <w:spacing w:line="240" w:lineRule="auto"/>
              <w:ind w:firstLine="0" w:firstLineChars="0"/>
              <w:rPr>
                <w:sz w:val="21"/>
              </w:rPr>
            </w:pPr>
            <w:r>
              <w:rPr>
                <w:rFonts w:hint="eastAsia"/>
                <w:sz w:val="21"/>
              </w:rPr>
              <w:t>固有</w:t>
            </w:r>
            <w:r>
              <w:rPr>
                <w:sz w:val="21"/>
              </w:rPr>
              <w:t>因素</w:t>
            </w:r>
          </w:p>
        </w:tc>
        <w:tc>
          <w:tcPr>
            <w:tcW w:w="2977" w:type="dxa"/>
            <w:vAlign w:val="center"/>
          </w:tcPr>
          <w:p>
            <w:pPr>
              <w:spacing w:line="240" w:lineRule="auto"/>
              <w:ind w:firstLine="0" w:firstLineChars="0"/>
              <w:jc w:val="center"/>
              <w:rPr>
                <w:sz w:val="21"/>
              </w:rPr>
            </w:pPr>
            <w:r>
              <w:rPr>
                <w:rFonts w:hint="eastAsia"/>
                <w:sz w:val="21"/>
              </w:rPr>
              <w:t>与</w:t>
            </w:r>
            <w:r>
              <w:rPr>
                <w:sz w:val="21"/>
              </w:rPr>
              <w:t>制管</w:t>
            </w:r>
            <w:r>
              <w:rPr>
                <w:rFonts w:hint="eastAsia"/>
                <w:sz w:val="21"/>
              </w:rPr>
              <w:t>有关</w:t>
            </w:r>
            <w:r>
              <w:rPr>
                <w:sz w:val="21"/>
              </w:rPr>
              <w:t>的缺陷</w:t>
            </w:r>
          </w:p>
        </w:tc>
        <w:tc>
          <w:tcPr>
            <w:tcW w:w="4870" w:type="dxa"/>
          </w:tcPr>
          <w:p>
            <w:pPr>
              <w:spacing w:line="240" w:lineRule="auto"/>
              <w:ind w:firstLine="0" w:firstLineChars="0"/>
              <w:rPr>
                <w:sz w:val="21"/>
              </w:rPr>
            </w:pPr>
            <w:r>
              <w:rPr>
                <w:rFonts w:hint="eastAsia"/>
                <w:sz w:val="21"/>
              </w:rPr>
              <w:t>a)管体焊缝缺陷;</w:t>
            </w:r>
          </w:p>
          <w:p>
            <w:pPr>
              <w:spacing w:line="240" w:lineRule="auto"/>
              <w:ind w:firstLine="0" w:firstLineChars="0"/>
              <w:rPr>
                <w:sz w:val="21"/>
              </w:rPr>
            </w:pPr>
            <w:r>
              <w:rPr>
                <w:rFonts w:hint="eastAsia"/>
                <w:sz w:val="21"/>
              </w:rPr>
              <w:t>b)管体缺陷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nil"/>
            </w:tcBorders>
            <w:vAlign w:val="center"/>
          </w:tcPr>
          <w:p>
            <w:pPr>
              <w:spacing w:line="240" w:lineRule="auto"/>
              <w:ind w:firstLine="0" w:firstLineChars="0"/>
              <w:rPr>
                <w:sz w:val="21"/>
              </w:rPr>
            </w:pPr>
          </w:p>
        </w:tc>
        <w:tc>
          <w:tcPr>
            <w:tcW w:w="2977" w:type="dxa"/>
            <w:vAlign w:val="center"/>
          </w:tcPr>
          <w:p>
            <w:pPr>
              <w:spacing w:line="240" w:lineRule="auto"/>
              <w:ind w:firstLine="0" w:firstLineChars="0"/>
              <w:jc w:val="center"/>
              <w:rPr>
                <w:sz w:val="21"/>
              </w:rPr>
            </w:pPr>
            <w:r>
              <w:rPr>
                <w:rFonts w:hint="eastAsia"/>
                <w:sz w:val="21"/>
              </w:rPr>
              <w:t>与</w:t>
            </w:r>
            <w:r>
              <w:rPr>
                <w:sz w:val="21"/>
              </w:rPr>
              <w:t>焊接</w:t>
            </w:r>
            <w:r>
              <w:rPr>
                <w:rFonts w:hint="eastAsia"/>
                <w:sz w:val="21"/>
              </w:rPr>
              <w:t>/施工</w:t>
            </w:r>
            <w:r>
              <w:rPr>
                <w:sz w:val="21"/>
              </w:rPr>
              <w:t>有关的因素</w:t>
            </w:r>
          </w:p>
        </w:tc>
        <w:tc>
          <w:tcPr>
            <w:tcW w:w="4870" w:type="dxa"/>
          </w:tcPr>
          <w:p>
            <w:pPr>
              <w:spacing w:line="240" w:lineRule="auto"/>
              <w:ind w:firstLine="0" w:firstLineChars="0"/>
              <w:rPr>
                <w:sz w:val="21"/>
              </w:rPr>
            </w:pPr>
            <w:r>
              <w:rPr>
                <w:rFonts w:hint="eastAsia"/>
                <w:sz w:val="21"/>
              </w:rPr>
              <w:t>a)环焊缝缺陷，包括支管和T型接头焊缝；</w:t>
            </w:r>
          </w:p>
          <w:p>
            <w:pPr>
              <w:spacing w:line="240" w:lineRule="auto"/>
              <w:ind w:firstLine="0" w:firstLineChars="0"/>
              <w:rPr>
                <w:sz w:val="21"/>
              </w:rPr>
            </w:pPr>
            <w:r>
              <w:rPr>
                <w:rFonts w:hint="eastAsia"/>
                <w:sz w:val="21"/>
              </w:rPr>
              <w:t>b)制造焊缝缺陷；</w:t>
            </w:r>
          </w:p>
          <w:p>
            <w:pPr>
              <w:spacing w:line="240" w:lineRule="auto"/>
              <w:ind w:firstLine="0" w:firstLineChars="0"/>
              <w:rPr>
                <w:sz w:val="21"/>
              </w:rPr>
            </w:pPr>
            <w:r>
              <w:rPr>
                <w:rFonts w:hint="eastAsia"/>
                <w:sz w:val="21"/>
              </w:rPr>
              <w:t>c)褶皱弯管或屈曲；</w:t>
            </w:r>
          </w:p>
          <w:p>
            <w:pPr>
              <w:spacing w:line="240" w:lineRule="auto"/>
              <w:ind w:firstLine="0" w:firstLineChars="0"/>
              <w:rPr>
                <w:sz w:val="21"/>
              </w:rPr>
            </w:pPr>
            <w:r>
              <w:rPr>
                <w:rFonts w:hint="eastAsia"/>
                <w:sz w:val="21"/>
              </w:rPr>
              <w:t>d)螺纹磨损/管子破损/接头失效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tcBorders>
              <w:left w:val="nil"/>
            </w:tcBorders>
            <w:vAlign w:val="center"/>
          </w:tcPr>
          <w:p>
            <w:pPr>
              <w:spacing w:line="240" w:lineRule="auto"/>
              <w:ind w:firstLine="0" w:firstLineChars="0"/>
              <w:rPr>
                <w:sz w:val="21"/>
              </w:rPr>
            </w:pPr>
            <w:r>
              <w:rPr>
                <w:rFonts w:hint="eastAsia"/>
                <w:sz w:val="21"/>
              </w:rPr>
              <w:t>与</w:t>
            </w:r>
            <w:r>
              <w:rPr>
                <w:sz w:val="21"/>
              </w:rPr>
              <w:t>时间无关</w:t>
            </w:r>
          </w:p>
        </w:tc>
        <w:tc>
          <w:tcPr>
            <w:tcW w:w="2977" w:type="dxa"/>
            <w:vAlign w:val="center"/>
          </w:tcPr>
          <w:p>
            <w:pPr>
              <w:spacing w:line="240" w:lineRule="auto"/>
              <w:ind w:firstLine="0" w:firstLineChars="0"/>
              <w:jc w:val="center"/>
              <w:rPr>
                <w:sz w:val="21"/>
              </w:rPr>
            </w:pPr>
            <w:r>
              <w:rPr>
                <w:rFonts w:hint="eastAsia"/>
                <w:sz w:val="21"/>
              </w:rPr>
              <w:t>机械</w:t>
            </w:r>
            <w:r>
              <w:rPr>
                <w:sz w:val="21"/>
              </w:rPr>
              <w:t>损伤</w:t>
            </w:r>
          </w:p>
        </w:tc>
        <w:tc>
          <w:tcPr>
            <w:tcW w:w="4870" w:type="dxa"/>
          </w:tcPr>
          <w:p>
            <w:pPr>
              <w:spacing w:line="240" w:lineRule="auto"/>
              <w:ind w:firstLine="0" w:firstLineChars="0"/>
              <w:rPr>
                <w:sz w:val="21"/>
              </w:rPr>
            </w:pPr>
            <w:r>
              <w:rPr>
                <w:rFonts w:hint="eastAsia"/>
                <w:sz w:val="21"/>
              </w:rPr>
              <w:t>a)甲方、乙方或第三方造成的损坏(瞬间/立即失效)；</w:t>
            </w:r>
          </w:p>
          <w:p>
            <w:pPr>
              <w:spacing w:line="240" w:lineRule="auto"/>
              <w:ind w:firstLine="0" w:firstLineChars="0"/>
              <w:rPr>
                <w:sz w:val="21"/>
              </w:rPr>
            </w:pPr>
            <w:r>
              <w:rPr>
                <w:rFonts w:hint="eastAsia"/>
                <w:sz w:val="21"/>
              </w:rPr>
              <w:t>b)管子旧伤(如凹陷和/或划痕) (滞后性失效)；</w:t>
            </w:r>
          </w:p>
          <w:p>
            <w:pPr>
              <w:spacing w:line="240" w:lineRule="auto"/>
              <w:ind w:firstLine="0" w:firstLineChars="0"/>
              <w:rPr>
                <w:sz w:val="21"/>
              </w:rPr>
            </w:pPr>
            <w:r>
              <w:rPr>
                <w:rFonts w:hint="eastAsia"/>
                <w:sz w:val="21"/>
              </w:rPr>
              <w:t>c)故意破坏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nil"/>
            </w:tcBorders>
          </w:tcPr>
          <w:p>
            <w:pPr>
              <w:spacing w:line="240" w:lineRule="auto"/>
              <w:ind w:firstLine="0" w:firstLineChars="0"/>
              <w:rPr>
                <w:sz w:val="21"/>
              </w:rPr>
            </w:pPr>
          </w:p>
        </w:tc>
        <w:tc>
          <w:tcPr>
            <w:tcW w:w="2977" w:type="dxa"/>
            <w:vAlign w:val="center"/>
          </w:tcPr>
          <w:p>
            <w:pPr>
              <w:spacing w:line="240" w:lineRule="auto"/>
              <w:ind w:firstLine="0" w:firstLineChars="0"/>
              <w:jc w:val="center"/>
              <w:rPr>
                <w:sz w:val="21"/>
              </w:rPr>
            </w:pPr>
            <w:r>
              <w:rPr>
                <w:rFonts w:hint="eastAsia"/>
                <w:sz w:val="21"/>
              </w:rPr>
              <w:t>误操作</w:t>
            </w:r>
          </w:p>
        </w:tc>
        <w:tc>
          <w:tcPr>
            <w:tcW w:w="4870" w:type="dxa"/>
          </w:tcPr>
          <w:p>
            <w:pPr>
              <w:spacing w:line="240" w:lineRule="auto"/>
              <w:ind w:firstLine="0" w:firstLineChars="0"/>
              <w:jc w:val="center"/>
              <w:rPr>
                <w:sz w:val="21"/>
              </w:rPr>
            </w:pPr>
            <w:r>
              <w:rPr>
                <w:rFonts w:hint="eastAsia"/>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Borders>
              <w:left w:val="nil"/>
            </w:tcBorders>
          </w:tcPr>
          <w:p>
            <w:pPr>
              <w:spacing w:line="240" w:lineRule="auto"/>
              <w:ind w:firstLine="0" w:firstLineChars="0"/>
              <w:rPr>
                <w:sz w:val="21"/>
              </w:rPr>
            </w:pPr>
          </w:p>
        </w:tc>
        <w:tc>
          <w:tcPr>
            <w:tcW w:w="2977" w:type="dxa"/>
            <w:vAlign w:val="center"/>
          </w:tcPr>
          <w:p>
            <w:pPr>
              <w:spacing w:line="240" w:lineRule="auto"/>
              <w:ind w:firstLine="0" w:firstLineChars="0"/>
              <w:jc w:val="center"/>
              <w:rPr>
                <w:sz w:val="21"/>
              </w:rPr>
            </w:pPr>
            <w:r>
              <w:rPr>
                <w:rFonts w:hint="eastAsia"/>
                <w:sz w:val="21"/>
              </w:rPr>
              <w:t>自然</w:t>
            </w:r>
            <w:r>
              <w:rPr>
                <w:sz w:val="21"/>
              </w:rPr>
              <w:t>与地质灾害</w:t>
            </w:r>
          </w:p>
        </w:tc>
        <w:tc>
          <w:tcPr>
            <w:tcW w:w="4870" w:type="dxa"/>
          </w:tcPr>
          <w:p>
            <w:pPr>
              <w:spacing w:line="240" w:lineRule="auto"/>
              <w:ind w:firstLine="0" w:firstLineChars="0"/>
              <w:rPr>
                <w:sz w:val="21"/>
              </w:rPr>
            </w:pPr>
            <w:r>
              <w:rPr>
                <w:rFonts w:hint="eastAsia"/>
                <w:sz w:val="21"/>
              </w:rPr>
              <w:t>a)低温；</w:t>
            </w:r>
          </w:p>
          <w:p>
            <w:pPr>
              <w:spacing w:line="240" w:lineRule="auto"/>
              <w:ind w:firstLine="0" w:firstLineChars="0"/>
              <w:rPr>
                <w:sz w:val="21"/>
              </w:rPr>
            </w:pPr>
            <w:r>
              <w:rPr>
                <w:rFonts w:hint="eastAsia"/>
                <w:sz w:val="21"/>
              </w:rPr>
              <w:t>b)雷电；</w:t>
            </w:r>
          </w:p>
          <w:p>
            <w:pPr>
              <w:spacing w:line="240" w:lineRule="auto"/>
              <w:ind w:firstLine="0" w:firstLineChars="0"/>
              <w:rPr>
                <w:sz w:val="21"/>
              </w:rPr>
            </w:pPr>
            <w:r>
              <w:rPr>
                <w:rFonts w:hint="eastAsia"/>
                <w:sz w:val="21"/>
              </w:rPr>
              <w:t>c)暴雨或洪水；</w:t>
            </w:r>
          </w:p>
          <w:p>
            <w:pPr>
              <w:spacing w:line="240" w:lineRule="auto"/>
              <w:ind w:firstLine="0" w:firstLineChars="0"/>
              <w:rPr>
                <w:sz w:val="21"/>
              </w:rPr>
            </w:pPr>
            <w:r>
              <w:rPr>
                <w:rFonts w:hint="eastAsia"/>
                <w:sz w:val="21"/>
              </w:rPr>
              <w:t>d)土体移动</w:t>
            </w:r>
          </w:p>
        </w:tc>
      </w:tr>
    </w:tbl>
    <w:p>
      <w:pPr>
        <w:pStyle w:val="6"/>
      </w:pPr>
      <w:bookmarkStart w:id="300" w:name="_Toc69044760"/>
      <w:r>
        <w:rPr>
          <w:rFonts w:hint="eastAsia"/>
        </w:rPr>
        <w:t xml:space="preserve"> 同类</w:t>
      </w:r>
      <w:r>
        <w:t>事故调查</w:t>
      </w:r>
    </w:p>
    <w:p>
      <w:pPr>
        <w:pStyle w:val="53"/>
        <w:ind w:firstLine="318" w:firstLineChars="132"/>
        <w:rPr>
          <w:rFonts w:cs="Times New Roman"/>
        </w:rPr>
      </w:pPr>
      <w:r>
        <w:rPr>
          <w:rFonts w:hint="eastAsia" w:cs="Times New Roman"/>
        </w:rPr>
        <w:t>（1）</w:t>
      </w:r>
      <w:r>
        <w:rPr>
          <w:rFonts w:ascii="宋体" w:hAnsi="宋体" w:cs="Times New Roman"/>
        </w:rPr>
        <w:t>国外管道事故调查</w:t>
      </w:r>
    </w:p>
    <w:p>
      <w:pPr>
        <w:ind w:firstLine="480"/>
        <w:rPr>
          <w:rFonts w:cs="Times New Roman"/>
        </w:rPr>
      </w:pPr>
      <w:r>
        <w:rPr>
          <w:rFonts w:ascii="宋体" w:hAnsi="宋体"/>
        </w:rPr>
        <w:t>美国运输部对</w:t>
      </w:r>
      <w:r>
        <w:t>1970</w:t>
      </w:r>
      <w:r>
        <w:rPr>
          <w:rFonts w:ascii="宋体" w:hAnsi="宋体"/>
        </w:rPr>
        <w:t>年至</w:t>
      </w:r>
      <w:r>
        <w:t>1984</w:t>
      </w:r>
      <w:r>
        <w:rPr>
          <w:rFonts w:ascii="宋体" w:hAnsi="宋体"/>
        </w:rPr>
        <w:t>年天然气管道事故原因统计和欧洲主要输气公司对</w:t>
      </w:r>
      <w:r>
        <w:t>1970</w:t>
      </w:r>
      <w:r>
        <w:rPr>
          <w:rFonts w:ascii="宋体" w:hAnsi="宋体"/>
        </w:rPr>
        <w:t>年至</w:t>
      </w:r>
      <w:r>
        <w:t>1992</w:t>
      </w:r>
      <w:r>
        <w:rPr>
          <w:rFonts w:ascii="宋体" w:hAnsi="宋体"/>
        </w:rPr>
        <w:t>年输气管道事故原因统计于下表。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8.6</w:t>
      </w:r>
      <w:r>
        <w:rPr>
          <w:rFonts w:cs="Times New Roman"/>
        </w:rPr>
        <w:fldChar w:fldCharType="end"/>
      </w:r>
      <w:r>
        <w:rPr>
          <w:rFonts w:cs="Times New Roman"/>
        </w:rPr>
        <w:noBreakHyphen/>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rPr>
        <w:t xml:space="preserve">  </w:t>
      </w:r>
      <w:r>
        <w:rPr>
          <w:rFonts w:ascii="楷体" w:hAnsi="楷体" w:cs="Times New Roman"/>
        </w:rPr>
        <w:t>国外天然气管道事故统计结果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1"/>
        <w:gridCol w:w="1416"/>
        <w:gridCol w:w="1561"/>
        <w:gridCol w:w="1503"/>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61" w:type="pct"/>
            <w:vMerge w:val="restart"/>
            <w:tcBorders>
              <w:top w:val="single" w:color="auto" w:sz="12" w:space="0"/>
              <w:left w:val="nil"/>
              <w:bottom w:val="single" w:color="auto" w:sz="4" w:space="0"/>
              <w:right w:val="single" w:color="auto" w:sz="4" w:space="0"/>
            </w:tcBorders>
            <w:vAlign w:val="center"/>
          </w:tcPr>
          <w:p>
            <w:pPr>
              <w:pStyle w:val="63"/>
              <w:rPr>
                <w:rFonts w:cs="Times New Roman"/>
                <w:b/>
                <w:bCs/>
              </w:rPr>
            </w:pPr>
            <w:r>
              <w:rPr>
                <w:rFonts w:ascii="宋体" w:hAnsi="宋体"/>
                <w:b/>
                <w:bCs/>
              </w:rPr>
              <w:t>事故原因</w:t>
            </w:r>
          </w:p>
        </w:tc>
        <w:tc>
          <w:tcPr>
            <w:tcW w:w="1747" w:type="pct"/>
            <w:gridSpan w:val="2"/>
            <w:tcBorders>
              <w:top w:val="single" w:color="auto" w:sz="12" w:space="0"/>
              <w:left w:val="nil"/>
              <w:bottom w:val="single" w:color="auto" w:sz="4" w:space="0"/>
              <w:right w:val="single" w:color="auto" w:sz="4" w:space="0"/>
            </w:tcBorders>
            <w:vAlign w:val="center"/>
          </w:tcPr>
          <w:p>
            <w:pPr>
              <w:pStyle w:val="63"/>
              <w:rPr>
                <w:b/>
                <w:bCs/>
              </w:rPr>
            </w:pPr>
            <w:r>
              <w:rPr>
                <w:rFonts w:ascii="宋体" w:hAnsi="宋体"/>
                <w:b/>
                <w:bCs/>
              </w:rPr>
              <w:t>美国天然气管道事故</w:t>
            </w:r>
          </w:p>
        </w:tc>
        <w:tc>
          <w:tcPr>
            <w:tcW w:w="1693" w:type="pct"/>
            <w:gridSpan w:val="2"/>
            <w:tcBorders>
              <w:top w:val="single" w:color="auto" w:sz="12" w:space="0"/>
              <w:left w:val="nil"/>
              <w:bottom w:val="single" w:color="auto" w:sz="4" w:space="0"/>
              <w:right w:val="nil"/>
            </w:tcBorders>
            <w:vAlign w:val="center"/>
          </w:tcPr>
          <w:p>
            <w:pPr>
              <w:pStyle w:val="63"/>
              <w:rPr>
                <w:b/>
                <w:bCs/>
              </w:rPr>
            </w:pPr>
            <w:r>
              <w:rPr>
                <w:rFonts w:ascii="宋体" w:hAnsi="宋体"/>
                <w:b/>
                <w:bCs/>
              </w:rPr>
              <w:t>欧洲天然气管道事故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12" w:space="0"/>
              <w:left w:val="nil"/>
              <w:bottom w:val="single" w:color="auto" w:sz="4" w:space="0"/>
              <w:right w:val="single" w:color="auto" w:sz="4" w:space="0"/>
            </w:tcBorders>
            <w:vAlign w:val="center"/>
          </w:tcPr>
          <w:p>
            <w:pPr>
              <w:widowControl/>
              <w:spacing w:line="240" w:lineRule="auto"/>
              <w:ind w:firstLine="0" w:firstLineChars="0"/>
              <w:jc w:val="left"/>
              <w:rPr>
                <w:b/>
                <w:bCs/>
                <w:sz w:val="21"/>
              </w:rPr>
            </w:pPr>
          </w:p>
        </w:tc>
        <w:tc>
          <w:tcPr>
            <w:tcW w:w="831" w:type="pct"/>
            <w:tcBorders>
              <w:top w:val="single" w:color="auto" w:sz="4" w:space="0"/>
              <w:left w:val="nil"/>
              <w:bottom w:val="single" w:color="auto" w:sz="4" w:space="0"/>
              <w:right w:val="single" w:color="auto" w:sz="4" w:space="0"/>
            </w:tcBorders>
            <w:vAlign w:val="center"/>
          </w:tcPr>
          <w:p>
            <w:pPr>
              <w:pStyle w:val="63"/>
              <w:rPr>
                <w:b/>
                <w:bCs/>
              </w:rPr>
            </w:pPr>
            <w:r>
              <w:rPr>
                <w:rFonts w:ascii="宋体" w:hAnsi="宋体"/>
                <w:b/>
                <w:bCs/>
              </w:rPr>
              <w:t>次数</w:t>
            </w:r>
          </w:p>
        </w:tc>
        <w:tc>
          <w:tcPr>
            <w:tcW w:w="916" w:type="pct"/>
            <w:tcBorders>
              <w:top w:val="single" w:color="auto" w:sz="4" w:space="0"/>
              <w:left w:val="nil"/>
              <w:bottom w:val="single" w:color="auto" w:sz="4" w:space="0"/>
              <w:right w:val="single" w:color="auto" w:sz="4" w:space="0"/>
            </w:tcBorders>
            <w:vAlign w:val="center"/>
          </w:tcPr>
          <w:p>
            <w:pPr>
              <w:pStyle w:val="63"/>
              <w:rPr>
                <w:b/>
                <w:bCs/>
              </w:rPr>
            </w:pPr>
            <w:r>
              <w:rPr>
                <w:rFonts w:ascii="宋体" w:hAnsi="宋体"/>
                <w:b/>
                <w:bCs/>
              </w:rPr>
              <w:t>百分比</w:t>
            </w:r>
            <w:r>
              <w:rPr>
                <w:b/>
                <w:bCs/>
              </w:rPr>
              <w:t>%</w:t>
            </w:r>
          </w:p>
        </w:tc>
        <w:tc>
          <w:tcPr>
            <w:tcW w:w="882" w:type="pct"/>
            <w:tcBorders>
              <w:top w:val="single" w:color="auto" w:sz="4" w:space="0"/>
              <w:left w:val="nil"/>
              <w:bottom w:val="single" w:color="auto" w:sz="4" w:space="0"/>
              <w:right w:val="single" w:color="auto" w:sz="4" w:space="0"/>
            </w:tcBorders>
            <w:vAlign w:val="center"/>
          </w:tcPr>
          <w:p>
            <w:pPr>
              <w:pStyle w:val="63"/>
              <w:rPr>
                <w:b/>
                <w:bCs/>
              </w:rPr>
            </w:pPr>
            <w:r>
              <w:rPr>
                <w:rFonts w:ascii="宋体" w:hAnsi="宋体"/>
                <w:b/>
                <w:bCs/>
              </w:rPr>
              <w:t>次数</w:t>
            </w:r>
          </w:p>
        </w:tc>
        <w:tc>
          <w:tcPr>
            <w:tcW w:w="810" w:type="pct"/>
            <w:tcBorders>
              <w:top w:val="single" w:color="auto" w:sz="4" w:space="0"/>
              <w:left w:val="nil"/>
              <w:bottom w:val="single" w:color="auto" w:sz="4" w:space="0"/>
              <w:right w:val="nil"/>
            </w:tcBorders>
            <w:vAlign w:val="center"/>
          </w:tcPr>
          <w:p>
            <w:pPr>
              <w:pStyle w:val="63"/>
              <w:rPr>
                <w:b/>
                <w:bCs/>
              </w:rPr>
            </w:pPr>
            <w:r>
              <w:rPr>
                <w:rFonts w:ascii="宋体" w:hAnsi="宋体"/>
                <w:b/>
                <w:bCs/>
              </w:rPr>
              <w:t>百分比</w:t>
            </w: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61" w:type="pct"/>
            <w:tcBorders>
              <w:top w:val="single" w:color="auto" w:sz="4" w:space="0"/>
              <w:left w:val="nil"/>
              <w:bottom w:val="single" w:color="auto" w:sz="4" w:space="0"/>
              <w:right w:val="single" w:color="auto" w:sz="4" w:space="0"/>
            </w:tcBorders>
            <w:vAlign w:val="center"/>
          </w:tcPr>
          <w:p>
            <w:pPr>
              <w:pStyle w:val="63"/>
            </w:pPr>
            <w:r>
              <w:rPr>
                <w:rFonts w:ascii="宋体" w:hAnsi="宋体"/>
              </w:rPr>
              <w:t>外部影响</w:t>
            </w:r>
          </w:p>
        </w:tc>
        <w:tc>
          <w:tcPr>
            <w:tcW w:w="831" w:type="pct"/>
            <w:tcBorders>
              <w:top w:val="single" w:color="auto" w:sz="4" w:space="0"/>
              <w:left w:val="nil"/>
              <w:bottom w:val="single" w:color="auto" w:sz="4" w:space="0"/>
              <w:right w:val="single" w:color="auto" w:sz="4" w:space="0"/>
            </w:tcBorders>
            <w:vAlign w:val="center"/>
          </w:tcPr>
          <w:p>
            <w:pPr>
              <w:pStyle w:val="63"/>
            </w:pPr>
            <w:r>
              <w:t>3144</w:t>
            </w:r>
          </w:p>
        </w:tc>
        <w:tc>
          <w:tcPr>
            <w:tcW w:w="916" w:type="pct"/>
            <w:tcBorders>
              <w:top w:val="single" w:color="auto" w:sz="4" w:space="0"/>
              <w:left w:val="nil"/>
              <w:bottom w:val="single" w:color="auto" w:sz="4" w:space="0"/>
              <w:right w:val="single" w:color="auto" w:sz="4" w:space="0"/>
            </w:tcBorders>
            <w:vAlign w:val="center"/>
          </w:tcPr>
          <w:p>
            <w:pPr>
              <w:pStyle w:val="63"/>
            </w:pPr>
            <w:r>
              <w:t>53.5</w:t>
            </w:r>
          </w:p>
        </w:tc>
        <w:tc>
          <w:tcPr>
            <w:tcW w:w="882" w:type="pct"/>
            <w:tcBorders>
              <w:top w:val="single" w:color="auto" w:sz="4" w:space="0"/>
              <w:left w:val="nil"/>
              <w:bottom w:val="single" w:color="auto" w:sz="4" w:space="0"/>
              <w:right w:val="single" w:color="auto" w:sz="4" w:space="0"/>
            </w:tcBorders>
            <w:vAlign w:val="center"/>
          </w:tcPr>
          <w:p>
            <w:pPr>
              <w:pStyle w:val="63"/>
            </w:pPr>
            <w:r>
              <w:t>485</w:t>
            </w:r>
          </w:p>
        </w:tc>
        <w:tc>
          <w:tcPr>
            <w:tcW w:w="810" w:type="pct"/>
            <w:tcBorders>
              <w:top w:val="single" w:color="auto" w:sz="4" w:space="0"/>
              <w:left w:val="nil"/>
              <w:bottom w:val="single" w:color="auto" w:sz="4" w:space="0"/>
              <w:right w:val="nil"/>
            </w:tcBorders>
            <w:vAlign w:val="center"/>
          </w:tcPr>
          <w:p>
            <w:pPr>
              <w:pStyle w:val="63"/>
            </w:pPr>
            <w: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61" w:type="pct"/>
            <w:tcBorders>
              <w:top w:val="single" w:color="auto" w:sz="4" w:space="0"/>
              <w:left w:val="nil"/>
              <w:bottom w:val="single" w:color="auto" w:sz="4" w:space="0"/>
              <w:right w:val="single" w:color="auto" w:sz="4" w:space="0"/>
            </w:tcBorders>
            <w:vAlign w:val="center"/>
          </w:tcPr>
          <w:p>
            <w:pPr>
              <w:pStyle w:val="63"/>
            </w:pPr>
            <w:r>
              <w:rPr>
                <w:rFonts w:ascii="宋体" w:hAnsi="宋体"/>
              </w:rPr>
              <w:t>施工缺陷及材料失效</w:t>
            </w:r>
          </w:p>
        </w:tc>
        <w:tc>
          <w:tcPr>
            <w:tcW w:w="831" w:type="pct"/>
            <w:tcBorders>
              <w:top w:val="single" w:color="auto" w:sz="4" w:space="0"/>
              <w:left w:val="nil"/>
              <w:bottom w:val="single" w:color="auto" w:sz="4" w:space="0"/>
              <w:right w:val="single" w:color="auto" w:sz="4" w:space="0"/>
            </w:tcBorders>
            <w:vAlign w:val="center"/>
          </w:tcPr>
          <w:p>
            <w:pPr>
              <w:pStyle w:val="63"/>
            </w:pPr>
            <w:r>
              <w:t>1184</w:t>
            </w:r>
          </w:p>
        </w:tc>
        <w:tc>
          <w:tcPr>
            <w:tcW w:w="916" w:type="pct"/>
            <w:tcBorders>
              <w:top w:val="single" w:color="auto" w:sz="4" w:space="0"/>
              <w:left w:val="nil"/>
              <w:bottom w:val="single" w:color="auto" w:sz="4" w:space="0"/>
              <w:right w:val="single" w:color="auto" w:sz="4" w:space="0"/>
            </w:tcBorders>
            <w:vAlign w:val="center"/>
          </w:tcPr>
          <w:p>
            <w:pPr>
              <w:pStyle w:val="63"/>
            </w:pPr>
            <w:r>
              <w:t>21.7</w:t>
            </w:r>
          </w:p>
        </w:tc>
        <w:tc>
          <w:tcPr>
            <w:tcW w:w="882" w:type="pct"/>
            <w:tcBorders>
              <w:top w:val="single" w:color="auto" w:sz="4" w:space="0"/>
              <w:left w:val="nil"/>
              <w:bottom w:val="single" w:color="auto" w:sz="4" w:space="0"/>
              <w:right w:val="single" w:color="auto" w:sz="4" w:space="0"/>
            </w:tcBorders>
            <w:vAlign w:val="center"/>
          </w:tcPr>
          <w:p>
            <w:pPr>
              <w:pStyle w:val="63"/>
            </w:pPr>
            <w:r>
              <w:t>162</w:t>
            </w:r>
          </w:p>
        </w:tc>
        <w:tc>
          <w:tcPr>
            <w:tcW w:w="810" w:type="pct"/>
            <w:tcBorders>
              <w:top w:val="single" w:color="auto" w:sz="4" w:space="0"/>
              <w:left w:val="nil"/>
              <w:bottom w:val="single" w:color="auto" w:sz="4" w:space="0"/>
              <w:right w:val="nil"/>
            </w:tcBorders>
            <w:vAlign w:val="center"/>
          </w:tcPr>
          <w:p>
            <w:pPr>
              <w:pStyle w:val="63"/>
            </w:pPr>
            <w: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61" w:type="pct"/>
            <w:tcBorders>
              <w:top w:val="single" w:color="auto" w:sz="4" w:space="0"/>
              <w:left w:val="nil"/>
              <w:bottom w:val="single" w:color="auto" w:sz="4" w:space="0"/>
              <w:right w:val="single" w:color="auto" w:sz="4" w:space="0"/>
            </w:tcBorders>
            <w:vAlign w:val="center"/>
          </w:tcPr>
          <w:p>
            <w:pPr>
              <w:pStyle w:val="63"/>
            </w:pPr>
            <w:r>
              <w:rPr>
                <w:rFonts w:ascii="宋体" w:hAnsi="宋体"/>
              </w:rPr>
              <w:t>腐蚀</w:t>
            </w:r>
          </w:p>
        </w:tc>
        <w:tc>
          <w:tcPr>
            <w:tcW w:w="831" w:type="pct"/>
            <w:tcBorders>
              <w:top w:val="single" w:color="auto" w:sz="4" w:space="0"/>
              <w:left w:val="nil"/>
              <w:bottom w:val="single" w:color="auto" w:sz="4" w:space="0"/>
              <w:right w:val="single" w:color="auto" w:sz="4" w:space="0"/>
            </w:tcBorders>
            <w:vAlign w:val="center"/>
          </w:tcPr>
          <w:p>
            <w:pPr>
              <w:pStyle w:val="63"/>
            </w:pPr>
            <w:r>
              <w:t>972</w:t>
            </w:r>
          </w:p>
        </w:tc>
        <w:tc>
          <w:tcPr>
            <w:tcW w:w="916" w:type="pct"/>
            <w:tcBorders>
              <w:top w:val="single" w:color="auto" w:sz="4" w:space="0"/>
              <w:left w:val="nil"/>
              <w:bottom w:val="single" w:color="auto" w:sz="4" w:space="0"/>
              <w:right w:val="single" w:color="auto" w:sz="4" w:space="0"/>
            </w:tcBorders>
            <w:vAlign w:val="center"/>
          </w:tcPr>
          <w:p>
            <w:pPr>
              <w:pStyle w:val="63"/>
            </w:pPr>
            <w:r>
              <w:t>16.6</w:t>
            </w:r>
          </w:p>
        </w:tc>
        <w:tc>
          <w:tcPr>
            <w:tcW w:w="882" w:type="pct"/>
            <w:tcBorders>
              <w:top w:val="single" w:color="auto" w:sz="4" w:space="0"/>
              <w:left w:val="nil"/>
              <w:bottom w:val="single" w:color="auto" w:sz="4" w:space="0"/>
              <w:right w:val="single" w:color="auto" w:sz="4" w:space="0"/>
            </w:tcBorders>
            <w:vAlign w:val="center"/>
          </w:tcPr>
          <w:p>
            <w:pPr>
              <w:pStyle w:val="63"/>
            </w:pPr>
            <w:r>
              <w:t>117</w:t>
            </w:r>
          </w:p>
        </w:tc>
        <w:tc>
          <w:tcPr>
            <w:tcW w:w="810" w:type="pct"/>
            <w:tcBorders>
              <w:top w:val="single" w:color="auto" w:sz="4" w:space="0"/>
              <w:left w:val="nil"/>
              <w:bottom w:val="single" w:color="auto" w:sz="4" w:space="0"/>
              <w:right w:val="nil"/>
            </w:tcBorders>
            <w:vAlign w:val="center"/>
          </w:tcPr>
          <w:p>
            <w:pPr>
              <w:pStyle w:val="63"/>
            </w:pPr>
            <w: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61" w:type="pct"/>
            <w:tcBorders>
              <w:top w:val="single" w:color="auto" w:sz="4" w:space="0"/>
              <w:left w:val="nil"/>
              <w:bottom w:val="single" w:color="auto" w:sz="4" w:space="0"/>
              <w:right w:val="single" w:color="auto" w:sz="4" w:space="0"/>
            </w:tcBorders>
            <w:vAlign w:val="center"/>
          </w:tcPr>
          <w:p>
            <w:pPr>
              <w:pStyle w:val="63"/>
            </w:pPr>
            <w:r>
              <w:rPr>
                <w:rFonts w:ascii="宋体" w:hAnsi="宋体"/>
              </w:rPr>
              <w:t>其他</w:t>
            </w:r>
          </w:p>
        </w:tc>
        <w:tc>
          <w:tcPr>
            <w:tcW w:w="831" w:type="pct"/>
            <w:tcBorders>
              <w:top w:val="single" w:color="auto" w:sz="4" w:space="0"/>
              <w:left w:val="nil"/>
              <w:bottom w:val="single" w:color="auto" w:sz="4" w:space="0"/>
              <w:right w:val="single" w:color="auto" w:sz="4" w:space="0"/>
            </w:tcBorders>
            <w:vAlign w:val="center"/>
          </w:tcPr>
          <w:p>
            <w:pPr>
              <w:pStyle w:val="63"/>
            </w:pPr>
            <w:r>
              <w:t>482</w:t>
            </w:r>
          </w:p>
        </w:tc>
        <w:tc>
          <w:tcPr>
            <w:tcW w:w="916" w:type="pct"/>
            <w:tcBorders>
              <w:top w:val="single" w:color="auto" w:sz="4" w:space="0"/>
              <w:left w:val="nil"/>
              <w:bottom w:val="single" w:color="auto" w:sz="4" w:space="0"/>
              <w:right w:val="single" w:color="auto" w:sz="4" w:space="0"/>
            </w:tcBorders>
            <w:vAlign w:val="center"/>
          </w:tcPr>
          <w:p>
            <w:pPr>
              <w:pStyle w:val="63"/>
            </w:pPr>
            <w:r>
              <w:t>8.2</w:t>
            </w:r>
          </w:p>
        </w:tc>
        <w:tc>
          <w:tcPr>
            <w:tcW w:w="882" w:type="pct"/>
            <w:tcBorders>
              <w:top w:val="single" w:color="auto" w:sz="4" w:space="0"/>
              <w:left w:val="nil"/>
              <w:bottom w:val="single" w:color="auto" w:sz="4" w:space="0"/>
              <w:right w:val="single" w:color="auto" w:sz="4" w:space="0"/>
            </w:tcBorders>
            <w:vAlign w:val="center"/>
          </w:tcPr>
          <w:p>
            <w:pPr>
              <w:pStyle w:val="63"/>
            </w:pPr>
            <w:r>
              <w:t>66</w:t>
            </w:r>
          </w:p>
        </w:tc>
        <w:tc>
          <w:tcPr>
            <w:tcW w:w="810" w:type="pct"/>
            <w:tcBorders>
              <w:top w:val="single" w:color="auto" w:sz="4" w:space="0"/>
              <w:left w:val="nil"/>
              <w:bottom w:val="single" w:color="auto" w:sz="4" w:space="0"/>
              <w:right w:val="nil"/>
            </w:tcBorders>
            <w:vAlign w:val="center"/>
          </w:tcPr>
          <w:p>
            <w:pPr>
              <w:pStyle w:val="63"/>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61" w:type="pct"/>
            <w:tcBorders>
              <w:top w:val="single" w:color="auto" w:sz="4" w:space="0"/>
              <w:left w:val="nil"/>
              <w:bottom w:val="single" w:color="auto" w:sz="12" w:space="0"/>
              <w:right w:val="single" w:color="auto" w:sz="4" w:space="0"/>
            </w:tcBorders>
            <w:vAlign w:val="center"/>
          </w:tcPr>
          <w:p>
            <w:pPr>
              <w:pStyle w:val="63"/>
            </w:pPr>
            <w:r>
              <w:rPr>
                <w:rFonts w:ascii="宋体" w:hAnsi="宋体"/>
              </w:rPr>
              <w:t>合计</w:t>
            </w:r>
          </w:p>
        </w:tc>
        <w:tc>
          <w:tcPr>
            <w:tcW w:w="831" w:type="pct"/>
            <w:tcBorders>
              <w:top w:val="single" w:color="auto" w:sz="4" w:space="0"/>
              <w:left w:val="nil"/>
              <w:bottom w:val="single" w:color="auto" w:sz="12" w:space="0"/>
              <w:right w:val="single" w:color="auto" w:sz="4" w:space="0"/>
            </w:tcBorders>
            <w:vAlign w:val="center"/>
          </w:tcPr>
          <w:p>
            <w:pPr>
              <w:pStyle w:val="63"/>
            </w:pPr>
            <w:r>
              <w:t>5872</w:t>
            </w:r>
          </w:p>
        </w:tc>
        <w:tc>
          <w:tcPr>
            <w:tcW w:w="916" w:type="pct"/>
            <w:tcBorders>
              <w:top w:val="single" w:color="auto" w:sz="4" w:space="0"/>
              <w:left w:val="nil"/>
              <w:bottom w:val="single" w:color="auto" w:sz="12" w:space="0"/>
              <w:right w:val="single" w:color="auto" w:sz="4" w:space="0"/>
            </w:tcBorders>
            <w:vAlign w:val="center"/>
          </w:tcPr>
          <w:p>
            <w:pPr>
              <w:pStyle w:val="63"/>
            </w:pPr>
            <w:r>
              <w:t>100</w:t>
            </w:r>
          </w:p>
        </w:tc>
        <w:tc>
          <w:tcPr>
            <w:tcW w:w="882" w:type="pct"/>
            <w:tcBorders>
              <w:top w:val="single" w:color="auto" w:sz="4" w:space="0"/>
              <w:left w:val="nil"/>
              <w:bottom w:val="single" w:color="auto" w:sz="12" w:space="0"/>
              <w:right w:val="single" w:color="auto" w:sz="4" w:space="0"/>
            </w:tcBorders>
            <w:vAlign w:val="center"/>
          </w:tcPr>
          <w:p>
            <w:pPr>
              <w:pStyle w:val="63"/>
            </w:pPr>
            <w:r>
              <w:t>830</w:t>
            </w:r>
          </w:p>
        </w:tc>
        <w:tc>
          <w:tcPr>
            <w:tcW w:w="810" w:type="pct"/>
            <w:tcBorders>
              <w:top w:val="single" w:color="auto" w:sz="4" w:space="0"/>
              <w:left w:val="nil"/>
              <w:bottom w:val="single" w:color="auto" w:sz="12" w:space="0"/>
              <w:right w:val="nil"/>
            </w:tcBorders>
            <w:vAlign w:val="center"/>
          </w:tcPr>
          <w:p>
            <w:pPr>
              <w:pStyle w:val="63"/>
            </w:pPr>
            <w:r>
              <w:t>100</w:t>
            </w:r>
          </w:p>
        </w:tc>
      </w:tr>
    </w:tbl>
    <w:p>
      <w:pPr>
        <w:ind w:firstLine="480"/>
        <w:rPr>
          <w:rFonts w:cs="Times New Roman"/>
        </w:rPr>
      </w:pPr>
      <w:r>
        <w:rPr>
          <w:rFonts w:ascii="宋体" w:hAnsi="宋体"/>
        </w:rPr>
        <w:t>从表中统计结果可以看出，在美国和欧洲输气管道发生事故的主要原因是外部影响，占事故总数百分比的</w:t>
      </w:r>
      <w:r>
        <w:t>50%</w:t>
      </w:r>
      <w:r>
        <w:rPr>
          <w:rFonts w:ascii="宋体" w:hAnsi="宋体"/>
        </w:rPr>
        <w:t>以上，其次是材料失效和腐蚀，这三项占输气管道事故原因的</w:t>
      </w:r>
      <w:r>
        <w:t>90%</w:t>
      </w:r>
      <w:r>
        <w:rPr>
          <w:rFonts w:ascii="宋体" w:hAnsi="宋体"/>
        </w:rPr>
        <w:t>以上。根据统计资料，外部影响的事故人为因素较高，由外部人员和管道操作者导致事故占外部影响的</w:t>
      </w:r>
      <w:r>
        <w:t>80%</w:t>
      </w:r>
      <w:r>
        <w:rPr>
          <w:rFonts w:ascii="宋体" w:hAnsi="宋体"/>
        </w:rPr>
        <w:t>以上，由自然因素如地震、洪水滑坡等造成的事故只占</w:t>
      </w:r>
      <w:r>
        <w:t>20%</w:t>
      </w:r>
      <w:r>
        <w:rPr>
          <w:rFonts w:ascii="宋体" w:hAnsi="宋体"/>
        </w:rPr>
        <w:t>以下。另外，腐蚀也是管道泄漏的主要原因之一。</w:t>
      </w:r>
    </w:p>
    <w:p>
      <w:pPr>
        <w:ind w:firstLine="480"/>
      </w:pPr>
      <w:r>
        <w:rPr>
          <w:rFonts w:ascii="宋体" w:hAnsi="宋体"/>
        </w:rPr>
        <w:t>据欧洲天然气管道事故资料小组的报告，事故按泄漏尺寸分为三类：针孔</w:t>
      </w:r>
      <w:r>
        <w:t>/</w:t>
      </w:r>
      <w:r>
        <w:rPr>
          <w:rFonts w:ascii="宋体" w:hAnsi="宋体"/>
        </w:rPr>
        <w:t>裂纹（损坏处的直径</w:t>
      </w:r>
      <w:r>
        <w:t>≤20mm</w:t>
      </w:r>
      <w:r>
        <w:rPr>
          <w:rFonts w:ascii="宋体" w:hAnsi="宋体"/>
        </w:rPr>
        <w:t>）、穿孔（损坏处的直径</w:t>
      </w:r>
      <w:r>
        <w:t>&gt;20mm</w:t>
      </w:r>
      <w:r>
        <w:rPr>
          <w:rFonts w:ascii="宋体" w:hAnsi="宋体"/>
        </w:rPr>
        <w:t>，但小于管道的半径）、断裂（损坏处的直径</w:t>
      </w:r>
      <w:r>
        <w:t>&gt;</w:t>
      </w:r>
      <w:r>
        <w:rPr>
          <w:rFonts w:ascii="宋体" w:hAnsi="宋体"/>
        </w:rPr>
        <w:t>管道的半径）。</w:t>
      </w:r>
      <w:r>
        <w:rPr>
          <w:rFonts w:hint="eastAsia" w:ascii="宋体" w:hAnsi="宋体"/>
        </w:rPr>
        <w:t>下表</w:t>
      </w:r>
      <w:r>
        <w:rPr>
          <w:rFonts w:ascii="宋体" w:hAnsi="宋体"/>
        </w:rPr>
        <w:t>中统计出了各种事故的发生频率。</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8.6</w:t>
      </w:r>
      <w:r>
        <w:rPr>
          <w:rFonts w:cs="Times New Roman"/>
        </w:rPr>
        <w:fldChar w:fldCharType="end"/>
      </w:r>
      <w:r>
        <w:rPr>
          <w:rFonts w:cs="Times New Roman"/>
        </w:rPr>
        <w:noBreakHyphen/>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3</w:t>
      </w:r>
      <w:r>
        <w:rPr>
          <w:rFonts w:cs="Times New Roman"/>
        </w:rPr>
        <w:fldChar w:fldCharType="end"/>
      </w:r>
      <w:r>
        <w:rPr>
          <w:rFonts w:cs="Times New Roman"/>
        </w:rPr>
        <w:t xml:space="preserve"> </w:t>
      </w:r>
      <w:r>
        <w:rPr>
          <w:rFonts w:ascii="楷体" w:hAnsi="楷体" w:cs="Times New Roman"/>
        </w:rPr>
        <w:t>欧洲输气管道事故频率</w:t>
      </w:r>
      <w:r>
        <w:rPr>
          <w:rFonts w:cs="Times New Roman"/>
        </w:rPr>
        <w:t>10</w:t>
      </w:r>
      <w:r>
        <w:rPr>
          <w:rFonts w:cs="Times New Roman"/>
          <w:vertAlign w:val="superscript"/>
        </w:rPr>
        <w:t>-3</w:t>
      </w:r>
      <w:r>
        <w:rPr>
          <w:rFonts w:cs="Times New Roman"/>
        </w:rPr>
        <w:t>/km·a</w:t>
      </w:r>
    </w:p>
    <w:tbl>
      <w:tblPr>
        <w:tblStyle w:val="35"/>
        <w:tblW w:w="0" w:type="auto"/>
        <w:jc w:val="center"/>
        <w:tblLayout w:type="autofit"/>
        <w:tblCellMar>
          <w:top w:w="0" w:type="dxa"/>
          <w:left w:w="108" w:type="dxa"/>
          <w:bottom w:w="0" w:type="dxa"/>
          <w:right w:w="108" w:type="dxa"/>
        </w:tblCellMar>
      </w:tblPr>
      <w:tblGrid>
        <w:gridCol w:w="2811"/>
        <w:gridCol w:w="1806"/>
        <w:gridCol w:w="1806"/>
        <w:gridCol w:w="1806"/>
      </w:tblGrid>
      <w:tr>
        <w:tblPrEx>
          <w:tblCellMar>
            <w:top w:w="0" w:type="dxa"/>
            <w:left w:w="108" w:type="dxa"/>
            <w:bottom w:w="0" w:type="dxa"/>
            <w:right w:w="108" w:type="dxa"/>
          </w:tblCellMar>
        </w:tblPrEx>
        <w:trPr>
          <w:tblHeader/>
          <w:jc w:val="center"/>
        </w:trPr>
        <w:tc>
          <w:tcPr>
            <w:tcW w:w="2811" w:type="dxa"/>
            <w:tcBorders>
              <w:top w:val="single" w:color="auto" w:sz="12" w:space="0"/>
              <w:left w:val="nil"/>
              <w:bottom w:val="single" w:color="auto" w:sz="4" w:space="0"/>
              <w:right w:val="single" w:color="auto" w:sz="4" w:space="0"/>
            </w:tcBorders>
            <w:vAlign w:val="center"/>
          </w:tcPr>
          <w:p>
            <w:pPr>
              <w:pStyle w:val="63"/>
              <w:rPr>
                <w:rFonts w:cs="Times New Roman"/>
                <w:b/>
                <w:bCs/>
              </w:rPr>
            </w:pPr>
            <w:r>
              <w:rPr>
                <w:rFonts w:ascii="宋体" w:hAnsi="宋体"/>
                <w:b/>
                <w:bCs/>
              </w:rPr>
              <w:t>事故原因</w:t>
            </w:r>
          </w:p>
        </w:tc>
        <w:tc>
          <w:tcPr>
            <w:tcW w:w="1806" w:type="dxa"/>
            <w:tcBorders>
              <w:top w:val="single" w:color="auto" w:sz="12" w:space="0"/>
              <w:left w:val="nil"/>
              <w:bottom w:val="single" w:color="auto" w:sz="4" w:space="0"/>
              <w:right w:val="single" w:color="auto" w:sz="4" w:space="0"/>
            </w:tcBorders>
            <w:vAlign w:val="center"/>
          </w:tcPr>
          <w:p>
            <w:pPr>
              <w:pStyle w:val="63"/>
              <w:rPr>
                <w:b/>
                <w:bCs/>
              </w:rPr>
            </w:pPr>
            <w:r>
              <w:rPr>
                <w:rFonts w:ascii="宋体" w:hAnsi="宋体"/>
                <w:b/>
                <w:bCs/>
              </w:rPr>
              <w:t>针孔</w:t>
            </w:r>
            <w:r>
              <w:rPr>
                <w:b/>
                <w:bCs/>
              </w:rPr>
              <w:t>/</w:t>
            </w:r>
            <w:r>
              <w:rPr>
                <w:rFonts w:ascii="宋体" w:hAnsi="宋体"/>
                <w:b/>
                <w:bCs/>
              </w:rPr>
              <w:t>裂纹</w:t>
            </w:r>
          </w:p>
        </w:tc>
        <w:tc>
          <w:tcPr>
            <w:tcW w:w="1806" w:type="dxa"/>
            <w:tcBorders>
              <w:top w:val="single" w:color="auto" w:sz="12" w:space="0"/>
              <w:left w:val="nil"/>
              <w:bottom w:val="single" w:color="auto" w:sz="4" w:space="0"/>
              <w:right w:val="single" w:color="auto" w:sz="4" w:space="0"/>
            </w:tcBorders>
            <w:vAlign w:val="center"/>
          </w:tcPr>
          <w:p>
            <w:pPr>
              <w:pStyle w:val="63"/>
              <w:rPr>
                <w:b/>
                <w:bCs/>
              </w:rPr>
            </w:pPr>
            <w:r>
              <w:rPr>
                <w:rFonts w:ascii="宋体" w:hAnsi="宋体"/>
                <w:b/>
                <w:bCs/>
              </w:rPr>
              <w:t>穿孔</w:t>
            </w:r>
          </w:p>
        </w:tc>
        <w:tc>
          <w:tcPr>
            <w:tcW w:w="1806" w:type="dxa"/>
            <w:tcBorders>
              <w:top w:val="single" w:color="auto" w:sz="12" w:space="0"/>
              <w:left w:val="nil"/>
              <w:bottom w:val="single" w:color="auto" w:sz="4" w:space="0"/>
              <w:right w:val="nil"/>
            </w:tcBorders>
            <w:vAlign w:val="center"/>
          </w:tcPr>
          <w:p>
            <w:pPr>
              <w:pStyle w:val="63"/>
              <w:rPr>
                <w:b/>
                <w:bCs/>
              </w:rPr>
            </w:pPr>
            <w:r>
              <w:rPr>
                <w:rFonts w:ascii="宋体" w:hAnsi="宋体"/>
                <w:b/>
                <w:bCs/>
              </w:rPr>
              <w:t>断裂</w:t>
            </w:r>
          </w:p>
        </w:tc>
      </w:tr>
      <w:tr>
        <w:tblPrEx>
          <w:tblCellMar>
            <w:top w:w="0" w:type="dxa"/>
            <w:left w:w="108" w:type="dxa"/>
            <w:bottom w:w="0" w:type="dxa"/>
            <w:right w:w="108" w:type="dxa"/>
          </w:tblCellMar>
        </w:tblPrEx>
        <w:trPr>
          <w:jc w:val="center"/>
        </w:trPr>
        <w:tc>
          <w:tcPr>
            <w:tcW w:w="2811" w:type="dxa"/>
            <w:tcBorders>
              <w:top w:val="single" w:color="auto" w:sz="4" w:space="0"/>
              <w:left w:val="nil"/>
              <w:bottom w:val="single" w:color="auto" w:sz="4" w:space="0"/>
              <w:right w:val="single" w:color="auto" w:sz="4" w:space="0"/>
            </w:tcBorders>
            <w:vAlign w:val="center"/>
          </w:tcPr>
          <w:p>
            <w:pPr>
              <w:pStyle w:val="63"/>
            </w:pPr>
            <w:r>
              <w:rPr>
                <w:rFonts w:ascii="宋体" w:hAnsi="宋体"/>
              </w:rPr>
              <w:t>外部干扰</w:t>
            </w:r>
          </w:p>
        </w:tc>
        <w:tc>
          <w:tcPr>
            <w:tcW w:w="1806" w:type="dxa"/>
            <w:tcBorders>
              <w:top w:val="single" w:color="auto" w:sz="4" w:space="0"/>
              <w:left w:val="nil"/>
              <w:bottom w:val="single" w:color="auto" w:sz="4" w:space="0"/>
              <w:right w:val="single" w:color="auto" w:sz="4" w:space="0"/>
            </w:tcBorders>
            <w:vAlign w:val="center"/>
          </w:tcPr>
          <w:p>
            <w:pPr>
              <w:pStyle w:val="63"/>
            </w:pPr>
            <w:r>
              <w:t>0.073</w:t>
            </w:r>
          </w:p>
        </w:tc>
        <w:tc>
          <w:tcPr>
            <w:tcW w:w="1806" w:type="dxa"/>
            <w:tcBorders>
              <w:top w:val="single" w:color="auto" w:sz="4" w:space="0"/>
              <w:left w:val="nil"/>
              <w:bottom w:val="single" w:color="auto" w:sz="4" w:space="0"/>
              <w:right w:val="single" w:color="auto" w:sz="4" w:space="0"/>
            </w:tcBorders>
            <w:vAlign w:val="center"/>
          </w:tcPr>
          <w:p>
            <w:pPr>
              <w:pStyle w:val="63"/>
            </w:pPr>
            <w:r>
              <w:t>0.168</w:t>
            </w:r>
          </w:p>
        </w:tc>
        <w:tc>
          <w:tcPr>
            <w:tcW w:w="1806" w:type="dxa"/>
            <w:tcBorders>
              <w:top w:val="single" w:color="auto" w:sz="4" w:space="0"/>
              <w:left w:val="nil"/>
              <w:bottom w:val="single" w:color="auto" w:sz="4" w:space="0"/>
              <w:right w:val="nil"/>
            </w:tcBorders>
            <w:vAlign w:val="center"/>
          </w:tcPr>
          <w:p>
            <w:pPr>
              <w:pStyle w:val="63"/>
            </w:pPr>
            <w:r>
              <w:t>0.095</w:t>
            </w:r>
          </w:p>
        </w:tc>
      </w:tr>
      <w:tr>
        <w:tblPrEx>
          <w:tblCellMar>
            <w:top w:w="0" w:type="dxa"/>
            <w:left w:w="108" w:type="dxa"/>
            <w:bottom w:w="0" w:type="dxa"/>
            <w:right w:w="108" w:type="dxa"/>
          </w:tblCellMar>
        </w:tblPrEx>
        <w:trPr>
          <w:jc w:val="center"/>
        </w:trPr>
        <w:tc>
          <w:tcPr>
            <w:tcW w:w="2811" w:type="dxa"/>
            <w:tcBorders>
              <w:top w:val="single" w:color="auto" w:sz="4" w:space="0"/>
              <w:left w:val="nil"/>
              <w:bottom w:val="single" w:color="auto" w:sz="4" w:space="0"/>
              <w:right w:val="single" w:color="auto" w:sz="4" w:space="0"/>
            </w:tcBorders>
            <w:vAlign w:val="center"/>
          </w:tcPr>
          <w:p>
            <w:pPr>
              <w:pStyle w:val="63"/>
            </w:pPr>
            <w:r>
              <w:rPr>
                <w:rFonts w:ascii="宋体" w:hAnsi="宋体"/>
              </w:rPr>
              <w:t>带压开孔</w:t>
            </w:r>
          </w:p>
        </w:tc>
        <w:tc>
          <w:tcPr>
            <w:tcW w:w="1806" w:type="dxa"/>
            <w:tcBorders>
              <w:top w:val="single" w:color="auto" w:sz="4" w:space="0"/>
              <w:left w:val="nil"/>
              <w:bottom w:val="single" w:color="auto" w:sz="4" w:space="0"/>
              <w:right w:val="single" w:color="auto" w:sz="4" w:space="0"/>
            </w:tcBorders>
            <w:vAlign w:val="center"/>
          </w:tcPr>
          <w:p>
            <w:pPr>
              <w:pStyle w:val="63"/>
            </w:pPr>
            <w:r>
              <w:t>0.020</w:t>
            </w:r>
          </w:p>
        </w:tc>
        <w:tc>
          <w:tcPr>
            <w:tcW w:w="1806" w:type="dxa"/>
            <w:tcBorders>
              <w:top w:val="single" w:color="auto" w:sz="4" w:space="0"/>
              <w:left w:val="nil"/>
              <w:bottom w:val="single" w:color="auto" w:sz="4" w:space="0"/>
              <w:right w:val="single" w:color="auto" w:sz="4" w:space="0"/>
            </w:tcBorders>
            <w:vAlign w:val="center"/>
          </w:tcPr>
          <w:p>
            <w:pPr>
              <w:pStyle w:val="63"/>
            </w:pPr>
            <w:r>
              <w:t>0.020</w:t>
            </w:r>
          </w:p>
        </w:tc>
        <w:tc>
          <w:tcPr>
            <w:tcW w:w="1806" w:type="dxa"/>
            <w:tcBorders>
              <w:top w:val="single" w:color="auto" w:sz="4" w:space="0"/>
              <w:left w:val="nil"/>
              <w:bottom w:val="single" w:color="auto" w:sz="4" w:space="0"/>
              <w:right w:val="nil"/>
            </w:tcBorders>
            <w:vAlign w:val="center"/>
          </w:tcPr>
          <w:p>
            <w:pPr>
              <w:pStyle w:val="63"/>
            </w:pPr>
            <w:r>
              <w:t>\</w:t>
            </w:r>
          </w:p>
        </w:tc>
      </w:tr>
      <w:tr>
        <w:tblPrEx>
          <w:tblCellMar>
            <w:top w:w="0" w:type="dxa"/>
            <w:left w:w="108" w:type="dxa"/>
            <w:bottom w:w="0" w:type="dxa"/>
            <w:right w:w="108" w:type="dxa"/>
          </w:tblCellMar>
        </w:tblPrEx>
        <w:trPr>
          <w:jc w:val="center"/>
        </w:trPr>
        <w:tc>
          <w:tcPr>
            <w:tcW w:w="2811" w:type="dxa"/>
            <w:tcBorders>
              <w:top w:val="single" w:color="auto" w:sz="4" w:space="0"/>
              <w:left w:val="nil"/>
              <w:bottom w:val="single" w:color="auto" w:sz="4" w:space="0"/>
              <w:right w:val="single" w:color="auto" w:sz="4" w:space="0"/>
            </w:tcBorders>
            <w:vAlign w:val="center"/>
          </w:tcPr>
          <w:p>
            <w:pPr>
              <w:pStyle w:val="63"/>
            </w:pPr>
            <w:r>
              <w:rPr>
                <w:rFonts w:ascii="宋体" w:hAnsi="宋体"/>
              </w:rPr>
              <w:t>腐蚀</w:t>
            </w:r>
          </w:p>
        </w:tc>
        <w:tc>
          <w:tcPr>
            <w:tcW w:w="1806" w:type="dxa"/>
            <w:tcBorders>
              <w:top w:val="single" w:color="auto" w:sz="4" w:space="0"/>
              <w:left w:val="nil"/>
              <w:bottom w:val="single" w:color="auto" w:sz="4" w:space="0"/>
              <w:right w:val="single" w:color="auto" w:sz="4" w:space="0"/>
            </w:tcBorders>
            <w:vAlign w:val="center"/>
          </w:tcPr>
          <w:p>
            <w:pPr>
              <w:pStyle w:val="63"/>
            </w:pPr>
            <w:r>
              <w:t>0.088</w:t>
            </w:r>
          </w:p>
        </w:tc>
        <w:tc>
          <w:tcPr>
            <w:tcW w:w="1806" w:type="dxa"/>
            <w:tcBorders>
              <w:top w:val="single" w:color="auto" w:sz="4" w:space="0"/>
              <w:left w:val="nil"/>
              <w:bottom w:val="single" w:color="auto" w:sz="4" w:space="0"/>
              <w:right w:val="single" w:color="auto" w:sz="4" w:space="0"/>
            </w:tcBorders>
            <w:vAlign w:val="center"/>
          </w:tcPr>
          <w:p>
            <w:pPr>
              <w:pStyle w:val="63"/>
            </w:pPr>
            <w:r>
              <w:t>0.010</w:t>
            </w:r>
          </w:p>
        </w:tc>
        <w:tc>
          <w:tcPr>
            <w:tcW w:w="1806" w:type="dxa"/>
            <w:tcBorders>
              <w:top w:val="single" w:color="auto" w:sz="4" w:space="0"/>
              <w:left w:val="nil"/>
              <w:bottom w:val="single" w:color="auto" w:sz="4" w:space="0"/>
              <w:right w:val="nil"/>
            </w:tcBorders>
            <w:vAlign w:val="center"/>
          </w:tcPr>
          <w:p>
            <w:pPr>
              <w:pStyle w:val="63"/>
            </w:pPr>
            <w:r>
              <w:t>\</w:t>
            </w:r>
          </w:p>
        </w:tc>
      </w:tr>
      <w:tr>
        <w:tblPrEx>
          <w:tblCellMar>
            <w:top w:w="0" w:type="dxa"/>
            <w:left w:w="108" w:type="dxa"/>
            <w:bottom w:w="0" w:type="dxa"/>
            <w:right w:w="108" w:type="dxa"/>
          </w:tblCellMar>
        </w:tblPrEx>
        <w:trPr>
          <w:jc w:val="center"/>
        </w:trPr>
        <w:tc>
          <w:tcPr>
            <w:tcW w:w="2811" w:type="dxa"/>
            <w:tcBorders>
              <w:top w:val="single" w:color="auto" w:sz="4" w:space="0"/>
              <w:left w:val="nil"/>
              <w:bottom w:val="single" w:color="auto" w:sz="4" w:space="0"/>
              <w:right w:val="single" w:color="auto" w:sz="4" w:space="0"/>
            </w:tcBorders>
            <w:vAlign w:val="center"/>
          </w:tcPr>
          <w:p>
            <w:pPr>
              <w:pStyle w:val="63"/>
            </w:pPr>
            <w:r>
              <w:rPr>
                <w:rFonts w:ascii="宋体" w:hAnsi="宋体"/>
              </w:rPr>
              <w:t>施工缺陷和材料缺陷</w:t>
            </w:r>
          </w:p>
        </w:tc>
        <w:tc>
          <w:tcPr>
            <w:tcW w:w="1806" w:type="dxa"/>
            <w:tcBorders>
              <w:top w:val="single" w:color="auto" w:sz="4" w:space="0"/>
              <w:left w:val="nil"/>
              <w:bottom w:val="single" w:color="auto" w:sz="4" w:space="0"/>
              <w:right w:val="single" w:color="auto" w:sz="4" w:space="0"/>
            </w:tcBorders>
            <w:vAlign w:val="center"/>
          </w:tcPr>
          <w:p>
            <w:pPr>
              <w:pStyle w:val="63"/>
            </w:pPr>
            <w:r>
              <w:t>0.073</w:t>
            </w:r>
          </w:p>
        </w:tc>
        <w:tc>
          <w:tcPr>
            <w:tcW w:w="1806" w:type="dxa"/>
            <w:tcBorders>
              <w:top w:val="single" w:color="auto" w:sz="4" w:space="0"/>
              <w:left w:val="nil"/>
              <w:bottom w:val="single" w:color="auto" w:sz="4" w:space="0"/>
              <w:right w:val="single" w:color="auto" w:sz="4" w:space="0"/>
            </w:tcBorders>
            <w:vAlign w:val="center"/>
          </w:tcPr>
          <w:p>
            <w:pPr>
              <w:pStyle w:val="63"/>
            </w:pPr>
            <w:r>
              <w:t>0.044</w:t>
            </w:r>
          </w:p>
        </w:tc>
        <w:tc>
          <w:tcPr>
            <w:tcW w:w="1806" w:type="dxa"/>
            <w:tcBorders>
              <w:top w:val="single" w:color="auto" w:sz="4" w:space="0"/>
              <w:left w:val="nil"/>
              <w:bottom w:val="single" w:color="auto" w:sz="4" w:space="0"/>
              <w:right w:val="nil"/>
            </w:tcBorders>
            <w:vAlign w:val="center"/>
          </w:tcPr>
          <w:p>
            <w:pPr>
              <w:pStyle w:val="63"/>
            </w:pPr>
            <w:r>
              <w:t>0.010</w:t>
            </w:r>
          </w:p>
        </w:tc>
      </w:tr>
      <w:tr>
        <w:tblPrEx>
          <w:tblCellMar>
            <w:top w:w="0" w:type="dxa"/>
            <w:left w:w="108" w:type="dxa"/>
            <w:bottom w:w="0" w:type="dxa"/>
            <w:right w:w="108" w:type="dxa"/>
          </w:tblCellMar>
        </w:tblPrEx>
        <w:trPr>
          <w:jc w:val="center"/>
        </w:trPr>
        <w:tc>
          <w:tcPr>
            <w:tcW w:w="2811" w:type="dxa"/>
            <w:tcBorders>
              <w:top w:val="single" w:color="auto" w:sz="4" w:space="0"/>
              <w:left w:val="nil"/>
              <w:bottom w:val="single" w:color="auto" w:sz="4" w:space="0"/>
              <w:right w:val="single" w:color="auto" w:sz="4" w:space="0"/>
            </w:tcBorders>
            <w:vAlign w:val="center"/>
          </w:tcPr>
          <w:p>
            <w:pPr>
              <w:pStyle w:val="63"/>
            </w:pPr>
            <w:r>
              <w:rPr>
                <w:rFonts w:ascii="宋体" w:hAnsi="宋体"/>
              </w:rPr>
              <w:t>地层移动</w:t>
            </w:r>
          </w:p>
        </w:tc>
        <w:tc>
          <w:tcPr>
            <w:tcW w:w="1806" w:type="dxa"/>
            <w:tcBorders>
              <w:top w:val="single" w:color="auto" w:sz="4" w:space="0"/>
              <w:left w:val="nil"/>
              <w:bottom w:val="single" w:color="auto" w:sz="4" w:space="0"/>
              <w:right w:val="single" w:color="auto" w:sz="4" w:space="0"/>
            </w:tcBorders>
            <w:vAlign w:val="center"/>
          </w:tcPr>
          <w:p>
            <w:pPr>
              <w:pStyle w:val="63"/>
            </w:pPr>
            <w:r>
              <w:t>0.010</w:t>
            </w:r>
          </w:p>
        </w:tc>
        <w:tc>
          <w:tcPr>
            <w:tcW w:w="1806" w:type="dxa"/>
            <w:tcBorders>
              <w:top w:val="single" w:color="auto" w:sz="4" w:space="0"/>
              <w:left w:val="nil"/>
              <w:bottom w:val="single" w:color="auto" w:sz="4" w:space="0"/>
              <w:right w:val="single" w:color="auto" w:sz="4" w:space="0"/>
            </w:tcBorders>
            <w:vAlign w:val="center"/>
          </w:tcPr>
          <w:p>
            <w:pPr>
              <w:pStyle w:val="63"/>
            </w:pPr>
            <w:r>
              <w:t>0.020</w:t>
            </w:r>
          </w:p>
        </w:tc>
        <w:tc>
          <w:tcPr>
            <w:tcW w:w="1806" w:type="dxa"/>
            <w:tcBorders>
              <w:top w:val="single" w:color="auto" w:sz="4" w:space="0"/>
              <w:left w:val="nil"/>
              <w:bottom w:val="single" w:color="auto" w:sz="4" w:space="0"/>
              <w:right w:val="nil"/>
            </w:tcBorders>
            <w:vAlign w:val="center"/>
          </w:tcPr>
          <w:p>
            <w:pPr>
              <w:pStyle w:val="63"/>
            </w:pPr>
            <w:r>
              <w:t>0.020</w:t>
            </w:r>
          </w:p>
        </w:tc>
      </w:tr>
      <w:tr>
        <w:tblPrEx>
          <w:tblCellMar>
            <w:top w:w="0" w:type="dxa"/>
            <w:left w:w="108" w:type="dxa"/>
            <w:bottom w:w="0" w:type="dxa"/>
            <w:right w:w="108" w:type="dxa"/>
          </w:tblCellMar>
        </w:tblPrEx>
        <w:trPr>
          <w:jc w:val="center"/>
        </w:trPr>
        <w:tc>
          <w:tcPr>
            <w:tcW w:w="2811" w:type="dxa"/>
            <w:tcBorders>
              <w:top w:val="single" w:color="auto" w:sz="4" w:space="0"/>
              <w:left w:val="nil"/>
              <w:bottom w:val="single" w:color="auto" w:sz="4" w:space="0"/>
              <w:right w:val="single" w:color="auto" w:sz="4" w:space="0"/>
            </w:tcBorders>
            <w:vAlign w:val="center"/>
          </w:tcPr>
          <w:p>
            <w:pPr>
              <w:pStyle w:val="63"/>
            </w:pPr>
            <w:r>
              <w:rPr>
                <w:rFonts w:ascii="宋体" w:hAnsi="宋体"/>
              </w:rPr>
              <w:t>其它原因</w:t>
            </w:r>
          </w:p>
        </w:tc>
        <w:tc>
          <w:tcPr>
            <w:tcW w:w="1806" w:type="dxa"/>
            <w:tcBorders>
              <w:top w:val="single" w:color="auto" w:sz="4" w:space="0"/>
              <w:left w:val="nil"/>
              <w:bottom w:val="single" w:color="auto" w:sz="4" w:space="0"/>
              <w:right w:val="single" w:color="auto" w:sz="4" w:space="0"/>
            </w:tcBorders>
            <w:vAlign w:val="center"/>
          </w:tcPr>
          <w:p>
            <w:pPr>
              <w:pStyle w:val="63"/>
            </w:pPr>
            <w:r>
              <w:t>0.044</w:t>
            </w:r>
          </w:p>
        </w:tc>
        <w:tc>
          <w:tcPr>
            <w:tcW w:w="1806" w:type="dxa"/>
            <w:tcBorders>
              <w:top w:val="single" w:color="auto" w:sz="4" w:space="0"/>
              <w:left w:val="nil"/>
              <w:bottom w:val="single" w:color="auto" w:sz="4" w:space="0"/>
              <w:right w:val="single" w:color="auto" w:sz="4" w:space="0"/>
            </w:tcBorders>
            <w:vAlign w:val="center"/>
          </w:tcPr>
          <w:p>
            <w:pPr>
              <w:pStyle w:val="63"/>
            </w:pPr>
            <w:r>
              <w:t>0.010</w:t>
            </w:r>
          </w:p>
        </w:tc>
        <w:tc>
          <w:tcPr>
            <w:tcW w:w="1806" w:type="dxa"/>
            <w:tcBorders>
              <w:top w:val="single" w:color="auto" w:sz="4" w:space="0"/>
              <w:left w:val="nil"/>
              <w:bottom w:val="single" w:color="auto" w:sz="4" w:space="0"/>
              <w:right w:val="nil"/>
            </w:tcBorders>
            <w:vAlign w:val="center"/>
          </w:tcPr>
          <w:p>
            <w:pPr>
              <w:pStyle w:val="63"/>
            </w:pPr>
            <w:r>
              <w:t>0.010</w:t>
            </w:r>
          </w:p>
        </w:tc>
      </w:tr>
      <w:tr>
        <w:tblPrEx>
          <w:tblCellMar>
            <w:top w:w="0" w:type="dxa"/>
            <w:left w:w="108" w:type="dxa"/>
            <w:bottom w:w="0" w:type="dxa"/>
            <w:right w:w="108" w:type="dxa"/>
          </w:tblCellMar>
        </w:tblPrEx>
        <w:trPr>
          <w:jc w:val="center"/>
        </w:trPr>
        <w:tc>
          <w:tcPr>
            <w:tcW w:w="2811" w:type="dxa"/>
            <w:tcBorders>
              <w:top w:val="single" w:color="auto" w:sz="4" w:space="0"/>
              <w:left w:val="nil"/>
              <w:bottom w:val="single" w:color="auto" w:sz="12" w:space="0"/>
              <w:right w:val="single" w:color="auto" w:sz="4" w:space="0"/>
            </w:tcBorders>
            <w:vAlign w:val="center"/>
          </w:tcPr>
          <w:p>
            <w:pPr>
              <w:pStyle w:val="63"/>
            </w:pPr>
            <w:r>
              <w:rPr>
                <w:rFonts w:ascii="宋体" w:hAnsi="宋体"/>
              </w:rPr>
              <w:t>合计</w:t>
            </w:r>
          </w:p>
        </w:tc>
        <w:tc>
          <w:tcPr>
            <w:tcW w:w="1806" w:type="dxa"/>
            <w:tcBorders>
              <w:top w:val="single" w:color="auto" w:sz="4" w:space="0"/>
              <w:left w:val="nil"/>
              <w:bottom w:val="single" w:color="auto" w:sz="12" w:space="0"/>
              <w:right w:val="single" w:color="auto" w:sz="4" w:space="0"/>
            </w:tcBorders>
            <w:vAlign w:val="center"/>
          </w:tcPr>
          <w:p>
            <w:pPr>
              <w:pStyle w:val="63"/>
            </w:pPr>
            <w:r>
              <w:t>0.308</w:t>
            </w:r>
          </w:p>
        </w:tc>
        <w:tc>
          <w:tcPr>
            <w:tcW w:w="1806" w:type="dxa"/>
            <w:tcBorders>
              <w:top w:val="single" w:color="auto" w:sz="4" w:space="0"/>
              <w:left w:val="nil"/>
              <w:bottom w:val="single" w:color="auto" w:sz="12" w:space="0"/>
              <w:right w:val="single" w:color="auto" w:sz="4" w:space="0"/>
            </w:tcBorders>
            <w:vAlign w:val="center"/>
          </w:tcPr>
          <w:p>
            <w:pPr>
              <w:pStyle w:val="63"/>
            </w:pPr>
            <w:r>
              <w:t>0.272</w:t>
            </w:r>
          </w:p>
        </w:tc>
        <w:tc>
          <w:tcPr>
            <w:tcW w:w="1806" w:type="dxa"/>
            <w:tcBorders>
              <w:top w:val="single" w:color="auto" w:sz="4" w:space="0"/>
              <w:left w:val="nil"/>
              <w:bottom w:val="single" w:color="auto" w:sz="12" w:space="0"/>
              <w:right w:val="nil"/>
            </w:tcBorders>
            <w:vAlign w:val="center"/>
          </w:tcPr>
          <w:p>
            <w:pPr>
              <w:pStyle w:val="63"/>
            </w:pPr>
            <w:r>
              <w:t>0.135</w:t>
            </w:r>
          </w:p>
        </w:tc>
      </w:tr>
    </w:tbl>
    <w:p>
      <w:pPr>
        <w:ind w:firstLine="480"/>
        <w:rPr>
          <w:rFonts w:cs="Times New Roman"/>
        </w:rPr>
      </w:pPr>
      <w:r>
        <w:rPr>
          <w:rFonts w:ascii="宋体" w:hAnsi="宋体"/>
        </w:rPr>
        <w:t>由</w:t>
      </w:r>
      <w:r>
        <w:rPr>
          <w:rFonts w:hint="eastAsia" w:ascii="宋体" w:hAnsi="宋体"/>
        </w:rPr>
        <w:t>上表</w:t>
      </w:r>
      <w:r>
        <w:rPr>
          <w:rFonts w:ascii="宋体" w:hAnsi="宋体"/>
        </w:rPr>
        <w:t>中数据可以看出，外部干扰是管道事故的主要原因，大部分的管道断裂事故也是由于外部干扰引起的。因施工缺陷和材料缺陷而引发的事故外部干扰造成的事故率的三分之一。由腐蚀引发的管道事故主要是针孔或裂纹，很少能引起管道穿孔或断裂，而地层移动通常造成管道穿孔或断裂。由针孔、裂纹等原因造成的事故率约占全部的</w:t>
      </w:r>
      <w:r>
        <w:t>8%</w:t>
      </w:r>
      <w:r>
        <w:rPr>
          <w:rFonts w:ascii="宋体" w:hAnsi="宋体"/>
        </w:rPr>
        <w:t>。</w:t>
      </w:r>
    </w:p>
    <w:p>
      <w:pPr>
        <w:pStyle w:val="53"/>
        <w:ind w:firstLine="318" w:firstLineChars="132"/>
        <w:rPr>
          <w:rFonts w:cs="Times New Roman"/>
        </w:rPr>
      </w:pPr>
      <w:r>
        <w:rPr>
          <w:rFonts w:hint="eastAsia" w:cs="Times New Roman"/>
        </w:rPr>
        <w:t>（2）</w:t>
      </w:r>
      <w:r>
        <w:rPr>
          <w:rFonts w:ascii="宋体" w:hAnsi="宋体" w:cs="Times New Roman"/>
        </w:rPr>
        <w:t>国内川渝输气管道事故调查</w:t>
      </w:r>
    </w:p>
    <w:p>
      <w:pPr>
        <w:ind w:firstLine="480"/>
        <w:rPr>
          <w:rFonts w:cs="Times New Roman"/>
        </w:rPr>
      </w:pPr>
      <w:r>
        <w:rPr>
          <w:rFonts w:ascii="宋体" w:hAnsi="宋体"/>
        </w:rPr>
        <w:t>四川省和重庆市是我国天然气主要生产基地，输气管道遍布川渝各地。对四川省和重庆市的两种管道类型进行了事故统计，一类管道是指川中油气矿原料气干线及其支线，其管径一般为</w:t>
      </w:r>
      <w:r>
        <w:t>Φ159~508mm</w:t>
      </w:r>
      <w:r>
        <w:rPr>
          <w:rFonts w:ascii="宋体" w:hAnsi="宋体"/>
        </w:rPr>
        <w:t>，壁厚</w:t>
      </w:r>
      <w:r>
        <w:t>6~14mm</w:t>
      </w:r>
      <w:r>
        <w:rPr>
          <w:rFonts w:ascii="宋体" w:hAnsi="宋体"/>
        </w:rPr>
        <w:t>，运行压力</w:t>
      </w:r>
      <w:r>
        <w:t>0.5~5.5MPa</w:t>
      </w:r>
      <w:r>
        <w:rPr>
          <w:rFonts w:ascii="宋体" w:hAnsi="宋体"/>
        </w:rPr>
        <w:t>，管线总长</w:t>
      </w:r>
      <w:r>
        <w:t>904km</w:t>
      </w:r>
      <w:r>
        <w:rPr>
          <w:rFonts w:ascii="宋体" w:hAnsi="宋体"/>
        </w:rPr>
        <w:t>；二类管道是指川渝南北干线净化气输送管道及其支线，其管径为</w:t>
      </w:r>
      <w:r>
        <w:t>Φ325~720mm</w:t>
      </w:r>
      <w:r>
        <w:rPr>
          <w:rFonts w:ascii="宋体" w:hAnsi="宋体"/>
        </w:rPr>
        <w:t>，壁厚</w:t>
      </w:r>
      <w:r>
        <w:t>6~12mm</w:t>
      </w:r>
      <w:r>
        <w:rPr>
          <w:rFonts w:ascii="宋体" w:hAnsi="宋体"/>
        </w:rPr>
        <w:t>，运行压力</w:t>
      </w:r>
      <w:r>
        <w:t>0.5~3.6MPa</w:t>
      </w:r>
      <w:r>
        <w:rPr>
          <w:rFonts w:ascii="宋体" w:hAnsi="宋体"/>
        </w:rPr>
        <w:t>，管线总长</w:t>
      </w:r>
      <w:r>
        <w:t>1621km</w:t>
      </w:r>
      <w:r>
        <w:rPr>
          <w:rFonts w:ascii="宋体" w:hAnsi="宋体"/>
        </w:rPr>
        <w:t>。详见下表。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8.6</w:t>
      </w:r>
      <w:r>
        <w:rPr>
          <w:rFonts w:cs="Times New Roman"/>
        </w:rPr>
        <w:fldChar w:fldCharType="end"/>
      </w:r>
      <w:r>
        <w:rPr>
          <w:rFonts w:cs="Times New Roman"/>
        </w:rPr>
        <w:noBreakHyphen/>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4</w:t>
      </w:r>
      <w:r>
        <w:rPr>
          <w:rFonts w:cs="Times New Roman"/>
        </w:rPr>
        <w:fldChar w:fldCharType="end"/>
      </w:r>
      <w:r>
        <w:rPr>
          <w:rFonts w:cs="Times New Roman"/>
        </w:rPr>
        <w:t xml:space="preserve">  </w:t>
      </w:r>
      <w:r>
        <w:rPr>
          <w:rFonts w:ascii="楷体" w:hAnsi="楷体" w:cs="Times New Roman"/>
        </w:rPr>
        <w:t>国内管道事故统计（</w:t>
      </w:r>
      <w:r>
        <w:rPr>
          <w:rFonts w:cs="Times New Roman"/>
        </w:rPr>
        <w:t>1990~1999</w:t>
      </w:r>
      <w:r>
        <w:rPr>
          <w:rFonts w:ascii="楷体" w:hAnsi="楷体" w:cs="Times New Roman"/>
        </w:rPr>
        <w:t>）</w:t>
      </w:r>
    </w:p>
    <w:tbl>
      <w:tblPr>
        <w:tblStyle w:val="35"/>
        <w:tblW w:w="0" w:type="auto"/>
        <w:jc w:val="center"/>
        <w:tblLayout w:type="autofit"/>
        <w:tblCellMar>
          <w:top w:w="0" w:type="dxa"/>
          <w:left w:w="108" w:type="dxa"/>
          <w:bottom w:w="0" w:type="dxa"/>
          <w:right w:w="108" w:type="dxa"/>
        </w:tblCellMar>
      </w:tblPr>
      <w:tblGrid>
        <w:gridCol w:w="1560"/>
        <w:gridCol w:w="992"/>
        <w:gridCol w:w="1134"/>
        <w:gridCol w:w="1263"/>
        <w:gridCol w:w="708"/>
        <w:gridCol w:w="1134"/>
        <w:gridCol w:w="1488"/>
      </w:tblGrid>
      <w:tr>
        <w:tblPrEx>
          <w:tblCellMar>
            <w:top w:w="0" w:type="dxa"/>
            <w:left w:w="108" w:type="dxa"/>
            <w:bottom w:w="0" w:type="dxa"/>
            <w:right w:w="108" w:type="dxa"/>
          </w:tblCellMar>
        </w:tblPrEx>
        <w:trPr>
          <w:jc w:val="center"/>
        </w:trPr>
        <w:tc>
          <w:tcPr>
            <w:tcW w:w="1560" w:type="dxa"/>
            <w:vMerge w:val="restart"/>
            <w:tcBorders>
              <w:top w:val="single" w:color="auto" w:sz="12" w:space="0"/>
              <w:left w:val="nil"/>
              <w:bottom w:val="single" w:color="auto" w:sz="4" w:space="0"/>
              <w:right w:val="single" w:color="auto" w:sz="4" w:space="0"/>
            </w:tcBorders>
            <w:vAlign w:val="center"/>
          </w:tcPr>
          <w:p>
            <w:pPr>
              <w:pStyle w:val="63"/>
              <w:spacing w:line="260" w:lineRule="exact"/>
              <w:rPr>
                <w:rFonts w:cs="Times New Roman"/>
                <w:b/>
                <w:bCs/>
              </w:rPr>
            </w:pPr>
            <w:r>
              <w:rPr>
                <w:rFonts w:ascii="宋体" w:hAnsi="宋体"/>
                <w:b/>
                <w:bCs/>
              </w:rPr>
              <w:t>原因</w:t>
            </w:r>
          </w:p>
        </w:tc>
        <w:tc>
          <w:tcPr>
            <w:tcW w:w="3389" w:type="dxa"/>
            <w:gridSpan w:val="3"/>
            <w:tcBorders>
              <w:top w:val="single" w:color="auto" w:sz="12" w:space="0"/>
              <w:left w:val="nil"/>
              <w:bottom w:val="single" w:color="auto" w:sz="4" w:space="0"/>
              <w:right w:val="single" w:color="auto" w:sz="4" w:space="0"/>
            </w:tcBorders>
            <w:vAlign w:val="center"/>
          </w:tcPr>
          <w:p>
            <w:pPr>
              <w:pStyle w:val="63"/>
              <w:spacing w:line="260" w:lineRule="exact"/>
              <w:rPr>
                <w:b/>
                <w:bCs/>
              </w:rPr>
            </w:pPr>
            <w:r>
              <w:rPr>
                <w:rFonts w:ascii="宋体" w:hAnsi="宋体"/>
                <w:b/>
                <w:bCs/>
              </w:rPr>
              <w:t>一类管道事故统计</w:t>
            </w:r>
          </w:p>
        </w:tc>
        <w:tc>
          <w:tcPr>
            <w:tcW w:w="3330" w:type="dxa"/>
            <w:gridSpan w:val="3"/>
            <w:tcBorders>
              <w:top w:val="single" w:color="auto" w:sz="12" w:space="0"/>
              <w:left w:val="nil"/>
              <w:bottom w:val="single" w:color="auto" w:sz="4" w:space="0"/>
              <w:right w:val="nil"/>
            </w:tcBorders>
            <w:vAlign w:val="center"/>
          </w:tcPr>
          <w:p>
            <w:pPr>
              <w:pStyle w:val="63"/>
              <w:spacing w:line="260" w:lineRule="exact"/>
              <w:rPr>
                <w:b/>
                <w:bCs/>
              </w:rPr>
            </w:pPr>
            <w:r>
              <w:rPr>
                <w:rFonts w:ascii="宋体" w:hAnsi="宋体"/>
                <w:b/>
                <w:bCs/>
              </w:rPr>
              <w:t>二类管道事故统计</w:t>
            </w:r>
          </w:p>
        </w:tc>
      </w:tr>
      <w:tr>
        <w:tblPrEx>
          <w:tblCellMar>
            <w:top w:w="0" w:type="dxa"/>
            <w:left w:w="108" w:type="dxa"/>
            <w:bottom w:w="0" w:type="dxa"/>
            <w:right w:w="108" w:type="dxa"/>
          </w:tblCellMar>
        </w:tblPrEx>
        <w:trPr>
          <w:jc w:val="center"/>
        </w:trPr>
        <w:tc>
          <w:tcPr>
            <w:tcW w:w="0" w:type="auto"/>
            <w:vMerge w:val="continue"/>
            <w:tcBorders>
              <w:top w:val="single" w:color="auto" w:sz="12" w:space="0"/>
              <w:left w:val="nil"/>
              <w:bottom w:val="single" w:color="auto" w:sz="4" w:space="0"/>
              <w:right w:val="single" w:color="auto" w:sz="4" w:space="0"/>
            </w:tcBorders>
            <w:vAlign w:val="center"/>
          </w:tcPr>
          <w:p>
            <w:pPr>
              <w:widowControl/>
              <w:spacing w:line="240" w:lineRule="auto"/>
              <w:ind w:firstLine="0" w:firstLineChars="0"/>
              <w:jc w:val="left"/>
              <w:rPr>
                <w:b/>
                <w:bCs/>
                <w:sz w:val="21"/>
              </w:rPr>
            </w:pPr>
          </w:p>
        </w:tc>
        <w:tc>
          <w:tcPr>
            <w:tcW w:w="992" w:type="dxa"/>
            <w:tcBorders>
              <w:top w:val="single" w:color="auto" w:sz="4" w:space="0"/>
              <w:left w:val="nil"/>
              <w:bottom w:val="single" w:color="auto" w:sz="4" w:space="0"/>
              <w:right w:val="single" w:color="auto" w:sz="4" w:space="0"/>
            </w:tcBorders>
            <w:vAlign w:val="center"/>
          </w:tcPr>
          <w:p>
            <w:pPr>
              <w:pStyle w:val="63"/>
              <w:spacing w:line="260" w:lineRule="exact"/>
              <w:rPr>
                <w:b/>
                <w:bCs/>
              </w:rPr>
            </w:pPr>
            <w:r>
              <w:rPr>
                <w:rFonts w:ascii="宋体" w:hAnsi="宋体"/>
                <w:b/>
                <w:bCs/>
              </w:rPr>
              <w:t>次数</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rPr>
                <w:b/>
                <w:bCs/>
              </w:rPr>
            </w:pPr>
            <w:r>
              <w:rPr>
                <w:rFonts w:ascii="宋体" w:hAnsi="宋体"/>
                <w:b/>
                <w:bCs/>
              </w:rPr>
              <w:t>百分比</w:t>
            </w:r>
            <w:r>
              <w:rPr>
                <w:b/>
                <w:bCs/>
              </w:rPr>
              <w:t>%</w:t>
            </w:r>
          </w:p>
        </w:tc>
        <w:tc>
          <w:tcPr>
            <w:tcW w:w="1263" w:type="dxa"/>
            <w:tcBorders>
              <w:top w:val="single" w:color="auto" w:sz="4" w:space="0"/>
              <w:left w:val="nil"/>
              <w:bottom w:val="single" w:color="auto" w:sz="4" w:space="0"/>
              <w:right w:val="single" w:color="auto" w:sz="4" w:space="0"/>
            </w:tcBorders>
            <w:vAlign w:val="center"/>
          </w:tcPr>
          <w:p>
            <w:pPr>
              <w:pStyle w:val="63"/>
              <w:spacing w:line="260" w:lineRule="exact"/>
              <w:rPr>
                <w:b/>
                <w:bCs/>
              </w:rPr>
            </w:pPr>
            <w:r>
              <w:rPr>
                <w:rFonts w:ascii="宋体" w:hAnsi="宋体"/>
                <w:b/>
                <w:bCs/>
              </w:rPr>
              <w:t>事故频率</w:t>
            </w:r>
            <w:r>
              <w:rPr>
                <w:b/>
                <w:bCs/>
              </w:rPr>
              <w:t>10</w:t>
            </w:r>
            <w:r>
              <w:rPr>
                <w:b/>
                <w:bCs/>
                <w:vertAlign w:val="superscript"/>
              </w:rPr>
              <w:t>-3</w:t>
            </w:r>
            <w:r>
              <w:rPr>
                <w:b/>
                <w:bCs/>
              </w:rPr>
              <w:t>/km·a</w:t>
            </w:r>
          </w:p>
        </w:tc>
        <w:tc>
          <w:tcPr>
            <w:tcW w:w="708" w:type="dxa"/>
            <w:tcBorders>
              <w:top w:val="single" w:color="auto" w:sz="4" w:space="0"/>
              <w:left w:val="nil"/>
              <w:bottom w:val="single" w:color="auto" w:sz="4" w:space="0"/>
              <w:right w:val="single" w:color="auto" w:sz="4" w:space="0"/>
            </w:tcBorders>
            <w:vAlign w:val="center"/>
          </w:tcPr>
          <w:p>
            <w:pPr>
              <w:pStyle w:val="63"/>
              <w:spacing w:line="260" w:lineRule="exact"/>
              <w:rPr>
                <w:b/>
                <w:bCs/>
              </w:rPr>
            </w:pPr>
            <w:r>
              <w:rPr>
                <w:rFonts w:ascii="宋体" w:hAnsi="宋体"/>
                <w:b/>
                <w:bCs/>
              </w:rPr>
              <w:t>次数</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rPr>
                <w:b/>
                <w:bCs/>
              </w:rPr>
            </w:pPr>
            <w:r>
              <w:rPr>
                <w:rFonts w:ascii="宋体" w:hAnsi="宋体"/>
                <w:b/>
                <w:bCs/>
              </w:rPr>
              <w:t>百分比</w:t>
            </w:r>
            <w:r>
              <w:rPr>
                <w:b/>
                <w:bCs/>
              </w:rPr>
              <w:t>%</w:t>
            </w:r>
          </w:p>
        </w:tc>
        <w:tc>
          <w:tcPr>
            <w:tcW w:w="1488" w:type="dxa"/>
            <w:tcBorders>
              <w:top w:val="single" w:color="auto" w:sz="4" w:space="0"/>
              <w:left w:val="nil"/>
              <w:bottom w:val="single" w:color="auto" w:sz="4" w:space="0"/>
              <w:right w:val="nil"/>
            </w:tcBorders>
            <w:vAlign w:val="center"/>
          </w:tcPr>
          <w:p>
            <w:pPr>
              <w:pStyle w:val="63"/>
              <w:spacing w:line="260" w:lineRule="exact"/>
              <w:rPr>
                <w:b/>
                <w:bCs/>
              </w:rPr>
            </w:pPr>
            <w:r>
              <w:rPr>
                <w:rFonts w:ascii="宋体" w:hAnsi="宋体"/>
                <w:b/>
                <w:bCs/>
              </w:rPr>
              <w:t>事故频率</w:t>
            </w:r>
          </w:p>
          <w:p>
            <w:pPr>
              <w:pStyle w:val="63"/>
              <w:spacing w:line="260" w:lineRule="exact"/>
              <w:rPr>
                <w:b/>
                <w:bCs/>
              </w:rPr>
            </w:pPr>
            <w:r>
              <w:rPr>
                <w:b/>
                <w:bCs/>
              </w:rPr>
              <w:t>10</w:t>
            </w:r>
            <w:r>
              <w:rPr>
                <w:b/>
                <w:bCs/>
                <w:vertAlign w:val="superscript"/>
              </w:rPr>
              <w:t>-3</w:t>
            </w:r>
            <w:r>
              <w:rPr>
                <w:b/>
                <w:bCs/>
              </w:rPr>
              <w:t>/km·a</w:t>
            </w:r>
          </w:p>
        </w:tc>
      </w:tr>
      <w:tr>
        <w:tblPrEx>
          <w:tblCellMar>
            <w:top w:w="0" w:type="dxa"/>
            <w:left w:w="108" w:type="dxa"/>
            <w:bottom w:w="0" w:type="dxa"/>
            <w:right w:w="108" w:type="dxa"/>
          </w:tblCellMar>
        </w:tblPrEx>
        <w:trPr>
          <w:jc w:val="center"/>
        </w:trPr>
        <w:tc>
          <w:tcPr>
            <w:tcW w:w="1560" w:type="dxa"/>
            <w:tcBorders>
              <w:top w:val="single" w:color="auto" w:sz="4" w:space="0"/>
              <w:left w:val="nil"/>
              <w:bottom w:val="single" w:color="auto" w:sz="4" w:space="0"/>
              <w:right w:val="single" w:color="auto" w:sz="4" w:space="0"/>
            </w:tcBorders>
            <w:vAlign w:val="center"/>
          </w:tcPr>
          <w:p>
            <w:pPr>
              <w:pStyle w:val="63"/>
              <w:spacing w:line="260" w:lineRule="exact"/>
            </w:pPr>
            <w:r>
              <w:rPr>
                <w:rFonts w:ascii="宋体" w:hAnsi="宋体"/>
              </w:rPr>
              <w:t>局部腐蚀</w:t>
            </w:r>
          </w:p>
        </w:tc>
        <w:tc>
          <w:tcPr>
            <w:tcW w:w="992" w:type="dxa"/>
            <w:tcBorders>
              <w:top w:val="single" w:color="auto" w:sz="4" w:space="0"/>
              <w:left w:val="nil"/>
              <w:bottom w:val="single" w:color="auto" w:sz="4" w:space="0"/>
              <w:right w:val="single" w:color="auto" w:sz="4" w:space="0"/>
            </w:tcBorders>
            <w:vAlign w:val="center"/>
          </w:tcPr>
          <w:p>
            <w:pPr>
              <w:pStyle w:val="63"/>
              <w:spacing w:line="260" w:lineRule="exact"/>
            </w:pPr>
            <w:r>
              <w:t>41</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52.6</w:t>
            </w:r>
          </w:p>
        </w:tc>
        <w:tc>
          <w:tcPr>
            <w:tcW w:w="1263" w:type="dxa"/>
            <w:tcBorders>
              <w:top w:val="single" w:color="auto" w:sz="4" w:space="0"/>
              <w:left w:val="nil"/>
              <w:bottom w:val="single" w:color="auto" w:sz="4" w:space="0"/>
              <w:right w:val="single" w:color="auto" w:sz="4" w:space="0"/>
            </w:tcBorders>
            <w:vAlign w:val="center"/>
          </w:tcPr>
          <w:p>
            <w:pPr>
              <w:pStyle w:val="63"/>
              <w:spacing w:line="260" w:lineRule="exact"/>
            </w:pPr>
            <w:r>
              <w:t>4.5</w:t>
            </w:r>
          </w:p>
        </w:tc>
        <w:tc>
          <w:tcPr>
            <w:tcW w:w="708" w:type="dxa"/>
            <w:tcBorders>
              <w:top w:val="single" w:color="auto" w:sz="4" w:space="0"/>
              <w:left w:val="nil"/>
              <w:bottom w:val="single" w:color="auto" w:sz="4" w:space="0"/>
              <w:right w:val="single" w:color="auto" w:sz="4" w:space="0"/>
            </w:tcBorders>
            <w:vAlign w:val="center"/>
          </w:tcPr>
          <w:p>
            <w:pPr>
              <w:pStyle w:val="63"/>
              <w:spacing w:line="260" w:lineRule="exact"/>
            </w:pPr>
            <w:r>
              <w:t>20</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44.4</w:t>
            </w:r>
          </w:p>
        </w:tc>
        <w:tc>
          <w:tcPr>
            <w:tcW w:w="1488" w:type="dxa"/>
            <w:tcBorders>
              <w:top w:val="single" w:color="auto" w:sz="4" w:space="0"/>
              <w:left w:val="nil"/>
              <w:bottom w:val="single" w:color="auto" w:sz="4" w:space="0"/>
              <w:right w:val="nil"/>
            </w:tcBorders>
            <w:vAlign w:val="center"/>
          </w:tcPr>
          <w:p>
            <w:pPr>
              <w:pStyle w:val="63"/>
              <w:spacing w:line="260" w:lineRule="exact"/>
            </w:pPr>
            <w:r>
              <w:t>1.2</w:t>
            </w:r>
          </w:p>
        </w:tc>
      </w:tr>
      <w:tr>
        <w:tblPrEx>
          <w:tblCellMar>
            <w:top w:w="0" w:type="dxa"/>
            <w:left w:w="108" w:type="dxa"/>
            <w:bottom w:w="0" w:type="dxa"/>
            <w:right w:w="108" w:type="dxa"/>
          </w:tblCellMar>
        </w:tblPrEx>
        <w:trPr>
          <w:jc w:val="center"/>
        </w:trPr>
        <w:tc>
          <w:tcPr>
            <w:tcW w:w="1560" w:type="dxa"/>
            <w:tcBorders>
              <w:top w:val="single" w:color="auto" w:sz="4" w:space="0"/>
              <w:left w:val="nil"/>
              <w:bottom w:val="single" w:color="auto" w:sz="4" w:space="0"/>
              <w:right w:val="single" w:color="auto" w:sz="4" w:space="0"/>
            </w:tcBorders>
            <w:vAlign w:val="center"/>
          </w:tcPr>
          <w:p>
            <w:pPr>
              <w:pStyle w:val="63"/>
              <w:spacing w:line="260" w:lineRule="exact"/>
            </w:pPr>
            <w:r>
              <w:rPr>
                <w:rFonts w:ascii="宋体" w:hAnsi="宋体"/>
              </w:rPr>
              <w:t>施工缺陷</w:t>
            </w:r>
          </w:p>
        </w:tc>
        <w:tc>
          <w:tcPr>
            <w:tcW w:w="992" w:type="dxa"/>
            <w:tcBorders>
              <w:top w:val="single" w:color="auto" w:sz="4" w:space="0"/>
              <w:left w:val="nil"/>
              <w:bottom w:val="single" w:color="auto" w:sz="4" w:space="0"/>
              <w:right w:val="single" w:color="auto" w:sz="4" w:space="0"/>
            </w:tcBorders>
            <w:vAlign w:val="center"/>
          </w:tcPr>
          <w:p>
            <w:pPr>
              <w:pStyle w:val="63"/>
              <w:spacing w:line="260" w:lineRule="exact"/>
            </w:pPr>
            <w:r>
              <w:t>21</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26.9</w:t>
            </w:r>
          </w:p>
        </w:tc>
        <w:tc>
          <w:tcPr>
            <w:tcW w:w="1263" w:type="dxa"/>
            <w:tcBorders>
              <w:top w:val="single" w:color="auto" w:sz="4" w:space="0"/>
              <w:left w:val="nil"/>
              <w:bottom w:val="single" w:color="auto" w:sz="4" w:space="0"/>
              <w:right w:val="single" w:color="auto" w:sz="4" w:space="0"/>
            </w:tcBorders>
            <w:vAlign w:val="center"/>
          </w:tcPr>
          <w:p>
            <w:pPr>
              <w:pStyle w:val="63"/>
              <w:spacing w:line="260" w:lineRule="exact"/>
            </w:pPr>
            <w:r>
              <w:t>2.3</w:t>
            </w:r>
          </w:p>
        </w:tc>
        <w:tc>
          <w:tcPr>
            <w:tcW w:w="708" w:type="dxa"/>
            <w:tcBorders>
              <w:top w:val="single" w:color="auto" w:sz="4" w:space="0"/>
              <w:left w:val="nil"/>
              <w:bottom w:val="single" w:color="auto" w:sz="4" w:space="0"/>
              <w:right w:val="single" w:color="auto" w:sz="4" w:space="0"/>
            </w:tcBorders>
            <w:vAlign w:val="center"/>
          </w:tcPr>
          <w:p>
            <w:pPr>
              <w:pStyle w:val="63"/>
              <w:spacing w:line="260" w:lineRule="exact"/>
            </w:pPr>
            <w:r>
              <w:t>15</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33.3</w:t>
            </w:r>
          </w:p>
        </w:tc>
        <w:tc>
          <w:tcPr>
            <w:tcW w:w="1488" w:type="dxa"/>
            <w:tcBorders>
              <w:top w:val="single" w:color="auto" w:sz="4" w:space="0"/>
              <w:left w:val="nil"/>
              <w:bottom w:val="single" w:color="auto" w:sz="4" w:space="0"/>
              <w:right w:val="nil"/>
            </w:tcBorders>
            <w:vAlign w:val="center"/>
          </w:tcPr>
          <w:p>
            <w:pPr>
              <w:pStyle w:val="63"/>
              <w:spacing w:line="260" w:lineRule="exact"/>
            </w:pPr>
            <w:r>
              <w:t>0.9</w:t>
            </w:r>
          </w:p>
        </w:tc>
      </w:tr>
      <w:tr>
        <w:tblPrEx>
          <w:tblCellMar>
            <w:top w:w="0" w:type="dxa"/>
            <w:left w:w="108" w:type="dxa"/>
            <w:bottom w:w="0" w:type="dxa"/>
            <w:right w:w="108" w:type="dxa"/>
          </w:tblCellMar>
        </w:tblPrEx>
        <w:trPr>
          <w:jc w:val="center"/>
        </w:trPr>
        <w:tc>
          <w:tcPr>
            <w:tcW w:w="1560" w:type="dxa"/>
            <w:tcBorders>
              <w:top w:val="single" w:color="auto" w:sz="4" w:space="0"/>
              <w:left w:val="nil"/>
              <w:bottom w:val="single" w:color="auto" w:sz="4" w:space="0"/>
              <w:right w:val="single" w:color="auto" w:sz="4" w:space="0"/>
            </w:tcBorders>
            <w:vAlign w:val="center"/>
          </w:tcPr>
          <w:p>
            <w:pPr>
              <w:pStyle w:val="63"/>
              <w:spacing w:line="260" w:lineRule="exact"/>
            </w:pPr>
            <w:r>
              <w:rPr>
                <w:rFonts w:ascii="宋体" w:hAnsi="宋体"/>
              </w:rPr>
              <w:t>外部影响</w:t>
            </w:r>
          </w:p>
        </w:tc>
        <w:tc>
          <w:tcPr>
            <w:tcW w:w="992" w:type="dxa"/>
            <w:tcBorders>
              <w:top w:val="single" w:color="auto" w:sz="4" w:space="0"/>
              <w:left w:val="nil"/>
              <w:bottom w:val="single" w:color="auto" w:sz="4" w:space="0"/>
              <w:right w:val="single" w:color="auto" w:sz="4" w:space="0"/>
            </w:tcBorders>
            <w:vAlign w:val="center"/>
          </w:tcPr>
          <w:p>
            <w:pPr>
              <w:pStyle w:val="63"/>
              <w:spacing w:line="260" w:lineRule="exact"/>
            </w:pPr>
            <w:r>
              <w:t>4</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5.1</w:t>
            </w:r>
          </w:p>
        </w:tc>
        <w:tc>
          <w:tcPr>
            <w:tcW w:w="1263" w:type="dxa"/>
            <w:tcBorders>
              <w:top w:val="single" w:color="auto" w:sz="4" w:space="0"/>
              <w:left w:val="nil"/>
              <w:bottom w:val="single" w:color="auto" w:sz="4" w:space="0"/>
              <w:right w:val="single" w:color="auto" w:sz="4" w:space="0"/>
            </w:tcBorders>
            <w:vAlign w:val="center"/>
          </w:tcPr>
          <w:p>
            <w:pPr>
              <w:pStyle w:val="63"/>
              <w:spacing w:line="260" w:lineRule="exact"/>
            </w:pPr>
            <w:r>
              <w:t>0.4</w:t>
            </w:r>
          </w:p>
        </w:tc>
        <w:tc>
          <w:tcPr>
            <w:tcW w:w="708" w:type="dxa"/>
            <w:tcBorders>
              <w:top w:val="single" w:color="auto" w:sz="4" w:space="0"/>
              <w:left w:val="nil"/>
              <w:bottom w:val="single" w:color="auto" w:sz="4" w:space="0"/>
              <w:right w:val="single" w:color="auto" w:sz="4" w:space="0"/>
            </w:tcBorders>
            <w:vAlign w:val="center"/>
          </w:tcPr>
          <w:p>
            <w:pPr>
              <w:pStyle w:val="63"/>
              <w:spacing w:line="260" w:lineRule="exact"/>
            </w:pPr>
            <w:r>
              <w:t>9</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20.0</w:t>
            </w:r>
          </w:p>
        </w:tc>
        <w:tc>
          <w:tcPr>
            <w:tcW w:w="1488" w:type="dxa"/>
            <w:tcBorders>
              <w:top w:val="single" w:color="auto" w:sz="4" w:space="0"/>
              <w:left w:val="nil"/>
              <w:bottom w:val="single" w:color="auto" w:sz="4" w:space="0"/>
              <w:right w:val="nil"/>
            </w:tcBorders>
            <w:vAlign w:val="center"/>
          </w:tcPr>
          <w:p>
            <w:pPr>
              <w:pStyle w:val="63"/>
              <w:spacing w:line="260" w:lineRule="exact"/>
            </w:pPr>
            <w:r>
              <w:t>0.5</w:t>
            </w:r>
          </w:p>
        </w:tc>
      </w:tr>
      <w:tr>
        <w:tblPrEx>
          <w:tblCellMar>
            <w:top w:w="0" w:type="dxa"/>
            <w:left w:w="108" w:type="dxa"/>
            <w:bottom w:w="0" w:type="dxa"/>
            <w:right w:w="108" w:type="dxa"/>
          </w:tblCellMar>
        </w:tblPrEx>
        <w:trPr>
          <w:jc w:val="center"/>
        </w:trPr>
        <w:tc>
          <w:tcPr>
            <w:tcW w:w="1560" w:type="dxa"/>
            <w:tcBorders>
              <w:top w:val="single" w:color="auto" w:sz="4" w:space="0"/>
              <w:left w:val="nil"/>
              <w:bottom w:val="single" w:color="auto" w:sz="4" w:space="0"/>
              <w:right w:val="single" w:color="auto" w:sz="4" w:space="0"/>
            </w:tcBorders>
            <w:vAlign w:val="center"/>
          </w:tcPr>
          <w:p>
            <w:pPr>
              <w:pStyle w:val="63"/>
              <w:spacing w:line="260" w:lineRule="exact"/>
            </w:pPr>
            <w:r>
              <w:rPr>
                <w:rFonts w:ascii="宋体" w:hAnsi="宋体"/>
              </w:rPr>
              <w:t>不良环境影响</w:t>
            </w:r>
          </w:p>
        </w:tc>
        <w:tc>
          <w:tcPr>
            <w:tcW w:w="992" w:type="dxa"/>
            <w:tcBorders>
              <w:top w:val="single" w:color="auto" w:sz="4" w:space="0"/>
              <w:left w:val="nil"/>
              <w:bottom w:val="single" w:color="auto" w:sz="4" w:space="0"/>
              <w:right w:val="single" w:color="auto" w:sz="4" w:space="0"/>
            </w:tcBorders>
            <w:vAlign w:val="center"/>
          </w:tcPr>
          <w:p>
            <w:pPr>
              <w:pStyle w:val="63"/>
              <w:spacing w:line="260" w:lineRule="exact"/>
            </w:pPr>
            <w:r>
              <w:t>11</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14.1</w:t>
            </w:r>
          </w:p>
        </w:tc>
        <w:tc>
          <w:tcPr>
            <w:tcW w:w="1263" w:type="dxa"/>
            <w:tcBorders>
              <w:top w:val="single" w:color="auto" w:sz="4" w:space="0"/>
              <w:left w:val="nil"/>
              <w:bottom w:val="single" w:color="auto" w:sz="4" w:space="0"/>
              <w:right w:val="single" w:color="auto" w:sz="4" w:space="0"/>
            </w:tcBorders>
            <w:vAlign w:val="center"/>
          </w:tcPr>
          <w:p>
            <w:pPr>
              <w:pStyle w:val="63"/>
              <w:spacing w:line="260" w:lineRule="exact"/>
            </w:pPr>
            <w:r>
              <w:t>1.2</w:t>
            </w:r>
          </w:p>
        </w:tc>
        <w:tc>
          <w:tcPr>
            <w:tcW w:w="708" w:type="dxa"/>
            <w:tcBorders>
              <w:top w:val="single" w:color="auto" w:sz="4" w:space="0"/>
              <w:left w:val="nil"/>
              <w:bottom w:val="single" w:color="auto" w:sz="4" w:space="0"/>
              <w:right w:val="single" w:color="auto" w:sz="4" w:space="0"/>
            </w:tcBorders>
            <w:vAlign w:val="center"/>
          </w:tcPr>
          <w:p>
            <w:pPr>
              <w:pStyle w:val="63"/>
              <w:spacing w:line="260" w:lineRule="exact"/>
            </w:pPr>
            <w:r>
              <w:t>1</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2.3</w:t>
            </w:r>
          </w:p>
        </w:tc>
        <w:tc>
          <w:tcPr>
            <w:tcW w:w="1488" w:type="dxa"/>
            <w:tcBorders>
              <w:top w:val="single" w:color="auto" w:sz="4" w:space="0"/>
              <w:left w:val="nil"/>
              <w:bottom w:val="single" w:color="auto" w:sz="4" w:space="0"/>
              <w:right w:val="nil"/>
            </w:tcBorders>
            <w:vAlign w:val="center"/>
          </w:tcPr>
          <w:p>
            <w:pPr>
              <w:pStyle w:val="63"/>
              <w:spacing w:line="260" w:lineRule="exact"/>
            </w:pPr>
            <w:r>
              <w:t>0.06</w:t>
            </w:r>
          </w:p>
        </w:tc>
      </w:tr>
      <w:tr>
        <w:tblPrEx>
          <w:tblCellMar>
            <w:top w:w="0" w:type="dxa"/>
            <w:left w:w="108" w:type="dxa"/>
            <w:bottom w:w="0" w:type="dxa"/>
            <w:right w:w="108" w:type="dxa"/>
          </w:tblCellMar>
        </w:tblPrEx>
        <w:trPr>
          <w:jc w:val="center"/>
        </w:trPr>
        <w:tc>
          <w:tcPr>
            <w:tcW w:w="1560" w:type="dxa"/>
            <w:tcBorders>
              <w:top w:val="single" w:color="auto" w:sz="4" w:space="0"/>
              <w:left w:val="nil"/>
              <w:bottom w:val="single" w:color="auto" w:sz="4" w:space="0"/>
              <w:right w:val="single" w:color="auto" w:sz="4" w:space="0"/>
            </w:tcBorders>
            <w:vAlign w:val="center"/>
          </w:tcPr>
          <w:p>
            <w:pPr>
              <w:pStyle w:val="63"/>
              <w:spacing w:line="260" w:lineRule="exact"/>
            </w:pPr>
            <w:r>
              <w:rPr>
                <w:rFonts w:ascii="宋体" w:hAnsi="宋体"/>
              </w:rPr>
              <w:t>其他</w:t>
            </w:r>
          </w:p>
        </w:tc>
        <w:tc>
          <w:tcPr>
            <w:tcW w:w="992" w:type="dxa"/>
            <w:tcBorders>
              <w:top w:val="single" w:color="auto" w:sz="4" w:space="0"/>
              <w:left w:val="nil"/>
              <w:bottom w:val="single" w:color="auto" w:sz="4" w:space="0"/>
              <w:right w:val="single" w:color="auto" w:sz="4" w:space="0"/>
            </w:tcBorders>
            <w:vAlign w:val="center"/>
          </w:tcPr>
          <w:p>
            <w:pPr>
              <w:pStyle w:val="63"/>
              <w:spacing w:line="260" w:lineRule="exact"/>
            </w:pPr>
            <w:r>
              <w:t>1</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1.3</w:t>
            </w:r>
          </w:p>
        </w:tc>
        <w:tc>
          <w:tcPr>
            <w:tcW w:w="1263" w:type="dxa"/>
            <w:tcBorders>
              <w:top w:val="single" w:color="auto" w:sz="4" w:space="0"/>
              <w:left w:val="nil"/>
              <w:bottom w:val="single" w:color="auto" w:sz="4" w:space="0"/>
              <w:right w:val="single" w:color="auto" w:sz="4" w:space="0"/>
            </w:tcBorders>
            <w:vAlign w:val="center"/>
          </w:tcPr>
          <w:p>
            <w:pPr>
              <w:pStyle w:val="63"/>
              <w:spacing w:line="260" w:lineRule="exact"/>
            </w:pPr>
            <w:r>
              <w:t>0.1</w:t>
            </w:r>
          </w:p>
        </w:tc>
        <w:tc>
          <w:tcPr>
            <w:tcW w:w="708" w:type="dxa"/>
            <w:tcBorders>
              <w:top w:val="single" w:color="auto" w:sz="4" w:space="0"/>
              <w:left w:val="nil"/>
              <w:bottom w:val="single" w:color="auto" w:sz="4" w:space="0"/>
              <w:right w:val="single" w:color="auto" w:sz="4" w:space="0"/>
            </w:tcBorders>
            <w:vAlign w:val="center"/>
          </w:tcPr>
          <w:p>
            <w:pPr>
              <w:pStyle w:val="63"/>
              <w:spacing w:line="260" w:lineRule="exact"/>
            </w:pPr>
            <w:r>
              <w:t>0</w:t>
            </w:r>
          </w:p>
        </w:tc>
        <w:tc>
          <w:tcPr>
            <w:tcW w:w="1134" w:type="dxa"/>
            <w:tcBorders>
              <w:top w:val="single" w:color="auto" w:sz="4" w:space="0"/>
              <w:left w:val="nil"/>
              <w:bottom w:val="single" w:color="auto" w:sz="4" w:space="0"/>
              <w:right w:val="single" w:color="auto" w:sz="4" w:space="0"/>
            </w:tcBorders>
            <w:vAlign w:val="center"/>
          </w:tcPr>
          <w:p>
            <w:pPr>
              <w:pStyle w:val="63"/>
              <w:spacing w:line="260" w:lineRule="exact"/>
            </w:pPr>
            <w:r>
              <w:t>0</w:t>
            </w:r>
          </w:p>
        </w:tc>
        <w:tc>
          <w:tcPr>
            <w:tcW w:w="1488" w:type="dxa"/>
            <w:tcBorders>
              <w:top w:val="single" w:color="auto" w:sz="4" w:space="0"/>
              <w:left w:val="nil"/>
              <w:bottom w:val="single" w:color="auto" w:sz="4" w:space="0"/>
              <w:right w:val="nil"/>
            </w:tcBorders>
            <w:vAlign w:val="center"/>
          </w:tcPr>
          <w:p>
            <w:pPr>
              <w:pStyle w:val="63"/>
              <w:spacing w:line="260" w:lineRule="exact"/>
            </w:pPr>
            <w:r>
              <w:t>0</w:t>
            </w:r>
          </w:p>
        </w:tc>
      </w:tr>
      <w:tr>
        <w:tblPrEx>
          <w:tblCellMar>
            <w:top w:w="0" w:type="dxa"/>
            <w:left w:w="108" w:type="dxa"/>
            <w:bottom w:w="0" w:type="dxa"/>
            <w:right w:w="108" w:type="dxa"/>
          </w:tblCellMar>
        </w:tblPrEx>
        <w:trPr>
          <w:jc w:val="center"/>
        </w:trPr>
        <w:tc>
          <w:tcPr>
            <w:tcW w:w="1560" w:type="dxa"/>
            <w:tcBorders>
              <w:top w:val="single" w:color="auto" w:sz="4" w:space="0"/>
              <w:left w:val="nil"/>
              <w:bottom w:val="single" w:color="auto" w:sz="12" w:space="0"/>
              <w:right w:val="single" w:color="auto" w:sz="4" w:space="0"/>
            </w:tcBorders>
            <w:vAlign w:val="center"/>
          </w:tcPr>
          <w:p>
            <w:pPr>
              <w:pStyle w:val="63"/>
              <w:spacing w:line="260" w:lineRule="exact"/>
            </w:pPr>
            <w:r>
              <w:rPr>
                <w:rFonts w:ascii="宋体" w:hAnsi="宋体"/>
              </w:rPr>
              <w:t>合计</w:t>
            </w:r>
          </w:p>
        </w:tc>
        <w:tc>
          <w:tcPr>
            <w:tcW w:w="992" w:type="dxa"/>
            <w:tcBorders>
              <w:top w:val="single" w:color="auto" w:sz="4" w:space="0"/>
              <w:left w:val="nil"/>
              <w:bottom w:val="single" w:color="auto" w:sz="12" w:space="0"/>
              <w:right w:val="single" w:color="auto" w:sz="4" w:space="0"/>
            </w:tcBorders>
            <w:vAlign w:val="center"/>
          </w:tcPr>
          <w:p>
            <w:pPr>
              <w:pStyle w:val="63"/>
              <w:spacing w:line="260" w:lineRule="exact"/>
            </w:pPr>
            <w:r>
              <w:t>78</w:t>
            </w:r>
          </w:p>
        </w:tc>
        <w:tc>
          <w:tcPr>
            <w:tcW w:w="1134" w:type="dxa"/>
            <w:tcBorders>
              <w:top w:val="single" w:color="auto" w:sz="4" w:space="0"/>
              <w:left w:val="nil"/>
              <w:bottom w:val="single" w:color="auto" w:sz="12" w:space="0"/>
              <w:right w:val="single" w:color="auto" w:sz="4" w:space="0"/>
            </w:tcBorders>
            <w:vAlign w:val="center"/>
          </w:tcPr>
          <w:p>
            <w:pPr>
              <w:pStyle w:val="63"/>
              <w:spacing w:line="260" w:lineRule="exact"/>
            </w:pPr>
            <w:r>
              <w:t>100</w:t>
            </w:r>
          </w:p>
        </w:tc>
        <w:tc>
          <w:tcPr>
            <w:tcW w:w="1263" w:type="dxa"/>
            <w:tcBorders>
              <w:top w:val="single" w:color="auto" w:sz="4" w:space="0"/>
              <w:left w:val="nil"/>
              <w:bottom w:val="single" w:color="auto" w:sz="12" w:space="0"/>
              <w:right w:val="single" w:color="auto" w:sz="4" w:space="0"/>
            </w:tcBorders>
            <w:vAlign w:val="center"/>
          </w:tcPr>
          <w:p>
            <w:pPr>
              <w:pStyle w:val="63"/>
              <w:spacing w:line="260" w:lineRule="exact"/>
            </w:pPr>
            <w:r>
              <w:t>8.6</w:t>
            </w:r>
          </w:p>
        </w:tc>
        <w:tc>
          <w:tcPr>
            <w:tcW w:w="708" w:type="dxa"/>
            <w:tcBorders>
              <w:top w:val="single" w:color="auto" w:sz="4" w:space="0"/>
              <w:left w:val="nil"/>
              <w:bottom w:val="single" w:color="auto" w:sz="12" w:space="0"/>
              <w:right w:val="single" w:color="auto" w:sz="4" w:space="0"/>
            </w:tcBorders>
            <w:vAlign w:val="center"/>
          </w:tcPr>
          <w:p>
            <w:pPr>
              <w:pStyle w:val="63"/>
              <w:spacing w:line="260" w:lineRule="exact"/>
            </w:pPr>
            <w:r>
              <w:t>45</w:t>
            </w:r>
          </w:p>
        </w:tc>
        <w:tc>
          <w:tcPr>
            <w:tcW w:w="1134" w:type="dxa"/>
            <w:tcBorders>
              <w:top w:val="single" w:color="auto" w:sz="4" w:space="0"/>
              <w:left w:val="nil"/>
              <w:bottom w:val="single" w:color="auto" w:sz="12" w:space="0"/>
              <w:right w:val="single" w:color="auto" w:sz="4" w:space="0"/>
            </w:tcBorders>
            <w:vAlign w:val="center"/>
          </w:tcPr>
          <w:p>
            <w:pPr>
              <w:pStyle w:val="63"/>
              <w:spacing w:line="260" w:lineRule="exact"/>
            </w:pPr>
            <w:r>
              <w:t>100</w:t>
            </w:r>
          </w:p>
        </w:tc>
        <w:tc>
          <w:tcPr>
            <w:tcW w:w="1488" w:type="dxa"/>
            <w:tcBorders>
              <w:top w:val="single" w:color="auto" w:sz="4" w:space="0"/>
              <w:left w:val="nil"/>
              <w:bottom w:val="single" w:color="auto" w:sz="12" w:space="0"/>
              <w:right w:val="nil"/>
            </w:tcBorders>
            <w:vAlign w:val="center"/>
          </w:tcPr>
          <w:p>
            <w:pPr>
              <w:pStyle w:val="63"/>
              <w:spacing w:line="260" w:lineRule="exact"/>
            </w:pPr>
            <w:r>
              <w:t>2.7</w:t>
            </w:r>
          </w:p>
        </w:tc>
      </w:tr>
    </w:tbl>
    <w:p>
      <w:pPr>
        <w:ind w:firstLine="480"/>
      </w:pPr>
      <w:r>
        <w:rPr>
          <w:rFonts w:ascii="宋体" w:hAnsi="宋体"/>
        </w:rPr>
        <w:t>从表中统计结果可以看出，在川渝各类输气管道中，因腐蚀引起的管道事故居各类事故之首，这也是原料气管道事故率（每年每千公里管道是发生事故的平均次数）远高于净化气管道事故率的主要原因。其次是材料失效及施工缺陷引起的管道事故，这两项共占了输气管道事故原因的</w:t>
      </w:r>
      <w:r>
        <w:t>80%</w:t>
      </w:r>
      <w:r>
        <w:rPr>
          <w:rFonts w:ascii="宋体" w:hAnsi="宋体"/>
        </w:rPr>
        <w:t>。</w:t>
      </w:r>
    </w:p>
    <w:p>
      <w:pPr>
        <w:pStyle w:val="5"/>
        <w:spacing w:before="180"/>
        <w:rPr>
          <w:rFonts w:cs="Times New Roman"/>
        </w:rPr>
      </w:pPr>
      <w:r>
        <w:rPr>
          <w:rFonts w:hint="eastAsia" w:cs="Times New Roman"/>
        </w:rPr>
        <w:t xml:space="preserve"> </w:t>
      </w:r>
      <w:bookmarkStart w:id="301" w:name="_Toc96680748"/>
      <w:r>
        <w:rPr>
          <w:rFonts w:cs="Times New Roman"/>
        </w:rPr>
        <w:t>危险物质向环境转移的途径识别</w:t>
      </w:r>
      <w:bookmarkEnd w:id="300"/>
      <w:bookmarkEnd w:id="301"/>
    </w:p>
    <w:p>
      <w:pPr>
        <w:ind w:firstLine="480"/>
        <w:rPr>
          <w:rFonts w:cs="Times New Roman"/>
          <w:kern w:val="0"/>
          <w:szCs w:val="24"/>
        </w:rPr>
      </w:pPr>
      <w:bookmarkStart w:id="302" w:name="_Toc69044761"/>
      <w:r>
        <w:rPr>
          <w:rFonts w:hint="eastAsia" w:cs="Times New Roman"/>
          <w:kern w:val="0"/>
          <w:szCs w:val="24"/>
        </w:rPr>
        <w:t>根据《建设项目环境风险评价技术导则》（HJ169-2018）规定，根据有毒有害物质放散起因，本项目的环境风险类型为：天然气的泄露和火灾爆炸引发的伴生/次生污染物排放。本项目风险事故类型根据所涉及的天然气物料确定，天然气主成分为甲烷，属甲类易燃气体，危险性物质，管道以事故泄漏排放会对环境造成污染事故，将给周围的民众健康造成危害；泄漏的天然气遇明火将发生火灾爆炸事故，存在火灾爆炸的危险性，将造成较大影响，包括财产损失和人员伤亡。</w:t>
      </w:r>
    </w:p>
    <w:p>
      <w:pPr>
        <w:ind w:firstLine="480"/>
        <w:rPr>
          <w:rFonts w:cs="Times New Roman"/>
          <w:kern w:val="0"/>
          <w:szCs w:val="24"/>
        </w:rPr>
      </w:pPr>
      <w:r>
        <w:rPr>
          <w:rFonts w:cs="Times New Roman"/>
          <w:kern w:val="0"/>
          <w:szCs w:val="24"/>
        </w:rPr>
        <w:t>本项目环境风险因素是天然气、以及天然气泄漏发生不完全燃烧产生的次生污染物。这些污染物的主要扩散途径为大气扩散。污染物在大气中受湍流、风、温度、大气稳定度等气象因素以及地形因素的影响，通过大气扩散、稀释过程影响到敏感目标。</w:t>
      </w:r>
    </w:p>
    <w:p>
      <w:pPr>
        <w:pStyle w:val="5"/>
        <w:rPr>
          <w:rFonts w:cs="Times New Roman"/>
        </w:rPr>
      </w:pPr>
      <w:r>
        <w:rPr>
          <w:rFonts w:hint="eastAsia" w:cs="Times New Roman"/>
        </w:rPr>
        <w:t xml:space="preserve"> </w:t>
      </w:r>
      <w:bookmarkStart w:id="303" w:name="_Toc96680749"/>
      <w:r>
        <w:rPr>
          <w:rFonts w:cs="Times New Roman"/>
        </w:rPr>
        <w:t>风险识别结果</w:t>
      </w:r>
      <w:bookmarkEnd w:id="302"/>
      <w:bookmarkEnd w:id="303"/>
    </w:p>
    <w:p>
      <w:pPr>
        <w:ind w:firstLine="480"/>
        <w:rPr>
          <w:rFonts w:cs="Times New Roman"/>
        </w:rPr>
      </w:pPr>
      <w:r>
        <w:rPr>
          <w:rFonts w:cs="Times New Roman"/>
        </w:rPr>
        <w:t>根据项目特点和危险物质的分布情况，本项目存在的危险因素见下表。</w:t>
      </w:r>
    </w:p>
    <w:p>
      <w:pPr>
        <w:pStyle w:val="73"/>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8.6</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5</w:t>
      </w:r>
      <w:r>
        <w:rPr>
          <w:rFonts w:cs="Times New Roman"/>
        </w:rPr>
        <w:fldChar w:fldCharType="end"/>
      </w:r>
      <w:r>
        <w:rPr>
          <w:rFonts w:cs="Times New Roman"/>
        </w:rPr>
        <w:t xml:space="preserve">  风险识别汇总表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61"/>
        <w:gridCol w:w="588"/>
        <w:gridCol w:w="709"/>
        <w:gridCol w:w="1701"/>
        <w:gridCol w:w="1703"/>
        <w:gridCol w:w="1132"/>
        <w:gridCol w:w="2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trPr>
        <w:tc>
          <w:tcPr>
            <w:tcW w:w="274" w:type="pct"/>
            <w:tcBorders>
              <w:top w:val="single" w:color="auto" w:sz="12" w:space="0"/>
              <w:left w:val="nil"/>
            </w:tcBorders>
            <w:vAlign w:val="center"/>
          </w:tcPr>
          <w:p>
            <w:pPr>
              <w:spacing w:line="240" w:lineRule="auto"/>
              <w:ind w:firstLine="0" w:firstLineChars="0"/>
              <w:jc w:val="center"/>
              <w:rPr>
                <w:rFonts w:cs="Times New Roman"/>
                <w:b/>
                <w:sz w:val="21"/>
              </w:rPr>
            </w:pPr>
            <w:r>
              <w:rPr>
                <w:rFonts w:cs="Times New Roman"/>
                <w:b/>
                <w:sz w:val="21"/>
              </w:rPr>
              <w:t>序号</w:t>
            </w:r>
          </w:p>
        </w:tc>
        <w:tc>
          <w:tcPr>
            <w:tcW w:w="349" w:type="pct"/>
            <w:tcBorders>
              <w:top w:val="single" w:color="auto" w:sz="12" w:space="0"/>
            </w:tcBorders>
            <w:vAlign w:val="center"/>
          </w:tcPr>
          <w:p>
            <w:pPr>
              <w:spacing w:line="240" w:lineRule="auto"/>
              <w:ind w:firstLine="0" w:firstLineChars="0"/>
              <w:jc w:val="center"/>
              <w:rPr>
                <w:rFonts w:cs="Times New Roman"/>
                <w:b/>
                <w:sz w:val="21"/>
              </w:rPr>
            </w:pPr>
            <w:r>
              <w:rPr>
                <w:rFonts w:cs="Times New Roman"/>
                <w:b/>
                <w:sz w:val="21"/>
              </w:rPr>
              <w:t>危险单元</w:t>
            </w:r>
          </w:p>
        </w:tc>
        <w:tc>
          <w:tcPr>
            <w:tcW w:w="421" w:type="pct"/>
            <w:tcBorders>
              <w:top w:val="single" w:color="auto" w:sz="12" w:space="0"/>
            </w:tcBorders>
            <w:vAlign w:val="center"/>
          </w:tcPr>
          <w:p>
            <w:pPr>
              <w:spacing w:line="240" w:lineRule="auto"/>
              <w:ind w:firstLine="0" w:firstLineChars="0"/>
              <w:jc w:val="center"/>
              <w:rPr>
                <w:rFonts w:cs="Times New Roman"/>
                <w:b/>
                <w:sz w:val="21"/>
              </w:rPr>
            </w:pPr>
            <w:r>
              <w:rPr>
                <w:rFonts w:cs="Times New Roman"/>
                <w:b/>
                <w:sz w:val="21"/>
              </w:rPr>
              <w:t>危险物质</w:t>
            </w:r>
          </w:p>
        </w:tc>
        <w:tc>
          <w:tcPr>
            <w:tcW w:w="1010" w:type="pct"/>
            <w:tcBorders>
              <w:top w:val="single" w:color="auto" w:sz="12" w:space="0"/>
            </w:tcBorders>
            <w:vAlign w:val="center"/>
          </w:tcPr>
          <w:p>
            <w:pPr>
              <w:spacing w:line="240" w:lineRule="auto"/>
              <w:ind w:firstLine="0" w:firstLineChars="0"/>
              <w:jc w:val="center"/>
              <w:rPr>
                <w:rFonts w:cs="Times New Roman"/>
                <w:b/>
                <w:sz w:val="21"/>
              </w:rPr>
            </w:pPr>
            <w:r>
              <w:rPr>
                <w:rFonts w:cs="Times New Roman"/>
                <w:b/>
                <w:sz w:val="21"/>
              </w:rPr>
              <w:t>产生原因</w:t>
            </w:r>
          </w:p>
        </w:tc>
        <w:tc>
          <w:tcPr>
            <w:tcW w:w="1011" w:type="pct"/>
            <w:tcBorders>
              <w:top w:val="single" w:color="auto" w:sz="12" w:space="0"/>
            </w:tcBorders>
            <w:vAlign w:val="center"/>
          </w:tcPr>
          <w:p>
            <w:pPr>
              <w:spacing w:line="240" w:lineRule="auto"/>
              <w:ind w:firstLine="0" w:firstLineChars="0"/>
              <w:jc w:val="center"/>
              <w:rPr>
                <w:rFonts w:cs="Times New Roman"/>
                <w:b/>
                <w:sz w:val="21"/>
              </w:rPr>
            </w:pPr>
            <w:r>
              <w:rPr>
                <w:rFonts w:cs="Times New Roman"/>
                <w:b/>
                <w:sz w:val="21"/>
              </w:rPr>
              <w:t>环境风险类型</w:t>
            </w:r>
          </w:p>
        </w:tc>
        <w:tc>
          <w:tcPr>
            <w:tcW w:w="672" w:type="pct"/>
            <w:tcBorders>
              <w:top w:val="single" w:color="auto" w:sz="12" w:space="0"/>
            </w:tcBorders>
            <w:vAlign w:val="center"/>
          </w:tcPr>
          <w:p>
            <w:pPr>
              <w:spacing w:line="240" w:lineRule="auto"/>
              <w:ind w:firstLine="0" w:firstLineChars="0"/>
              <w:jc w:val="center"/>
              <w:rPr>
                <w:rFonts w:cs="Times New Roman"/>
                <w:b/>
                <w:sz w:val="21"/>
              </w:rPr>
            </w:pPr>
            <w:r>
              <w:rPr>
                <w:rFonts w:cs="Times New Roman"/>
                <w:b/>
                <w:sz w:val="21"/>
              </w:rPr>
              <w:t>环境影响途径</w:t>
            </w:r>
          </w:p>
        </w:tc>
        <w:tc>
          <w:tcPr>
            <w:tcW w:w="1262" w:type="pct"/>
            <w:tcBorders>
              <w:top w:val="single" w:color="auto" w:sz="12" w:space="0"/>
            </w:tcBorders>
            <w:vAlign w:val="center"/>
          </w:tcPr>
          <w:p>
            <w:pPr>
              <w:spacing w:line="240" w:lineRule="auto"/>
              <w:ind w:firstLine="0" w:firstLineChars="0"/>
              <w:jc w:val="center"/>
              <w:rPr>
                <w:rFonts w:cs="Times New Roman"/>
                <w:b/>
                <w:sz w:val="21"/>
              </w:rPr>
            </w:pPr>
            <w:r>
              <w:rPr>
                <w:rFonts w:cs="Times New Roman"/>
                <w:b/>
                <w:sz w:val="21"/>
              </w:rPr>
              <w:t>可能受影响的敏感目标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74" w:type="pct"/>
            <w:vMerge w:val="restart"/>
            <w:tcBorders>
              <w:left w:val="nil"/>
            </w:tcBorders>
            <w:vAlign w:val="center"/>
          </w:tcPr>
          <w:p>
            <w:pPr>
              <w:spacing w:line="240" w:lineRule="auto"/>
              <w:ind w:firstLine="0" w:firstLineChars="0"/>
              <w:jc w:val="center"/>
              <w:rPr>
                <w:rFonts w:cs="Times New Roman"/>
                <w:sz w:val="21"/>
              </w:rPr>
            </w:pPr>
            <w:r>
              <w:rPr>
                <w:rFonts w:cs="Times New Roman"/>
                <w:sz w:val="21"/>
              </w:rPr>
              <w:t>1</w:t>
            </w:r>
          </w:p>
        </w:tc>
        <w:tc>
          <w:tcPr>
            <w:tcW w:w="349" w:type="pct"/>
            <w:vMerge w:val="restart"/>
            <w:vAlign w:val="center"/>
          </w:tcPr>
          <w:p>
            <w:pPr>
              <w:spacing w:line="240" w:lineRule="auto"/>
              <w:ind w:firstLine="0" w:firstLineChars="0"/>
              <w:jc w:val="center"/>
              <w:rPr>
                <w:rFonts w:cs="Times New Roman"/>
                <w:sz w:val="21"/>
              </w:rPr>
            </w:pPr>
            <w:r>
              <w:rPr>
                <w:rFonts w:cs="Times New Roman"/>
                <w:sz w:val="21"/>
              </w:rPr>
              <w:t>管道</w:t>
            </w:r>
          </w:p>
        </w:tc>
        <w:tc>
          <w:tcPr>
            <w:tcW w:w="421" w:type="pct"/>
            <w:vMerge w:val="restart"/>
            <w:vAlign w:val="center"/>
          </w:tcPr>
          <w:p>
            <w:pPr>
              <w:spacing w:line="240" w:lineRule="auto"/>
              <w:ind w:firstLine="0" w:firstLineChars="0"/>
              <w:jc w:val="center"/>
              <w:rPr>
                <w:rFonts w:cs="Times New Roman"/>
                <w:sz w:val="21"/>
              </w:rPr>
            </w:pPr>
            <w:r>
              <w:rPr>
                <w:rFonts w:cs="Times New Roman"/>
                <w:sz w:val="21"/>
              </w:rPr>
              <w:t>天然气</w:t>
            </w:r>
          </w:p>
        </w:tc>
        <w:tc>
          <w:tcPr>
            <w:tcW w:w="1010" w:type="pct"/>
            <w:vAlign w:val="center"/>
          </w:tcPr>
          <w:p>
            <w:pPr>
              <w:spacing w:line="240" w:lineRule="auto"/>
              <w:ind w:firstLine="0" w:firstLineChars="0"/>
              <w:jc w:val="center"/>
              <w:rPr>
                <w:rFonts w:cs="Times New Roman"/>
                <w:sz w:val="21"/>
              </w:rPr>
            </w:pPr>
            <w:r>
              <w:rPr>
                <w:rFonts w:cs="Times New Roman"/>
                <w:sz w:val="21"/>
              </w:rPr>
              <w:t>管道腐蚀穿孔、管道被破坏</w:t>
            </w:r>
          </w:p>
        </w:tc>
        <w:tc>
          <w:tcPr>
            <w:tcW w:w="1011" w:type="pct"/>
            <w:vAlign w:val="center"/>
          </w:tcPr>
          <w:p>
            <w:pPr>
              <w:spacing w:line="240" w:lineRule="auto"/>
              <w:ind w:firstLine="0" w:firstLineChars="0"/>
              <w:jc w:val="center"/>
              <w:rPr>
                <w:rFonts w:cs="Times New Roman"/>
                <w:sz w:val="21"/>
              </w:rPr>
            </w:pPr>
            <w:r>
              <w:rPr>
                <w:rFonts w:cs="Times New Roman"/>
                <w:sz w:val="21"/>
              </w:rPr>
              <w:t>泄漏</w:t>
            </w:r>
          </w:p>
        </w:tc>
        <w:tc>
          <w:tcPr>
            <w:tcW w:w="672" w:type="pct"/>
            <w:vAlign w:val="center"/>
          </w:tcPr>
          <w:p>
            <w:pPr>
              <w:spacing w:line="240" w:lineRule="auto"/>
              <w:ind w:firstLine="0" w:firstLineChars="0"/>
              <w:jc w:val="center"/>
              <w:rPr>
                <w:rFonts w:cs="Times New Roman"/>
                <w:sz w:val="21"/>
              </w:rPr>
            </w:pPr>
            <w:r>
              <w:rPr>
                <w:rFonts w:cs="Times New Roman"/>
                <w:sz w:val="21"/>
              </w:rPr>
              <w:t>泄漏进入大气环境</w:t>
            </w:r>
          </w:p>
        </w:tc>
        <w:tc>
          <w:tcPr>
            <w:tcW w:w="1262" w:type="pct"/>
            <w:vAlign w:val="center"/>
          </w:tcPr>
          <w:p>
            <w:pPr>
              <w:spacing w:line="240" w:lineRule="auto"/>
              <w:ind w:firstLine="0" w:firstLineChars="0"/>
              <w:jc w:val="center"/>
              <w:rPr>
                <w:rFonts w:cs="Times New Roman"/>
                <w:spacing w:val="-6"/>
                <w:sz w:val="21"/>
              </w:rPr>
            </w:pPr>
            <w:r>
              <w:rPr>
                <w:rFonts w:cs="Times New Roman"/>
                <w:spacing w:val="-6"/>
                <w:sz w:val="21"/>
              </w:rPr>
              <w:t>泄漏点周边的居民等大气环境敏感目标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74" w:type="pct"/>
            <w:vMerge w:val="continue"/>
            <w:tcBorders>
              <w:left w:val="nil"/>
            </w:tcBorders>
            <w:vAlign w:val="center"/>
          </w:tcPr>
          <w:p>
            <w:pPr>
              <w:spacing w:line="240" w:lineRule="auto"/>
              <w:ind w:firstLine="0" w:firstLineChars="0"/>
              <w:jc w:val="center"/>
              <w:rPr>
                <w:rFonts w:cs="Times New Roman"/>
                <w:sz w:val="21"/>
              </w:rPr>
            </w:pPr>
          </w:p>
        </w:tc>
        <w:tc>
          <w:tcPr>
            <w:tcW w:w="349" w:type="pct"/>
            <w:vMerge w:val="continue"/>
            <w:vAlign w:val="center"/>
          </w:tcPr>
          <w:p>
            <w:pPr>
              <w:spacing w:line="240" w:lineRule="auto"/>
              <w:ind w:firstLine="0" w:firstLineChars="0"/>
              <w:jc w:val="center"/>
              <w:rPr>
                <w:rFonts w:cs="Times New Roman"/>
                <w:sz w:val="21"/>
              </w:rPr>
            </w:pPr>
          </w:p>
        </w:tc>
        <w:tc>
          <w:tcPr>
            <w:tcW w:w="421" w:type="pct"/>
            <w:vMerge w:val="continue"/>
            <w:vAlign w:val="center"/>
          </w:tcPr>
          <w:p>
            <w:pPr>
              <w:spacing w:line="240" w:lineRule="auto"/>
              <w:ind w:firstLine="0" w:firstLineChars="0"/>
              <w:jc w:val="center"/>
              <w:rPr>
                <w:rFonts w:cs="Times New Roman"/>
                <w:sz w:val="21"/>
              </w:rPr>
            </w:pPr>
          </w:p>
        </w:tc>
        <w:tc>
          <w:tcPr>
            <w:tcW w:w="1010" w:type="pct"/>
            <w:vAlign w:val="center"/>
          </w:tcPr>
          <w:p>
            <w:pPr>
              <w:spacing w:line="240" w:lineRule="auto"/>
              <w:ind w:firstLine="0" w:firstLineChars="0"/>
              <w:jc w:val="center"/>
              <w:rPr>
                <w:rFonts w:cs="Times New Roman"/>
                <w:sz w:val="21"/>
              </w:rPr>
            </w:pPr>
            <w:r>
              <w:rPr>
                <w:rFonts w:cs="Times New Roman"/>
                <w:sz w:val="21"/>
              </w:rPr>
              <w:t>管道腐蚀穿孔、管道被破坏，天然气泄漏后遇明火</w:t>
            </w:r>
          </w:p>
        </w:tc>
        <w:tc>
          <w:tcPr>
            <w:tcW w:w="1011" w:type="pct"/>
            <w:vAlign w:val="center"/>
          </w:tcPr>
          <w:p>
            <w:pPr>
              <w:spacing w:line="240" w:lineRule="auto"/>
              <w:ind w:firstLine="0" w:firstLineChars="0"/>
              <w:jc w:val="center"/>
              <w:rPr>
                <w:rFonts w:cs="Times New Roman"/>
                <w:sz w:val="21"/>
              </w:rPr>
            </w:pPr>
            <w:r>
              <w:rPr>
                <w:rFonts w:cs="Times New Roman"/>
                <w:sz w:val="21"/>
              </w:rPr>
              <w:t>火灾、爆炸事故产生的次生污染</w:t>
            </w:r>
          </w:p>
        </w:tc>
        <w:tc>
          <w:tcPr>
            <w:tcW w:w="672" w:type="pct"/>
            <w:vAlign w:val="center"/>
          </w:tcPr>
          <w:p>
            <w:pPr>
              <w:spacing w:line="240" w:lineRule="auto"/>
              <w:ind w:firstLine="0" w:firstLineChars="0"/>
              <w:jc w:val="center"/>
              <w:rPr>
                <w:rFonts w:cs="Times New Roman"/>
                <w:sz w:val="21"/>
              </w:rPr>
            </w:pPr>
            <w:r>
              <w:rPr>
                <w:rFonts w:cs="Times New Roman"/>
                <w:sz w:val="21"/>
              </w:rPr>
              <w:t>泄漏进入大气环境</w:t>
            </w:r>
          </w:p>
        </w:tc>
        <w:tc>
          <w:tcPr>
            <w:tcW w:w="1262" w:type="pct"/>
            <w:vAlign w:val="center"/>
          </w:tcPr>
          <w:p>
            <w:pPr>
              <w:spacing w:line="240" w:lineRule="auto"/>
              <w:ind w:firstLine="0" w:firstLineChars="0"/>
              <w:jc w:val="center"/>
              <w:rPr>
                <w:rFonts w:cs="Times New Roman"/>
                <w:sz w:val="21"/>
              </w:rPr>
            </w:pPr>
            <w:r>
              <w:rPr>
                <w:rFonts w:cs="Times New Roman"/>
                <w:sz w:val="21"/>
              </w:rPr>
              <w:t>泄漏点周边的居民等大气环境敏感目标</w:t>
            </w:r>
          </w:p>
        </w:tc>
      </w:tr>
    </w:tbl>
    <w:p>
      <w:pPr>
        <w:ind w:firstLine="480"/>
        <w:rPr>
          <w:rFonts w:cs="Times New Roman"/>
        </w:rPr>
      </w:pPr>
      <w:r>
        <w:rPr>
          <w:rFonts w:hint="eastAsia" w:cs="Times New Roman"/>
        </w:rPr>
        <w:t>本项目管道</w:t>
      </w:r>
      <w:r>
        <w:rPr>
          <w:rFonts w:cs="Times New Roman"/>
        </w:rPr>
        <w:t>为一个风险单元</w:t>
      </w:r>
      <w:r>
        <w:rPr>
          <w:rFonts w:hint="eastAsia" w:cs="Times New Roman"/>
        </w:rPr>
        <w:t>，</w:t>
      </w:r>
      <w:r>
        <w:rPr>
          <w:rFonts w:cs="Times New Roman"/>
        </w:rPr>
        <w:t>图示如下图。</w:t>
      </w:r>
    </w:p>
    <w:p>
      <w:pPr>
        <w:ind w:firstLine="480"/>
        <w:jc w:val="center"/>
        <w:rPr>
          <w:rFonts w:cs="Times New Roman"/>
        </w:rPr>
      </w:pPr>
      <w:r>
        <w:t>******</w:t>
      </w:r>
    </w:p>
    <w:p>
      <w:pPr>
        <w:pStyle w:val="57"/>
        <w:ind w:firstLine="480"/>
      </w:pPr>
      <w:r>
        <w:t>图</w:t>
      </w:r>
      <w:r>
        <w:fldChar w:fldCharType="begin"/>
      </w:r>
      <w:r>
        <w:instrText xml:space="preserve"> STYLEREF 2 \s </w:instrText>
      </w:r>
      <w:r>
        <w:fldChar w:fldCharType="separate"/>
      </w:r>
      <w:r>
        <w:t>8.6</w:t>
      </w:r>
      <w:r>
        <w:fldChar w:fldCharType="end"/>
      </w:r>
      <w:r>
        <w:noBreakHyphen/>
      </w:r>
      <w:r>
        <w:fldChar w:fldCharType="begin"/>
      </w:r>
      <w:r>
        <w:instrText xml:space="preserve"> SEQ 图 \* ARABIC \s 2 </w:instrText>
      </w:r>
      <w:r>
        <w:fldChar w:fldCharType="separate"/>
      </w:r>
      <w:r>
        <w:t>1</w:t>
      </w:r>
      <w:r>
        <w:fldChar w:fldCharType="end"/>
      </w:r>
      <w:r>
        <w:t xml:space="preserve"> 风险单元分布图</w:t>
      </w:r>
    </w:p>
    <w:p>
      <w:pPr>
        <w:pStyle w:val="4"/>
        <w:spacing w:before="240"/>
        <w:rPr>
          <w:rFonts w:cs="Times New Roman"/>
        </w:rPr>
      </w:pPr>
      <w:bookmarkStart w:id="304" w:name="_Toc57711061"/>
      <w:bookmarkStart w:id="305" w:name="_Toc69044765"/>
      <w:r>
        <w:rPr>
          <w:rFonts w:cs="Times New Roman"/>
        </w:rPr>
        <w:t xml:space="preserve"> </w:t>
      </w:r>
      <w:bookmarkStart w:id="306" w:name="_Toc96680750"/>
      <w:r>
        <w:rPr>
          <w:rFonts w:cs="Times New Roman"/>
        </w:rPr>
        <w:t>环境风险分析</w:t>
      </w:r>
      <w:bookmarkEnd w:id="304"/>
      <w:bookmarkEnd w:id="305"/>
      <w:bookmarkEnd w:id="306"/>
    </w:p>
    <w:p>
      <w:pPr>
        <w:pStyle w:val="214"/>
        <w:ind w:firstLine="480"/>
      </w:pPr>
      <w:r>
        <w:rPr>
          <w:rFonts w:hint="eastAsia"/>
        </w:rPr>
        <w:t>本项目只涉及大气风险，不涉及涉水风险。大气风险主要为天然气泄漏风险影响和</w:t>
      </w:r>
      <w:r>
        <w:t>火灾、爆炸次生污染物的影响。其余影响为对沿线农作物及林木的影响。</w:t>
      </w:r>
    </w:p>
    <w:p>
      <w:pPr>
        <w:pStyle w:val="5"/>
      </w:pPr>
      <w:r>
        <w:rPr>
          <w:rFonts w:hint="eastAsia"/>
        </w:rPr>
        <w:t xml:space="preserve"> </w:t>
      </w:r>
      <w:bookmarkStart w:id="307" w:name="_Toc96680751"/>
      <w:r>
        <w:t>天然气泄漏风险影响分析</w:t>
      </w:r>
      <w:bookmarkEnd w:id="307"/>
    </w:p>
    <w:p>
      <w:pPr>
        <w:pStyle w:val="214"/>
        <w:ind w:firstLine="480"/>
      </w:pPr>
      <w:r>
        <w:t>本项目集输管线发生泄漏事故后，自控系统控制的截断阀能在2min内截断上游气源，草池站截断阀在第一时间响应关闭并启动放</w:t>
      </w:r>
      <w:r>
        <w:rPr>
          <w:rFonts w:hint="eastAsia"/>
        </w:rPr>
        <w:t>空</w:t>
      </w:r>
      <w:r>
        <w:t>程序，最大泄漏量为管线在线量和2min的天然气流量。根据源强计算，涪阳阀室和草池站间管段距离约</w:t>
      </w:r>
      <w:r>
        <w:rPr>
          <w:rFonts w:hint="eastAsia"/>
        </w:rPr>
        <w:t>8.745km，</w:t>
      </w:r>
      <w:r>
        <w:t>管道最大在线量约</w:t>
      </w:r>
      <w:r>
        <w:rPr>
          <w:rFonts w:hint="eastAsia"/>
        </w:rPr>
        <w:t>21.61</w:t>
      </w:r>
      <w:r>
        <w:t>t，</w:t>
      </w:r>
      <w:r>
        <w:rPr>
          <w:rFonts w:hint="eastAsia"/>
        </w:rPr>
        <w:t>2min的输送量为1.23</w:t>
      </w:r>
      <w:r>
        <w:t>t，最大泄漏量为</w:t>
      </w:r>
      <w:r>
        <w:rPr>
          <w:rFonts w:hint="eastAsia"/>
        </w:rPr>
        <w:t>22.84t</w:t>
      </w:r>
      <w:r>
        <w:t>。由于天然气主要成份为甲烷，其密度比空气的一半还小，且稀释扩散很快，对环境、人和动物的影响是局部影响，</w:t>
      </w:r>
      <w:r>
        <w:rPr>
          <w:rFonts w:hint="eastAsia"/>
        </w:rPr>
        <w:t>5</w:t>
      </w:r>
      <w:r>
        <w:t>00m范围采取及时</w:t>
      </w:r>
      <w:r>
        <w:rPr>
          <w:rFonts w:hint="eastAsia"/>
        </w:rPr>
        <w:t>撤离</w:t>
      </w:r>
      <w:r>
        <w:t>后对周边人和动物的影响</w:t>
      </w:r>
      <w:r>
        <w:rPr>
          <w:rFonts w:hint="eastAsia"/>
        </w:rPr>
        <w:t>较小</w:t>
      </w:r>
      <w:r>
        <w:t>。因此，对大气环境影响小。</w:t>
      </w:r>
    </w:p>
    <w:p>
      <w:pPr>
        <w:pStyle w:val="5"/>
      </w:pPr>
      <w:r>
        <w:rPr>
          <w:rFonts w:hint="eastAsia"/>
        </w:rPr>
        <w:t xml:space="preserve"> </w:t>
      </w:r>
      <w:bookmarkStart w:id="308" w:name="_Toc96680752"/>
      <w:r>
        <w:t>火灾、爆炸次生污染物影响分析</w:t>
      </w:r>
      <w:bookmarkEnd w:id="308"/>
    </w:p>
    <w:p>
      <w:pPr>
        <w:pStyle w:val="214"/>
        <w:ind w:firstLine="480"/>
      </w:pPr>
      <w:r>
        <w:t>集输管线发生天然气泄漏后遇明火燃烧</w:t>
      </w:r>
      <w:r>
        <w:rPr>
          <w:rFonts w:hint="eastAsia"/>
        </w:rPr>
        <w:t>、爆炸</w:t>
      </w:r>
      <w:r>
        <w:t>等情形产生污染物对大气将产生一定的影响。由于本项目输送的天然气不含硫，发生燃烧事故时，不会产生二氧化硫污染物。由于本项目可能发生火灾爆炸的部位位于露天环境，燃烧物质与空气接触较充分，充分燃烧情况下燃烧产物主要为CO</w:t>
      </w:r>
      <w:r>
        <w:rPr>
          <w:vertAlign w:val="subscript"/>
        </w:rPr>
        <w:t>2</w:t>
      </w:r>
      <w:r>
        <w:t>，毒性较大的CO的量相对较少。且本项目处于农村环境，周边大气敏感点分散，且环境空气流通性较好，CO对大气产生的影响较小。</w:t>
      </w:r>
    </w:p>
    <w:p>
      <w:pPr>
        <w:pStyle w:val="214"/>
        <w:ind w:firstLine="480"/>
      </w:pPr>
      <w:r>
        <w:rPr>
          <w:rFonts w:ascii="宋体" w:hAnsi="宋体"/>
        </w:rPr>
        <w:t>为了</w:t>
      </w:r>
      <w:r>
        <w:t>保护周围居民生命安全和健康</w:t>
      </w:r>
      <w:r>
        <w:rPr>
          <w:rFonts w:hint="eastAsia"/>
        </w:rPr>
        <w:t>，本项目采气站泄露后，立即组织5</w:t>
      </w:r>
      <w:r>
        <w:t>00m</w:t>
      </w:r>
      <w:r>
        <w:rPr>
          <w:rFonts w:hint="eastAsia"/>
        </w:rPr>
        <w:t>应急计划</w:t>
      </w:r>
      <w:r>
        <w:t>区</w:t>
      </w:r>
      <w:r>
        <w:rPr>
          <w:rFonts w:hint="eastAsia"/>
        </w:rPr>
        <w:t>范围内人员</w:t>
      </w:r>
      <w:r>
        <w:t>进行</w:t>
      </w:r>
      <w:r>
        <w:rPr>
          <w:rFonts w:hint="eastAsia"/>
        </w:rPr>
        <w:t>应急</w:t>
      </w:r>
      <w:r>
        <w:t>撤离</w:t>
      </w:r>
      <w:r>
        <w:rPr>
          <w:rFonts w:hint="eastAsia"/>
        </w:rPr>
        <w:t>。同时实施</w:t>
      </w:r>
      <w:r>
        <w:t>应急监测</w:t>
      </w:r>
      <w:r>
        <w:rPr>
          <w:rFonts w:hint="eastAsia"/>
        </w:rPr>
        <w:t>，</w:t>
      </w:r>
      <w:r>
        <w:t>根据监测结果及时扩大撤离</w:t>
      </w:r>
      <w:r>
        <w:rPr>
          <w:rFonts w:hint="eastAsia"/>
        </w:rPr>
        <w:t>范围</w:t>
      </w:r>
      <w:r>
        <w:t>。</w:t>
      </w:r>
      <w:r>
        <w:rPr>
          <w:rFonts w:hint="eastAsia"/>
        </w:rPr>
        <w:t>采取以上</w:t>
      </w:r>
      <w:r>
        <w:t>应急措施后，</w:t>
      </w:r>
      <w:r>
        <w:rPr>
          <w:rFonts w:hint="eastAsia"/>
        </w:rPr>
        <w:t>天然气</w:t>
      </w:r>
      <w:r>
        <w:t>泄漏</w:t>
      </w:r>
      <w:r>
        <w:rPr>
          <w:rFonts w:hint="eastAsia" w:ascii="宋体" w:hAnsi="宋体"/>
        </w:rPr>
        <w:t>对大气环境影响小。</w:t>
      </w:r>
      <w:bookmarkStart w:id="309" w:name="_Toc69044769"/>
      <w:bookmarkStart w:id="310" w:name="_Toc57711063"/>
    </w:p>
    <w:p>
      <w:pPr>
        <w:pStyle w:val="5"/>
      </w:pPr>
      <w:r>
        <w:rPr>
          <w:rFonts w:hint="eastAsia"/>
        </w:rPr>
        <w:t xml:space="preserve"> </w:t>
      </w:r>
      <w:bookmarkStart w:id="311" w:name="_Toc96680753"/>
      <w:r>
        <w:rPr>
          <w:rFonts w:hint="eastAsia"/>
        </w:rPr>
        <w:t>对沿线农作物的影响分析</w:t>
      </w:r>
      <w:bookmarkEnd w:id="311"/>
    </w:p>
    <w:p>
      <w:pPr>
        <w:ind w:firstLine="480"/>
        <w:rPr>
          <w:rFonts w:cs="Times New Roman"/>
          <w:kern w:val="0"/>
          <w:szCs w:val="24"/>
        </w:rPr>
      </w:pPr>
      <w:r>
        <w:rPr>
          <w:rFonts w:cs="Times New Roman"/>
          <w:kern w:val="0"/>
          <w:szCs w:val="24"/>
        </w:rPr>
        <w:t>管道经过的部分区域属于农作物种植区，且多为水稻、玉米等作物及菜地，天然气泄漏对农作物影响不大，主要体现在泄漏后燃烧对农作物的直接焚毁。</w:t>
      </w:r>
    </w:p>
    <w:p>
      <w:pPr>
        <w:pStyle w:val="136"/>
        <w:spacing w:before="0" w:after="0"/>
      </w:pPr>
      <w:r>
        <w:t>事故产生的影响一般在</w:t>
      </w:r>
      <w:r>
        <w:rPr>
          <w:rFonts w:ascii="Times New Roman" w:hAnsi="Times New Roman"/>
        </w:rPr>
        <w:t>半径100m范</w:t>
      </w:r>
      <w:r>
        <w:t>围内，影响时间相对较短，在发生事故时，应加强对抢维修作业的管理，把环境影响降到最低程度。</w:t>
      </w:r>
    </w:p>
    <w:p>
      <w:pPr>
        <w:pStyle w:val="5"/>
        <w:rPr>
          <w:rFonts w:cs="Times New Roman"/>
        </w:rPr>
      </w:pPr>
      <w:bookmarkStart w:id="312" w:name="_Toc49803686"/>
      <w:bookmarkStart w:id="313" w:name="_Toc27899"/>
      <w:bookmarkStart w:id="314" w:name="_Toc89009771"/>
      <w:r>
        <w:rPr>
          <w:rFonts w:hint="eastAsia" w:cs="Times New Roman"/>
        </w:rPr>
        <w:t xml:space="preserve"> </w:t>
      </w:r>
      <w:bookmarkStart w:id="315" w:name="_Toc96680754"/>
      <w:r>
        <w:rPr>
          <w:rFonts w:cs="Times New Roman"/>
        </w:rPr>
        <w:t>对沿线林地植被影响分析</w:t>
      </w:r>
      <w:bookmarkEnd w:id="312"/>
      <w:bookmarkEnd w:id="313"/>
      <w:bookmarkEnd w:id="314"/>
      <w:bookmarkEnd w:id="315"/>
    </w:p>
    <w:p>
      <w:pPr>
        <w:ind w:firstLine="480"/>
        <w:rPr>
          <w:rFonts w:cs="Times New Roman"/>
          <w:kern w:val="0"/>
          <w:szCs w:val="24"/>
        </w:rPr>
      </w:pPr>
      <w:r>
        <w:rPr>
          <w:rFonts w:cs="Times New Roman"/>
          <w:kern w:val="0"/>
          <w:szCs w:val="24"/>
        </w:rPr>
        <w:t>如果在处理泄漏事故时，由于误操作引发火灾、爆炸，发生火灾的地方为林场、森林一类的植被茂密地区，在一定的气象条件下还可能引发森林大火，这会给当地的生态环境造成极大的破坏。事故状态下，主要事故类型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pPr>
        <w:ind w:firstLine="480"/>
        <w:rPr>
          <w:rFonts w:cs="Times New Roman"/>
          <w:kern w:val="0"/>
          <w:szCs w:val="24"/>
        </w:rPr>
      </w:pPr>
      <w:r>
        <w:rPr>
          <w:rFonts w:cs="Times New Roman"/>
          <w:kern w:val="0"/>
          <w:szCs w:val="24"/>
        </w:rPr>
        <w:t>1）直接伤害的生物资源，包括动物、植物、微生物等。</w:t>
      </w:r>
    </w:p>
    <w:p>
      <w:pPr>
        <w:ind w:firstLine="480"/>
        <w:rPr>
          <w:rFonts w:cs="Times New Roman"/>
          <w:kern w:val="0"/>
          <w:szCs w:val="24"/>
        </w:rPr>
      </w:pPr>
      <w:r>
        <w:rPr>
          <w:rFonts w:cs="Times New Roman"/>
          <w:kern w:val="0"/>
          <w:szCs w:val="24"/>
        </w:rPr>
        <w:t>2）改变土壤的温度、结构、理化性质、肥力、土壤微生物含量等。</w:t>
      </w:r>
    </w:p>
    <w:p>
      <w:pPr>
        <w:ind w:firstLine="480"/>
        <w:rPr>
          <w:rFonts w:cs="Times New Roman"/>
          <w:kern w:val="0"/>
          <w:szCs w:val="24"/>
        </w:rPr>
      </w:pPr>
      <w:r>
        <w:rPr>
          <w:rFonts w:cs="Times New Roman"/>
          <w:kern w:val="0"/>
          <w:szCs w:val="24"/>
        </w:rPr>
        <w:t>3）改变野生动物的栖息环境、食源、种间竞争关系、野生动物之间的捕食与被捕食关系等。</w:t>
      </w:r>
    </w:p>
    <w:p>
      <w:pPr>
        <w:ind w:firstLine="480"/>
        <w:rPr>
          <w:rFonts w:cs="Times New Roman"/>
          <w:kern w:val="0"/>
          <w:szCs w:val="24"/>
        </w:rPr>
      </w:pPr>
      <w:r>
        <w:rPr>
          <w:rFonts w:cs="Times New Roman"/>
          <w:kern w:val="0"/>
          <w:szCs w:val="24"/>
        </w:rPr>
        <w:t>4）对植物的影响表现为直接伤害、促进、引起植物种群和群落的变化。</w:t>
      </w:r>
    </w:p>
    <w:p>
      <w:pPr>
        <w:ind w:firstLine="480"/>
        <w:rPr>
          <w:rFonts w:cs="Times New Roman"/>
          <w:kern w:val="0"/>
          <w:szCs w:val="24"/>
        </w:rPr>
      </w:pPr>
      <w:r>
        <w:rPr>
          <w:rFonts w:cs="Times New Roman"/>
          <w:kern w:val="0"/>
          <w:szCs w:val="24"/>
        </w:rPr>
        <w:t>根据国际国内的类比调查，同类天然气输送管路工程运行阶段发生泄漏引起爆炸、火灾的几率非常低。尽管如此，在该工程的运行阶段，对其发生的风险应</w:t>
      </w:r>
      <w:r>
        <w:rPr>
          <w:rFonts w:hint="eastAsia" w:cs="Times New Roman"/>
          <w:kern w:val="0"/>
          <w:szCs w:val="24"/>
        </w:rPr>
        <w:t>给予</w:t>
      </w:r>
      <w:r>
        <w:rPr>
          <w:rFonts w:cs="Times New Roman"/>
          <w:kern w:val="0"/>
          <w:szCs w:val="24"/>
        </w:rPr>
        <w:t>足够的重视，采取必要的防范、防护措施，主要从施工阶段和运行阶段采取防护措施。</w:t>
      </w:r>
    </w:p>
    <w:p>
      <w:pPr>
        <w:ind w:firstLine="480"/>
        <w:rPr>
          <w:rFonts w:cs="Times New Roman"/>
          <w:kern w:val="0"/>
          <w:szCs w:val="24"/>
        </w:rPr>
      </w:pPr>
      <w:r>
        <w:rPr>
          <w:rFonts w:cs="Times New Roman"/>
          <w:kern w:val="0"/>
          <w:szCs w:val="24"/>
        </w:rPr>
        <w:t>在管道经过林区段，分别采取营造生物防火带、加强瞭望、巡视等措施，严格规范管道维修、维护操作规程等措施，防止事故或处理事故时引起森林火灾。</w:t>
      </w:r>
    </w:p>
    <w:p>
      <w:pPr>
        <w:ind w:firstLine="480"/>
        <w:rPr>
          <w:rFonts w:cs="Times New Roman"/>
          <w:kern w:val="0"/>
          <w:szCs w:val="24"/>
        </w:rPr>
      </w:pPr>
      <w:r>
        <w:rPr>
          <w:rFonts w:cs="Times New Roman"/>
          <w:kern w:val="0"/>
          <w:szCs w:val="24"/>
        </w:rPr>
        <w:t>（1）快速关断上下游气源；</w:t>
      </w:r>
    </w:p>
    <w:p>
      <w:pPr>
        <w:ind w:firstLine="480"/>
        <w:rPr>
          <w:rFonts w:cs="Times New Roman"/>
          <w:kern w:val="0"/>
          <w:szCs w:val="24"/>
        </w:rPr>
      </w:pPr>
      <w:r>
        <w:rPr>
          <w:rFonts w:cs="Times New Roman"/>
          <w:kern w:val="0"/>
          <w:szCs w:val="24"/>
        </w:rPr>
        <w:t>（2）如有火情，请求当地消防部门的支援，组织尽快灭火；</w:t>
      </w:r>
    </w:p>
    <w:p>
      <w:pPr>
        <w:ind w:firstLine="480"/>
        <w:rPr>
          <w:rFonts w:cs="Times New Roman"/>
          <w:kern w:val="0"/>
          <w:szCs w:val="24"/>
        </w:rPr>
      </w:pPr>
      <w:r>
        <w:rPr>
          <w:rFonts w:cs="Times New Roman"/>
          <w:kern w:val="0"/>
          <w:szCs w:val="24"/>
        </w:rPr>
        <w:t>（3）如火势较大，配合消防部门在事故现场周围开挖防火沟或防火带，避免火势继续蔓延；</w:t>
      </w:r>
    </w:p>
    <w:p>
      <w:pPr>
        <w:ind w:firstLine="480"/>
        <w:rPr>
          <w:rFonts w:cs="Times New Roman"/>
          <w:kern w:val="0"/>
          <w:szCs w:val="24"/>
        </w:rPr>
      </w:pPr>
      <w:r>
        <w:rPr>
          <w:rFonts w:cs="Times New Roman"/>
          <w:kern w:val="0"/>
          <w:szCs w:val="24"/>
        </w:rPr>
        <w:t>（4）通知保护区管理部门，采取必要的预防措施，控制对周边环境的影响；</w:t>
      </w:r>
    </w:p>
    <w:p>
      <w:pPr>
        <w:ind w:firstLine="480"/>
        <w:rPr>
          <w:rFonts w:cs="Times New Roman"/>
          <w:kern w:val="0"/>
          <w:szCs w:val="24"/>
        </w:rPr>
      </w:pPr>
      <w:r>
        <w:rPr>
          <w:rFonts w:cs="Times New Roman"/>
          <w:kern w:val="0"/>
          <w:szCs w:val="24"/>
        </w:rPr>
        <w:t>（5）如尚未发生火情，应与当地公安部门联系，对天然气的扩散范围实施警戒，设置警戒线，控制人员、车辆和火源，避免进一步灾害发生；由于环境风险具有突发性和破坏性（有时甚至为灾难性）的特点，所以必须采取措施加以防范，加强控制和管理是杜绝、减轻和避免环境风险的有效办法。沿线要加大力度进行《中华人民共和国石油天然气管道保护法》（2010年10月1日）的宣传，强化“保护管道安全就是保护沿线群众自身安全”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w:t>
      </w:r>
    </w:p>
    <w:p>
      <w:pPr>
        <w:pStyle w:val="4"/>
        <w:rPr>
          <w:rFonts w:cs="Times New Roman"/>
        </w:rPr>
      </w:pPr>
      <w:r>
        <w:rPr>
          <w:rFonts w:hint="eastAsia" w:cs="Times New Roman"/>
        </w:rPr>
        <w:t xml:space="preserve"> </w:t>
      </w:r>
      <w:bookmarkStart w:id="316" w:name="_Toc96680755"/>
      <w:r>
        <w:rPr>
          <w:rFonts w:cs="Times New Roman"/>
        </w:rPr>
        <w:t>环境风险管理</w:t>
      </w:r>
      <w:bookmarkEnd w:id="309"/>
      <w:bookmarkEnd w:id="310"/>
      <w:bookmarkEnd w:id="316"/>
    </w:p>
    <w:p>
      <w:pPr>
        <w:pStyle w:val="5"/>
        <w:rPr>
          <w:rFonts w:cs="Times New Roman"/>
        </w:rPr>
      </w:pPr>
      <w:r>
        <w:rPr>
          <w:rFonts w:cs="Times New Roman"/>
        </w:rPr>
        <w:t xml:space="preserve"> </w:t>
      </w:r>
      <w:bookmarkStart w:id="317" w:name="_Toc69044770"/>
      <w:bookmarkStart w:id="318" w:name="_Toc96680756"/>
      <w:r>
        <w:rPr>
          <w:rFonts w:cs="Times New Roman"/>
        </w:rPr>
        <w:t>环境风险管理目标</w:t>
      </w:r>
      <w:bookmarkEnd w:id="317"/>
      <w:bookmarkEnd w:id="318"/>
    </w:p>
    <w:p>
      <w:pPr>
        <w:ind w:firstLine="480"/>
        <w:rPr>
          <w:rFonts w:cs="Times New Roman"/>
        </w:rPr>
      </w:pPr>
      <w:r>
        <w:rPr>
          <w:rFonts w:cs="Times New Roman"/>
        </w:rPr>
        <w:t xml:space="preserve">环境风险管理目标是采用最低合理可行原则管控环境风险。采取的环境风险防范措施应与社会经济技术发展水平相适应，运用科学的技术手段和管理方法，对环境风险进行有效的预防、监控、响应。 </w:t>
      </w:r>
    </w:p>
    <w:p>
      <w:pPr>
        <w:ind w:firstLine="480"/>
        <w:rPr>
          <w:rFonts w:cs="Times New Roman"/>
        </w:rPr>
      </w:pPr>
      <w:r>
        <w:rPr>
          <w:rFonts w:cs="Times New Roman"/>
        </w:rPr>
        <w:t>本项目建设单位制定环境保护管理规定，建立并运行健康、安全与环境管理体系，采取环境风险防范和应急措施，防止发生由突发性油气泄漏产生的环境事故。</w:t>
      </w:r>
    </w:p>
    <w:p>
      <w:pPr>
        <w:pStyle w:val="5"/>
        <w:rPr>
          <w:rFonts w:cs="Times New Roman"/>
        </w:rPr>
      </w:pPr>
      <w:bookmarkStart w:id="319" w:name="_Toc69044771"/>
      <w:r>
        <w:rPr>
          <w:rFonts w:cs="Times New Roman"/>
        </w:rPr>
        <w:t xml:space="preserve"> </w:t>
      </w:r>
      <w:bookmarkStart w:id="320" w:name="_Toc96680757"/>
      <w:r>
        <w:rPr>
          <w:rFonts w:cs="Times New Roman"/>
        </w:rPr>
        <w:t>环境风险防范措施</w:t>
      </w:r>
      <w:bookmarkEnd w:id="319"/>
      <w:bookmarkEnd w:id="320"/>
    </w:p>
    <w:p>
      <w:pPr>
        <w:pStyle w:val="6"/>
      </w:pPr>
      <w:bookmarkStart w:id="321" w:name="_Toc715"/>
      <w:bookmarkStart w:id="322" w:name="_Toc49803688"/>
      <w:bookmarkStart w:id="323" w:name="_Toc89009773"/>
      <w:r>
        <w:rPr>
          <w:rFonts w:hint="eastAsia"/>
        </w:rPr>
        <w:t xml:space="preserve"> </w:t>
      </w:r>
      <w:r>
        <w:t>工程前期及设计阶段事故风险防范措施</w:t>
      </w:r>
      <w:bookmarkEnd w:id="321"/>
      <w:bookmarkEnd w:id="322"/>
      <w:bookmarkEnd w:id="323"/>
    </w:p>
    <w:p>
      <w:pPr>
        <w:pStyle w:val="214"/>
        <w:ind w:firstLine="482"/>
        <w:rPr>
          <w:b/>
        </w:rPr>
      </w:pPr>
      <w:r>
        <w:rPr>
          <w:b/>
        </w:rPr>
        <w:t>（</w:t>
      </w:r>
      <w:r>
        <w:rPr>
          <w:rFonts w:hint="eastAsia"/>
          <w:b/>
        </w:rPr>
        <w:t>1</w:t>
      </w:r>
      <w:r>
        <w:rPr>
          <w:b/>
        </w:rPr>
        <w:t>）管道风险防范措施</w:t>
      </w:r>
    </w:p>
    <w:p>
      <w:pPr>
        <w:pStyle w:val="214"/>
        <w:ind w:firstLine="480"/>
      </w:pPr>
      <w:r>
        <w:rPr>
          <w:rFonts w:hint="eastAsia" w:ascii="宋体" w:hAnsi="宋体" w:cs="宋体"/>
        </w:rPr>
        <w:t>①</w:t>
      </w:r>
      <w:r>
        <w:t>选择线路走向时，尽可能避开居民区以及复杂地质段及密集林区，以减少由于不良地质造成管道泄漏事故，以及天然气泄漏引起的火灾、爆炸事故对居民危害及林业经济损失。</w:t>
      </w:r>
    </w:p>
    <w:p>
      <w:pPr>
        <w:pStyle w:val="214"/>
        <w:ind w:firstLine="480"/>
      </w:pPr>
      <w:r>
        <w:rPr>
          <w:rFonts w:hint="eastAsia" w:ascii="宋体" w:hAnsi="宋体" w:cs="宋体"/>
        </w:rPr>
        <w:t>②</w:t>
      </w:r>
      <w:r>
        <w:t>尽可能避开滑坡、沼泽或软土、泥石流等不良工程地质地段。当避开有困难时，应选择合适的位置和方式通过。</w:t>
      </w:r>
    </w:p>
    <w:p>
      <w:pPr>
        <w:pStyle w:val="214"/>
        <w:ind w:firstLine="480"/>
      </w:pPr>
      <w:r>
        <w:rPr>
          <w:rFonts w:hint="eastAsia" w:ascii="宋体" w:hAnsi="宋体" w:cs="宋体"/>
        </w:rPr>
        <w:t>③</w:t>
      </w:r>
      <w:r>
        <w:t>在地震动峰值加速度等于或大于0.1g的地区，管道宜从断层位移较小和较窄的地区通过，并应采取必要的工程措施。管道不宜敷设在由于发生地震而可能引起滑坡、山崩、地陷、地裂、泥石流以及沙土液化等地段。</w:t>
      </w:r>
    </w:p>
    <w:p>
      <w:pPr>
        <w:spacing w:line="520" w:lineRule="exact"/>
        <w:ind w:firstLine="482"/>
        <w:rPr>
          <w:b/>
        </w:rPr>
      </w:pPr>
      <w:r>
        <w:rPr>
          <w:b/>
        </w:rPr>
        <w:t>（</w:t>
      </w:r>
      <w:r>
        <w:rPr>
          <w:rFonts w:hint="eastAsia"/>
          <w:b/>
        </w:rPr>
        <w:t>2</w:t>
      </w:r>
      <w:r>
        <w:rPr>
          <w:b/>
        </w:rPr>
        <w:t>）设计中体现的风险防范措施</w:t>
      </w:r>
    </w:p>
    <w:p>
      <w:pPr>
        <w:ind w:firstLine="480"/>
        <w:rPr>
          <w:rFonts w:cs="Times New Roman"/>
          <w:kern w:val="0"/>
          <w:szCs w:val="24"/>
        </w:rPr>
      </w:pPr>
      <w:r>
        <w:rPr>
          <w:rFonts w:hint="eastAsia" w:ascii="宋体" w:hAnsi="宋体" w:cs="宋体"/>
          <w:kern w:val="0"/>
          <w:szCs w:val="24"/>
        </w:rPr>
        <w:t>①</w:t>
      </w:r>
      <w:r>
        <w:rPr>
          <w:rFonts w:cs="Times New Roman"/>
          <w:kern w:val="0"/>
          <w:szCs w:val="24"/>
        </w:rPr>
        <w:t>对管道沿线人口密集、房屋距管线较近、由于地形地质等原因导致管线与其它基础设施距离达不到规范要求的地段、距离其它管线较近地段、水源地等敏感地区，提高设计系数，增加管线壁厚，以及其它保护管道的措施，以增强管道抵抗外部可能造成破坏的能力。</w:t>
      </w:r>
    </w:p>
    <w:p>
      <w:pPr>
        <w:ind w:firstLine="480"/>
        <w:rPr>
          <w:rFonts w:cs="Times New Roman"/>
          <w:kern w:val="0"/>
          <w:szCs w:val="24"/>
        </w:rPr>
      </w:pPr>
      <w:r>
        <w:rPr>
          <w:rFonts w:hint="eastAsia" w:ascii="宋体" w:hAnsi="宋体" w:cs="宋体"/>
          <w:kern w:val="0"/>
          <w:szCs w:val="24"/>
        </w:rPr>
        <w:t>②</w:t>
      </w:r>
      <w:r>
        <w:rPr>
          <w:rFonts w:cs="Times New Roman"/>
          <w:kern w:val="0"/>
          <w:szCs w:val="24"/>
        </w:rPr>
        <w:t>对不良地质地段的泥石流、滑坡、崩塌等进行调查，并提出的治理措施进行地质灾害治理措施设计。</w:t>
      </w:r>
    </w:p>
    <w:p>
      <w:pPr>
        <w:ind w:firstLine="480"/>
        <w:rPr>
          <w:rFonts w:cs="Times New Roman"/>
          <w:kern w:val="0"/>
          <w:szCs w:val="24"/>
        </w:rPr>
      </w:pPr>
      <w:r>
        <w:rPr>
          <w:rFonts w:hint="eastAsia" w:ascii="宋体" w:hAnsi="宋体" w:cs="宋体"/>
          <w:kern w:val="0"/>
          <w:szCs w:val="24"/>
        </w:rPr>
        <w:t>③</w:t>
      </w:r>
      <w:r>
        <w:rPr>
          <w:rFonts w:cs="Times New Roman"/>
          <w:kern w:val="0"/>
          <w:szCs w:val="24"/>
        </w:rPr>
        <w:t>在断层、地震带内敷设管道时，采用浅埋措施，管道回填厚度应适当减小（不宜超过1.2m），管道回填土可采用疏松至中等密度的无粘性材料，断层过渡段可设有膨胀节，断层区管道不宜采用不同直径和壁厚的钢管，断层过渡段不宜设三通、旁通和阀门等部件，增加管道柔性（采用合适的管材、接头采用柔性连接等）。</w:t>
      </w:r>
    </w:p>
    <w:p>
      <w:pPr>
        <w:pStyle w:val="6"/>
      </w:pPr>
      <w:bookmarkStart w:id="324" w:name="_Toc49803689"/>
      <w:bookmarkStart w:id="325" w:name="_Toc542"/>
      <w:bookmarkStart w:id="326" w:name="_Toc89009774"/>
      <w:r>
        <w:rPr>
          <w:rFonts w:hint="eastAsia" w:ascii="宋体" w:hAnsi="宋体" w:cs="宋体"/>
          <w:kern w:val="0"/>
          <w:szCs w:val="24"/>
        </w:rPr>
        <w:t xml:space="preserve"> </w:t>
      </w:r>
      <w:r>
        <w:t>施工阶段事故防范措施</w:t>
      </w:r>
      <w:bookmarkEnd w:id="324"/>
      <w:bookmarkEnd w:id="325"/>
      <w:bookmarkEnd w:id="326"/>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⑴</w:t>
      </w:r>
      <w:r>
        <w:rPr>
          <w:rFonts w:cs="Times New Roman"/>
          <w:kern w:val="0"/>
          <w:szCs w:val="24"/>
        </w:rPr>
        <w:fldChar w:fldCharType="end"/>
      </w:r>
      <w:r>
        <w:rPr>
          <w:rFonts w:cs="Times New Roman"/>
          <w:kern w:val="0"/>
          <w:szCs w:val="24"/>
        </w:rPr>
        <w:t>对于林地区内的管道施工，管沟成型组焊前，应清除管沟附近的树枝、树叶，组焊建议采用沟下焊方式；焊接过程中，应对焊接区一定范围设置临时的隔阻材料（如钢板），防止电弧和火花进入林区；严禁在树林边或树林内吸烟、引弧；对于材料中的易燃物质，应设置于空旷的场地且远离焊接区；施工中应配备一定数量的移动灭火器。</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2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⑵</w:t>
      </w:r>
      <w:r>
        <w:rPr>
          <w:rFonts w:cs="Times New Roman"/>
          <w:kern w:val="0"/>
          <w:szCs w:val="24"/>
        </w:rPr>
        <w:fldChar w:fldCharType="end"/>
      </w:r>
      <w:r>
        <w:rPr>
          <w:rFonts w:cs="Times New Roman"/>
          <w:kern w:val="0"/>
          <w:szCs w:val="24"/>
        </w:rPr>
        <w:t>试压过程中用氮气吹扫管线时，吹扫口应选择在空旷开阔的地区，其前方100m，左右50m以内不得有人、畜和火源。吹扫口50m范围内应有专人警戒，有具体的防火、防爆措施。</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3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⑶</w:t>
      </w:r>
      <w:r>
        <w:rPr>
          <w:rFonts w:cs="Times New Roman"/>
          <w:kern w:val="0"/>
          <w:szCs w:val="24"/>
        </w:rPr>
        <w:fldChar w:fldCharType="end"/>
      </w:r>
      <w:r>
        <w:rPr>
          <w:rFonts w:cs="Times New Roman"/>
          <w:kern w:val="0"/>
          <w:szCs w:val="24"/>
        </w:rPr>
        <w:t>在施工过程中，加强监理，确保防腐、焊接、探伤等施工工艺的质量；制定严格的规章制度，发现缺陷及时正确修补并做好记录；进行水压试验，排除更多的存在于焊缝和母材的缺陷；选择有丰富经验的单位进行施工，并有优秀的第三方对其施工质量进行强有力的监督，减少施工误操作。</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4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⑷</w:t>
      </w:r>
      <w:r>
        <w:rPr>
          <w:rFonts w:cs="Times New Roman"/>
          <w:kern w:val="0"/>
          <w:szCs w:val="24"/>
        </w:rPr>
        <w:fldChar w:fldCharType="end"/>
      </w:r>
      <w:r>
        <w:rPr>
          <w:rFonts w:cs="Times New Roman"/>
          <w:kern w:val="0"/>
          <w:szCs w:val="24"/>
        </w:rPr>
        <w:t>需动火施工管道的降压、停产、扫线及管道沿线与动火点直接有关阀门的控制应由管理部门安排专人操作。</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5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⑸</w:t>
      </w:r>
      <w:r>
        <w:rPr>
          <w:rFonts w:cs="Times New Roman"/>
          <w:kern w:val="0"/>
          <w:szCs w:val="24"/>
        </w:rPr>
        <w:fldChar w:fldCharType="end"/>
      </w:r>
      <w:r>
        <w:rPr>
          <w:rFonts w:cs="Times New Roman"/>
          <w:kern w:val="0"/>
          <w:szCs w:val="24"/>
        </w:rPr>
        <w:t>动火中各种用电设备，严禁以管道充作导体。</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6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⑹</w:t>
      </w:r>
      <w:r>
        <w:rPr>
          <w:rFonts w:cs="Times New Roman"/>
          <w:kern w:val="0"/>
          <w:szCs w:val="24"/>
        </w:rPr>
        <w:fldChar w:fldCharType="end"/>
      </w:r>
      <w:r>
        <w:rPr>
          <w:rFonts w:cs="Times New Roman"/>
          <w:kern w:val="0"/>
          <w:szCs w:val="24"/>
        </w:rPr>
        <w:t>动火施工区域应设置警戒，防止与动火工作无关人员或设备等进入施工区域。</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7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⑺</w:t>
      </w:r>
      <w:r>
        <w:rPr>
          <w:rFonts w:cs="Times New Roman"/>
          <w:kern w:val="0"/>
          <w:szCs w:val="24"/>
        </w:rPr>
        <w:fldChar w:fldCharType="end"/>
      </w:r>
      <w:r>
        <w:rPr>
          <w:rFonts w:cs="Times New Roman"/>
          <w:kern w:val="0"/>
          <w:szCs w:val="24"/>
        </w:rPr>
        <w:t>动火施工现场根据施工的危险程度配备一定数量性能可靠的消防器材或消防车。</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8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⑻</w:t>
      </w:r>
      <w:r>
        <w:rPr>
          <w:rFonts w:cs="Times New Roman"/>
          <w:kern w:val="0"/>
          <w:szCs w:val="24"/>
        </w:rPr>
        <w:fldChar w:fldCharType="end"/>
      </w:r>
      <w:r>
        <w:rPr>
          <w:rFonts w:cs="Times New Roman"/>
          <w:kern w:val="0"/>
          <w:szCs w:val="24"/>
        </w:rPr>
        <w:t>动火施工后，施工人员和管理人员应进行全面检查，确认没有火种及其它隐患后，方可离开施工现场。</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9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⑼</w:t>
      </w:r>
      <w:r>
        <w:rPr>
          <w:rFonts w:cs="Times New Roman"/>
          <w:kern w:val="0"/>
          <w:szCs w:val="24"/>
        </w:rPr>
        <w:fldChar w:fldCharType="end"/>
      </w:r>
      <w:r>
        <w:rPr>
          <w:rFonts w:cs="Times New Roman"/>
          <w:kern w:val="0"/>
          <w:szCs w:val="24"/>
        </w:rPr>
        <w:t>严格按设计选定管材、设备和各项技术要求备料、制造、组装施工和检验。</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10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⑽</w:t>
      </w:r>
      <w:r>
        <w:rPr>
          <w:rFonts w:cs="Times New Roman"/>
          <w:kern w:val="0"/>
          <w:szCs w:val="24"/>
        </w:rPr>
        <w:fldChar w:fldCharType="end"/>
      </w:r>
      <w:r>
        <w:rPr>
          <w:rFonts w:cs="Times New Roman"/>
          <w:kern w:val="0"/>
          <w:szCs w:val="24"/>
        </w:rPr>
        <w:t>电工必须经过按国家现行标准考核合格后，持证上岗工作；其他用电人员必须通过相关安全教育培训和技术交底，考核合格后方可上岗工作。</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11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⑾</w:t>
      </w:r>
      <w:r>
        <w:rPr>
          <w:rFonts w:cs="Times New Roman"/>
          <w:kern w:val="0"/>
          <w:szCs w:val="24"/>
        </w:rPr>
        <w:fldChar w:fldCharType="end"/>
      </w:r>
      <w:r>
        <w:rPr>
          <w:rFonts w:cs="Times New Roman"/>
          <w:kern w:val="0"/>
          <w:szCs w:val="24"/>
        </w:rPr>
        <w:t>安装、巡检、维修或拆除临时用电设备和线路，必须由电工完成，并应有人监护。电工等级应同工程的难易程度和技术复杂性相适应。</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12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⑿</w:t>
      </w:r>
      <w:r>
        <w:rPr>
          <w:rFonts w:cs="Times New Roman"/>
          <w:kern w:val="0"/>
          <w:szCs w:val="24"/>
        </w:rPr>
        <w:fldChar w:fldCharType="end"/>
      </w:r>
      <w:r>
        <w:rPr>
          <w:rFonts w:cs="Times New Roman"/>
          <w:kern w:val="0"/>
          <w:szCs w:val="24"/>
        </w:rPr>
        <w:t>各类用电人员应掌握安全用电基本知识和所用设备的性能。</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13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⒀</w:t>
      </w:r>
      <w:r>
        <w:rPr>
          <w:rFonts w:cs="Times New Roman"/>
          <w:kern w:val="0"/>
          <w:szCs w:val="24"/>
        </w:rPr>
        <w:fldChar w:fldCharType="end"/>
      </w:r>
      <w:r>
        <w:rPr>
          <w:rFonts w:cs="Times New Roman"/>
          <w:kern w:val="0"/>
          <w:szCs w:val="24"/>
        </w:rPr>
        <w:t>施工现场临时用电必须建立安全技术档案，安全技术档案应由主管该现场的电气技术人员负责建立与管理。</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14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⒁</w:t>
      </w:r>
      <w:r>
        <w:rPr>
          <w:rFonts w:cs="Times New Roman"/>
          <w:kern w:val="0"/>
          <w:szCs w:val="24"/>
        </w:rPr>
        <w:fldChar w:fldCharType="end"/>
      </w:r>
      <w:r>
        <w:rPr>
          <w:rFonts w:cs="Times New Roman"/>
          <w:kern w:val="0"/>
          <w:szCs w:val="24"/>
        </w:rPr>
        <w:t>临时用电工程应定期检查。定期检查时，应复查接地电阻值和绝缘电阻值。临时用电工程定期检查应按分部、分项工程进行，对安全隐患必须及时处理，并应履行复查验收手续。</w:t>
      </w:r>
    </w:p>
    <w:p>
      <w:pPr>
        <w:spacing w:line="520" w:lineRule="exact"/>
        <w:ind w:firstLine="480"/>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15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⒂</w:t>
      </w:r>
      <w:r>
        <w:rPr>
          <w:rFonts w:cs="Times New Roman"/>
          <w:kern w:val="0"/>
          <w:szCs w:val="24"/>
        </w:rPr>
        <w:fldChar w:fldCharType="end"/>
      </w:r>
      <w:r>
        <w:rPr>
          <w:rFonts w:cs="Times New Roman"/>
          <w:kern w:val="0"/>
          <w:szCs w:val="24"/>
        </w:rPr>
        <w:t>在防爆区域内的用电设备必须满足相关防爆等级及各区域防火等级的要求。</w:t>
      </w:r>
    </w:p>
    <w:p>
      <w:pPr>
        <w:pStyle w:val="6"/>
      </w:pPr>
      <w:bookmarkStart w:id="327" w:name="_Toc49803690"/>
      <w:bookmarkStart w:id="328" w:name="_Toc31570"/>
      <w:bookmarkStart w:id="329" w:name="_Toc89009775"/>
      <w:r>
        <w:rPr>
          <w:rFonts w:hint="eastAsia"/>
        </w:rPr>
        <w:t xml:space="preserve"> </w:t>
      </w:r>
      <w:r>
        <w:t>运行阶段的风险防范措施</w:t>
      </w:r>
      <w:bookmarkEnd w:id="327"/>
      <w:bookmarkEnd w:id="328"/>
      <w:bookmarkEnd w:id="329"/>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⑴</w:t>
      </w:r>
      <w:r>
        <w:rPr>
          <w:rFonts w:cs="Times New Roman"/>
          <w:kern w:val="0"/>
          <w:szCs w:val="24"/>
        </w:rPr>
        <w:fldChar w:fldCharType="end"/>
      </w:r>
      <w:r>
        <w:rPr>
          <w:rFonts w:cs="Times New Roman"/>
          <w:kern w:val="0"/>
          <w:szCs w:val="24"/>
        </w:rPr>
        <w:t>严格控制天然气的气质，定期清管，排除管内污物。</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2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⑵</w:t>
      </w:r>
      <w:r>
        <w:rPr>
          <w:rFonts w:cs="Times New Roman"/>
          <w:kern w:val="0"/>
          <w:szCs w:val="24"/>
        </w:rPr>
        <w:fldChar w:fldCharType="end"/>
      </w:r>
      <w:r>
        <w:rPr>
          <w:rFonts w:cs="Times New Roman"/>
          <w:kern w:val="0"/>
          <w:szCs w:val="24"/>
        </w:rPr>
        <w:t>定期检查管道安全保护系统（如截断阀、安全阀、放空系统等），使管道在超压时能够得到安全处理。</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3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⑶</w:t>
      </w:r>
      <w:r>
        <w:rPr>
          <w:rFonts w:cs="Times New Roman"/>
          <w:kern w:val="0"/>
          <w:szCs w:val="24"/>
        </w:rPr>
        <w:fldChar w:fldCharType="end"/>
      </w:r>
      <w:r>
        <w:rPr>
          <w:rFonts w:cs="Times New Roman"/>
          <w:kern w:val="0"/>
          <w:szCs w:val="24"/>
        </w:rPr>
        <w:t>增加困难地段的巡检频次，减少第三方破坏、地质灾害等引发的环境风险事故。</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4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⑷</w:t>
      </w:r>
      <w:r>
        <w:rPr>
          <w:rFonts w:cs="Times New Roman"/>
          <w:kern w:val="0"/>
          <w:szCs w:val="24"/>
        </w:rPr>
        <w:fldChar w:fldCharType="end"/>
      </w:r>
      <w:r>
        <w:rPr>
          <w:rFonts w:cs="Times New Roman"/>
          <w:kern w:val="0"/>
          <w:szCs w:val="24"/>
        </w:rPr>
        <w:t>管道标志桩应尽可能清晰，特别是管道穿越公路、河流时，标志桩可从不同的方位和角度看清。巡线员定期巡线，发现危及管道安全的情况及时处理和汇报。</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5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⑸</w:t>
      </w:r>
      <w:r>
        <w:rPr>
          <w:rFonts w:cs="Times New Roman"/>
          <w:kern w:val="0"/>
          <w:szCs w:val="24"/>
        </w:rPr>
        <w:fldChar w:fldCharType="end"/>
      </w:r>
      <w:r>
        <w:rPr>
          <w:rFonts w:cs="Times New Roman"/>
          <w:kern w:val="0"/>
          <w:szCs w:val="24"/>
        </w:rPr>
        <w:t>建设单位设有应急抢、维修指挥中心，并在其下属各作业区设有抢、维修队伍和装备，为能及时处理事故，营救伤员，建议配备性能优良的抢险车辆，保证事故后第一时间到达现场。</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6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⑹</w:t>
      </w:r>
      <w:r>
        <w:rPr>
          <w:rFonts w:cs="Times New Roman"/>
          <w:kern w:val="0"/>
          <w:szCs w:val="24"/>
        </w:rPr>
        <w:fldChar w:fldCharType="end"/>
      </w:r>
      <w:r>
        <w:rPr>
          <w:rFonts w:cs="Times New Roman"/>
          <w:kern w:val="0"/>
          <w:szCs w:val="24"/>
        </w:rPr>
        <w:t>在管道系统投产运行前，应制订出供正常、异常或紧急状态下的操作手。册和维修手册，并对操作、维修人员进行培训，持证上岗。</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7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⑺</w:t>
      </w:r>
      <w:r>
        <w:rPr>
          <w:rFonts w:cs="Times New Roman"/>
          <w:kern w:val="0"/>
          <w:szCs w:val="24"/>
        </w:rPr>
        <w:fldChar w:fldCharType="end"/>
      </w:r>
      <w:r>
        <w:rPr>
          <w:rFonts w:cs="Times New Roman"/>
          <w:kern w:val="0"/>
          <w:szCs w:val="24"/>
        </w:rPr>
        <w:t>制订应急操作规程，在规程中应说明发生管道事故时应采取的操作步骤，规定抢修进度，限制事故的影响，另外还应说明与管道操作人员有关的安全问题。</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8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⑻</w:t>
      </w:r>
      <w:r>
        <w:rPr>
          <w:rFonts w:cs="Times New Roman"/>
          <w:kern w:val="0"/>
          <w:szCs w:val="24"/>
        </w:rPr>
        <w:fldChar w:fldCharType="end"/>
      </w:r>
      <w:r>
        <w:rPr>
          <w:rFonts w:cs="Times New Roman"/>
          <w:kern w:val="0"/>
          <w:szCs w:val="24"/>
        </w:rPr>
        <w:t>操作人员每周应进行安全活动，提高职工的安全意识，识别事故发生前的异常状态，并采取相应的措施。</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9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⑼</w:t>
      </w:r>
      <w:r>
        <w:rPr>
          <w:rFonts w:cs="Times New Roman"/>
          <w:kern w:val="0"/>
          <w:szCs w:val="24"/>
        </w:rPr>
        <w:fldChar w:fldCharType="end"/>
      </w:r>
      <w:r>
        <w:rPr>
          <w:rFonts w:cs="Times New Roman"/>
          <w:kern w:val="0"/>
          <w:szCs w:val="24"/>
        </w:rPr>
        <w:t>对重要的仪器设备有完善的检查项目、维护方法；按计划进行定期维护；有专门档案（包括维护记录档案），文件齐全。</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10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⑽</w:t>
      </w:r>
      <w:r>
        <w:rPr>
          <w:rFonts w:cs="Times New Roman"/>
          <w:kern w:val="0"/>
          <w:szCs w:val="24"/>
        </w:rPr>
        <w:fldChar w:fldCharType="end"/>
      </w:r>
      <w:r>
        <w:rPr>
          <w:rFonts w:cs="Times New Roman"/>
          <w:kern w:val="0"/>
          <w:szCs w:val="24"/>
        </w:rPr>
        <w:t>对管道沿线的居民作好宣传，张贴《中华人民共和国石油天然气管道保护法》（中华人民共和国主席令第30号），加强居民认识。</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11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⑾</w:t>
      </w:r>
      <w:r>
        <w:rPr>
          <w:rFonts w:cs="Times New Roman"/>
          <w:kern w:val="0"/>
          <w:szCs w:val="24"/>
        </w:rPr>
        <w:fldChar w:fldCharType="end"/>
      </w:r>
      <w:r>
        <w:rPr>
          <w:rFonts w:cs="Times New Roman"/>
          <w:kern w:val="0"/>
          <w:szCs w:val="24"/>
        </w:rPr>
        <w:t>对管道两侧200m范围内的受管道风险事故影响的集中居民区和社会关注区的居民作好事故应急宣传，保证一旦发生天然气泄漏事故时，能作出正确反应。巡线工应加强集中居民区段和社会关注区段的巡线工作，发现隐患及时汇报和处理。</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12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⑿</w:t>
      </w:r>
      <w:r>
        <w:rPr>
          <w:rFonts w:cs="Times New Roman"/>
          <w:kern w:val="0"/>
          <w:szCs w:val="24"/>
        </w:rPr>
        <w:fldChar w:fldCharType="end"/>
      </w:r>
      <w:r>
        <w:rPr>
          <w:rFonts w:cs="Times New Roman"/>
          <w:kern w:val="0"/>
          <w:szCs w:val="24"/>
        </w:rPr>
        <w:t>管道穿越林地区时，应根据《森林防火条例》制定森林防火应急预案。如果管道穿孔或破裂后，泄漏天然气在林区段引发火灾时，应及时切断气源并同时联系当地消防部门灭火。</w:t>
      </w:r>
    </w:p>
    <w:p>
      <w:pPr>
        <w:ind w:firstLine="480"/>
        <w:rPr>
          <w:rFonts w:cs="Times New Roman"/>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13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⒀</w:t>
      </w:r>
      <w:r>
        <w:rPr>
          <w:rFonts w:cs="Times New Roman"/>
          <w:kern w:val="0"/>
          <w:szCs w:val="24"/>
        </w:rPr>
        <w:fldChar w:fldCharType="end"/>
      </w:r>
      <w:r>
        <w:rPr>
          <w:rFonts w:cs="Times New Roman"/>
          <w:kern w:val="0"/>
          <w:szCs w:val="24"/>
        </w:rPr>
        <w:t>建设单位应随时保持与管道沿线县、区规划部门的联系，杜绝沿线乡镇建设过程中的占管、压管及其他破坏管道的活动，降低第三方破坏管道引发环境风险事故的可能性。</w:t>
      </w:r>
    </w:p>
    <w:p>
      <w:pPr>
        <w:pStyle w:val="6"/>
        <w:ind w:left="142"/>
        <w:rPr>
          <w:rFonts w:cs="Times New Roman"/>
        </w:rPr>
      </w:pPr>
      <w:r>
        <w:rPr>
          <w:rFonts w:cs="Times New Roman"/>
        </w:rPr>
        <w:t xml:space="preserve"> 管线事故风险防范管理措施</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⑴</w:t>
      </w:r>
      <w:r>
        <w:rPr>
          <w:rFonts w:cs="Times New Roman"/>
          <w:kern w:val="0"/>
          <w:szCs w:val="24"/>
        </w:rPr>
        <w:fldChar w:fldCharType="end"/>
      </w:r>
      <w:r>
        <w:rPr>
          <w:rFonts w:cs="Times New Roman"/>
          <w:kern w:val="0"/>
          <w:szCs w:val="24"/>
        </w:rPr>
        <w:t>按《中华人民共和国石油天然气管道保护法》要求加强管理建设单位应向沿线群众进行有关管道设施安全保护的宣传教育，配合公安机关做好管道设施的安全保卫工作，以保障管道及其附属设施的安全运行。</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2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⑵</w:t>
      </w:r>
      <w:r>
        <w:rPr>
          <w:rFonts w:cs="Times New Roman"/>
          <w:kern w:val="0"/>
          <w:szCs w:val="24"/>
        </w:rPr>
        <w:fldChar w:fldCharType="end"/>
      </w:r>
      <w:r>
        <w:rPr>
          <w:rFonts w:cs="Times New Roman"/>
          <w:kern w:val="0"/>
          <w:szCs w:val="24"/>
        </w:rPr>
        <w:t>建立环境风险管理体系</w:t>
      </w:r>
    </w:p>
    <w:p>
      <w:pPr>
        <w:ind w:firstLine="480"/>
        <w:rPr>
          <w:rFonts w:cs="Times New Roman"/>
          <w:kern w:val="0"/>
          <w:szCs w:val="24"/>
        </w:rPr>
      </w:pPr>
      <w:r>
        <w:rPr>
          <w:rFonts w:cs="Times New Roman"/>
          <w:kern w:val="0"/>
          <w:szCs w:val="24"/>
        </w:rPr>
        <w:t>管道在运营期必须制定综合管理、HSE 管理和风险管理体系，综合管理体系和安全管理体系为风险管理提供技术保障。综合管理体系包括:管理组织结构、任务和职责，制定操作规程，安全章程，职员培训，应急计划，建立管道系统资料档案。为了防范事故风险，必须编制主要事故预防文件。</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3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⑶</w:t>
      </w:r>
      <w:r>
        <w:rPr>
          <w:rFonts w:cs="Times New Roman"/>
          <w:kern w:val="0"/>
          <w:szCs w:val="24"/>
        </w:rPr>
        <w:fldChar w:fldCharType="end"/>
      </w:r>
      <w:r>
        <w:rPr>
          <w:rFonts w:cs="Times New Roman"/>
          <w:kern w:val="0"/>
          <w:szCs w:val="24"/>
        </w:rPr>
        <w:t>建立输气管道完整性管理体系</w:t>
      </w:r>
    </w:p>
    <w:p>
      <w:pPr>
        <w:ind w:firstLine="480"/>
        <w:rPr>
          <w:rFonts w:cs="Times New Roman"/>
          <w:kern w:val="0"/>
          <w:szCs w:val="24"/>
        </w:rPr>
      </w:pPr>
      <w:r>
        <w:rPr>
          <w:rFonts w:cs="Times New Roman"/>
          <w:kern w:val="0"/>
          <w:szCs w:val="24"/>
        </w:rPr>
        <w:t>为了保证输气管道沿线居民和财产的安全，管道建成后，管理单位应建立输气管道完整性管理体系，做好管道沿线的调查，主要包括：</w:t>
      </w:r>
    </w:p>
    <w:p>
      <w:pPr>
        <w:ind w:firstLine="480"/>
        <w:rPr>
          <w:rFonts w:cs="Times New Roman"/>
          <w:kern w:val="0"/>
          <w:szCs w:val="24"/>
        </w:rPr>
      </w:pPr>
      <w:r>
        <w:rPr>
          <w:rFonts w:hint="eastAsia" w:ascii="宋体" w:hAnsi="宋体" w:cs="宋体"/>
          <w:kern w:val="0"/>
          <w:szCs w:val="24"/>
        </w:rPr>
        <w:t>①</w:t>
      </w:r>
      <w:r>
        <w:rPr>
          <w:rFonts w:cs="Times New Roman"/>
          <w:kern w:val="0"/>
          <w:szCs w:val="24"/>
        </w:rPr>
        <w:t>靠近管道的大致人数（包括考虑人工或自然障碍物可提供的保护等级）；</w:t>
      </w:r>
    </w:p>
    <w:p>
      <w:pPr>
        <w:ind w:firstLine="480"/>
        <w:rPr>
          <w:rFonts w:cs="Times New Roman"/>
          <w:kern w:val="0"/>
          <w:szCs w:val="24"/>
        </w:rPr>
      </w:pPr>
      <w:r>
        <w:rPr>
          <w:rFonts w:hint="eastAsia" w:ascii="宋体" w:hAnsi="宋体" w:cs="宋体"/>
          <w:kern w:val="0"/>
          <w:szCs w:val="24"/>
        </w:rPr>
        <w:t>②</w:t>
      </w:r>
      <w:r>
        <w:rPr>
          <w:rFonts w:cs="Times New Roman"/>
          <w:kern w:val="0"/>
          <w:szCs w:val="24"/>
        </w:rPr>
        <w:t>活动范围受限制或制约的场所（如医院、学校、幼儿园、养老院），特别是未加保护的外部区域内的大致人数；</w:t>
      </w:r>
    </w:p>
    <w:p>
      <w:pPr>
        <w:ind w:firstLine="480"/>
        <w:rPr>
          <w:rFonts w:cs="Times New Roman"/>
          <w:kern w:val="0"/>
          <w:szCs w:val="24"/>
        </w:rPr>
      </w:pPr>
      <w:r>
        <w:rPr>
          <w:rFonts w:hint="eastAsia" w:ascii="宋体" w:hAnsi="宋体" w:cs="宋体"/>
          <w:kern w:val="0"/>
          <w:szCs w:val="24"/>
        </w:rPr>
        <w:t>③</w:t>
      </w:r>
      <w:r>
        <w:rPr>
          <w:rFonts w:cs="Times New Roman"/>
          <w:kern w:val="0"/>
          <w:szCs w:val="24"/>
        </w:rPr>
        <w:t>可能的财产损坏和环境破坏；</w:t>
      </w:r>
    </w:p>
    <w:p>
      <w:pPr>
        <w:ind w:firstLine="480"/>
        <w:rPr>
          <w:rFonts w:cs="Times New Roman"/>
          <w:kern w:val="0"/>
          <w:szCs w:val="24"/>
        </w:rPr>
      </w:pPr>
      <w:r>
        <w:rPr>
          <w:rFonts w:hint="eastAsia" w:ascii="宋体" w:hAnsi="宋体" w:cs="宋体"/>
          <w:kern w:val="0"/>
          <w:szCs w:val="24"/>
        </w:rPr>
        <w:t>④</w:t>
      </w:r>
      <w:r>
        <w:rPr>
          <w:rFonts w:cs="Times New Roman"/>
          <w:kern w:val="0"/>
          <w:szCs w:val="24"/>
        </w:rPr>
        <w:t>公共设施和设备。</w:t>
      </w:r>
    </w:p>
    <w:p>
      <w:pPr>
        <w:ind w:firstLine="480"/>
        <w:rPr>
          <w:rFonts w:cs="Times New Roman"/>
          <w:kern w:val="0"/>
          <w:szCs w:val="24"/>
        </w:rPr>
      </w:pPr>
      <w:r>
        <w:rPr>
          <w:rFonts w:cs="Times New Roman"/>
          <w:kern w:val="0"/>
          <w:szCs w:val="24"/>
        </w:rPr>
        <w:t>收集以上资料，从而为制定本工程天然气管道事故应急救援预案提供依据。</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5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⑸</w:t>
      </w:r>
      <w:r>
        <w:rPr>
          <w:rFonts w:cs="Times New Roman"/>
          <w:kern w:val="0"/>
          <w:szCs w:val="24"/>
        </w:rPr>
        <w:fldChar w:fldCharType="end"/>
      </w:r>
      <w:r>
        <w:rPr>
          <w:rFonts w:cs="Times New Roman"/>
          <w:kern w:val="0"/>
          <w:szCs w:val="24"/>
        </w:rPr>
        <w:t>在管道系统投产运行前，应制订出供正常、异常或紧急状态下的操作手册和维修手册，并对操作、维修人员进行培训，持证上岗，避免因严重操作失误而造成的事故；</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6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⑹</w:t>
      </w:r>
      <w:r>
        <w:rPr>
          <w:rFonts w:cs="Times New Roman"/>
          <w:kern w:val="0"/>
          <w:szCs w:val="24"/>
        </w:rPr>
        <w:fldChar w:fldCharType="end"/>
      </w:r>
      <w:r>
        <w:rPr>
          <w:rFonts w:cs="Times New Roman"/>
          <w:kern w:val="0"/>
          <w:szCs w:val="24"/>
        </w:rPr>
        <w:t>制订应急操作规程，在规程中应说明发生管道事故时应采取的操作步骤，规定抢修进度，限制事故的影响，另外还应说明与管道操作人员有关的安全问题；</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7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⑺</w:t>
      </w:r>
      <w:r>
        <w:rPr>
          <w:rFonts w:cs="Times New Roman"/>
          <w:kern w:val="0"/>
          <w:szCs w:val="24"/>
        </w:rPr>
        <w:fldChar w:fldCharType="end"/>
      </w:r>
      <w:r>
        <w:rPr>
          <w:rFonts w:cs="Times New Roman"/>
          <w:kern w:val="0"/>
          <w:szCs w:val="24"/>
        </w:rPr>
        <w:t>操作人员每周应进行安全活动，提高职工的安全意识，识别事故发生前的异常状态，并采取相应的措施；</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8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⑻</w:t>
      </w:r>
      <w:r>
        <w:rPr>
          <w:rFonts w:cs="Times New Roman"/>
          <w:kern w:val="0"/>
          <w:szCs w:val="24"/>
        </w:rPr>
        <w:fldChar w:fldCharType="end"/>
      </w:r>
      <w:r>
        <w:rPr>
          <w:rFonts w:cs="Times New Roman"/>
          <w:kern w:val="0"/>
          <w:szCs w:val="24"/>
        </w:rPr>
        <w:t>对管道附近的居民加强教育，进一步宣传贯彻、落实《中华人民共和国石油天然气管道保护法》，减少、避免发生第三方破坏的事故；</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9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⑼</w:t>
      </w:r>
      <w:r>
        <w:rPr>
          <w:rFonts w:cs="Times New Roman"/>
          <w:kern w:val="0"/>
          <w:szCs w:val="24"/>
        </w:rPr>
        <w:fldChar w:fldCharType="end"/>
      </w:r>
      <w:r>
        <w:rPr>
          <w:rFonts w:cs="Times New Roman"/>
          <w:kern w:val="0"/>
          <w:szCs w:val="24"/>
        </w:rPr>
        <w:t>将各种标志按类编号入档，并应根据线路及环境的变化情况及时增减或变更，标志粧宜每年刷漆更新，保持标记内容清晰。</w:t>
      </w:r>
    </w:p>
    <w:p>
      <w:pPr>
        <w:pStyle w:val="214"/>
        <w:ind w:firstLine="480"/>
      </w:pPr>
      <w:r>
        <w:fldChar w:fldCharType="begin"/>
      </w:r>
      <w:r>
        <w:instrText xml:space="preserve"> </w:instrText>
      </w:r>
      <w:r>
        <w:rPr>
          <w:rFonts w:hint="eastAsia"/>
        </w:rPr>
        <w:instrText xml:space="preserve">= 10 \* GB2</w:instrText>
      </w:r>
      <w:r>
        <w:instrText xml:space="preserve"> </w:instrText>
      </w:r>
      <w:r>
        <w:fldChar w:fldCharType="separate"/>
      </w:r>
      <w:r>
        <w:rPr>
          <w:rFonts w:hint="eastAsia"/>
        </w:rPr>
        <w:t>⑽</w:t>
      </w:r>
      <w:r>
        <w:fldChar w:fldCharType="end"/>
      </w:r>
      <w:r>
        <w:rPr>
          <w:rFonts w:hint="eastAsia"/>
        </w:rPr>
        <w:t>管线穿越公路两侧应设置警示牌。</w:t>
      </w:r>
      <w:r>
        <w:t>因修建铁路、公路、水利工程等公共工程，确需实施采石、爆破作业的，应当经管道所在地县级人民政府主管管道保护工作的部门批准，并采取必要的安全防护措施，方可实施。</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11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⑾</w:t>
      </w:r>
      <w:r>
        <w:rPr>
          <w:rFonts w:cs="Times New Roman"/>
          <w:kern w:val="0"/>
          <w:szCs w:val="24"/>
        </w:rPr>
        <w:fldChar w:fldCharType="end"/>
      </w:r>
      <w:r>
        <w:rPr>
          <w:rFonts w:cs="Times New Roman"/>
          <w:kern w:val="0"/>
          <w:szCs w:val="24"/>
        </w:rPr>
        <w:t>部门和分部的领导在各自所负责的范围内保证采取组织和技术措施，以便建立安全的劳动条件，并对工作人员进行安全工作方法的指导和培训，监督其执行安全技术、生产卫生和防火安全规则和条例。</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w:instrText>
      </w:r>
      <w:r>
        <w:rPr>
          <w:rFonts w:hint="eastAsia" w:cs="Times New Roman"/>
          <w:kern w:val="0"/>
          <w:szCs w:val="24"/>
        </w:rPr>
        <w:instrText xml:space="preserve">= 12 \* GB2</w:instrText>
      </w:r>
      <w:r>
        <w:rPr>
          <w:rFonts w:cs="Times New Roman"/>
          <w:kern w:val="0"/>
          <w:szCs w:val="24"/>
        </w:rPr>
        <w:instrText xml:space="preserve"> </w:instrText>
      </w:r>
      <w:r>
        <w:rPr>
          <w:rFonts w:cs="Times New Roman"/>
          <w:kern w:val="0"/>
          <w:szCs w:val="24"/>
        </w:rPr>
        <w:fldChar w:fldCharType="separate"/>
      </w:r>
      <w:r>
        <w:rPr>
          <w:rFonts w:hint="eastAsia" w:cs="Times New Roman"/>
          <w:kern w:val="0"/>
          <w:szCs w:val="24"/>
        </w:rPr>
        <w:t>⑿</w:t>
      </w:r>
      <w:r>
        <w:rPr>
          <w:rFonts w:cs="Times New Roman"/>
          <w:kern w:val="0"/>
          <w:szCs w:val="24"/>
        </w:rPr>
        <w:fldChar w:fldCharType="end"/>
      </w:r>
      <w:r>
        <w:rPr>
          <w:rFonts w:cs="Times New Roman"/>
          <w:kern w:val="0"/>
          <w:szCs w:val="24"/>
        </w:rPr>
        <w:t>加强职工培训，提高操作管理人员的技术水平和素质，做到安全、平稳、文明生产。</w:t>
      </w:r>
    </w:p>
    <w:p>
      <w:pPr>
        <w:pStyle w:val="214"/>
        <w:ind w:firstLine="480"/>
      </w:pPr>
      <w:r>
        <w:fldChar w:fldCharType="begin"/>
      </w:r>
      <w:r>
        <w:instrText xml:space="preserve"> </w:instrText>
      </w:r>
      <w:r>
        <w:rPr>
          <w:rFonts w:hint="eastAsia"/>
        </w:rPr>
        <w:instrText xml:space="preserve">= 13 \* GB2</w:instrText>
      </w:r>
      <w:r>
        <w:instrText xml:space="preserve"> </w:instrText>
      </w:r>
      <w:r>
        <w:fldChar w:fldCharType="separate"/>
      </w:r>
      <w:r>
        <w:rPr>
          <w:rFonts w:hint="eastAsia"/>
        </w:rPr>
        <w:t>⒀</w:t>
      </w:r>
      <w:r>
        <w:fldChar w:fldCharType="end"/>
      </w:r>
      <w:r>
        <w:t>建立健全安全检查制度，不断进行安全检查，及时整改隐患，防止事故发生。每一个工人和工程技术人员必须立即向自己的直接领导汇报自己发现的设备、管道、仪表和工具等出现的损坏、故障和泄漏，以及违反安全技术、生产卫生和防火安全规范的行为。</w:t>
      </w:r>
    </w:p>
    <w:p>
      <w:pPr>
        <w:pStyle w:val="214"/>
        <w:ind w:firstLine="480"/>
      </w:pPr>
      <w:r>
        <w:fldChar w:fldCharType="begin"/>
      </w:r>
      <w:r>
        <w:instrText xml:space="preserve"> </w:instrText>
      </w:r>
      <w:r>
        <w:rPr>
          <w:rFonts w:hint="eastAsia"/>
        </w:rPr>
        <w:instrText xml:space="preserve">= 14 \* GB2</w:instrText>
      </w:r>
      <w:r>
        <w:instrText xml:space="preserve"> </w:instrText>
      </w:r>
      <w:r>
        <w:fldChar w:fldCharType="separate"/>
      </w:r>
      <w:r>
        <w:rPr>
          <w:rFonts w:hint="eastAsia"/>
        </w:rPr>
        <w:t>⒁</w:t>
      </w:r>
      <w:r>
        <w:fldChar w:fldCharType="end"/>
      </w:r>
      <w:r>
        <w:t>任何不幸事件和任何违反劳动保护规则的情况都按一定的程序调查，应找出原因并采取一定的预防措施。所有的生产员工接受一定的方法培训。</w:t>
      </w:r>
    </w:p>
    <w:p>
      <w:pPr>
        <w:pStyle w:val="214"/>
        <w:ind w:firstLine="480"/>
      </w:pPr>
      <w:r>
        <w:fldChar w:fldCharType="begin"/>
      </w:r>
      <w:r>
        <w:instrText xml:space="preserve"> </w:instrText>
      </w:r>
      <w:r>
        <w:rPr>
          <w:rFonts w:hint="eastAsia"/>
        </w:rPr>
        <w:instrText xml:space="preserve">= 15 \* GB2</w:instrText>
      </w:r>
      <w:r>
        <w:instrText xml:space="preserve"> </w:instrText>
      </w:r>
      <w:r>
        <w:fldChar w:fldCharType="separate"/>
      </w:r>
      <w:r>
        <w:rPr>
          <w:rFonts w:hint="eastAsia"/>
        </w:rPr>
        <w:t>⒂</w:t>
      </w:r>
      <w:r>
        <w:fldChar w:fldCharType="end"/>
      </w:r>
      <w:r>
        <w:t>管道运行一段时间后应开展管道剩余强度、剩余寿命的评价，以确定管线的检测周期和维修周期。</w:t>
      </w:r>
    </w:p>
    <w:p>
      <w:pPr>
        <w:pStyle w:val="214"/>
        <w:ind w:firstLine="480"/>
      </w:pPr>
      <w:r>
        <w:fldChar w:fldCharType="begin"/>
      </w:r>
      <w:r>
        <w:instrText xml:space="preserve"> </w:instrText>
      </w:r>
      <w:r>
        <w:rPr>
          <w:rFonts w:hint="eastAsia"/>
        </w:rPr>
        <w:instrText xml:space="preserve">= 16 \* GB2</w:instrText>
      </w:r>
      <w:r>
        <w:instrText xml:space="preserve"> </w:instrText>
      </w:r>
      <w:r>
        <w:fldChar w:fldCharType="separate"/>
      </w:r>
      <w:r>
        <w:rPr>
          <w:rFonts w:hint="eastAsia"/>
        </w:rPr>
        <w:t>⒃</w:t>
      </w:r>
      <w:r>
        <w:fldChar w:fldCharType="end"/>
      </w:r>
      <w:r>
        <w:t>实施定时巡线，制定巡线方案，加大巡线频率，提高巡线有效性；定时检查管道施工带，查看地表情况，并关注在此地带的人员活动情况，发现对管道安全有影响的行为，应及时制止、采取相应措施并向上级报告。</w:t>
      </w:r>
    </w:p>
    <w:p>
      <w:pPr>
        <w:pStyle w:val="214"/>
        <w:ind w:firstLine="480"/>
      </w:pPr>
      <w:r>
        <w:fldChar w:fldCharType="begin"/>
      </w:r>
      <w:r>
        <w:instrText xml:space="preserve"> </w:instrText>
      </w:r>
      <w:r>
        <w:rPr>
          <w:rFonts w:hint="eastAsia"/>
        </w:rPr>
        <w:instrText xml:space="preserve">= 17 \* GB2</w:instrText>
      </w:r>
      <w:r>
        <w:instrText xml:space="preserve"> </w:instrText>
      </w:r>
      <w:r>
        <w:fldChar w:fldCharType="separate"/>
      </w:r>
      <w:r>
        <w:rPr>
          <w:rFonts w:hint="eastAsia"/>
        </w:rPr>
        <w:t>⒄</w:t>
      </w:r>
      <w:r>
        <w:fldChar w:fldCharType="end"/>
      </w:r>
      <w:r>
        <w:t>根据《中华人民共和国石油天然气管道保护法》在管道线路中心线两侧各5米地域范围内，禁止下列危害管道安全的行为：</w:t>
      </w:r>
    </w:p>
    <w:p>
      <w:pPr>
        <w:pStyle w:val="214"/>
        <w:ind w:firstLine="480"/>
      </w:pPr>
      <w:r>
        <w:t>a.种植乔木、灌木、藤类、芦苇、竹子或者其他根系深达管道埋设部位可能损坏管道防腐层的深根植物；</w:t>
      </w:r>
    </w:p>
    <w:p>
      <w:pPr>
        <w:pStyle w:val="214"/>
        <w:ind w:firstLine="480"/>
      </w:pPr>
      <w:r>
        <w:t>b.取土、采石、用火、堆放重物、排放腐蚀性物质、使用机械工具进行挖掘施工；</w:t>
      </w:r>
    </w:p>
    <w:p>
      <w:pPr>
        <w:pStyle w:val="214"/>
        <w:ind w:firstLine="480"/>
      </w:pPr>
      <w:r>
        <w:t>c.挖塘、修渠、修晒场、修建水产养殖场、建温室、建家畜棚圈、建房以及修建其他建筑物、构筑物。</w:t>
      </w:r>
    </w:p>
    <w:p>
      <w:pPr>
        <w:pStyle w:val="214"/>
        <w:ind w:firstLine="480"/>
      </w:pPr>
      <w:r>
        <w:fldChar w:fldCharType="begin"/>
      </w:r>
      <w:r>
        <w:instrText xml:space="preserve"> </w:instrText>
      </w:r>
      <w:r>
        <w:rPr>
          <w:rFonts w:hint="eastAsia"/>
        </w:rPr>
        <w:instrText xml:space="preserve">= 18 \* GB2</w:instrText>
      </w:r>
      <w:r>
        <w:instrText xml:space="preserve"> </w:instrText>
      </w:r>
      <w:r>
        <w:fldChar w:fldCharType="separate"/>
      </w:r>
      <w:r>
        <w:rPr>
          <w:rFonts w:hint="eastAsia"/>
        </w:rPr>
        <w:t>⒅</w:t>
      </w:r>
      <w:r>
        <w:fldChar w:fldCharType="end"/>
      </w:r>
      <w:r>
        <w:t>工程管道基本位于山区，存在地质灾害风险，应按照《油气管道地质灾害风险管理技术规范》（SY/T 6828-2017）的要求对集输和外输管道进行地质灾害风险管理。</w:t>
      </w:r>
    </w:p>
    <w:p>
      <w:pPr>
        <w:pStyle w:val="214"/>
        <w:ind w:firstLine="480"/>
      </w:pPr>
      <w:r>
        <w:fldChar w:fldCharType="begin"/>
      </w:r>
      <w:r>
        <w:instrText xml:space="preserve"> </w:instrText>
      </w:r>
      <w:r>
        <w:rPr>
          <w:rFonts w:hint="eastAsia"/>
        </w:rPr>
        <w:instrText xml:space="preserve">= 19 \* GB2</w:instrText>
      </w:r>
      <w:r>
        <w:instrText xml:space="preserve"> </w:instrText>
      </w:r>
      <w:r>
        <w:fldChar w:fldCharType="separate"/>
      </w:r>
      <w:r>
        <w:rPr>
          <w:rFonts w:hint="eastAsia"/>
        </w:rPr>
        <w:t>⒆</w:t>
      </w:r>
      <w:r>
        <w:fldChar w:fldCharType="end"/>
      </w:r>
      <w:r>
        <w:rPr>
          <w:rFonts w:hint="eastAsia"/>
        </w:rPr>
        <w:t>制定事故应预案，配备适当的管道抢修、灭火及人员抢救设备。</w:t>
      </w:r>
    </w:p>
    <w:p>
      <w:pPr>
        <w:pStyle w:val="5"/>
        <w:rPr>
          <w:rFonts w:cs="Times New Roman"/>
        </w:rPr>
      </w:pPr>
      <w:r>
        <w:rPr>
          <w:rFonts w:cs="Times New Roman"/>
        </w:rPr>
        <w:t xml:space="preserve"> </w:t>
      </w:r>
      <w:bookmarkStart w:id="330" w:name="_Toc96680758"/>
      <w:r>
        <w:rPr>
          <w:rFonts w:cs="Times New Roman"/>
        </w:rPr>
        <w:t>环境风险事故应急措施</w:t>
      </w:r>
      <w:bookmarkEnd w:id="330"/>
    </w:p>
    <w:p>
      <w:pPr>
        <w:pStyle w:val="6"/>
        <w:jc w:val="both"/>
        <w:rPr>
          <w:rFonts w:cs="Times New Roman"/>
        </w:rPr>
      </w:pPr>
      <w:r>
        <w:rPr>
          <w:rFonts w:hint="eastAsia" w:cs="Times New Roman"/>
        </w:rPr>
        <w:t xml:space="preserve"> 天然气泄漏</w:t>
      </w:r>
      <w:r>
        <w:rPr>
          <w:rFonts w:cs="Times New Roman"/>
        </w:rPr>
        <w:t xml:space="preserve">事故应急措施 </w:t>
      </w:r>
    </w:p>
    <w:p>
      <w:pPr>
        <w:ind w:firstLine="480"/>
        <w:rPr>
          <w:rFonts w:cs="Times New Roman"/>
        </w:rPr>
      </w:pPr>
      <w:r>
        <w:rPr>
          <w:rFonts w:cs="Times New Roman"/>
        </w:rPr>
        <w:t>由于天然气管线</w:t>
      </w:r>
      <w:r>
        <w:rPr>
          <w:rFonts w:hint="eastAsia" w:cs="Times New Roman"/>
        </w:rPr>
        <w:t>因</w:t>
      </w:r>
      <w:r>
        <w:rPr>
          <w:rFonts w:cs="Times New Roman"/>
        </w:rPr>
        <w:t>材质、焊缝、腐蚀等因素的影响，可能出现天然气泄漏事故。在事故状态，事故发生2min内，由于管道压力的急降，上游截断阀能及时截断气源</w:t>
      </w:r>
      <w:r>
        <w:rPr>
          <w:rFonts w:hint="eastAsia" w:cs="Times New Roman"/>
        </w:rPr>
        <w:t>，但</w:t>
      </w:r>
      <w:r>
        <w:rPr>
          <w:rFonts w:cs="Times New Roman"/>
        </w:rPr>
        <w:t>管线内的</w:t>
      </w:r>
      <w:r>
        <w:rPr>
          <w:rFonts w:hint="eastAsia" w:cs="Times New Roman"/>
        </w:rPr>
        <w:t>在线</w:t>
      </w:r>
      <w:r>
        <w:rPr>
          <w:rFonts w:cs="Times New Roman"/>
        </w:rPr>
        <w:t>天然气</w:t>
      </w:r>
      <w:r>
        <w:rPr>
          <w:rFonts w:hint="eastAsia" w:cs="Times New Roman"/>
        </w:rPr>
        <w:t>会</w:t>
      </w:r>
      <w:r>
        <w:rPr>
          <w:rFonts w:cs="Times New Roman"/>
        </w:rPr>
        <w:t>从泄漏点</w:t>
      </w:r>
      <w:r>
        <w:rPr>
          <w:rFonts w:hint="eastAsia" w:cs="Times New Roman"/>
        </w:rPr>
        <w:t>逸散进入</w:t>
      </w:r>
      <w:r>
        <w:rPr>
          <w:rFonts w:cs="Times New Roman"/>
        </w:rPr>
        <w:t>空气</w:t>
      </w:r>
      <w:r>
        <w:rPr>
          <w:rFonts w:hint="eastAsia" w:cs="Times New Roman"/>
        </w:rPr>
        <w:t>中</w:t>
      </w:r>
      <w:r>
        <w:rPr>
          <w:rFonts w:cs="Times New Roman"/>
        </w:rPr>
        <w:t>。事故发生时，应立即启动应急预案</w:t>
      </w:r>
      <w:r>
        <w:rPr>
          <w:rFonts w:hint="eastAsia" w:cs="Times New Roman"/>
        </w:rPr>
        <w:t>，</w:t>
      </w:r>
      <w:r>
        <w:rPr>
          <w:rFonts w:cs="Times New Roman"/>
        </w:rPr>
        <w:t>判断风向</w:t>
      </w:r>
      <w:r>
        <w:rPr>
          <w:rFonts w:hint="eastAsia" w:cs="Times New Roman"/>
        </w:rPr>
        <w:t>，及时</w:t>
      </w:r>
      <w:r>
        <w:rPr>
          <w:rFonts w:cs="Times New Roman"/>
        </w:rPr>
        <w:t>对</w:t>
      </w:r>
      <w:r>
        <w:rPr>
          <w:rFonts w:hint="eastAsia" w:cs="Times New Roman"/>
        </w:rPr>
        <w:t>管线</w:t>
      </w:r>
      <w:r>
        <w:rPr>
          <w:rFonts w:cs="Times New Roman"/>
        </w:rPr>
        <w:t>下风向的敏感点发布警报，</w:t>
      </w:r>
      <w:r>
        <w:rPr>
          <w:rFonts w:hint="eastAsia" w:cs="Times New Roman"/>
        </w:rPr>
        <w:t>并组织应急计划区</w:t>
      </w:r>
      <w:r>
        <w:rPr>
          <w:rFonts w:cs="Times New Roman"/>
        </w:rPr>
        <w:t>内居民撤离</w:t>
      </w:r>
      <w:r>
        <w:rPr>
          <w:rFonts w:hint="eastAsia" w:cs="Times New Roman"/>
          <w:kern w:val="0"/>
          <w:szCs w:val="24"/>
        </w:rPr>
        <w:t>。</w:t>
      </w:r>
      <w:r>
        <w:rPr>
          <w:rFonts w:hint="eastAsia" w:cs="Times New Roman"/>
        </w:rPr>
        <w:t>做好地企联动</w:t>
      </w:r>
      <w:r>
        <w:rPr>
          <w:rFonts w:cs="Times New Roman"/>
        </w:rPr>
        <w:t>。</w:t>
      </w:r>
      <w:r>
        <w:rPr>
          <w:rFonts w:hint="eastAsia" w:cs="Times New Roman"/>
        </w:rPr>
        <w:t>结合</w:t>
      </w:r>
      <w:r>
        <w:rPr>
          <w:rFonts w:cs="Times New Roman"/>
        </w:rPr>
        <w:t>当时风向，还需在</w:t>
      </w:r>
      <w:r>
        <w:rPr>
          <w:rFonts w:hint="eastAsia" w:cs="Times New Roman"/>
        </w:rPr>
        <w:t>泄漏点周边设多个</w:t>
      </w:r>
      <w:r>
        <w:rPr>
          <w:rFonts w:cs="Times New Roman"/>
        </w:rPr>
        <w:t>环境应急监测点</w:t>
      </w:r>
      <w:r>
        <w:rPr>
          <w:rFonts w:hint="eastAsia" w:cs="Times New Roman"/>
        </w:rPr>
        <w:t>，</w:t>
      </w:r>
      <w:r>
        <w:rPr>
          <w:rFonts w:cs="Times New Roman"/>
        </w:rPr>
        <w:t>重点对居民点、学校、城镇设置监测</w:t>
      </w:r>
      <w:r>
        <w:rPr>
          <w:rFonts w:hint="eastAsia" w:cs="Times New Roman"/>
        </w:rPr>
        <w:t>点。</w:t>
      </w:r>
      <w:r>
        <w:rPr>
          <w:rFonts w:cs="Times New Roman"/>
        </w:rPr>
        <w:t>并根据监测结果及时扩大撤离</w:t>
      </w:r>
      <w:r>
        <w:rPr>
          <w:rFonts w:hint="eastAsia" w:cs="Times New Roman"/>
        </w:rPr>
        <w:t>范围，</w:t>
      </w:r>
      <w:r>
        <w:rPr>
          <w:rFonts w:cs="Times New Roman"/>
        </w:rPr>
        <w:t>保护周围居民生命安全和健康。</w:t>
      </w:r>
    </w:p>
    <w:p>
      <w:pPr>
        <w:pStyle w:val="102"/>
        <w:ind w:firstLine="480"/>
        <w:rPr>
          <w:rFonts w:cs="Times New Roman"/>
        </w:rPr>
      </w:pPr>
      <w:r>
        <w:rPr>
          <w:rFonts w:hint="eastAsia" w:cs="Times New Roman"/>
        </w:rPr>
        <w:t>运营单位</w:t>
      </w:r>
      <w:r>
        <w:rPr>
          <w:rFonts w:cs="Times New Roman"/>
        </w:rPr>
        <w:t>应加强</w:t>
      </w:r>
      <w:r>
        <w:rPr>
          <w:rFonts w:hint="eastAsia" w:cs="Times New Roman"/>
        </w:rPr>
        <w:t>风险</w:t>
      </w:r>
      <w:r>
        <w:rPr>
          <w:rFonts w:cs="Times New Roman"/>
        </w:rPr>
        <w:t>管理和对职工的教育，制定应急预案，完善生产设备，严格遵守操作规程并定期检修、维护设备及管道、阀门等设备的完好率，</w:t>
      </w:r>
      <w:r>
        <w:rPr>
          <w:rFonts w:hint="eastAsia" w:cs="Times New Roman"/>
        </w:rPr>
        <w:t>可</w:t>
      </w:r>
      <w:r>
        <w:rPr>
          <w:rFonts w:cs="Times New Roman"/>
        </w:rPr>
        <w:t>最大限度的杜绝泄漏事故的发生。</w:t>
      </w:r>
    </w:p>
    <w:p>
      <w:pPr>
        <w:pStyle w:val="6"/>
        <w:jc w:val="both"/>
        <w:rPr>
          <w:rFonts w:cs="Times New Roman"/>
        </w:rPr>
      </w:pPr>
      <w:r>
        <w:rPr>
          <w:rFonts w:hint="eastAsia" w:cs="Times New Roman"/>
        </w:rPr>
        <w:t xml:space="preserve"> 火灾爆炸</w:t>
      </w:r>
      <w:r>
        <w:rPr>
          <w:rFonts w:cs="Times New Roman"/>
        </w:rPr>
        <w:t xml:space="preserve">应急措施 </w:t>
      </w:r>
    </w:p>
    <w:p>
      <w:pPr>
        <w:pStyle w:val="53"/>
        <w:ind w:firstLine="482"/>
      </w:pPr>
      <w:r>
        <w:rPr>
          <w:rFonts w:hint="eastAsia"/>
        </w:rPr>
        <w:t>（1）现场处置</w:t>
      </w:r>
    </w:p>
    <w:p>
      <w:pPr>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管线泄漏遇明火</w:t>
      </w:r>
      <w:r>
        <w:rPr>
          <w:rFonts w:hint="eastAsia"/>
        </w:rPr>
        <w:t>发生火灾，立即截断</w:t>
      </w:r>
      <w:r>
        <w:rPr>
          <w:rFonts w:cs="Times New Roman"/>
        </w:rPr>
        <w:t>上游截断阀，下游草池站立即启动放空系统，减少泄漏点的天然气泄漏量，</w:t>
      </w:r>
      <w:r>
        <w:rPr>
          <w:rFonts w:hint="eastAsia"/>
        </w:rPr>
        <w:t>密切监控现场火势。</w:t>
      </w:r>
    </w:p>
    <w:p>
      <w:pPr>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通知义务应急分队长，带领义务应急队员立即赶往现场。</w:t>
      </w:r>
    </w:p>
    <w:p>
      <w:pPr>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向中心调度室报告火灾发生的时间、位置、火焰大小、处置情况、气象条件、现场伤亡情况、人员疏散情况；</w:t>
      </w:r>
    </w:p>
    <w:p>
      <w:pPr>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启动应急应急程序，现场应急指挥处理。</w:t>
      </w:r>
    </w:p>
    <w:p>
      <w:pPr>
        <w:ind w:firstLine="48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现场确认火灾、爆炸发生的具体情况（1人监护），初步判断火灾发生原因，检查是否有人受伤或被困。</w:t>
      </w:r>
    </w:p>
    <w:p>
      <w:pPr>
        <w:ind w:firstLine="48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判断火灾发生原因，正确选择灭火设备，第一时间开展火灾初期扑灭工作。</w:t>
      </w:r>
    </w:p>
    <w:p>
      <w:pPr>
        <w:pStyle w:val="53"/>
        <w:ind w:firstLine="482"/>
      </w:pPr>
      <w:r>
        <w:rPr>
          <w:rFonts w:hint="eastAsia"/>
        </w:rPr>
        <w:t>（2）泄漏监测</w:t>
      </w:r>
    </w:p>
    <w:p>
      <w:pPr>
        <w:ind w:firstLine="480"/>
      </w:pPr>
      <w:r>
        <w:rPr>
          <w:rFonts w:hint="eastAsia"/>
        </w:rPr>
        <w:t>根据现场风速风向及气象情况，对泄漏情况进行监测，主要对下风方向天然气飘散情况进行监测，为人员疏散、搜救提供现场基础资料。</w:t>
      </w:r>
    </w:p>
    <w:p>
      <w:pPr>
        <w:pStyle w:val="53"/>
        <w:ind w:firstLine="482"/>
      </w:pPr>
      <w:r>
        <w:rPr>
          <w:rFonts w:hint="eastAsia"/>
        </w:rPr>
        <w:t>（3）应急疏散、警戒、搜救</w:t>
      </w:r>
    </w:p>
    <w:p>
      <w:pPr>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现场义务应急队员配合完成工艺处置后，第一时间开展现场搜救，确保场站及周边无人员失踪；</w:t>
      </w:r>
    </w:p>
    <w:p>
      <w:pPr>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第一时间做好主要路口100米警戒，禁止人员车辆靠近事发区域；协助场站周边群众按上风或侧风方向疏散；</w:t>
      </w:r>
    </w:p>
    <w:p>
      <w:pPr>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后续人员到场后做好500米警戒，禁止非应急抢险人员进入事故影响区域；协助500米范围内群众按上风或侧风方向撤离疏散；</w:t>
      </w:r>
    </w:p>
    <w:p>
      <w:pPr>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发现有受伤或中毒员工或群众，实施伤口清洗包扎、心肺复苏等现场急救措施；</w:t>
      </w:r>
    </w:p>
    <w:p>
      <w:pPr>
        <w:pStyle w:val="102"/>
        <w:ind w:firstLine="480"/>
        <w:rPr>
          <w:szCs w:val="24"/>
        </w:rPr>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应急救援队伍到达后，将现场情况汇报至现场指挥，开展工艺处置、应急抢维修、警戒、疏散、搜救、环境监测等工作。</w:t>
      </w:r>
    </w:p>
    <w:p>
      <w:pPr>
        <w:pStyle w:val="6"/>
        <w:ind w:left="142"/>
        <w:rPr>
          <w:rFonts w:cs="Times New Roman"/>
        </w:rPr>
      </w:pPr>
      <w:r>
        <w:rPr>
          <w:rFonts w:hint="eastAsia" w:cs="Times New Roman"/>
        </w:rPr>
        <w:t xml:space="preserve"> </w:t>
      </w:r>
      <w:r>
        <w:rPr>
          <w:rFonts w:cs="Times New Roman"/>
        </w:rPr>
        <w:t>环境应急监测方案和环境应急监测能力</w:t>
      </w:r>
    </w:p>
    <w:p>
      <w:pPr>
        <w:ind w:firstLine="480"/>
        <w:rPr>
          <w:rFonts w:cs="Times New Roman"/>
        </w:rPr>
      </w:pPr>
      <w:r>
        <w:rPr>
          <w:rFonts w:cs="Times New Roman"/>
        </w:rPr>
        <w:t>在事故现场设置多个大气监测点，24小时密切监测大气中甲烷及非甲烷总烃的变化情况，及时上报监测情况。项目当地环境监测站设备较为完善，监测人员业务能力强，基本能够完成应急监测任务，不能完成的项目可申请临近的环境监测单位协助。</w:t>
      </w:r>
    </w:p>
    <w:p>
      <w:pPr>
        <w:pStyle w:val="6"/>
        <w:ind w:left="142"/>
        <w:rPr>
          <w:rFonts w:cs="Times New Roman"/>
        </w:rPr>
      </w:pPr>
      <w:r>
        <w:rPr>
          <w:rFonts w:cs="Times New Roman"/>
        </w:rPr>
        <w:t xml:space="preserve"> 应急物资保障</w:t>
      </w:r>
    </w:p>
    <w:p>
      <w:pPr>
        <w:ind w:firstLine="480"/>
        <w:rPr>
          <w:rFonts w:cs="Times New Roman"/>
        </w:rPr>
      </w:pPr>
      <w:r>
        <w:rPr>
          <w:rFonts w:cs="Times New Roman"/>
        </w:rPr>
        <w:t xml:space="preserve">应急设备及物资的安置应采用就近原则，备足、备齐、定置明确，能够保证现场应急处理人员在第一时间内启用。 </w:t>
      </w:r>
    </w:p>
    <w:p>
      <w:pPr>
        <w:ind w:firstLine="480"/>
        <w:rPr>
          <w:rFonts w:cs="Times New Roman"/>
        </w:rPr>
      </w:pPr>
      <w:r>
        <w:rPr>
          <w:rFonts w:cs="Times New Roman"/>
        </w:rPr>
        <w:t xml:space="preserve">所有应急救援设备设施和物资实行专人管理，定点定量存放，消防设施、消防器材和泄漏应急处置器材由企业安全环保管理人员专门负责管理，每年初制定严格的检查保养计划，按月、季、半年不同周期分类对所有应急设施器材进行检查，及时补充和维修维护，确保各处应急器材物资的数量和性能满足随时使用的需要。 </w:t>
      </w:r>
    </w:p>
    <w:p>
      <w:pPr>
        <w:ind w:firstLine="480"/>
        <w:rPr>
          <w:rFonts w:cs="Times New Roman"/>
        </w:rPr>
      </w:pPr>
      <w:r>
        <w:rPr>
          <w:rFonts w:cs="Times New Roman"/>
        </w:rPr>
        <w:t xml:space="preserve">企业应急物资器材更新补充和维修维护、商业财产保险、工伤保险等费用列入年度预算，确保应急物资日常更新补充和维修等费用落实。 </w:t>
      </w:r>
    </w:p>
    <w:p>
      <w:pPr>
        <w:ind w:firstLine="480"/>
        <w:rPr>
          <w:rFonts w:cs="Times New Roman"/>
        </w:rPr>
      </w:pPr>
      <w:r>
        <w:rPr>
          <w:rFonts w:cs="Times New Roman"/>
        </w:rPr>
        <w:t>一旦发生事故，应急指挥部各成员及小组所需的事故应急救援工作经费不受预算限制，由企业财务部门落实拨付手续，保障应急经费的及时到位。</w:t>
      </w:r>
    </w:p>
    <w:p>
      <w:pPr>
        <w:pStyle w:val="6"/>
        <w:ind w:left="142"/>
        <w:rPr>
          <w:rFonts w:cs="Times New Roman"/>
        </w:rPr>
      </w:pPr>
      <w:r>
        <w:rPr>
          <w:rFonts w:cs="Times New Roman"/>
        </w:rPr>
        <w:t xml:space="preserve"> 应急联动</w:t>
      </w:r>
    </w:p>
    <w:p>
      <w:pPr>
        <w:ind w:firstLine="480"/>
        <w:rPr>
          <w:rFonts w:cs="Times New Roman"/>
        </w:rPr>
      </w:pPr>
      <w:r>
        <w:rPr>
          <w:rFonts w:cs="Times New Roman"/>
        </w:rPr>
        <w:t xml:space="preserve">（1）上层联动：本项目所在的通江县政府设置有应急管理办公室，在企业自身建立并完善应急响应机制的前提下，与地方进一步强化应急联动，应急联动具有可行性。 </w:t>
      </w:r>
    </w:p>
    <w:p>
      <w:pPr>
        <w:ind w:firstLine="480"/>
        <w:rPr>
          <w:rFonts w:cs="Times New Roman"/>
        </w:rPr>
      </w:pPr>
      <w:r>
        <w:rPr>
          <w:rFonts w:cs="Times New Roman"/>
        </w:rPr>
        <w:t xml:space="preserve">（2）下层联动：开展项目周边人居调查工作，结合项目周边人员分布情况，落实紧急情况下的应急联络人，确保环境风险事故下的应急措施的协助实施。 </w:t>
      </w:r>
    </w:p>
    <w:p>
      <w:pPr>
        <w:pStyle w:val="5"/>
        <w:rPr>
          <w:rFonts w:cs="Times New Roman"/>
        </w:rPr>
      </w:pPr>
      <w:bookmarkStart w:id="331" w:name="_Toc69044773"/>
      <w:r>
        <w:rPr>
          <w:rFonts w:cs="Times New Roman"/>
        </w:rPr>
        <w:t xml:space="preserve"> </w:t>
      </w:r>
      <w:bookmarkStart w:id="332" w:name="_Toc96680759"/>
      <w:r>
        <w:rPr>
          <w:rFonts w:cs="Times New Roman"/>
        </w:rPr>
        <w:t>突发环境事件应急预案编制要求</w:t>
      </w:r>
      <w:bookmarkEnd w:id="331"/>
      <w:bookmarkEnd w:id="332"/>
    </w:p>
    <w:p>
      <w:pPr>
        <w:widowControl/>
        <w:ind w:firstLine="482"/>
        <w:jc w:val="left"/>
        <w:rPr>
          <w:rFonts w:cs="Times New Roman"/>
          <w:u w:val="single"/>
        </w:rPr>
      </w:pPr>
      <w:r>
        <w:rPr>
          <w:rFonts w:cs="Times New Roman"/>
          <w:b/>
          <w:bCs/>
          <w:kern w:val="0"/>
          <w:szCs w:val="24"/>
          <w:u w:val="single"/>
        </w:rPr>
        <w:t>本环评要求，企业必须按照《企业事业单位突发环境事件应急预案备案管理办法（试行）》（环发〔2015〕4号）要求，编制应急预案并报备。</w:t>
      </w:r>
    </w:p>
    <w:p>
      <w:pPr>
        <w:pStyle w:val="6"/>
        <w:ind w:left="142"/>
        <w:rPr>
          <w:rFonts w:cs="Times New Roman"/>
        </w:rPr>
      </w:pPr>
      <w:r>
        <w:rPr>
          <w:rFonts w:cs="Times New Roman"/>
        </w:rPr>
        <w:t xml:space="preserve"> 应急预案编制或完善原则</w:t>
      </w:r>
    </w:p>
    <w:p>
      <w:pPr>
        <w:ind w:firstLine="480"/>
        <w:rPr>
          <w:rFonts w:cs="Times New Roman"/>
        </w:rPr>
      </w:pPr>
      <w:r>
        <w:rPr>
          <w:rFonts w:cs="Times New Roman"/>
        </w:rPr>
        <w:t>（1）坚持以人为本，预防为主，加强对环境风险事故的监测，监控并实施监督管理，建立环境风险防范体系，积极预防、及时控制、消除隐患、提高环境事故防范和处理能力，尽可能避免或减少突发环境风险事故的发生，消防或减轻环境风险事故造成的中长期影响，最大程度地保障公众健康，保护人</w:t>
      </w:r>
      <w:r>
        <w:rPr>
          <w:rFonts w:hint="eastAsia" w:cs="Times New Roman"/>
          <w:lang w:val="en-US" w:eastAsia="zh-CN"/>
        </w:rPr>
        <w:t>民</w:t>
      </w:r>
      <w:r>
        <w:rPr>
          <w:rFonts w:cs="Times New Roman"/>
        </w:rPr>
        <w:t xml:space="preserve">群众生命财产安全。 </w:t>
      </w:r>
    </w:p>
    <w:p>
      <w:pPr>
        <w:ind w:firstLine="480"/>
        <w:rPr>
          <w:rFonts w:cs="Times New Roman"/>
        </w:rPr>
      </w:pPr>
      <w:r>
        <w:rPr>
          <w:rFonts w:cs="Times New Roman"/>
        </w:rPr>
        <w:t xml:space="preserve">（2）坚持统一领导、分类管理、属地为主、分级响应。针对不同级别的环境风险事故的特点，实行分类管理，充分发挥部门专业优势，使采取的措施与突发环境风险事故造成的危害范围和社会影响相适应。充分发挥地方人民政府职能作用，坚持属地为主，实行分级响应。 </w:t>
      </w:r>
    </w:p>
    <w:p>
      <w:pPr>
        <w:ind w:firstLine="480"/>
        <w:rPr>
          <w:rFonts w:cs="Times New Roman"/>
        </w:rPr>
      </w:pPr>
      <w:r>
        <w:rPr>
          <w:rFonts w:cs="Times New Roman"/>
        </w:rPr>
        <w:t>（3）坚持平战结合，专兼结合，充分利用现有资源。积极做好应对突发环境风险事故的思想准备、物资准备、技术准备、工作准备，加强培训演练，充分利用现有专业环境应急救援力量，整合环境应急监测网络。</w:t>
      </w:r>
    </w:p>
    <w:p>
      <w:pPr>
        <w:pStyle w:val="6"/>
        <w:ind w:left="142"/>
        <w:rPr>
          <w:rFonts w:cs="Times New Roman"/>
        </w:rPr>
      </w:pPr>
      <w:r>
        <w:rPr>
          <w:rFonts w:cs="Times New Roman"/>
        </w:rPr>
        <w:t xml:space="preserve"> 应急预案编制适用范围</w:t>
      </w:r>
    </w:p>
    <w:p>
      <w:pPr>
        <w:ind w:firstLine="480"/>
        <w:rPr>
          <w:rFonts w:cs="Times New Roman"/>
          <w:szCs w:val="24"/>
        </w:rPr>
      </w:pPr>
      <w:r>
        <w:rPr>
          <w:rFonts w:cs="Times New Roman"/>
        </w:rPr>
        <w:t>编制的应急预案适用范围为本项目涉及的突发环境事件</w:t>
      </w:r>
      <w:r>
        <w:rPr>
          <w:rFonts w:cs="Times New Roman"/>
          <w:szCs w:val="24"/>
        </w:rPr>
        <w:t>的预警、处置、监测工作。</w:t>
      </w:r>
    </w:p>
    <w:p>
      <w:pPr>
        <w:pStyle w:val="6"/>
        <w:ind w:left="142"/>
        <w:rPr>
          <w:rFonts w:cs="Times New Roman"/>
        </w:rPr>
      </w:pPr>
      <w:r>
        <w:rPr>
          <w:rFonts w:cs="Times New Roman"/>
        </w:rPr>
        <w:t xml:space="preserve"> 环境事件分类</w:t>
      </w:r>
    </w:p>
    <w:p>
      <w:pPr>
        <w:ind w:firstLine="480"/>
        <w:rPr>
          <w:rFonts w:cs="Times New Roman"/>
        </w:rPr>
      </w:pPr>
      <w:r>
        <w:rPr>
          <w:rFonts w:cs="Times New Roman"/>
        </w:rPr>
        <w:t>根据环境风险事故影响和应急援救、控制特点，将环境风险事故分为事故泄漏和火灾</w:t>
      </w:r>
      <w:r>
        <w:rPr>
          <w:rFonts w:hint="eastAsia" w:cs="Times New Roman"/>
        </w:rPr>
        <w:t>/</w:t>
      </w:r>
      <w:r>
        <w:rPr>
          <w:rFonts w:cs="Times New Roman"/>
        </w:rPr>
        <w:t>爆炸产生次生</w:t>
      </w:r>
      <w:r>
        <w:rPr>
          <w:rFonts w:hint="eastAsia" w:cs="Times New Roman"/>
        </w:rPr>
        <w:t>污染物</w:t>
      </w:r>
      <w:r>
        <w:rPr>
          <w:rFonts w:cs="Times New Roman"/>
        </w:rPr>
        <w:t xml:space="preserve">两类： </w:t>
      </w:r>
    </w:p>
    <w:p>
      <w:pPr>
        <w:ind w:firstLine="480" w:firstLineChars="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hint="eastAsia" w:cs="Times New Roman"/>
        </w:rPr>
        <w:t>①</w:t>
      </w:r>
      <w:r>
        <w:rPr>
          <w:rFonts w:cs="Times New Roman"/>
        </w:rPr>
        <w:fldChar w:fldCharType="end"/>
      </w:r>
      <w:r>
        <w:rPr>
          <w:rFonts w:cs="Times New Roman"/>
        </w:rPr>
        <w:t>事故泄漏：设备、管线破损，有毒有害气体泄漏</w:t>
      </w:r>
      <w:r>
        <w:rPr>
          <w:rFonts w:hint="eastAsia"/>
        </w:rPr>
        <w:t>造成环境空气污染；</w:t>
      </w:r>
    </w:p>
    <w:p>
      <w:pPr>
        <w:ind w:firstLine="480" w:firstLineChars="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hint="eastAsia" w:cs="Times New Roman"/>
        </w:rPr>
        <w:t>②</w:t>
      </w:r>
      <w:r>
        <w:rPr>
          <w:rFonts w:cs="Times New Roman"/>
        </w:rPr>
        <w:fldChar w:fldCharType="end"/>
      </w:r>
      <w:r>
        <w:rPr>
          <w:rFonts w:cs="Times New Roman"/>
        </w:rPr>
        <w:t>火灾</w:t>
      </w:r>
      <w:r>
        <w:rPr>
          <w:rFonts w:hint="eastAsia" w:cs="Times New Roman"/>
        </w:rPr>
        <w:t>/</w:t>
      </w:r>
      <w:r>
        <w:rPr>
          <w:rFonts w:cs="Times New Roman"/>
        </w:rPr>
        <w:t>爆炸：</w:t>
      </w:r>
      <w:r>
        <w:rPr>
          <w:rFonts w:hint="eastAsia"/>
        </w:rPr>
        <w:t>可燃、易燃物料泄漏，遇火源发生火灾、爆炸，燃烧废气可能造成环境空气污染。</w:t>
      </w:r>
    </w:p>
    <w:p>
      <w:pPr>
        <w:pStyle w:val="6"/>
        <w:ind w:left="142"/>
        <w:rPr>
          <w:rFonts w:cs="Times New Roman"/>
        </w:rPr>
      </w:pPr>
      <w:r>
        <w:rPr>
          <w:rFonts w:cs="Times New Roman"/>
        </w:rPr>
        <w:t xml:space="preserve"> 环境事件分级</w:t>
      </w:r>
    </w:p>
    <w:p>
      <w:pPr>
        <w:ind w:firstLine="480"/>
        <w:rPr>
          <w:rFonts w:cs="Times New Roman"/>
          <w:szCs w:val="24"/>
        </w:rPr>
      </w:pPr>
      <w:r>
        <w:rPr>
          <w:rFonts w:cs="Times New Roman"/>
        </w:rPr>
        <w:t>按照环境风险事故的严重程度和影响范围，根据事故应急救援需要，将事故划分为</w:t>
      </w:r>
      <w:r>
        <w:rPr>
          <w:rFonts w:hint="eastAsia" w:ascii="宋体" w:hAnsi="宋体" w:cs="宋体"/>
        </w:rPr>
        <w:t>Ⅰ</w:t>
      </w:r>
      <w:r>
        <w:rPr>
          <w:rFonts w:cs="Times New Roman"/>
        </w:rPr>
        <w:t>（</w:t>
      </w:r>
      <w:r>
        <w:rPr>
          <w:rFonts w:cs="Times New Roman"/>
          <w:kern w:val="36"/>
        </w:rPr>
        <w:t>中国石化级</w:t>
      </w:r>
      <w:r>
        <w:rPr>
          <w:rFonts w:cs="Times New Roman"/>
        </w:rPr>
        <w:t>）、</w:t>
      </w:r>
      <w:r>
        <w:rPr>
          <w:rFonts w:hint="eastAsia" w:ascii="宋体" w:hAnsi="宋体" w:cs="宋体"/>
        </w:rPr>
        <w:t>Ⅱ</w:t>
      </w:r>
      <w:r>
        <w:rPr>
          <w:rFonts w:cs="Times New Roman"/>
        </w:rPr>
        <w:t>（</w:t>
      </w:r>
      <w:r>
        <w:rPr>
          <w:rFonts w:cs="Times New Roman"/>
          <w:kern w:val="36"/>
        </w:rPr>
        <w:t>分公司级</w:t>
      </w:r>
      <w:r>
        <w:rPr>
          <w:rFonts w:cs="Times New Roman"/>
        </w:rPr>
        <w:t>）、</w:t>
      </w:r>
      <w:r>
        <w:rPr>
          <w:rFonts w:hint="eastAsia" w:ascii="宋体" w:hAnsi="宋体" w:cs="宋体"/>
        </w:rPr>
        <w:t>Ⅲ</w:t>
      </w:r>
      <w:r>
        <w:rPr>
          <w:rFonts w:cs="Times New Roman"/>
        </w:rPr>
        <w:t>级（</w:t>
      </w:r>
      <w:r>
        <w:rPr>
          <w:rFonts w:cs="Times New Roman"/>
          <w:kern w:val="36"/>
        </w:rPr>
        <w:t>二级单位级和基层单位级</w:t>
      </w:r>
      <w:r>
        <w:rPr>
          <w:rFonts w:cs="Times New Roman"/>
        </w:rPr>
        <w:t>）。Ⅰ级事故：是指后果特别重大，且发生后可能持续一段时间，事故控制及其对生产、社会产生的影响依靠企业自身救援力量不能控制，需要当地政府有关部门或相关方协助救援的事故。</w:t>
      </w:r>
      <w:r>
        <w:rPr>
          <w:rFonts w:hint="eastAsia" w:ascii="宋体" w:hAnsi="宋体" w:cs="宋体"/>
        </w:rPr>
        <w:t>Ⅱ</w:t>
      </w:r>
      <w:r>
        <w:rPr>
          <w:rFonts w:cs="Times New Roman"/>
        </w:rPr>
        <w:t>级事故：是指后果重大，且发生后可能持续一段时间，事故控制及其对生产、社会产生的影响依靠</w:t>
      </w:r>
      <w:r>
        <w:rPr>
          <w:rFonts w:cs="Times New Roman"/>
          <w:kern w:val="36"/>
        </w:rPr>
        <w:t>二级单位级和基层单位级</w:t>
      </w:r>
      <w:r>
        <w:rPr>
          <w:rFonts w:cs="Times New Roman"/>
        </w:rPr>
        <w:t>自身救援力量不能控制，需要分公司或相关方救援才能控制的事故。</w:t>
      </w:r>
      <w:r>
        <w:rPr>
          <w:rFonts w:hint="eastAsia" w:ascii="宋体" w:hAnsi="宋体" w:cs="宋体"/>
        </w:rPr>
        <w:t>Ⅲ</w:t>
      </w:r>
      <w:r>
        <w:rPr>
          <w:rFonts w:cs="Times New Roman"/>
        </w:rPr>
        <w:t>级事故：是指生产现场就能控制，不需要救援的事故。</w:t>
      </w:r>
    </w:p>
    <w:p>
      <w:pPr>
        <w:pStyle w:val="6"/>
        <w:ind w:left="142"/>
        <w:rPr>
          <w:rFonts w:cs="Times New Roman"/>
        </w:rPr>
      </w:pPr>
      <w:r>
        <w:rPr>
          <w:rFonts w:cs="Times New Roman"/>
        </w:rPr>
        <w:t xml:space="preserve"> 应急组织机构与职责</w:t>
      </w:r>
    </w:p>
    <w:p>
      <w:pPr>
        <w:ind w:firstLine="480"/>
        <w:rPr>
          <w:rFonts w:cs="Times New Roman"/>
        </w:rPr>
      </w:pPr>
      <w:r>
        <w:rPr>
          <w:rFonts w:cs="Times New Roman"/>
        </w:rPr>
        <w:t>企业应设置相关应急组织，负责风险事故现场处置。应急组织职责见下表：</w:t>
      </w:r>
    </w:p>
    <w:p>
      <w:pPr>
        <w:pStyle w:val="57"/>
      </w:pPr>
      <w:r>
        <w:t>表</w:t>
      </w:r>
      <w:r>
        <w:fldChar w:fldCharType="begin"/>
      </w:r>
      <w:r>
        <w:instrText xml:space="preserve"> STYLEREF 2 \s </w:instrText>
      </w:r>
      <w:r>
        <w:fldChar w:fldCharType="separate"/>
      </w:r>
      <w:r>
        <w:t>8.8</w:t>
      </w:r>
      <w:r>
        <w:fldChar w:fldCharType="end"/>
      </w:r>
      <w:r>
        <w:t>-</w:t>
      </w:r>
      <w:r>
        <w:fldChar w:fldCharType="begin"/>
      </w:r>
      <w:r>
        <w:instrText xml:space="preserve"> SEQ 表格 \* ARABIC \s 2 </w:instrText>
      </w:r>
      <w:r>
        <w:fldChar w:fldCharType="separate"/>
      </w:r>
      <w:r>
        <w:t>1</w:t>
      </w:r>
      <w:r>
        <w:fldChar w:fldCharType="end"/>
      </w:r>
      <w:r>
        <w:t xml:space="preserve">  应急组织机构及职责</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57"/>
        <w:gridCol w:w="788"/>
        <w:gridCol w:w="69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blHeader/>
          <w:jc w:val="center"/>
        </w:trPr>
        <w:tc>
          <w:tcPr>
            <w:tcW w:w="393" w:type="pct"/>
            <w:vAlign w:val="center"/>
          </w:tcPr>
          <w:p>
            <w:pPr>
              <w:pStyle w:val="16"/>
              <w:spacing w:after="0" w:line="240" w:lineRule="auto"/>
              <w:ind w:left="0" w:leftChars="0" w:firstLine="0" w:firstLineChars="0"/>
              <w:jc w:val="center"/>
              <w:rPr>
                <w:rFonts w:cs="Times New Roman"/>
                <w:b/>
                <w:bCs/>
                <w:sz w:val="21"/>
              </w:rPr>
            </w:pPr>
            <w:r>
              <w:rPr>
                <w:rFonts w:cs="Times New Roman"/>
                <w:b/>
                <w:bCs/>
                <w:sz w:val="21"/>
              </w:rPr>
              <w:t>序号</w:t>
            </w:r>
          </w:p>
        </w:tc>
        <w:tc>
          <w:tcPr>
            <w:tcW w:w="471" w:type="pct"/>
            <w:vAlign w:val="center"/>
          </w:tcPr>
          <w:p>
            <w:pPr>
              <w:pStyle w:val="16"/>
              <w:spacing w:after="0" w:line="240" w:lineRule="auto"/>
              <w:ind w:left="0" w:leftChars="0" w:firstLine="0" w:firstLineChars="0"/>
              <w:jc w:val="center"/>
              <w:rPr>
                <w:rFonts w:cs="Times New Roman"/>
                <w:b/>
                <w:bCs/>
                <w:sz w:val="21"/>
              </w:rPr>
            </w:pPr>
            <w:r>
              <w:rPr>
                <w:rFonts w:cs="Times New Roman"/>
                <w:b/>
                <w:bCs/>
                <w:sz w:val="21"/>
              </w:rPr>
              <w:t>应急组织机构</w:t>
            </w:r>
          </w:p>
        </w:tc>
        <w:tc>
          <w:tcPr>
            <w:tcW w:w="4136" w:type="pct"/>
            <w:vAlign w:val="center"/>
          </w:tcPr>
          <w:p>
            <w:pPr>
              <w:pStyle w:val="16"/>
              <w:spacing w:after="0" w:line="240" w:lineRule="auto"/>
              <w:ind w:left="0" w:leftChars="0" w:firstLine="0" w:firstLineChars="0"/>
              <w:jc w:val="center"/>
              <w:rPr>
                <w:rFonts w:cs="Times New Roman"/>
                <w:b/>
                <w:bCs/>
                <w:sz w:val="21"/>
              </w:rPr>
            </w:pPr>
            <w:r>
              <w:rPr>
                <w:rFonts w:cs="Times New Roman"/>
                <w:b/>
                <w:bCs/>
                <w:sz w:val="21"/>
              </w:rPr>
              <w:t>职责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64" w:hRule="atLeast"/>
          <w:jc w:val="center"/>
        </w:trPr>
        <w:tc>
          <w:tcPr>
            <w:tcW w:w="393"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471" w:type="pct"/>
            <w:vAlign w:val="center"/>
          </w:tcPr>
          <w:p>
            <w:pPr>
              <w:spacing w:line="240" w:lineRule="auto"/>
              <w:ind w:firstLine="0" w:firstLineChars="0"/>
              <w:jc w:val="center"/>
              <w:rPr>
                <w:rFonts w:ascii="宋体" w:hAnsi="宋体"/>
                <w:kern w:val="0"/>
                <w:sz w:val="21"/>
              </w:rPr>
            </w:pPr>
            <w:r>
              <w:rPr>
                <w:rFonts w:hint="eastAsia" w:ascii="宋体" w:hAnsi="宋体"/>
                <w:kern w:val="0"/>
                <w:sz w:val="21"/>
              </w:rPr>
              <w:t>应急指挥</w:t>
            </w:r>
            <w:r>
              <w:rPr>
                <w:rFonts w:ascii="宋体" w:hAnsi="宋体"/>
                <w:kern w:val="0"/>
                <w:sz w:val="21"/>
              </w:rPr>
              <w:t>部</w:t>
            </w:r>
          </w:p>
        </w:tc>
        <w:tc>
          <w:tcPr>
            <w:tcW w:w="4136" w:type="pct"/>
            <w:vAlign w:val="center"/>
          </w:tcPr>
          <w:p>
            <w:pPr>
              <w:adjustRightInd w:val="0"/>
              <w:snapToGrid w:val="0"/>
              <w:spacing w:line="240" w:lineRule="auto"/>
              <w:ind w:firstLine="0" w:firstLineChars="0"/>
              <w:jc w:val="left"/>
              <w:rPr>
                <w:rFonts w:ascii="宋体" w:hAnsi="宋体"/>
                <w:kern w:val="0"/>
                <w:sz w:val="21"/>
              </w:rPr>
            </w:pPr>
            <w:r>
              <w:rPr>
                <w:rFonts w:ascii="宋体" w:hAnsi="宋体"/>
                <w:sz w:val="21"/>
              </w:rPr>
              <w:t>负责组织实施突发环境事故应急救援工作。突发环境事件发生后，总指挥或总指挥委托他人赶赴事故现场进行现场指挥，成立现场指挥部，批准现场救援方案，组织现场抢救。平常情况下，负责定期组织突发环境事件应急救援演练，监督检查应急演练效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39" w:hRule="atLeast"/>
          <w:jc w:val="center"/>
        </w:trPr>
        <w:tc>
          <w:tcPr>
            <w:tcW w:w="393"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471" w:type="pct"/>
            <w:vAlign w:val="center"/>
          </w:tcPr>
          <w:p>
            <w:pPr>
              <w:spacing w:line="240" w:lineRule="auto"/>
              <w:ind w:firstLine="0" w:firstLineChars="0"/>
              <w:jc w:val="center"/>
              <w:rPr>
                <w:rFonts w:ascii="宋体" w:hAnsi="宋体"/>
                <w:kern w:val="0"/>
                <w:sz w:val="21"/>
              </w:rPr>
            </w:pPr>
            <w:r>
              <w:rPr>
                <w:rFonts w:ascii="宋体" w:hAnsi="宋体"/>
                <w:kern w:val="0"/>
                <w:sz w:val="21"/>
              </w:rPr>
              <w:t>通讯联络组</w:t>
            </w:r>
          </w:p>
        </w:tc>
        <w:tc>
          <w:tcPr>
            <w:tcW w:w="4136" w:type="pct"/>
            <w:vAlign w:val="center"/>
          </w:tcPr>
          <w:p>
            <w:pPr>
              <w:adjustRightInd w:val="0"/>
              <w:snapToGrid w:val="0"/>
              <w:spacing w:line="240" w:lineRule="auto"/>
              <w:ind w:firstLine="0" w:firstLineChars="0"/>
              <w:rPr>
                <w:rFonts w:ascii="宋体" w:hAnsi="宋体"/>
                <w:kern w:val="0"/>
                <w:sz w:val="21"/>
              </w:rPr>
            </w:pPr>
            <w:r>
              <w:rPr>
                <w:rFonts w:ascii="宋体" w:hAnsi="宋体"/>
                <w:sz w:val="21"/>
              </w:rPr>
              <w:t>负责向应急指挥部报告；及时与当地政府、环保、公安、消防、急救中心取得联系；负责现场的通讯联络任务。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39" w:hRule="atLeast"/>
          <w:jc w:val="center"/>
        </w:trPr>
        <w:tc>
          <w:tcPr>
            <w:tcW w:w="393"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471" w:type="pct"/>
            <w:vAlign w:val="center"/>
          </w:tcPr>
          <w:p>
            <w:pPr>
              <w:spacing w:line="240" w:lineRule="auto"/>
              <w:ind w:firstLine="0" w:firstLineChars="0"/>
              <w:jc w:val="center"/>
              <w:rPr>
                <w:rFonts w:ascii="宋体" w:hAnsi="宋体"/>
                <w:kern w:val="0"/>
                <w:sz w:val="21"/>
              </w:rPr>
            </w:pPr>
            <w:r>
              <w:rPr>
                <w:rFonts w:ascii="宋体" w:hAnsi="宋体"/>
                <w:kern w:val="0"/>
                <w:sz w:val="21"/>
              </w:rPr>
              <w:t>警戒疏散组</w:t>
            </w:r>
          </w:p>
        </w:tc>
        <w:tc>
          <w:tcPr>
            <w:tcW w:w="4136" w:type="pct"/>
            <w:vAlign w:val="center"/>
          </w:tcPr>
          <w:p>
            <w:pPr>
              <w:adjustRightInd w:val="0"/>
              <w:snapToGrid w:val="0"/>
              <w:spacing w:line="240" w:lineRule="auto"/>
              <w:ind w:firstLine="0" w:firstLineChars="0"/>
              <w:rPr>
                <w:rFonts w:ascii="宋体" w:hAnsi="宋体"/>
                <w:kern w:val="0"/>
                <w:sz w:val="21"/>
              </w:rPr>
            </w:pPr>
            <w:r>
              <w:rPr>
                <w:rFonts w:ascii="宋体" w:hAnsi="宋体"/>
                <w:sz w:val="21"/>
              </w:rPr>
              <w:t>设置警戒、防护区域；组织人员撤离现场，并做好各类安全保障工作；协助周边单位和群众的安全疏散和撤离。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39" w:hRule="atLeast"/>
          <w:jc w:val="center"/>
        </w:trPr>
        <w:tc>
          <w:tcPr>
            <w:tcW w:w="393"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471" w:type="pct"/>
            <w:vAlign w:val="center"/>
          </w:tcPr>
          <w:p>
            <w:pPr>
              <w:spacing w:line="240" w:lineRule="auto"/>
              <w:ind w:firstLine="0" w:firstLineChars="0"/>
              <w:jc w:val="center"/>
              <w:rPr>
                <w:rFonts w:ascii="宋体" w:hAnsi="宋体"/>
                <w:kern w:val="0"/>
                <w:sz w:val="21"/>
              </w:rPr>
            </w:pPr>
            <w:r>
              <w:rPr>
                <w:rFonts w:ascii="宋体" w:hAnsi="宋体"/>
                <w:kern w:val="0"/>
                <w:sz w:val="21"/>
              </w:rPr>
              <w:t>后勤保障组</w:t>
            </w:r>
          </w:p>
        </w:tc>
        <w:tc>
          <w:tcPr>
            <w:tcW w:w="4136" w:type="pct"/>
            <w:vAlign w:val="center"/>
          </w:tcPr>
          <w:p>
            <w:pPr>
              <w:adjustRightInd w:val="0"/>
              <w:snapToGrid w:val="0"/>
              <w:spacing w:line="240" w:lineRule="auto"/>
              <w:ind w:firstLine="0" w:firstLineChars="0"/>
              <w:rPr>
                <w:rFonts w:ascii="宋体" w:hAnsi="宋体"/>
                <w:kern w:val="0"/>
                <w:sz w:val="21"/>
              </w:rPr>
            </w:pPr>
            <w:r>
              <w:rPr>
                <w:rFonts w:ascii="宋体" w:hAnsi="宋体"/>
                <w:sz w:val="21"/>
              </w:rPr>
              <w:t>负责</w:t>
            </w:r>
            <w:r>
              <w:rPr>
                <w:rFonts w:hint="eastAsia" w:ascii="宋体" w:hAnsi="宋体"/>
                <w:sz w:val="21"/>
              </w:rPr>
              <w:t>现场</w:t>
            </w:r>
            <w:r>
              <w:rPr>
                <w:rFonts w:ascii="宋体" w:hAnsi="宋体"/>
                <w:sz w:val="21"/>
              </w:rPr>
              <w:t>应急后勤保障工作。包括：现场医疗救护指挥及中毒、受伤人员分类抢救和护送转院；准备抢救受伤、中毒人员的生活必需品供应</w:t>
            </w:r>
            <w:r>
              <w:rPr>
                <w:rFonts w:hint="eastAsia" w:ascii="宋体" w:hAnsi="宋体"/>
                <w:sz w:val="21"/>
              </w:rPr>
              <w:t>；</w:t>
            </w:r>
            <w:r>
              <w:rPr>
                <w:rFonts w:ascii="宋体" w:hAnsi="宋体"/>
                <w:sz w:val="21"/>
              </w:rPr>
              <w:t>负责应急救援现场人员疏散，车辆准备，组织受伤人员的急救。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5" w:hRule="atLeast"/>
          <w:jc w:val="center"/>
        </w:trPr>
        <w:tc>
          <w:tcPr>
            <w:tcW w:w="393"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471" w:type="pct"/>
            <w:vAlign w:val="center"/>
          </w:tcPr>
          <w:p>
            <w:pPr>
              <w:spacing w:line="240" w:lineRule="auto"/>
              <w:ind w:firstLine="0" w:firstLineChars="0"/>
              <w:jc w:val="center"/>
              <w:rPr>
                <w:rFonts w:ascii="宋体" w:hAnsi="宋体"/>
                <w:kern w:val="0"/>
                <w:sz w:val="21"/>
              </w:rPr>
            </w:pPr>
            <w:r>
              <w:rPr>
                <w:rFonts w:ascii="宋体" w:hAnsi="宋体"/>
                <w:kern w:val="0"/>
                <w:sz w:val="21"/>
              </w:rPr>
              <w:t>人员救护组</w:t>
            </w:r>
          </w:p>
        </w:tc>
        <w:tc>
          <w:tcPr>
            <w:tcW w:w="4136" w:type="pct"/>
            <w:vAlign w:val="center"/>
          </w:tcPr>
          <w:p>
            <w:pPr>
              <w:adjustRightInd w:val="0"/>
              <w:snapToGrid w:val="0"/>
              <w:spacing w:line="240" w:lineRule="auto"/>
              <w:ind w:firstLine="0" w:firstLineChars="0"/>
              <w:rPr>
                <w:rFonts w:ascii="宋体" w:hAnsi="宋体"/>
                <w:kern w:val="0"/>
                <w:sz w:val="21"/>
              </w:rPr>
            </w:pPr>
            <w:r>
              <w:rPr>
                <w:rFonts w:ascii="宋体" w:hAnsi="宋体"/>
                <w:sz w:val="21"/>
              </w:rPr>
              <w:t>负责事件现场的伤员转移、救助工作；协助医疗救护部门将伤员护送到相关单位进行抢救和安置；发生重大污染事件时，组织井场人员安全撤离现场；协助领导小组做好善后工作。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39" w:hRule="atLeast"/>
          <w:jc w:val="center"/>
        </w:trPr>
        <w:tc>
          <w:tcPr>
            <w:tcW w:w="393" w:type="pct"/>
            <w:vAlign w:val="center"/>
          </w:tcPr>
          <w:p>
            <w:pPr>
              <w:spacing w:line="240" w:lineRule="auto"/>
              <w:ind w:firstLine="0" w:firstLineChars="0"/>
              <w:jc w:val="center"/>
              <w:rPr>
                <w:rFonts w:cs="Times New Roman"/>
                <w:kern w:val="0"/>
                <w:sz w:val="21"/>
              </w:rPr>
            </w:pPr>
            <w:r>
              <w:rPr>
                <w:rFonts w:cs="Times New Roman"/>
                <w:kern w:val="0"/>
                <w:sz w:val="21"/>
              </w:rPr>
              <w:t>6</w:t>
            </w:r>
          </w:p>
        </w:tc>
        <w:tc>
          <w:tcPr>
            <w:tcW w:w="471" w:type="pct"/>
            <w:vAlign w:val="center"/>
          </w:tcPr>
          <w:p>
            <w:pPr>
              <w:spacing w:line="240" w:lineRule="auto"/>
              <w:ind w:firstLine="0" w:firstLineChars="0"/>
              <w:jc w:val="center"/>
              <w:rPr>
                <w:rFonts w:ascii="宋体" w:hAnsi="宋体"/>
                <w:kern w:val="0"/>
                <w:sz w:val="21"/>
              </w:rPr>
            </w:pPr>
            <w:r>
              <w:rPr>
                <w:rFonts w:ascii="宋体" w:hAnsi="宋体"/>
                <w:kern w:val="0"/>
                <w:sz w:val="21"/>
              </w:rPr>
              <w:t>抢险救灾组</w:t>
            </w:r>
          </w:p>
        </w:tc>
        <w:tc>
          <w:tcPr>
            <w:tcW w:w="4136" w:type="pct"/>
            <w:vAlign w:val="center"/>
          </w:tcPr>
          <w:p>
            <w:pPr>
              <w:adjustRightInd w:val="0"/>
              <w:snapToGrid w:val="0"/>
              <w:spacing w:line="240" w:lineRule="auto"/>
              <w:ind w:firstLine="0" w:firstLineChars="0"/>
              <w:rPr>
                <w:rFonts w:ascii="宋体" w:hAnsi="宋体"/>
                <w:sz w:val="21"/>
              </w:rPr>
            </w:pPr>
            <w:r>
              <w:rPr>
                <w:rFonts w:ascii="宋体" w:hAnsi="宋体"/>
                <w:sz w:val="21"/>
              </w:rPr>
              <w:t>在指挥部的指挥下参加抢险救援；负责组织当班人员在事件发生时将发生区域内的人员、物资抢救到安全地点，防止事态扩大。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39" w:hRule="atLeast"/>
          <w:jc w:val="center"/>
        </w:trPr>
        <w:tc>
          <w:tcPr>
            <w:tcW w:w="393" w:type="pct"/>
            <w:vAlign w:val="center"/>
          </w:tcPr>
          <w:p>
            <w:pPr>
              <w:spacing w:line="240" w:lineRule="auto"/>
              <w:ind w:firstLine="0" w:firstLineChars="0"/>
              <w:jc w:val="center"/>
              <w:rPr>
                <w:rFonts w:cs="Times New Roman"/>
                <w:kern w:val="0"/>
                <w:sz w:val="21"/>
              </w:rPr>
            </w:pPr>
            <w:r>
              <w:rPr>
                <w:rFonts w:hint="eastAsia" w:cs="Times New Roman"/>
                <w:kern w:val="0"/>
                <w:sz w:val="21"/>
              </w:rPr>
              <w:t>7</w:t>
            </w:r>
          </w:p>
        </w:tc>
        <w:tc>
          <w:tcPr>
            <w:tcW w:w="471" w:type="pct"/>
            <w:vAlign w:val="center"/>
          </w:tcPr>
          <w:p>
            <w:pPr>
              <w:spacing w:line="240" w:lineRule="auto"/>
              <w:ind w:firstLine="0" w:firstLineChars="0"/>
              <w:jc w:val="center"/>
              <w:rPr>
                <w:rFonts w:ascii="宋体" w:hAnsi="宋体"/>
                <w:kern w:val="0"/>
                <w:sz w:val="21"/>
              </w:rPr>
            </w:pPr>
            <w:r>
              <w:rPr>
                <w:rFonts w:ascii="宋体" w:hAnsi="宋体"/>
                <w:kern w:val="0"/>
                <w:sz w:val="21"/>
              </w:rPr>
              <w:t>灾后处理组</w:t>
            </w:r>
          </w:p>
        </w:tc>
        <w:tc>
          <w:tcPr>
            <w:tcW w:w="4136" w:type="pct"/>
            <w:vAlign w:val="center"/>
          </w:tcPr>
          <w:p>
            <w:pPr>
              <w:adjustRightInd w:val="0"/>
              <w:snapToGrid w:val="0"/>
              <w:spacing w:line="240" w:lineRule="auto"/>
              <w:ind w:firstLine="0" w:firstLineChars="0"/>
              <w:rPr>
                <w:rFonts w:ascii="宋体" w:hAnsi="宋体"/>
                <w:kern w:val="0"/>
                <w:sz w:val="21"/>
              </w:rPr>
            </w:pPr>
            <w:r>
              <w:rPr>
                <w:rFonts w:ascii="宋体" w:hAnsi="宋体"/>
                <w:sz w:val="21"/>
              </w:rPr>
              <w:t>负责事故原因的调查，并将调查结果向应急指挥部、上级主管部门、当地安全生产监督管理部门汇报</w:t>
            </w:r>
            <w:r>
              <w:rPr>
                <w:rFonts w:hint="eastAsia" w:ascii="宋体" w:hAnsi="宋体"/>
                <w:sz w:val="21"/>
              </w:rPr>
              <w:t>；</w:t>
            </w:r>
            <w:r>
              <w:rPr>
                <w:rFonts w:ascii="宋体" w:hAnsi="宋体"/>
                <w:sz w:val="21"/>
              </w:rPr>
              <w:t>灾害过后通知各部门组织人员清点损失，对受损设施进行拍照取证、报公司财务部</w:t>
            </w:r>
            <w:r>
              <w:rPr>
                <w:rFonts w:hint="eastAsia" w:ascii="宋体" w:hAnsi="宋体"/>
                <w:sz w:val="21"/>
              </w:rPr>
              <w:t>；</w:t>
            </w:r>
            <w:r>
              <w:rPr>
                <w:rFonts w:ascii="宋体" w:hAnsi="宋体"/>
                <w:sz w:val="21"/>
              </w:rPr>
              <w:t>负责危机事件处理，防止负面信息的传播对公司及其员工、产品、环境、品牌形象或利益受到严重威胁，有被媒体报道的趋势或已经被媒体报道的突发事件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39" w:hRule="atLeast"/>
          <w:jc w:val="center"/>
        </w:trPr>
        <w:tc>
          <w:tcPr>
            <w:tcW w:w="393" w:type="pct"/>
            <w:vAlign w:val="center"/>
          </w:tcPr>
          <w:p>
            <w:pPr>
              <w:spacing w:line="240" w:lineRule="auto"/>
              <w:ind w:firstLine="0" w:firstLineChars="0"/>
              <w:jc w:val="center"/>
              <w:rPr>
                <w:rFonts w:cs="Times New Roman"/>
                <w:kern w:val="0"/>
                <w:sz w:val="21"/>
              </w:rPr>
            </w:pPr>
            <w:r>
              <w:rPr>
                <w:rFonts w:hint="eastAsia" w:cs="Times New Roman"/>
                <w:kern w:val="0"/>
                <w:sz w:val="21"/>
              </w:rPr>
              <w:t>8</w:t>
            </w:r>
          </w:p>
        </w:tc>
        <w:tc>
          <w:tcPr>
            <w:tcW w:w="471" w:type="pct"/>
            <w:vAlign w:val="center"/>
          </w:tcPr>
          <w:p>
            <w:pPr>
              <w:spacing w:line="240" w:lineRule="auto"/>
              <w:ind w:firstLine="0" w:firstLineChars="0"/>
              <w:jc w:val="center"/>
              <w:rPr>
                <w:rFonts w:ascii="宋体" w:hAnsi="宋体"/>
                <w:kern w:val="0"/>
                <w:sz w:val="21"/>
              </w:rPr>
            </w:pPr>
            <w:r>
              <w:rPr>
                <w:rFonts w:ascii="宋体" w:hAnsi="宋体"/>
                <w:kern w:val="0"/>
                <w:sz w:val="21"/>
              </w:rPr>
              <w:t>应急监测组</w:t>
            </w:r>
          </w:p>
        </w:tc>
        <w:tc>
          <w:tcPr>
            <w:tcW w:w="4136" w:type="pct"/>
            <w:vAlign w:val="center"/>
          </w:tcPr>
          <w:p>
            <w:pPr>
              <w:adjustRightInd w:val="0"/>
              <w:snapToGrid w:val="0"/>
              <w:spacing w:line="240" w:lineRule="auto"/>
              <w:ind w:firstLine="0" w:firstLineChars="0"/>
              <w:rPr>
                <w:rFonts w:ascii="宋体" w:hAnsi="宋体"/>
                <w:kern w:val="0"/>
                <w:sz w:val="21"/>
              </w:rPr>
            </w:pPr>
            <w:r>
              <w:rPr>
                <w:rFonts w:ascii="宋体" w:hAnsi="宋体"/>
                <w:sz w:val="21"/>
              </w:rPr>
              <w:t>主要负责协助环境监测部门进行环境监测工作</w:t>
            </w:r>
            <w:r>
              <w:rPr>
                <w:rFonts w:hint="eastAsia" w:ascii="宋体" w:hAnsi="宋体"/>
                <w:sz w:val="21"/>
              </w:rPr>
              <w:t>；</w:t>
            </w:r>
            <w:r>
              <w:rPr>
                <w:rFonts w:ascii="宋体" w:hAnsi="宋体"/>
                <w:sz w:val="21"/>
              </w:rPr>
              <w:t>确定污染源种类、浓度及污染区域范围后，对事故造成的环境影响进行评估，制定环境修复方案并组织实施</w:t>
            </w:r>
            <w:r>
              <w:rPr>
                <w:rFonts w:hint="eastAsia" w:ascii="宋体" w:hAnsi="宋体"/>
                <w:sz w:val="21"/>
              </w:rPr>
              <w:t>；</w:t>
            </w:r>
            <w:r>
              <w:rPr>
                <w:rFonts w:ascii="宋体" w:hAnsi="宋体"/>
                <w:sz w:val="21"/>
              </w:rPr>
              <w:t>平时应制定环境监测计划，定期对设施运行情况及“三废”进行监测。</w:t>
            </w:r>
          </w:p>
        </w:tc>
      </w:tr>
    </w:tbl>
    <w:p>
      <w:pPr>
        <w:pStyle w:val="6"/>
        <w:numPr>
          <w:ilvl w:val="3"/>
          <w:numId w:val="6"/>
        </w:numPr>
        <w:spacing w:before="163" w:beforeLines="50"/>
        <w:ind w:left="0"/>
        <w:rPr>
          <w:rFonts w:cs="Times New Roman"/>
        </w:rPr>
      </w:pPr>
      <w:r>
        <w:rPr>
          <w:rFonts w:cs="Times New Roman"/>
        </w:rPr>
        <w:t xml:space="preserve"> 事故应急处置预案</w:t>
      </w:r>
    </w:p>
    <w:p>
      <w:pPr>
        <w:ind w:firstLine="480"/>
        <w:rPr>
          <w:rFonts w:cs="Times New Roman"/>
        </w:rPr>
      </w:pPr>
      <w:r>
        <w:rPr>
          <w:rFonts w:cs="Times New Roman"/>
        </w:rPr>
        <w:t>根据本工程的特点，应建立包含但不限于以下几个方面的应急处置预案：</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 1 \* GB3 </w:instrText>
      </w:r>
      <w:r>
        <w:rPr>
          <w:rFonts w:cs="Times New Roman"/>
          <w:kern w:val="0"/>
          <w:szCs w:val="24"/>
        </w:rPr>
        <w:fldChar w:fldCharType="separate"/>
      </w:r>
      <w:r>
        <w:rPr>
          <w:rFonts w:hint="eastAsia" w:cs="Times New Roman"/>
          <w:kern w:val="0"/>
          <w:szCs w:val="24"/>
        </w:rPr>
        <w:t>①</w:t>
      </w:r>
      <w:r>
        <w:rPr>
          <w:rFonts w:cs="Times New Roman"/>
          <w:kern w:val="0"/>
          <w:szCs w:val="24"/>
        </w:rPr>
        <w:fldChar w:fldCharType="end"/>
      </w:r>
      <w:r>
        <w:rPr>
          <w:rFonts w:hint="eastAsia" w:cs="Times New Roman"/>
          <w:kern w:val="0"/>
          <w:szCs w:val="24"/>
        </w:rPr>
        <w:t>天然气泄漏、</w:t>
      </w:r>
      <w:r>
        <w:rPr>
          <w:rFonts w:cs="Times New Roman"/>
          <w:kern w:val="0"/>
          <w:szCs w:val="24"/>
        </w:rPr>
        <w:t>火灾、爆炸事故应急预案环境风险应急预案</w:t>
      </w:r>
      <w:r>
        <w:rPr>
          <w:rFonts w:hint="eastAsia" w:cs="Times New Roman"/>
          <w:kern w:val="0"/>
          <w:szCs w:val="24"/>
        </w:rPr>
        <w:t>；</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 2 \* GB3 </w:instrText>
      </w:r>
      <w:r>
        <w:rPr>
          <w:rFonts w:cs="Times New Roman"/>
          <w:kern w:val="0"/>
          <w:szCs w:val="24"/>
        </w:rPr>
        <w:fldChar w:fldCharType="separate"/>
      </w:r>
      <w:r>
        <w:rPr>
          <w:rFonts w:hint="eastAsia" w:cs="Times New Roman"/>
          <w:kern w:val="0"/>
          <w:szCs w:val="24"/>
        </w:rPr>
        <w:t>②</w:t>
      </w:r>
      <w:r>
        <w:rPr>
          <w:rFonts w:cs="Times New Roman"/>
          <w:kern w:val="0"/>
          <w:szCs w:val="24"/>
        </w:rPr>
        <w:fldChar w:fldCharType="end"/>
      </w:r>
      <w:r>
        <w:rPr>
          <w:rFonts w:cs="Times New Roman"/>
          <w:kern w:val="0"/>
          <w:szCs w:val="24"/>
        </w:rPr>
        <w:t>管道维修事故应急预案</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 3 \* GB3 </w:instrText>
      </w:r>
      <w:r>
        <w:rPr>
          <w:rFonts w:cs="Times New Roman"/>
          <w:kern w:val="0"/>
          <w:szCs w:val="24"/>
        </w:rPr>
        <w:fldChar w:fldCharType="separate"/>
      </w:r>
      <w:r>
        <w:rPr>
          <w:rFonts w:hint="eastAsia" w:cs="Times New Roman"/>
          <w:kern w:val="0"/>
          <w:szCs w:val="24"/>
        </w:rPr>
        <w:t>③</w:t>
      </w:r>
      <w:r>
        <w:rPr>
          <w:rFonts w:cs="Times New Roman"/>
          <w:kern w:val="0"/>
          <w:szCs w:val="24"/>
        </w:rPr>
        <w:fldChar w:fldCharType="end"/>
      </w:r>
      <w:r>
        <w:rPr>
          <w:rFonts w:hint="eastAsia" w:cs="Times New Roman"/>
          <w:kern w:val="0"/>
          <w:szCs w:val="24"/>
        </w:rPr>
        <w:t>集输</w:t>
      </w:r>
      <w:r>
        <w:rPr>
          <w:rFonts w:cs="Times New Roman"/>
          <w:kern w:val="0"/>
          <w:szCs w:val="24"/>
        </w:rPr>
        <w:t>管线穿孔或破裂事故应急预案；</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 4 \* GB3 </w:instrText>
      </w:r>
      <w:r>
        <w:rPr>
          <w:rFonts w:cs="Times New Roman"/>
          <w:kern w:val="0"/>
          <w:szCs w:val="24"/>
        </w:rPr>
        <w:fldChar w:fldCharType="separate"/>
      </w:r>
      <w:r>
        <w:rPr>
          <w:rFonts w:hint="eastAsia" w:cs="Times New Roman"/>
          <w:kern w:val="0"/>
          <w:szCs w:val="24"/>
        </w:rPr>
        <w:t>④</w:t>
      </w:r>
      <w:r>
        <w:rPr>
          <w:rFonts w:cs="Times New Roman"/>
          <w:kern w:val="0"/>
          <w:szCs w:val="24"/>
        </w:rPr>
        <w:fldChar w:fldCharType="end"/>
      </w:r>
      <w:r>
        <w:rPr>
          <w:rFonts w:hint="eastAsia" w:cs="Times New Roman"/>
          <w:kern w:val="0"/>
          <w:szCs w:val="24"/>
        </w:rPr>
        <w:t>集输</w:t>
      </w:r>
      <w:r>
        <w:rPr>
          <w:rFonts w:cs="Times New Roman"/>
          <w:kern w:val="0"/>
          <w:szCs w:val="24"/>
        </w:rPr>
        <w:t>管线沿线自然灾害破坏应急预案；</w:t>
      </w:r>
    </w:p>
    <w:p>
      <w:pPr>
        <w:ind w:firstLine="480"/>
        <w:rPr>
          <w:rFonts w:cs="Times New Roman"/>
          <w:kern w:val="0"/>
          <w:szCs w:val="24"/>
        </w:rPr>
      </w:pPr>
      <w:r>
        <w:rPr>
          <w:rFonts w:cs="Times New Roman"/>
          <w:kern w:val="0"/>
          <w:szCs w:val="24"/>
        </w:rPr>
        <w:fldChar w:fldCharType="begin"/>
      </w:r>
      <w:r>
        <w:rPr>
          <w:rFonts w:cs="Times New Roman"/>
          <w:kern w:val="0"/>
          <w:szCs w:val="24"/>
        </w:rPr>
        <w:instrText xml:space="preserve"> = 5 \* GB3 </w:instrText>
      </w:r>
      <w:r>
        <w:rPr>
          <w:rFonts w:cs="Times New Roman"/>
          <w:kern w:val="0"/>
          <w:szCs w:val="24"/>
        </w:rPr>
        <w:fldChar w:fldCharType="separate"/>
      </w:r>
      <w:r>
        <w:rPr>
          <w:rFonts w:hint="eastAsia" w:cs="Times New Roman"/>
          <w:kern w:val="0"/>
          <w:szCs w:val="24"/>
        </w:rPr>
        <w:t>⑤</w:t>
      </w:r>
      <w:r>
        <w:rPr>
          <w:rFonts w:cs="Times New Roman"/>
          <w:kern w:val="0"/>
          <w:szCs w:val="24"/>
        </w:rPr>
        <w:fldChar w:fldCharType="end"/>
      </w:r>
      <w:r>
        <w:rPr>
          <w:rFonts w:cs="Times New Roman"/>
          <w:kern w:val="0"/>
          <w:szCs w:val="24"/>
        </w:rPr>
        <w:t>重大环境污染应急预案</w:t>
      </w:r>
      <w:r>
        <w:rPr>
          <w:rFonts w:hint="eastAsia" w:cs="Times New Roman"/>
          <w:kern w:val="0"/>
          <w:szCs w:val="24"/>
        </w:rPr>
        <w:t>。</w:t>
      </w:r>
    </w:p>
    <w:p>
      <w:pPr>
        <w:pStyle w:val="6"/>
        <w:ind w:left="142"/>
        <w:rPr>
          <w:rFonts w:cs="Times New Roman"/>
        </w:rPr>
      </w:pPr>
      <w:r>
        <w:rPr>
          <w:rFonts w:cs="Times New Roman"/>
        </w:rPr>
        <w:t xml:space="preserve"> 应急预案应包括的主要内容</w:t>
      </w:r>
    </w:p>
    <w:p>
      <w:pPr>
        <w:ind w:firstLine="480"/>
        <w:rPr>
          <w:rFonts w:cs="Times New Roman"/>
        </w:rPr>
      </w:pPr>
      <w:r>
        <w:rPr>
          <w:rFonts w:cs="Times New Roman"/>
        </w:rPr>
        <w:t>应急预案应满足当前国家对环境风险管理的要求，内容应包括污染与生态破坏的应急监测、抢险、救援、疏散及消除、减缓、控制技术方法和设施。应急预案内容可参照下表基本纲要，结合钻井专业特点和风险评价要求进行编制并按编制内容实施和演练。</w:t>
      </w:r>
    </w:p>
    <w:p>
      <w:pPr>
        <w:pStyle w:val="73"/>
        <w:ind w:firstLine="400"/>
        <w:rPr>
          <w:rFonts w:cs="Times New Roman"/>
          <w:szCs w:val="25"/>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8.8</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2</w:t>
      </w:r>
      <w:r>
        <w:rPr>
          <w:rFonts w:cs="Times New Roman"/>
        </w:rPr>
        <w:fldChar w:fldCharType="end"/>
      </w:r>
      <w:r>
        <w:rPr>
          <w:rFonts w:cs="Times New Roman"/>
        </w:rPr>
        <w:t xml:space="preserve">  应急预案主要内容参考</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59"/>
        <w:gridCol w:w="1128"/>
        <w:gridCol w:w="65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trPr>
        <w:tc>
          <w:tcPr>
            <w:tcW w:w="451" w:type="pct"/>
            <w:tcBorders>
              <w:top w:val="single" w:color="auto" w:sz="12" w:space="0"/>
              <w:left w:val="nil"/>
              <w:tl2br w:val="nil"/>
              <w:tr2bl w:val="nil"/>
            </w:tcBorders>
            <w:vAlign w:val="center"/>
          </w:tcPr>
          <w:p>
            <w:pPr>
              <w:pStyle w:val="63"/>
              <w:rPr>
                <w:rFonts w:cs="Times New Roman"/>
                <w:b/>
                <w:bCs/>
                <w:szCs w:val="21"/>
              </w:rPr>
            </w:pPr>
            <w:r>
              <w:rPr>
                <w:rFonts w:cs="Times New Roman"/>
                <w:b/>
                <w:bCs/>
                <w:szCs w:val="21"/>
              </w:rPr>
              <w:t>序号</w:t>
            </w:r>
          </w:p>
        </w:tc>
        <w:tc>
          <w:tcPr>
            <w:tcW w:w="670" w:type="pct"/>
            <w:tcBorders>
              <w:top w:val="single" w:color="auto" w:sz="12" w:space="0"/>
              <w:tl2br w:val="nil"/>
              <w:tr2bl w:val="nil"/>
            </w:tcBorders>
            <w:vAlign w:val="center"/>
          </w:tcPr>
          <w:p>
            <w:pPr>
              <w:pStyle w:val="63"/>
              <w:rPr>
                <w:rFonts w:cs="Times New Roman"/>
                <w:b/>
                <w:bCs/>
                <w:szCs w:val="21"/>
              </w:rPr>
            </w:pPr>
            <w:r>
              <w:rPr>
                <w:rFonts w:cs="Times New Roman"/>
                <w:b/>
                <w:bCs/>
                <w:szCs w:val="21"/>
              </w:rPr>
              <w:t>项目</w:t>
            </w:r>
          </w:p>
        </w:tc>
        <w:tc>
          <w:tcPr>
            <w:tcW w:w="3879" w:type="pct"/>
            <w:tcBorders>
              <w:top w:val="single" w:color="auto" w:sz="12" w:space="0"/>
              <w:tl2br w:val="nil"/>
              <w:tr2bl w:val="nil"/>
            </w:tcBorders>
          </w:tcPr>
          <w:p>
            <w:pPr>
              <w:pStyle w:val="63"/>
              <w:rPr>
                <w:rFonts w:cs="Times New Roman"/>
                <w:b/>
                <w:bCs/>
                <w:szCs w:val="21"/>
              </w:rPr>
            </w:pPr>
            <w:r>
              <w:rPr>
                <w:rFonts w:cs="Times New Roman"/>
                <w:b/>
                <w:bCs/>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1</w:t>
            </w:r>
          </w:p>
        </w:tc>
        <w:tc>
          <w:tcPr>
            <w:tcW w:w="670" w:type="pct"/>
            <w:tcBorders>
              <w:tl2br w:val="nil"/>
              <w:tr2bl w:val="nil"/>
            </w:tcBorders>
            <w:vAlign w:val="center"/>
          </w:tcPr>
          <w:p>
            <w:pPr>
              <w:pStyle w:val="63"/>
              <w:rPr>
                <w:rFonts w:cs="Times New Roman"/>
                <w:szCs w:val="21"/>
              </w:rPr>
            </w:pPr>
            <w:r>
              <w:rPr>
                <w:rFonts w:cs="Times New Roman"/>
                <w:szCs w:val="21"/>
              </w:rPr>
              <w:t>应急计划区</w:t>
            </w:r>
          </w:p>
        </w:tc>
        <w:tc>
          <w:tcPr>
            <w:tcW w:w="3879" w:type="pct"/>
            <w:tcBorders>
              <w:tl2br w:val="nil"/>
              <w:tr2bl w:val="nil"/>
            </w:tcBorders>
            <w:vAlign w:val="center"/>
          </w:tcPr>
          <w:p>
            <w:pPr>
              <w:pStyle w:val="63"/>
              <w:jc w:val="both"/>
              <w:rPr>
                <w:rFonts w:cs="Times New Roman"/>
                <w:szCs w:val="21"/>
              </w:rPr>
            </w:pPr>
            <w:r>
              <w:rPr>
                <w:rFonts w:cs="Times New Roman"/>
                <w:szCs w:val="21"/>
              </w:rPr>
              <w:t>危险目标：集输管线</w:t>
            </w:r>
          </w:p>
          <w:p>
            <w:pPr>
              <w:pStyle w:val="63"/>
              <w:jc w:val="both"/>
              <w:rPr>
                <w:rFonts w:cs="Times New Roman"/>
                <w:szCs w:val="21"/>
              </w:rPr>
            </w:pPr>
            <w:r>
              <w:rPr>
                <w:rFonts w:cs="Times New Roman"/>
                <w:szCs w:val="21"/>
              </w:rPr>
              <w:t>环境保护目标：</w:t>
            </w:r>
            <w:r>
              <w:rPr>
                <w:rFonts w:hint="eastAsia"/>
              </w:rPr>
              <w:t>项目周边</w:t>
            </w:r>
            <w:r>
              <w:t>200范围内的居民点</w:t>
            </w:r>
            <w:r>
              <w:rPr>
                <w:rFonts w:hint="eastAsia"/>
              </w:rPr>
              <w:t>，</w:t>
            </w:r>
            <w:r>
              <w:t>周边地表水体</w:t>
            </w: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2</w:t>
            </w:r>
          </w:p>
        </w:tc>
        <w:tc>
          <w:tcPr>
            <w:tcW w:w="670" w:type="pct"/>
            <w:tcBorders>
              <w:tl2br w:val="nil"/>
              <w:tr2bl w:val="nil"/>
            </w:tcBorders>
            <w:vAlign w:val="center"/>
          </w:tcPr>
          <w:p>
            <w:pPr>
              <w:pStyle w:val="63"/>
              <w:rPr>
                <w:rFonts w:cs="Times New Roman"/>
                <w:szCs w:val="21"/>
              </w:rPr>
            </w:pPr>
            <w:r>
              <w:rPr>
                <w:rFonts w:cs="Times New Roman"/>
                <w:szCs w:val="21"/>
              </w:rPr>
              <w:t>应急组织机构、人员</w:t>
            </w:r>
          </w:p>
        </w:tc>
        <w:tc>
          <w:tcPr>
            <w:tcW w:w="3879" w:type="pct"/>
            <w:tcBorders>
              <w:tl2br w:val="nil"/>
              <w:tr2bl w:val="nil"/>
            </w:tcBorders>
            <w:vAlign w:val="center"/>
          </w:tcPr>
          <w:p>
            <w:pPr>
              <w:pStyle w:val="63"/>
              <w:jc w:val="both"/>
              <w:rPr>
                <w:rFonts w:cs="Times New Roman"/>
                <w:szCs w:val="21"/>
              </w:rPr>
            </w:pPr>
            <w:r>
              <w:rPr>
                <w:rFonts w:cs="Times New Roman"/>
                <w:szCs w:val="21"/>
              </w:rPr>
              <w:t>组织机构为中国石油化工股份有限公司</w:t>
            </w:r>
            <w:r>
              <w:rPr>
                <w:rFonts w:hint="eastAsia" w:cs="Times New Roman"/>
                <w:szCs w:val="24"/>
              </w:rPr>
              <w:t>天然气分公司四川天然气销售中心</w:t>
            </w:r>
            <w:r>
              <w:rPr>
                <w:rFonts w:cs="Times New Roman"/>
                <w:szCs w:val="21"/>
              </w:rPr>
              <w:t>，</w:t>
            </w:r>
            <w:r>
              <w:t>通江县政府及涪阳镇政府、所在地村级村委</w:t>
            </w:r>
            <w:r>
              <w:rPr>
                <w:rFonts w:cs="Times New Roman"/>
                <w:szCs w:val="21"/>
              </w:rPr>
              <w:t>。充分、重点发挥地方镇乡、村级政府的组织能力，纳入应急组织机构中。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3</w:t>
            </w:r>
          </w:p>
        </w:tc>
        <w:tc>
          <w:tcPr>
            <w:tcW w:w="670" w:type="pct"/>
            <w:tcBorders>
              <w:tl2br w:val="nil"/>
              <w:tr2bl w:val="nil"/>
            </w:tcBorders>
            <w:vAlign w:val="center"/>
          </w:tcPr>
          <w:p>
            <w:pPr>
              <w:pStyle w:val="63"/>
              <w:rPr>
                <w:rFonts w:cs="Times New Roman"/>
                <w:szCs w:val="21"/>
              </w:rPr>
            </w:pPr>
            <w:r>
              <w:rPr>
                <w:rFonts w:cs="Times New Roman"/>
                <w:szCs w:val="21"/>
              </w:rPr>
              <w:t>预案分级响应条件</w:t>
            </w:r>
          </w:p>
        </w:tc>
        <w:tc>
          <w:tcPr>
            <w:tcW w:w="3879" w:type="pct"/>
            <w:tcBorders>
              <w:tl2br w:val="nil"/>
              <w:tr2bl w:val="nil"/>
            </w:tcBorders>
            <w:vAlign w:val="center"/>
          </w:tcPr>
          <w:p>
            <w:pPr>
              <w:pStyle w:val="63"/>
              <w:jc w:val="both"/>
              <w:rPr>
                <w:rFonts w:cs="Times New Roman"/>
                <w:szCs w:val="21"/>
              </w:rPr>
            </w:pPr>
            <w:r>
              <w:rPr>
                <w:rFonts w:cs="Times New Roman"/>
                <w:szCs w:val="21"/>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4</w:t>
            </w:r>
          </w:p>
        </w:tc>
        <w:tc>
          <w:tcPr>
            <w:tcW w:w="670" w:type="pct"/>
            <w:tcBorders>
              <w:tl2br w:val="nil"/>
              <w:tr2bl w:val="nil"/>
            </w:tcBorders>
            <w:vAlign w:val="center"/>
          </w:tcPr>
          <w:p>
            <w:pPr>
              <w:pStyle w:val="63"/>
              <w:rPr>
                <w:rFonts w:cs="Times New Roman"/>
                <w:szCs w:val="21"/>
              </w:rPr>
            </w:pPr>
            <w:r>
              <w:rPr>
                <w:rFonts w:cs="Times New Roman"/>
                <w:szCs w:val="21"/>
              </w:rPr>
              <w:t>应急救援保障</w:t>
            </w:r>
          </w:p>
        </w:tc>
        <w:tc>
          <w:tcPr>
            <w:tcW w:w="3879" w:type="pct"/>
            <w:tcBorders>
              <w:tl2br w:val="nil"/>
              <w:tr2bl w:val="nil"/>
            </w:tcBorders>
            <w:vAlign w:val="center"/>
          </w:tcPr>
          <w:p>
            <w:pPr>
              <w:pStyle w:val="63"/>
              <w:jc w:val="both"/>
              <w:rPr>
                <w:rFonts w:cs="Times New Roman"/>
                <w:szCs w:val="21"/>
              </w:rPr>
            </w:pPr>
            <w:r>
              <w:rPr>
                <w:rFonts w:cs="Times New Roman"/>
                <w:szCs w:val="21"/>
              </w:rPr>
              <w:t>应急设施，</w:t>
            </w:r>
            <w:r>
              <w:t>设备与器材等：配备防毒、医疗、消防、疏散等应急设施。</w:t>
            </w:r>
            <w:r>
              <w:rPr>
                <w:rFonts w:cs="Times New Roman"/>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5</w:t>
            </w:r>
          </w:p>
        </w:tc>
        <w:tc>
          <w:tcPr>
            <w:tcW w:w="670" w:type="pct"/>
            <w:tcBorders>
              <w:tl2br w:val="nil"/>
              <w:tr2bl w:val="nil"/>
            </w:tcBorders>
            <w:vAlign w:val="center"/>
          </w:tcPr>
          <w:p>
            <w:pPr>
              <w:pStyle w:val="63"/>
              <w:rPr>
                <w:rFonts w:cs="Times New Roman"/>
                <w:szCs w:val="21"/>
              </w:rPr>
            </w:pPr>
            <w:r>
              <w:rPr>
                <w:rFonts w:cs="Times New Roman"/>
                <w:szCs w:val="21"/>
              </w:rPr>
              <w:t>报警、通讯联络方式</w:t>
            </w:r>
          </w:p>
        </w:tc>
        <w:tc>
          <w:tcPr>
            <w:tcW w:w="3879" w:type="pct"/>
            <w:tcBorders>
              <w:tl2br w:val="nil"/>
              <w:tr2bl w:val="nil"/>
            </w:tcBorders>
            <w:vAlign w:val="center"/>
          </w:tcPr>
          <w:p>
            <w:pPr>
              <w:pStyle w:val="63"/>
              <w:jc w:val="both"/>
              <w:rPr>
                <w:rFonts w:cs="Times New Roman"/>
                <w:szCs w:val="21"/>
              </w:rPr>
            </w:pPr>
            <w:r>
              <w:rPr>
                <w:rFonts w:cs="Times New Roman"/>
                <w:szCs w:val="21"/>
              </w:rPr>
              <w:t>规定应急状态下的报警通讯方式、</w:t>
            </w:r>
            <w:r>
              <w:t>通知方式和交通保障、管制：通知当地村委通过广播系统和电话通知各居民点，设立</w:t>
            </w:r>
            <w:r>
              <w:rPr>
                <w:rFonts w:eastAsia="TimesNewRomanPSMT"/>
              </w:rPr>
              <w:t>1</w:t>
            </w:r>
            <w:r>
              <w:t>个联络点，指定至少</w:t>
            </w:r>
            <w:r>
              <w:rPr>
                <w:rFonts w:eastAsia="TimesNewRomanPSMT"/>
              </w:rPr>
              <w:t>4</w:t>
            </w:r>
            <w:r>
              <w:t>人负责通知周边居民。并电话通知县交警队负责交通保障、管制。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6</w:t>
            </w:r>
          </w:p>
        </w:tc>
        <w:tc>
          <w:tcPr>
            <w:tcW w:w="670" w:type="pct"/>
            <w:tcBorders>
              <w:tl2br w:val="nil"/>
              <w:tr2bl w:val="nil"/>
            </w:tcBorders>
            <w:vAlign w:val="center"/>
          </w:tcPr>
          <w:p>
            <w:pPr>
              <w:pStyle w:val="63"/>
              <w:rPr>
                <w:rFonts w:cs="Times New Roman"/>
                <w:szCs w:val="21"/>
              </w:rPr>
            </w:pPr>
            <w:r>
              <w:rPr>
                <w:rFonts w:cs="Times New Roman"/>
                <w:szCs w:val="21"/>
              </w:rPr>
              <w:t>应急环境监测、</w:t>
            </w:r>
            <w:r>
              <w:t>抢险、救援及控制措施</w:t>
            </w:r>
          </w:p>
        </w:tc>
        <w:tc>
          <w:tcPr>
            <w:tcW w:w="3879" w:type="pct"/>
            <w:tcBorders>
              <w:tl2br w:val="nil"/>
              <w:tr2bl w:val="nil"/>
            </w:tcBorders>
            <w:vAlign w:val="center"/>
          </w:tcPr>
          <w:p>
            <w:pPr>
              <w:pStyle w:val="63"/>
              <w:jc w:val="both"/>
              <w:rPr>
                <w:rFonts w:cs="Times New Roman"/>
                <w:szCs w:val="21"/>
              </w:rPr>
            </w:pPr>
            <w:r>
              <w:t>环境应急监测可组织协调当地县生态环境监测站监测。抢险、救援组织协调当地县县消防队、</w:t>
            </w:r>
            <w:r>
              <w:rPr>
                <w:rFonts w:hint="eastAsia"/>
              </w:rPr>
              <w:t>生产运营单位</w:t>
            </w:r>
            <w:r>
              <w:t>和建设单位的应急队伍。控制措施主要由建设单位和</w:t>
            </w:r>
            <w:r>
              <w:rPr>
                <w:rFonts w:hint="eastAsia"/>
              </w:rPr>
              <w:t>生产管理单位</w:t>
            </w:r>
            <w:r>
              <w:t>等共同协商控制。</w:t>
            </w:r>
            <w:r>
              <w:rPr>
                <w:rFonts w:hint="eastAsia"/>
              </w:rPr>
              <w:t>组织应急计划</w:t>
            </w:r>
            <w:r>
              <w:t>区范围</w:t>
            </w:r>
            <w:r>
              <w:rPr>
                <w:rFonts w:hint="eastAsia"/>
              </w:rPr>
              <w:t>内</w:t>
            </w:r>
            <w:r>
              <w:t>居民</w:t>
            </w:r>
            <w:r>
              <w:rPr>
                <w:rFonts w:hint="eastAsia"/>
              </w:rPr>
              <w:t>紧急撤离</w:t>
            </w:r>
            <w:r>
              <w:rPr>
                <w:rFonts w:hint="eastAsia"/>
                <w:kern w:val="0"/>
                <w:szCs w:val="24"/>
              </w:rPr>
              <w:t>。结合应急</w:t>
            </w:r>
            <w:r>
              <w:t>监测结果及时</w:t>
            </w:r>
            <w:r>
              <w:rPr>
                <w:rFonts w:hint="eastAsia"/>
              </w:rPr>
              <w:t>更新扩大</w:t>
            </w:r>
            <w:r>
              <w:t>撤离</w:t>
            </w:r>
            <w:r>
              <w:rPr>
                <w:rFonts w:hint="eastAsia"/>
              </w:rPr>
              <w:t>范围</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7</w:t>
            </w:r>
          </w:p>
        </w:tc>
        <w:tc>
          <w:tcPr>
            <w:tcW w:w="670" w:type="pct"/>
            <w:tcBorders>
              <w:tl2br w:val="nil"/>
              <w:tr2bl w:val="nil"/>
            </w:tcBorders>
            <w:vAlign w:val="center"/>
          </w:tcPr>
          <w:p>
            <w:pPr>
              <w:pStyle w:val="63"/>
              <w:rPr>
                <w:rFonts w:cs="Times New Roman"/>
                <w:szCs w:val="21"/>
              </w:rPr>
            </w:pPr>
            <w:r>
              <w:rPr>
                <w:rFonts w:hint="eastAsia"/>
              </w:rPr>
              <w:t>应急防范措施</w:t>
            </w:r>
            <w:r>
              <w:t>、清除措施</w:t>
            </w:r>
          </w:p>
        </w:tc>
        <w:tc>
          <w:tcPr>
            <w:tcW w:w="3879" w:type="pct"/>
            <w:tcBorders>
              <w:tl2br w:val="nil"/>
              <w:tr2bl w:val="nil"/>
            </w:tcBorders>
            <w:vAlign w:val="center"/>
          </w:tcPr>
          <w:p>
            <w:pPr>
              <w:pStyle w:val="63"/>
              <w:jc w:val="both"/>
              <w:rPr>
                <w:rFonts w:cs="Times New Roman"/>
                <w:szCs w:val="21"/>
              </w:rPr>
            </w:pPr>
            <w:r>
              <w:rPr>
                <w:rFonts w:hint="eastAsia"/>
              </w:rPr>
              <w:t>控制事故、防止扩大、蔓延及链锁反应；清除现场泄露物，降低危害，相应的设施器材配备。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8</w:t>
            </w:r>
          </w:p>
        </w:tc>
        <w:tc>
          <w:tcPr>
            <w:tcW w:w="670" w:type="pct"/>
            <w:tcBorders>
              <w:tl2br w:val="nil"/>
              <w:tr2bl w:val="nil"/>
            </w:tcBorders>
            <w:vAlign w:val="center"/>
          </w:tcPr>
          <w:p>
            <w:pPr>
              <w:pStyle w:val="63"/>
            </w:pPr>
            <w:r>
              <w:t>人员紧急撤离、疏散，应急</w:t>
            </w:r>
            <w:r>
              <w:rPr>
                <w:rFonts w:hint="eastAsia"/>
              </w:rPr>
              <w:t>监测</w:t>
            </w:r>
          </w:p>
        </w:tc>
        <w:tc>
          <w:tcPr>
            <w:tcW w:w="3879" w:type="pct"/>
            <w:tcBorders>
              <w:tl2br w:val="nil"/>
              <w:tr2bl w:val="nil"/>
            </w:tcBorders>
          </w:tcPr>
          <w:p>
            <w:pPr>
              <w:pStyle w:val="63"/>
              <w:jc w:val="left"/>
            </w:pPr>
            <w:r>
              <w:t>事故发生后首先撤离泄漏点周边的居民，同时在泄漏点周边布设环境应急监测点，并根据监测结果及时按照环境风险应急预案制订的临时撤离方案组织居民撤离，至危险解除。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9</w:t>
            </w:r>
          </w:p>
        </w:tc>
        <w:tc>
          <w:tcPr>
            <w:tcW w:w="670" w:type="pct"/>
            <w:tcBorders>
              <w:tl2br w:val="nil"/>
              <w:tr2bl w:val="nil"/>
            </w:tcBorders>
            <w:vAlign w:val="center"/>
          </w:tcPr>
          <w:p>
            <w:pPr>
              <w:pStyle w:val="63"/>
              <w:rPr>
                <w:rFonts w:cs="Times New Roman"/>
                <w:szCs w:val="21"/>
              </w:rPr>
            </w:pPr>
            <w:r>
              <w:rPr>
                <w:szCs w:val="21"/>
              </w:rPr>
              <w:t>控制、撤离组织计划</w:t>
            </w:r>
          </w:p>
        </w:tc>
        <w:tc>
          <w:tcPr>
            <w:tcW w:w="3879" w:type="pct"/>
            <w:tcBorders>
              <w:tl2br w:val="nil"/>
              <w:tr2bl w:val="nil"/>
            </w:tcBorders>
            <w:vAlign w:val="center"/>
          </w:tcPr>
          <w:p>
            <w:pPr>
              <w:pStyle w:val="63"/>
              <w:jc w:val="both"/>
              <w:rPr>
                <w:rFonts w:cs="Times New Roman"/>
                <w:szCs w:val="21"/>
              </w:rPr>
            </w:pPr>
            <w:r>
              <w:rPr>
                <w:szCs w:val="21"/>
              </w:rPr>
              <w:t>撤离路线应根据泄漏点环境条件提前制定，主要沿发生事故时的上风向方向进行撤离。通过高音喇叭、广播、电话及时通知周边各户居民，保证全部及时通知撤离。。由于远处居民可能不能看到风向标，在通知撤离时要由专业人员根据风向标说明撤离方向，设立</w:t>
            </w:r>
            <w:r>
              <w:rPr>
                <w:rFonts w:eastAsia="TimesNewRomanPSMT"/>
                <w:szCs w:val="21"/>
              </w:rPr>
              <w:t>1</w:t>
            </w:r>
            <w:r>
              <w:rPr>
                <w:szCs w:val="21"/>
              </w:rPr>
              <w:t>个联络点和联络人。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hint="eastAsia" w:cs="Times New Roman"/>
                <w:szCs w:val="21"/>
              </w:rPr>
              <w:t>10</w:t>
            </w:r>
          </w:p>
        </w:tc>
        <w:tc>
          <w:tcPr>
            <w:tcW w:w="670" w:type="pct"/>
            <w:tcBorders>
              <w:tl2br w:val="nil"/>
              <w:tr2bl w:val="nil"/>
            </w:tcBorders>
            <w:vAlign w:val="center"/>
          </w:tcPr>
          <w:p>
            <w:pPr>
              <w:pStyle w:val="63"/>
              <w:rPr>
                <w:szCs w:val="21"/>
              </w:rPr>
            </w:pPr>
            <w:r>
              <w:rPr>
                <w:szCs w:val="21"/>
              </w:rPr>
              <w:t>事故应急救援关闭程序与恢复措施</w:t>
            </w:r>
          </w:p>
        </w:tc>
        <w:tc>
          <w:tcPr>
            <w:tcW w:w="3879" w:type="pct"/>
            <w:tcBorders>
              <w:tl2br w:val="nil"/>
              <w:tr2bl w:val="nil"/>
            </w:tcBorders>
            <w:vAlign w:val="center"/>
          </w:tcPr>
          <w:p>
            <w:pPr>
              <w:pStyle w:val="63"/>
              <w:jc w:val="both"/>
              <w:rPr>
                <w:szCs w:val="21"/>
              </w:rPr>
            </w:pPr>
            <w:r>
              <w:rPr>
                <w:szCs w:val="21"/>
              </w:rPr>
              <w:t>规定应急状态终止程序事故现场善后处理，恢复措施邻近区域解除事故警戒及善后恢复措施</w:t>
            </w:r>
            <w:r>
              <w:rPr>
                <w:rFonts w:hint="eastAsia"/>
                <w:szCs w:val="21"/>
              </w:rPr>
              <w:t>。</w:t>
            </w:r>
          </w:p>
          <w:p>
            <w:pPr>
              <w:pStyle w:val="63"/>
              <w:jc w:val="both"/>
              <w:rPr>
                <w:szCs w:val="21"/>
              </w:rPr>
            </w:pPr>
            <w:r>
              <w:rPr>
                <w:szCs w:val="21"/>
              </w:rPr>
              <w:t>（</w:t>
            </w:r>
            <w:r>
              <w:rPr>
                <w:rFonts w:eastAsia="TimesNewRomanPSMT"/>
                <w:szCs w:val="21"/>
              </w:rPr>
              <w:t>1</w:t>
            </w:r>
            <w:r>
              <w:rPr>
                <w:szCs w:val="21"/>
              </w:rPr>
              <w:t>）</w:t>
            </w:r>
            <w:r>
              <w:rPr>
                <w:rFonts w:hint="eastAsia"/>
                <w:szCs w:val="21"/>
              </w:rPr>
              <w:t>事故</w:t>
            </w:r>
            <w:r>
              <w:rPr>
                <w:szCs w:val="21"/>
              </w:rPr>
              <w:t xml:space="preserve">得到控制，伤亡人员得到全部救援和安置，危险区域的居民全部撤离。 </w:t>
            </w:r>
          </w:p>
          <w:p>
            <w:pPr>
              <w:pStyle w:val="63"/>
              <w:jc w:val="both"/>
              <w:rPr>
                <w:szCs w:val="21"/>
              </w:rPr>
            </w:pPr>
            <w:r>
              <w:rPr>
                <w:szCs w:val="21"/>
              </w:rPr>
              <w:t>（</w:t>
            </w:r>
            <w:r>
              <w:rPr>
                <w:rFonts w:eastAsia="TimesNewRomanPSMT"/>
                <w:szCs w:val="21"/>
              </w:rPr>
              <w:t>2</w:t>
            </w:r>
            <w:r>
              <w:rPr>
                <w:szCs w:val="21"/>
              </w:rPr>
              <w:t>）恢复措施：对事故伤亡情况进行统计，应做好详细的记录并存档行政领导组应尽快协调各部做好医疗救护工作，包括医疗经费的提供、受伤人员的住院安排与护理以及善后赔偿等；</w:t>
            </w:r>
            <w:r>
              <w:rPr>
                <w:rFonts w:hint="eastAsia"/>
                <w:szCs w:val="21"/>
              </w:rPr>
              <w:t>建设单位及其生产运营单位</w:t>
            </w:r>
            <w:r>
              <w:rPr>
                <w:szCs w:val="21"/>
              </w:rPr>
              <w:t>配合相关部门人员对受损设备尽快安排修复并投入生产使用。项目部事故调查小组，调查原因并按</w:t>
            </w:r>
            <w:r>
              <w:rPr>
                <w:rFonts w:eastAsia="TimesNewRomanPSMT"/>
                <w:szCs w:val="21"/>
              </w:rPr>
              <w:t>“</w:t>
            </w:r>
            <w:r>
              <w:rPr>
                <w:szCs w:val="21"/>
              </w:rPr>
              <w:t>四不放过</w:t>
            </w:r>
            <w:r>
              <w:rPr>
                <w:rFonts w:eastAsia="TimesNewRomanPSMT"/>
                <w:szCs w:val="21"/>
              </w:rPr>
              <w:t>”</w:t>
            </w:r>
            <w:r>
              <w:rPr>
                <w:szCs w:val="21"/>
              </w:rPr>
              <w:t>的原则进行事故处理；做出事故调查报告，同时总结事件教训，实行安全事故的教育培训，杜绝类似事件的再次发生</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hint="eastAsia" w:cs="Times New Roman"/>
                <w:szCs w:val="21"/>
              </w:rPr>
              <w:t>11</w:t>
            </w:r>
          </w:p>
        </w:tc>
        <w:tc>
          <w:tcPr>
            <w:tcW w:w="670" w:type="pct"/>
            <w:tcBorders>
              <w:tl2br w:val="nil"/>
              <w:tr2bl w:val="nil"/>
            </w:tcBorders>
            <w:vAlign w:val="center"/>
          </w:tcPr>
          <w:p>
            <w:pPr>
              <w:pStyle w:val="63"/>
              <w:rPr>
                <w:szCs w:val="21"/>
              </w:rPr>
            </w:pPr>
            <w:r>
              <w:rPr>
                <w:szCs w:val="21"/>
              </w:rPr>
              <w:t>公众教育和信息</w:t>
            </w:r>
          </w:p>
        </w:tc>
        <w:tc>
          <w:tcPr>
            <w:tcW w:w="3879" w:type="pct"/>
            <w:tcBorders>
              <w:tl2br w:val="nil"/>
              <w:tr2bl w:val="nil"/>
            </w:tcBorders>
          </w:tcPr>
          <w:p>
            <w:pPr>
              <w:pStyle w:val="63"/>
              <w:jc w:val="both"/>
              <w:rPr>
                <w:szCs w:val="21"/>
              </w:rPr>
            </w:pPr>
            <w:r>
              <w:rPr>
                <w:szCs w:val="21"/>
              </w:rPr>
              <w:t>对</w:t>
            </w:r>
            <w:r>
              <w:rPr>
                <w:rFonts w:hint="eastAsia"/>
                <w:szCs w:val="21"/>
              </w:rPr>
              <w:t>项目</w:t>
            </w:r>
            <w:r>
              <w:rPr>
                <w:szCs w:val="21"/>
              </w:rPr>
              <w:t xml:space="preserve">邻近地区开展公众教育、培训和发布有关信息： </w:t>
            </w:r>
          </w:p>
          <w:p>
            <w:pPr>
              <w:pStyle w:val="63"/>
              <w:jc w:val="both"/>
              <w:rPr>
                <w:szCs w:val="21"/>
              </w:rPr>
            </w:pPr>
            <w:r>
              <w:rPr>
                <w:rFonts w:hint="eastAsia"/>
                <w:szCs w:val="21"/>
              </w:rPr>
              <w:t>项目运营前</w:t>
            </w:r>
            <w:r>
              <w:rPr>
                <w:szCs w:val="21"/>
              </w:rPr>
              <w:t xml:space="preserve">前，要向可能危及居民安全范围内进行安全知识和遇紧急情况时的应急预案教育，提出紧急情况下的安全撤离要求和方案，并告知周边居民。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1</w:t>
            </w:r>
            <w:r>
              <w:rPr>
                <w:rFonts w:hint="eastAsia" w:cs="Times New Roman"/>
                <w:szCs w:val="21"/>
              </w:rPr>
              <w:t>2</w:t>
            </w:r>
          </w:p>
        </w:tc>
        <w:tc>
          <w:tcPr>
            <w:tcW w:w="670" w:type="pct"/>
            <w:tcBorders>
              <w:tl2br w:val="nil"/>
              <w:tr2bl w:val="nil"/>
            </w:tcBorders>
            <w:vAlign w:val="center"/>
          </w:tcPr>
          <w:p>
            <w:pPr>
              <w:pStyle w:val="63"/>
              <w:rPr>
                <w:rFonts w:cs="Times New Roman"/>
                <w:szCs w:val="21"/>
              </w:rPr>
            </w:pPr>
            <w:r>
              <w:rPr>
                <w:rFonts w:cs="Times New Roman"/>
                <w:szCs w:val="21"/>
              </w:rPr>
              <w:t>善后处置</w:t>
            </w:r>
          </w:p>
        </w:tc>
        <w:tc>
          <w:tcPr>
            <w:tcW w:w="3879" w:type="pct"/>
            <w:tcBorders>
              <w:tl2br w:val="nil"/>
              <w:tr2bl w:val="nil"/>
            </w:tcBorders>
            <w:vAlign w:val="center"/>
          </w:tcPr>
          <w:p>
            <w:pPr>
              <w:pStyle w:val="63"/>
              <w:jc w:val="both"/>
              <w:rPr>
                <w:rFonts w:cs="Times New Roman"/>
                <w:szCs w:val="21"/>
              </w:rPr>
            </w:pPr>
            <w:r>
              <w:rPr>
                <w:rFonts w:cs="Times New Roman"/>
                <w:szCs w:val="21"/>
              </w:rPr>
              <w:t>环境污染事件发生后，要做好受污染区域内群众的政治思想工作，安定群众的情绪，事发部门组织相关部门尽快开展善后处置工作，包括补偿、宣传报道等工作。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1</w:t>
            </w:r>
            <w:r>
              <w:rPr>
                <w:rFonts w:hint="eastAsia" w:cs="Times New Roman"/>
                <w:szCs w:val="21"/>
              </w:rPr>
              <w:t>3</w:t>
            </w:r>
          </w:p>
        </w:tc>
        <w:tc>
          <w:tcPr>
            <w:tcW w:w="670" w:type="pct"/>
            <w:tcBorders>
              <w:tl2br w:val="nil"/>
              <w:tr2bl w:val="nil"/>
            </w:tcBorders>
            <w:vAlign w:val="center"/>
          </w:tcPr>
          <w:p>
            <w:pPr>
              <w:pStyle w:val="63"/>
              <w:rPr>
                <w:rFonts w:cs="Times New Roman"/>
                <w:szCs w:val="21"/>
              </w:rPr>
            </w:pPr>
            <w:r>
              <w:rPr>
                <w:rFonts w:cs="Times New Roman"/>
                <w:szCs w:val="21"/>
              </w:rPr>
              <w:t>预案管理</w:t>
            </w:r>
          </w:p>
        </w:tc>
        <w:tc>
          <w:tcPr>
            <w:tcW w:w="3879" w:type="pct"/>
            <w:tcBorders>
              <w:tl2br w:val="nil"/>
              <w:tr2bl w:val="nil"/>
            </w:tcBorders>
          </w:tcPr>
          <w:p>
            <w:pPr>
              <w:spacing w:line="240" w:lineRule="auto"/>
              <w:ind w:firstLine="0" w:firstLineChars="0"/>
              <w:rPr>
                <w:rFonts w:cs="Times New Roman"/>
              </w:rPr>
            </w:pPr>
            <w:r>
              <w:rPr>
                <w:rFonts w:cs="Times New Roman"/>
                <w:sz w:val="21"/>
              </w:rPr>
              <w:t>企业成立环境应急预案编制组，开展环境风险评估和应急资源调查，编制环境应急预案，组织专家和可能受影响的居民、单位代表对环境应急预案进行评审，开展演练进行检验，签署发布环境应急预案，并报送至相关管理部门备案。结合环境应急预案实施情况，至少每三年对环境应急预案进行一次回顾性评估，及需要修订时及时进行修订，并报送至相关管理部门备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51" w:type="pct"/>
            <w:tcBorders>
              <w:left w:val="nil"/>
              <w:tl2br w:val="nil"/>
              <w:tr2bl w:val="nil"/>
            </w:tcBorders>
            <w:vAlign w:val="center"/>
          </w:tcPr>
          <w:p>
            <w:pPr>
              <w:pStyle w:val="63"/>
              <w:rPr>
                <w:rFonts w:cs="Times New Roman"/>
                <w:szCs w:val="21"/>
              </w:rPr>
            </w:pPr>
            <w:r>
              <w:rPr>
                <w:rFonts w:cs="Times New Roman"/>
                <w:szCs w:val="21"/>
              </w:rPr>
              <w:t>1</w:t>
            </w:r>
            <w:r>
              <w:rPr>
                <w:rFonts w:hint="eastAsia" w:cs="Times New Roman"/>
                <w:szCs w:val="21"/>
              </w:rPr>
              <w:t>4</w:t>
            </w:r>
          </w:p>
        </w:tc>
        <w:tc>
          <w:tcPr>
            <w:tcW w:w="670" w:type="pct"/>
            <w:tcBorders>
              <w:tl2br w:val="nil"/>
              <w:tr2bl w:val="nil"/>
            </w:tcBorders>
            <w:vAlign w:val="center"/>
          </w:tcPr>
          <w:p>
            <w:pPr>
              <w:spacing w:line="240" w:lineRule="auto"/>
              <w:ind w:firstLine="0" w:firstLineChars="0"/>
              <w:rPr>
                <w:rFonts w:cs="Times New Roman"/>
                <w:sz w:val="21"/>
              </w:rPr>
            </w:pPr>
            <w:r>
              <w:rPr>
                <w:rFonts w:cs="Times New Roman"/>
                <w:sz w:val="21"/>
              </w:rPr>
              <w:t>应急培训及演练</w:t>
            </w:r>
          </w:p>
        </w:tc>
        <w:tc>
          <w:tcPr>
            <w:tcW w:w="3879" w:type="pct"/>
            <w:tcBorders>
              <w:tl2br w:val="nil"/>
              <w:tr2bl w:val="nil"/>
            </w:tcBorders>
          </w:tcPr>
          <w:p>
            <w:pPr>
              <w:spacing w:line="240" w:lineRule="auto"/>
              <w:ind w:firstLine="0" w:firstLineChars="0"/>
              <w:rPr>
                <w:rFonts w:cs="Times New Roman"/>
                <w:sz w:val="21"/>
              </w:rPr>
            </w:pPr>
            <w:r>
              <w:rPr>
                <w:rFonts w:cs="Times New Roman"/>
                <w:sz w:val="21"/>
              </w:rPr>
              <w:t>应急计划制定后，平时安排人员培训与演练。</w:t>
            </w:r>
          </w:p>
        </w:tc>
      </w:tr>
    </w:tbl>
    <w:p>
      <w:pPr>
        <w:pStyle w:val="6"/>
        <w:ind w:left="142"/>
        <w:rPr>
          <w:rFonts w:cs="Times New Roman"/>
        </w:rPr>
      </w:pPr>
      <w:r>
        <w:rPr>
          <w:rFonts w:cs="Times New Roman"/>
        </w:rPr>
        <w:t xml:space="preserve"> 环境风险应急体系</w:t>
      </w:r>
    </w:p>
    <w:p>
      <w:pPr>
        <w:ind w:firstLine="480"/>
        <w:rPr>
          <w:rFonts w:cs="Times New Roman"/>
        </w:rPr>
      </w:pPr>
      <w:r>
        <w:rPr>
          <w:rFonts w:cs="Times New Roman"/>
        </w:rPr>
        <w:t>企业环境风险应急预案分为综合应急预案和专项应急预案。企业环境风险应急预案与通江县突发环境事件应急预案为上下衔接关系，与通江县其它企业事业单位的应急预案为平行关系，与企业安全生产事故应急救援预案为平行关系。</w:t>
      </w:r>
    </w:p>
    <w:p>
      <w:pPr>
        <w:ind w:firstLine="480"/>
        <w:rPr>
          <w:rFonts w:cs="Times New Roman"/>
        </w:rPr>
      </w:pPr>
      <w:r>
        <w:rPr>
          <w:rFonts w:cs="Times New Roman"/>
        </w:rPr>
        <w:t>企业安全事故和环保事故应急组织体系一致，信息报告与通报内容和程序一致，生产安全事故发生后预警、切断与控制污染源等方面的内容优先按照安全生产预案的要求执行。环境应急救援与安全应急救援归属应急救援指挥中心统一管理。</w:t>
      </w:r>
    </w:p>
    <w:p>
      <w:pPr>
        <w:ind w:firstLine="480"/>
        <w:rPr>
          <w:rFonts w:cs="Times New Roman"/>
        </w:rPr>
      </w:pPr>
      <w:r>
        <w:rPr>
          <w:rFonts w:cs="Times New Roman"/>
        </w:rPr>
        <w:t>在环保事件发生后，当政府或者有关部门介入或者指导突发环境事件的应急处置工作时，企业应急指挥机构、应急人员积极配合政府部门进行现场应急处置工作，现场应急指挥部负责项目部内部的指挥协调、配合处置；设立的通讯联络组、后勤保障组、抢险救灾组、灾后处理组、应急监测组参与应急保障和环境监测等工作。</w:t>
      </w:r>
    </w:p>
    <w:p>
      <w:pPr>
        <w:widowControl/>
        <w:ind w:firstLine="480"/>
        <w:jc w:val="left"/>
        <w:rPr>
          <w:rFonts w:cs="Times New Roman"/>
          <w:kern w:val="0"/>
          <w:szCs w:val="24"/>
        </w:rPr>
      </w:pPr>
      <w:r>
        <w:rPr>
          <w:rFonts w:cs="Times New Roman"/>
          <w:kern w:val="0"/>
          <w:szCs w:val="24"/>
        </w:rPr>
        <w:t>地方人民政府在启动本地环境应急预案时，要求企业立即启动突发环境事件应急预案，相关人员进入待命状态。</w:t>
      </w:r>
    </w:p>
    <w:p>
      <w:pPr>
        <w:widowControl/>
        <w:ind w:firstLine="480"/>
        <w:jc w:val="left"/>
        <w:rPr>
          <w:rFonts w:cs="Times New Roman"/>
          <w:sz w:val="28"/>
        </w:rPr>
      </w:pPr>
      <w:r>
        <w:rPr>
          <w:rFonts w:cs="Times New Roman"/>
        </w:rPr>
        <w:t>企业在发生</w:t>
      </w:r>
      <w:r>
        <w:rPr>
          <w:rFonts w:cs="Times New Roman"/>
        </w:rPr>
        <w:fldChar w:fldCharType="begin"/>
      </w:r>
      <w:r>
        <w:rPr>
          <w:rFonts w:cs="Times New Roman"/>
        </w:rPr>
        <w:instrText xml:space="preserve"> = 3 \* ROMAN </w:instrText>
      </w:r>
      <w:r>
        <w:rPr>
          <w:rFonts w:cs="Times New Roman"/>
        </w:rPr>
        <w:fldChar w:fldCharType="separate"/>
      </w:r>
      <w:r>
        <w:rPr>
          <w:rFonts w:cs="Times New Roman"/>
        </w:rPr>
        <w:t>III</w:t>
      </w:r>
      <w:r>
        <w:rPr>
          <w:rFonts w:cs="Times New Roman"/>
        </w:rPr>
        <w:fldChar w:fldCharType="end"/>
      </w:r>
      <w:r>
        <w:rPr>
          <w:rFonts w:cs="Times New Roman"/>
        </w:rPr>
        <w:t>级环境事件时立即启动三级响应，发生</w:t>
      </w:r>
      <w:r>
        <w:rPr>
          <w:rFonts w:cs="Times New Roman"/>
        </w:rPr>
        <w:fldChar w:fldCharType="begin"/>
      </w:r>
      <w:r>
        <w:rPr>
          <w:rFonts w:cs="Times New Roman"/>
        </w:rPr>
        <w:instrText xml:space="preserve"> = 2 \* ROMAN </w:instrText>
      </w:r>
      <w:r>
        <w:rPr>
          <w:rFonts w:cs="Times New Roman"/>
        </w:rPr>
        <w:fldChar w:fldCharType="separate"/>
      </w:r>
      <w:r>
        <w:rPr>
          <w:rFonts w:cs="Times New Roman"/>
        </w:rPr>
        <w:t>II</w:t>
      </w:r>
      <w:r>
        <w:rPr>
          <w:rFonts w:cs="Times New Roman"/>
        </w:rPr>
        <w:fldChar w:fldCharType="end"/>
      </w:r>
      <w:r>
        <w:rPr>
          <w:rFonts w:cs="Times New Roman"/>
        </w:rPr>
        <w:t>级环境事件时立即启动二级响应，发生Ⅰ级环境事件时启动一级响应。</w:t>
      </w:r>
      <w:r>
        <w:rPr>
          <w:rFonts w:cs="Times New Roman"/>
          <w:kern w:val="0"/>
          <w:szCs w:val="24"/>
        </w:rPr>
        <w:t>分级响应程序见下图。</w:t>
      </w:r>
      <w:r>
        <w:drawing>
          <wp:inline distT="0" distB="0" distL="0" distR="0">
            <wp:extent cx="5274310" cy="39484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4310" cy="3948909"/>
                    </a:xfrm>
                    <a:prstGeom prst="rect">
                      <a:avLst/>
                    </a:prstGeom>
                    <a:noFill/>
                    <a:ln>
                      <a:noFill/>
                    </a:ln>
                  </pic:spPr>
                </pic:pic>
              </a:graphicData>
            </a:graphic>
          </wp:inline>
        </w:drawing>
      </w:r>
    </w:p>
    <w:p>
      <w:pPr>
        <w:pStyle w:val="57"/>
      </w:pPr>
      <w:r>
        <w:t>图</w:t>
      </w:r>
      <w:r>
        <w:fldChar w:fldCharType="begin"/>
      </w:r>
      <w:r>
        <w:instrText xml:space="preserve"> STYLEREF 2 \s </w:instrText>
      </w:r>
      <w:r>
        <w:fldChar w:fldCharType="separate"/>
      </w:r>
      <w:r>
        <w:t>8.8</w:t>
      </w:r>
      <w:r>
        <w:fldChar w:fldCharType="end"/>
      </w:r>
      <w:r>
        <w:noBreakHyphen/>
      </w:r>
      <w:r>
        <w:fldChar w:fldCharType="begin"/>
      </w:r>
      <w:r>
        <w:instrText xml:space="preserve"> SEQ 图 \* ARABIC \s 2 </w:instrText>
      </w:r>
      <w:r>
        <w:fldChar w:fldCharType="separate"/>
      </w:r>
      <w:r>
        <w:t>1</w:t>
      </w:r>
      <w:r>
        <w:fldChar w:fldCharType="end"/>
      </w:r>
      <w:r>
        <w:rPr>
          <w:rFonts w:hint="eastAsia"/>
        </w:rPr>
        <w:t xml:space="preserve"> </w:t>
      </w:r>
      <w:r>
        <w:t>企业突发环境风险事件分级响应图</w:t>
      </w:r>
    </w:p>
    <w:p>
      <w:pPr>
        <w:pStyle w:val="5"/>
      </w:pPr>
      <w:r>
        <w:rPr>
          <w:rFonts w:hint="eastAsia"/>
        </w:rPr>
        <w:t xml:space="preserve"> </w:t>
      </w:r>
      <w:bookmarkStart w:id="333" w:name="_Toc96680760"/>
      <w:r>
        <w:t>其他</w:t>
      </w:r>
      <w:r>
        <w:rPr>
          <w:rFonts w:hint="eastAsia"/>
        </w:rPr>
        <w:t>要求</w:t>
      </w:r>
      <w:bookmarkEnd w:id="333"/>
    </w:p>
    <w:p>
      <w:pPr>
        <w:ind w:firstLine="480"/>
      </w:pPr>
      <w:r>
        <w:fldChar w:fldCharType="begin"/>
      </w:r>
      <w:r>
        <w:instrText xml:space="preserve"> = 1 \* GB3 </w:instrText>
      </w:r>
      <w:r>
        <w:fldChar w:fldCharType="separate"/>
      </w:r>
      <w:r>
        <w:rPr>
          <w:rFonts w:hint="eastAsia"/>
        </w:rPr>
        <w:t>①</w:t>
      </w:r>
      <w:r>
        <w:fldChar w:fldCharType="end"/>
      </w:r>
      <w:r>
        <w:t>本项目管线输送介质为天然气，属气相爆炸性物质，为甲类火灾危险性，运营期应引起重视。</w:t>
      </w:r>
    </w:p>
    <w:p>
      <w:pPr>
        <w:ind w:firstLine="480"/>
      </w:pPr>
      <w:r>
        <w:fldChar w:fldCharType="begin"/>
      </w:r>
      <w:r>
        <w:instrText xml:space="preserve"> = 2 \* GB3 </w:instrText>
      </w:r>
      <w:r>
        <w:fldChar w:fldCharType="separate"/>
      </w:r>
      <w:r>
        <w:rPr>
          <w:rFonts w:hint="eastAsia"/>
        </w:rPr>
        <w:t>②</w:t>
      </w:r>
      <w:r>
        <w:fldChar w:fldCharType="end"/>
      </w:r>
      <w:r>
        <w:t>应制定详细的应急救援预案，并定期演练，同时报当地环保部门备案。在编制事故应急救援预案时，应对</w:t>
      </w:r>
      <w:r>
        <w:rPr>
          <w:rFonts w:hint="eastAsia"/>
        </w:rPr>
        <w:t>项目场站</w:t>
      </w:r>
      <w:r>
        <w:t>、管道沿线周围居民进行宣传，并把其纳入应急体系，参与应急演练。</w:t>
      </w:r>
    </w:p>
    <w:p>
      <w:pPr>
        <w:ind w:firstLine="480"/>
      </w:pPr>
      <w:r>
        <w:fldChar w:fldCharType="begin"/>
      </w:r>
      <w:r>
        <w:instrText xml:space="preserve"> = 3 \* GB3 </w:instrText>
      </w:r>
      <w:r>
        <w:fldChar w:fldCharType="separate"/>
      </w:r>
      <w:r>
        <w:rPr>
          <w:rFonts w:hint="eastAsia"/>
        </w:rPr>
        <w:t>③</w:t>
      </w:r>
      <w:r>
        <w:fldChar w:fldCharType="end"/>
      </w:r>
      <w:r>
        <w:t>在试运行之前，应建立管道沿线风险点源分布图。</w:t>
      </w:r>
    </w:p>
    <w:p>
      <w:pPr>
        <w:ind w:firstLine="480"/>
      </w:pPr>
      <w:r>
        <w:fldChar w:fldCharType="begin"/>
      </w:r>
      <w:r>
        <w:instrText xml:space="preserve"> = 4 \* GB3 </w:instrText>
      </w:r>
      <w:r>
        <w:fldChar w:fldCharType="separate"/>
      </w:r>
      <w:r>
        <w:rPr>
          <w:rFonts w:hint="eastAsia"/>
        </w:rPr>
        <w:t>④</w:t>
      </w:r>
      <w:r>
        <w:fldChar w:fldCharType="end"/>
      </w:r>
      <w:r>
        <w:t>项目投产后，应严格执行安全生产制度、计量质量管理制度、班组内外联系制度、交接班制度、岗位责任制和值班工作制度等。</w:t>
      </w:r>
    </w:p>
    <w:p>
      <w:pPr>
        <w:ind w:firstLine="480"/>
      </w:pPr>
      <w:r>
        <w:fldChar w:fldCharType="begin"/>
      </w:r>
      <w:r>
        <w:instrText xml:space="preserve"> = 5 \* GB3 </w:instrText>
      </w:r>
      <w:r>
        <w:fldChar w:fldCharType="separate"/>
      </w:r>
      <w:r>
        <w:rPr>
          <w:rFonts w:hint="eastAsia"/>
        </w:rPr>
        <w:t>⑤</w:t>
      </w:r>
      <w:r>
        <w:fldChar w:fldCharType="end"/>
      </w:r>
      <w:r>
        <w:t>加强管线的巡线工作，以及时发现管线隐患，杜绝事故性泄漏。</w:t>
      </w:r>
    </w:p>
    <w:p>
      <w:pPr>
        <w:ind w:firstLine="480"/>
        <w:rPr>
          <w:lang w:val="zh-CN"/>
        </w:rPr>
      </w:pPr>
      <w:r>
        <w:fldChar w:fldCharType="begin"/>
      </w:r>
      <w:r>
        <w:instrText xml:space="preserve"> = 6 \* GB3 </w:instrText>
      </w:r>
      <w:r>
        <w:fldChar w:fldCharType="separate"/>
      </w:r>
      <w:r>
        <w:rPr>
          <w:rFonts w:hint="eastAsia"/>
        </w:rPr>
        <w:t>⑥</w:t>
      </w:r>
      <w:r>
        <w:fldChar w:fldCharType="end"/>
      </w:r>
      <w:r>
        <w:rPr>
          <w:rFonts w:hint="eastAsia"/>
        </w:rPr>
        <w:t>项目</w:t>
      </w:r>
      <w:r>
        <w:t>发生事故或险情时，应通过现场报警铃声、广播及电话报告事故信息，通知</w:t>
      </w:r>
      <w:r>
        <w:rPr>
          <w:rFonts w:hint="eastAsia"/>
        </w:rPr>
        <w:t>项目</w:t>
      </w:r>
      <w:r>
        <w:t>职工和周围附近的居民撤离。</w:t>
      </w:r>
    </w:p>
    <w:p>
      <w:pPr>
        <w:pStyle w:val="4"/>
        <w:rPr>
          <w:rFonts w:cs="Times New Roman"/>
        </w:rPr>
      </w:pPr>
      <w:bookmarkStart w:id="334" w:name="_Toc69044774"/>
      <w:r>
        <w:rPr>
          <w:rFonts w:hint="eastAsia" w:cs="Times New Roman"/>
        </w:rPr>
        <w:t xml:space="preserve"> </w:t>
      </w:r>
      <w:bookmarkStart w:id="335" w:name="_Toc96680761"/>
      <w:r>
        <w:rPr>
          <w:rFonts w:cs="Times New Roman"/>
        </w:rPr>
        <w:t>风险防范措施投资</w:t>
      </w:r>
      <w:bookmarkEnd w:id="334"/>
      <w:bookmarkEnd w:id="335"/>
      <w:r>
        <w:rPr>
          <w:rFonts w:cs="Times New Roman"/>
        </w:rPr>
        <w:tab/>
      </w:r>
    </w:p>
    <w:p>
      <w:pPr>
        <w:spacing w:line="500" w:lineRule="exact"/>
        <w:ind w:firstLine="480"/>
      </w:pPr>
      <w:r>
        <w:t>本项风险投资总计为</w:t>
      </w:r>
      <w:r>
        <w:rPr>
          <w:rFonts w:hint="eastAsia"/>
        </w:rPr>
        <w:t>10</w:t>
      </w:r>
      <w:r>
        <w:t>万元，风险防范措施及投资见下表。</w:t>
      </w:r>
    </w:p>
    <w:p>
      <w:pPr>
        <w:pStyle w:val="73"/>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8.9</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w:t>
      </w:r>
      <w:r>
        <w:t>风险防范措施及投资一览表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469"/>
        <w:gridCol w:w="1821"/>
        <w:gridCol w:w="4821"/>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281" w:type="pct"/>
            <w:tcBorders>
              <w:top w:val="single" w:color="auto" w:sz="12" w:space="0"/>
              <w:left w:val="nil"/>
              <w:bottom w:val="single" w:color="auto" w:sz="4" w:space="0"/>
              <w:right w:val="single" w:color="auto" w:sz="4" w:space="0"/>
            </w:tcBorders>
            <w:vAlign w:val="center"/>
          </w:tcPr>
          <w:p>
            <w:pPr>
              <w:adjustRightInd w:val="0"/>
              <w:snapToGrid w:val="0"/>
              <w:spacing w:line="240" w:lineRule="auto"/>
              <w:ind w:firstLine="0" w:firstLineChars="0"/>
              <w:jc w:val="center"/>
              <w:rPr>
                <w:b/>
                <w:bCs/>
                <w:sz w:val="21"/>
              </w:rPr>
            </w:pPr>
            <w:r>
              <w:rPr>
                <w:b/>
                <w:bCs/>
                <w:sz w:val="21"/>
              </w:rPr>
              <w:t>序号</w:t>
            </w:r>
          </w:p>
        </w:tc>
        <w:tc>
          <w:tcPr>
            <w:tcW w:w="1090" w:type="pct"/>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 w:val="21"/>
              </w:rPr>
            </w:pPr>
            <w:r>
              <w:rPr>
                <w:b/>
                <w:bCs/>
                <w:sz w:val="21"/>
              </w:rPr>
              <w:t>风险防范措施</w:t>
            </w:r>
          </w:p>
        </w:tc>
        <w:tc>
          <w:tcPr>
            <w:tcW w:w="2886" w:type="pct"/>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 w:val="21"/>
              </w:rPr>
            </w:pPr>
            <w:r>
              <w:rPr>
                <w:b/>
                <w:bCs/>
                <w:sz w:val="21"/>
              </w:rPr>
              <w:t>内容、要求及目的</w:t>
            </w:r>
          </w:p>
        </w:tc>
        <w:tc>
          <w:tcPr>
            <w:tcW w:w="743" w:type="pct"/>
            <w:tcBorders>
              <w:top w:val="single" w:color="auto" w:sz="12" w:space="0"/>
              <w:left w:val="single" w:color="auto" w:sz="4" w:space="0"/>
              <w:bottom w:val="single" w:color="auto" w:sz="4" w:space="0"/>
              <w:right w:val="nil"/>
            </w:tcBorders>
            <w:vAlign w:val="center"/>
          </w:tcPr>
          <w:p>
            <w:pPr>
              <w:adjustRightInd w:val="0"/>
              <w:snapToGrid w:val="0"/>
              <w:spacing w:line="240" w:lineRule="auto"/>
              <w:ind w:firstLine="0" w:firstLineChars="0"/>
              <w:jc w:val="center"/>
              <w:rPr>
                <w:b/>
                <w:bCs/>
                <w:sz w:val="21"/>
              </w:rPr>
            </w:pPr>
            <w:r>
              <w:rPr>
                <w:b/>
                <w:bCs/>
                <w:sz w:val="21"/>
              </w:rPr>
              <w:t>投资</w:t>
            </w:r>
          </w:p>
          <w:p>
            <w:pPr>
              <w:adjustRightInd w:val="0"/>
              <w:snapToGrid w:val="0"/>
              <w:spacing w:line="240" w:lineRule="auto"/>
              <w:ind w:firstLine="0" w:firstLineChars="0"/>
              <w:jc w:val="center"/>
              <w:rPr>
                <w:b/>
                <w:bCs/>
                <w:sz w:val="21"/>
              </w:rPr>
            </w:pPr>
            <w:r>
              <w:rPr>
                <w:b/>
                <w:bCs/>
                <w:sz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81"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1</w:t>
            </w:r>
          </w:p>
        </w:tc>
        <w:tc>
          <w:tcPr>
            <w:tcW w:w="1090"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21"/>
              </w:rPr>
            </w:pPr>
            <w:r>
              <w:rPr>
                <w:sz w:val="21"/>
              </w:rPr>
              <w:t>风险防范措施</w:t>
            </w:r>
          </w:p>
        </w:tc>
        <w:tc>
          <w:tcPr>
            <w:tcW w:w="2886"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sz w:val="21"/>
              </w:rPr>
            </w:pPr>
            <w:r>
              <w:rPr>
                <w:rFonts w:hint="eastAsia"/>
                <w:sz w:val="21"/>
              </w:rPr>
              <w:t>优化选线</w:t>
            </w:r>
            <w:r>
              <w:rPr>
                <w:sz w:val="21"/>
              </w:rPr>
              <w:t>、</w:t>
            </w:r>
            <w:r>
              <w:rPr>
                <w:rFonts w:hint="eastAsia"/>
                <w:sz w:val="21"/>
              </w:rPr>
              <w:t>加强</w:t>
            </w:r>
            <w:r>
              <w:rPr>
                <w:sz w:val="21"/>
              </w:rPr>
              <w:t>施工管理、</w:t>
            </w:r>
            <w:r>
              <w:rPr>
                <w:rFonts w:hint="eastAsia"/>
                <w:sz w:val="21"/>
              </w:rPr>
              <w:t>选取良好</w:t>
            </w:r>
            <w:r>
              <w:rPr>
                <w:sz w:val="21"/>
              </w:rPr>
              <w:t>的管材质量</w:t>
            </w:r>
            <w:r>
              <w:rPr>
                <w:rFonts w:hint="eastAsia"/>
                <w:sz w:val="21"/>
              </w:rPr>
              <w:t>，加强</w:t>
            </w:r>
            <w:r>
              <w:rPr>
                <w:sz w:val="21"/>
              </w:rPr>
              <w:t>运行巡检管理</w:t>
            </w:r>
          </w:p>
        </w:tc>
        <w:tc>
          <w:tcPr>
            <w:tcW w:w="743" w:type="pct"/>
            <w:tcBorders>
              <w:top w:val="single" w:color="auto" w:sz="4" w:space="0"/>
              <w:left w:val="single" w:color="auto" w:sz="4" w:space="0"/>
              <w:right w:val="nil"/>
            </w:tcBorders>
            <w:vAlign w:val="center"/>
          </w:tcPr>
          <w:p>
            <w:pPr>
              <w:adjustRightInd w:val="0"/>
              <w:snapToGrid w:val="0"/>
              <w:spacing w:line="240" w:lineRule="auto"/>
              <w:ind w:firstLine="0" w:firstLineChars="0"/>
              <w:jc w:val="center"/>
              <w:rPr>
                <w:sz w:val="21"/>
              </w:rPr>
            </w:pPr>
            <w:r>
              <w:rPr>
                <w:rFonts w:hint="eastAsia"/>
                <w:sz w:val="21"/>
              </w:rPr>
              <w:t>纳入</w:t>
            </w:r>
            <w:r>
              <w:rPr>
                <w:sz w:val="21"/>
              </w:rPr>
              <w:t>主体工程投资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08" w:hRule="atLeast"/>
          <w:jc w:val="center"/>
        </w:trPr>
        <w:tc>
          <w:tcPr>
            <w:tcW w:w="281"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2</w:t>
            </w:r>
          </w:p>
        </w:tc>
        <w:tc>
          <w:tcPr>
            <w:tcW w:w="3976" w:type="pct"/>
            <w:gridSpan w:val="2"/>
            <w:tcBorders>
              <w:left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放空</w:t>
            </w:r>
            <w:r>
              <w:rPr>
                <w:sz w:val="21"/>
              </w:rPr>
              <w:t>系统、在线式可燃气体报警仪、避雷及防雷设施、灭火器材、</w:t>
            </w:r>
            <w:r>
              <w:rPr>
                <w:rFonts w:hint="eastAsia"/>
                <w:sz w:val="21"/>
              </w:rPr>
              <w:t>消防沙</w:t>
            </w:r>
            <w:r>
              <w:rPr>
                <w:sz w:val="21"/>
              </w:rPr>
              <w:t>池、高音喇叭、风向标、警示标志</w:t>
            </w:r>
            <w:r>
              <w:rPr>
                <w:rFonts w:hint="eastAsia"/>
                <w:sz w:val="21"/>
              </w:rPr>
              <w:t>、消防栓、消防水箱</w:t>
            </w:r>
            <w:r>
              <w:rPr>
                <w:sz w:val="21"/>
              </w:rPr>
              <w:t>等</w:t>
            </w:r>
          </w:p>
        </w:tc>
        <w:tc>
          <w:tcPr>
            <w:tcW w:w="743" w:type="pct"/>
            <w:tcBorders>
              <w:top w:val="single" w:color="auto" w:sz="4" w:space="0"/>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rPr>
            </w:pPr>
            <w:r>
              <w:rPr>
                <w:sz w:val="21"/>
              </w:rPr>
              <w:t>依托及纳入</w:t>
            </w:r>
            <w:r>
              <w:rPr>
                <w:rFonts w:hint="eastAsia"/>
                <w:sz w:val="21"/>
              </w:rPr>
              <w:t>主体</w:t>
            </w:r>
            <w:r>
              <w:rPr>
                <w:sz w:val="21"/>
              </w:rPr>
              <w:t>工程投资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07" w:hRule="atLeast"/>
          <w:jc w:val="center"/>
        </w:trPr>
        <w:tc>
          <w:tcPr>
            <w:tcW w:w="281"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3</w:t>
            </w:r>
          </w:p>
        </w:tc>
        <w:tc>
          <w:tcPr>
            <w:tcW w:w="1090" w:type="pct"/>
            <w:tcBorders>
              <w:left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风险</w:t>
            </w:r>
            <w:r>
              <w:rPr>
                <w:sz w:val="21"/>
              </w:rPr>
              <w:t>管理</w:t>
            </w:r>
          </w:p>
        </w:tc>
        <w:tc>
          <w:tcPr>
            <w:tcW w:w="28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建立环境</w:t>
            </w:r>
            <w:r>
              <w:rPr>
                <w:sz w:val="21"/>
              </w:rPr>
              <w:t>管理体系</w:t>
            </w:r>
            <w:r>
              <w:rPr>
                <w:rFonts w:hint="eastAsia"/>
                <w:sz w:val="21"/>
              </w:rPr>
              <w:t>，建立</w:t>
            </w:r>
            <w:r>
              <w:rPr>
                <w:sz w:val="21"/>
              </w:rPr>
              <w:t>健全风险</w:t>
            </w:r>
            <w:r>
              <w:rPr>
                <w:rFonts w:hint="eastAsia"/>
                <w:sz w:val="21"/>
              </w:rPr>
              <w:t>防范管理</w:t>
            </w:r>
            <w:r>
              <w:rPr>
                <w:sz w:val="21"/>
              </w:rPr>
              <w:t>制度</w:t>
            </w:r>
          </w:p>
        </w:tc>
        <w:tc>
          <w:tcPr>
            <w:tcW w:w="743" w:type="pct"/>
            <w:tcBorders>
              <w:top w:val="single" w:color="auto" w:sz="4" w:space="0"/>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rPr>
            </w:pPr>
            <w:r>
              <w:rPr>
                <w:rFonts w:hint="eastAsia"/>
                <w:sz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96" w:hRule="atLeast"/>
          <w:jc w:val="center"/>
        </w:trPr>
        <w:tc>
          <w:tcPr>
            <w:tcW w:w="281"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4</w:t>
            </w:r>
          </w:p>
        </w:tc>
        <w:tc>
          <w:tcPr>
            <w:tcW w:w="1090" w:type="pct"/>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rPr>
            </w:pPr>
            <w:r>
              <w:rPr>
                <w:rFonts w:hint="eastAsia"/>
                <w:sz w:val="21"/>
              </w:rPr>
              <w:t>应急</w:t>
            </w:r>
            <w:r>
              <w:rPr>
                <w:sz w:val="21"/>
              </w:rPr>
              <w:t>预案</w:t>
            </w:r>
          </w:p>
        </w:tc>
        <w:tc>
          <w:tcPr>
            <w:tcW w:w="28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rPr>
            </w:pPr>
            <w:r>
              <w:rPr>
                <w:sz w:val="21"/>
              </w:rPr>
              <w:t>培训及应急演练；环境风险事故时人员撤离演练；周围群众安全知识宣传等</w:t>
            </w:r>
          </w:p>
        </w:tc>
        <w:tc>
          <w:tcPr>
            <w:tcW w:w="743" w:type="pct"/>
            <w:tcBorders>
              <w:top w:val="single" w:color="auto" w:sz="4" w:space="0"/>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rPr>
            </w:pPr>
            <w:r>
              <w:rPr>
                <w:rFonts w:hint="eastAsia"/>
                <w:sz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4257" w:type="pct"/>
            <w:gridSpan w:val="3"/>
            <w:tcBorders>
              <w:top w:val="single" w:color="auto" w:sz="4" w:space="0"/>
              <w:left w:val="nil"/>
              <w:bottom w:val="single" w:color="auto" w:sz="12" w:space="0"/>
              <w:right w:val="single" w:color="auto" w:sz="4" w:space="0"/>
            </w:tcBorders>
            <w:vAlign w:val="center"/>
          </w:tcPr>
          <w:p>
            <w:pPr>
              <w:adjustRightInd w:val="0"/>
              <w:snapToGrid w:val="0"/>
              <w:spacing w:line="240" w:lineRule="auto"/>
              <w:ind w:firstLine="0" w:firstLineChars="0"/>
              <w:jc w:val="center"/>
              <w:rPr>
                <w:sz w:val="21"/>
              </w:rPr>
            </w:pPr>
            <w:r>
              <w:rPr>
                <w:sz w:val="21"/>
              </w:rPr>
              <w:t>总计</w:t>
            </w:r>
          </w:p>
        </w:tc>
        <w:tc>
          <w:tcPr>
            <w:tcW w:w="743" w:type="pct"/>
            <w:tcBorders>
              <w:top w:val="single" w:color="auto" w:sz="4" w:space="0"/>
              <w:left w:val="single" w:color="auto" w:sz="4" w:space="0"/>
              <w:bottom w:val="single" w:color="auto" w:sz="12" w:space="0"/>
              <w:right w:val="nil"/>
            </w:tcBorders>
            <w:vAlign w:val="center"/>
          </w:tcPr>
          <w:p>
            <w:pPr>
              <w:adjustRightInd w:val="0"/>
              <w:snapToGrid w:val="0"/>
              <w:spacing w:line="240" w:lineRule="auto"/>
              <w:ind w:firstLine="0" w:firstLineChars="0"/>
              <w:jc w:val="center"/>
              <w:rPr>
                <w:sz w:val="21"/>
              </w:rPr>
            </w:pPr>
            <w:r>
              <w:rPr>
                <w:rFonts w:hint="eastAsia"/>
                <w:sz w:val="21"/>
              </w:rPr>
              <w:t>10</w:t>
            </w:r>
          </w:p>
        </w:tc>
      </w:tr>
    </w:tbl>
    <w:p>
      <w:pPr>
        <w:pStyle w:val="4"/>
        <w:rPr>
          <w:rFonts w:cs="Times New Roman"/>
        </w:rPr>
      </w:pPr>
      <w:r>
        <w:rPr>
          <w:rFonts w:cs="Times New Roman"/>
        </w:rPr>
        <w:t xml:space="preserve"> </w:t>
      </w:r>
      <w:bookmarkStart w:id="336" w:name="_Toc96680762"/>
      <w:r>
        <w:rPr>
          <w:rFonts w:cs="Times New Roman"/>
        </w:rPr>
        <w:t>环境风险分析结论</w:t>
      </w:r>
      <w:bookmarkEnd w:id="336"/>
      <w:r>
        <w:rPr>
          <w:rFonts w:cs="Times New Roman"/>
        </w:rPr>
        <w:tab/>
      </w:r>
    </w:p>
    <w:p>
      <w:pPr>
        <w:widowControl/>
        <w:ind w:firstLine="480"/>
        <w:jc w:val="left"/>
      </w:pPr>
      <w:r>
        <w:rPr>
          <w:rFonts w:cs="Times New Roman"/>
          <w:bCs/>
        </w:rPr>
        <w:t>本项目运营过程中发生天然气泄漏时，会造成人员伤害和大气污染，如泄漏天然气遇到明火，</w:t>
      </w:r>
      <w:r>
        <w:rPr>
          <w:rFonts w:hint="eastAsia" w:cs="Times New Roman"/>
          <w:bCs/>
        </w:rPr>
        <w:t>发生</w:t>
      </w:r>
      <w:r>
        <w:rPr>
          <w:rFonts w:cs="Times New Roman"/>
          <w:bCs/>
        </w:rPr>
        <w:t>火灾</w:t>
      </w:r>
      <w:r>
        <w:rPr>
          <w:rFonts w:hint="eastAsia" w:cs="Times New Roman"/>
          <w:bCs/>
        </w:rPr>
        <w:t>或</w:t>
      </w:r>
      <w:r>
        <w:rPr>
          <w:rFonts w:cs="Times New Roman"/>
          <w:bCs/>
        </w:rPr>
        <w:t>爆炸</w:t>
      </w:r>
      <w:r>
        <w:rPr>
          <w:rFonts w:hint="eastAsia" w:cs="Times New Roman"/>
          <w:bCs/>
        </w:rPr>
        <w:t>事故</w:t>
      </w:r>
      <w:r>
        <w:rPr>
          <w:rFonts w:cs="Times New Roman"/>
          <w:bCs/>
        </w:rPr>
        <w:t>，燃烧产生次生污染物污染大气环境。</w:t>
      </w:r>
      <w:r>
        <w:rPr>
          <w:rFonts w:hint="eastAsia" w:cs="Times New Roman"/>
          <w:bCs/>
        </w:rPr>
        <w:t>建设单位</w:t>
      </w:r>
      <w:r>
        <w:rPr>
          <w:rFonts w:cs="Times New Roman"/>
          <w:bCs/>
        </w:rPr>
        <w:t>通过严把施工质量关</w:t>
      </w:r>
      <w:r>
        <w:rPr>
          <w:rFonts w:hint="eastAsia" w:cs="Times New Roman"/>
          <w:bCs/>
        </w:rPr>
        <w:t>，</w:t>
      </w:r>
      <w:r>
        <w:rPr>
          <w:rFonts w:cs="Times New Roman"/>
          <w:bCs/>
        </w:rPr>
        <w:t>选用优质管材，制定可行的风险防范措施和应急措施，制定应急预案，其发生事故的概率较小，其环境风险属于可接受水平。</w:t>
      </w:r>
    </w:p>
    <w:p>
      <w:pPr>
        <w:pStyle w:val="73"/>
        <w:ind w:firstLine="360"/>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8.10</w:t>
      </w:r>
      <w:r>
        <w:rPr>
          <w:rFonts w:cs="Times New Roman"/>
        </w:rPr>
        <w:fldChar w:fldCharType="end"/>
      </w:r>
      <w:r>
        <w:rPr>
          <w:rFonts w:cs="Times New Roman"/>
        </w:rPr>
        <w:t>-</w:t>
      </w:r>
      <w:r>
        <w:rPr>
          <w:rFonts w:cs="Times New Roman"/>
        </w:rPr>
        <w:fldChar w:fldCharType="begin"/>
      </w:r>
      <w:r>
        <w:rPr>
          <w:rFonts w:cs="Times New Roman"/>
        </w:rPr>
        <w:instrText xml:space="preserve"> SEQ 表格 \* ARABIC \s 2 </w:instrText>
      </w:r>
      <w:r>
        <w:rPr>
          <w:rFonts w:cs="Times New Roman"/>
        </w:rPr>
        <w:fldChar w:fldCharType="separate"/>
      </w:r>
      <w:r>
        <w:rPr>
          <w:rFonts w:cs="Times New Roman"/>
        </w:rPr>
        <w:t>1</w:t>
      </w:r>
      <w:r>
        <w:rPr>
          <w:rFonts w:cs="Times New Roman"/>
        </w:rPr>
        <w:fldChar w:fldCharType="end"/>
      </w:r>
      <w:r>
        <w:rPr>
          <w:rFonts w:cs="Times New Roman"/>
        </w:rPr>
        <w:t xml:space="preserve"> 建设项目环境风险简单分析内容表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068"/>
        <w:gridCol w:w="2379"/>
        <w:gridCol w:w="1541"/>
        <w:gridCol w:w="855"/>
        <w:gridCol w:w="15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1228" w:type="pct"/>
            <w:tcBorders>
              <w:top w:val="single" w:color="auto" w:sz="12" w:space="0"/>
              <w:left w:val="nil"/>
              <w:bottom w:val="single" w:color="auto" w:sz="4" w:space="0"/>
              <w:right w:val="single" w:color="auto" w:sz="4" w:space="0"/>
            </w:tcBorders>
            <w:vAlign w:val="center"/>
          </w:tcPr>
          <w:p>
            <w:pPr>
              <w:pStyle w:val="63"/>
              <w:rPr>
                <w:b/>
              </w:rPr>
            </w:pPr>
            <w:r>
              <w:rPr>
                <w:b/>
              </w:rPr>
              <w:t>建设项目名称</w:t>
            </w:r>
          </w:p>
        </w:tc>
        <w:tc>
          <w:tcPr>
            <w:tcW w:w="3772" w:type="pct"/>
            <w:gridSpan w:val="4"/>
            <w:tcBorders>
              <w:top w:val="single" w:color="auto" w:sz="12" w:space="0"/>
              <w:left w:val="single" w:color="auto" w:sz="4" w:space="0"/>
              <w:bottom w:val="single" w:color="auto" w:sz="4" w:space="0"/>
              <w:right w:val="nil"/>
            </w:tcBorders>
          </w:tcPr>
          <w:p>
            <w:pPr>
              <w:pStyle w:val="63"/>
            </w:pPr>
            <w:r>
              <w:rPr>
                <w:rFonts w:hint="eastAsia"/>
                <w:szCs w:val="24"/>
              </w:rPr>
              <w:t>河巴线通江县涪阳镇活水沟村滑坡应急抢险治理项目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28" w:type="pct"/>
            <w:tcBorders>
              <w:top w:val="single" w:color="auto" w:sz="4" w:space="0"/>
              <w:left w:val="nil"/>
              <w:bottom w:val="single" w:color="auto" w:sz="4" w:space="0"/>
              <w:right w:val="single" w:color="auto" w:sz="4" w:space="0"/>
            </w:tcBorders>
            <w:vAlign w:val="center"/>
          </w:tcPr>
          <w:p>
            <w:pPr>
              <w:pStyle w:val="63"/>
              <w:rPr>
                <w:b/>
              </w:rPr>
            </w:pPr>
            <w:r>
              <w:rPr>
                <w:b/>
              </w:rPr>
              <w:t>建设地点</w:t>
            </w:r>
          </w:p>
        </w:tc>
        <w:tc>
          <w:tcPr>
            <w:tcW w:w="3772" w:type="pct"/>
            <w:gridSpan w:val="4"/>
            <w:tcBorders>
              <w:top w:val="single" w:color="auto" w:sz="4" w:space="0"/>
              <w:left w:val="single" w:color="auto" w:sz="4" w:space="0"/>
              <w:bottom w:val="single" w:color="auto" w:sz="4" w:space="0"/>
              <w:right w:val="nil"/>
            </w:tcBorders>
          </w:tcPr>
          <w:p>
            <w:pPr>
              <w:pStyle w:val="63"/>
            </w:pPr>
            <w:r>
              <w:rPr>
                <w:rFonts w:hint="eastAsia"/>
                <w:szCs w:val="22"/>
              </w:rPr>
              <w:t>四川省巴中市通</w:t>
            </w:r>
            <w:r>
              <w:rPr>
                <w:rFonts w:hint="eastAsia"/>
              </w:rPr>
              <w:t>江县涪阳镇活水沟村和斜滩河村</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28" w:type="pct"/>
            <w:tcBorders>
              <w:top w:val="single" w:color="auto" w:sz="4" w:space="0"/>
              <w:left w:val="nil"/>
              <w:bottom w:val="single" w:color="auto" w:sz="4" w:space="0"/>
              <w:right w:val="single" w:color="auto" w:sz="4" w:space="0"/>
            </w:tcBorders>
            <w:vAlign w:val="center"/>
          </w:tcPr>
          <w:p>
            <w:pPr>
              <w:pStyle w:val="63"/>
              <w:rPr>
                <w:b/>
              </w:rPr>
            </w:pPr>
            <w:r>
              <w:rPr>
                <w:b/>
              </w:rPr>
              <w:t>地理坐标</w:t>
            </w:r>
          </w:p>
        </w:tc>
        <w:tc>
          <w:tcPr>
            <w:tcW w:w="1413" w:type="pct"/>
            <w:tcBorders>
              <w:top w:val="single" w:color="auto" w:sz="4" w:space="0"/>
              <w:left w:val="single" w:color="auto" w:sz="4" w:space="0"/>
              <w:bottom w:val="single" w:color="auto" w:sz="4" w:space="0"/>
              <w:right w:val="nil"/>
            </w:tcBorders>
          </w:tcPr>
          <w:p>
            <w:pPr>
              <w:pStyle w:val="63"/>
            </w:pPr>
            <w:r>
              <w:t>经度</w:t>
            </w:r>
          </w:p>
        </w:tc>
        <w:tc>
          <w:tcPr>
            <w:tcW w:w="915" w:type="pct"/>
            <w:tcBorders>
              <w:top w:val="single" w:color="auto" w:sz="4" w:space="0"/>
              <w:left w:val="single" w:color="auto" w:sz="4" w:space="0"/>
              <w:bottom w:val="single" w:color="auto" w:sz="4" w:space="0"/>
              <w:right w:val="nil"/>
            </w:tcBorders>
          </w:tcPr>
          <w:p>
            <w:pPr>
              <w:pStyle w:val="63"/>
            </w:pPr>
            <w:r>
              <w:t>107.13533521°</w:t>
            </w:r>
          </w:p>
        </w:tc>
        <w:tc>
          <w:tcPr>
            <w:tcW w:w="508" w:type="pct"/>
            <w:tcBorders>
              <w:top w:val="single" w:color="auto" w:sz="4" w:space="0"/>
              <w:left w:val="single" w:color="auto" w:sz="4" w:space="0"/>
              <w:bottom w:val="single" w:color="auto" w:sz="4" w:space="0"/>
              <w:right w:val="nil"/>
            </w:tcBorders>
          </w:tcPr>
          <w:p>
            <w:pPr>
              <w:pStyle w:val="63"/>
            </w:pPr>
            <w:r>
              <w:t>纬度</w:t>
            </w:r>
          </w:p>
        </w:tc>
        <w:tc>
          <w:tcPr>
            <w:tcW w:w="935" w:type="pct"/>
            <w:tcBorders>
              <w:top w:val="single" w:color="auto" w:sz="4" w:space="0"/>
              <w:left w:val="single" w:color="auto" w:sz="4" w:space="0"/>
              <w:bottom w:val="single" w:color="auto" w:sz="4" w:space="0"/>
              <w:right w:val="nil"/>
            </w:tcBorders>
          </w:tcPr>
          <w:p>
            <w:pPr>
              <w:pStyle w:val="63"/>
            </w:pPr>
            <w:r>
              <w:t>32.01771909°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28" w:type="pct"/>
            <w:tcBorders>
              <w:top w:val="single" w:color="auto" w:sz="4" w:space="0"/>
              <w:left w:val="nil"/>
              <w:bottom w:val="single" w:color="auto" w:sz="4" w:space="0"/>
              <w:right w:val="single" w:color="auto" w:sz="4" w:space="0"/>
            </w:tcBorders>
            <w:vAlign w:val="center"/>
          </w:tcPr>
          <w:p>
            <w:pPr>
              <w:pStyle w:val="63"/>
              <w:jc w:val="both"/>
              <w:rPr>
                <w:b/>
              </w:rPr>
            </w:pPr>
            <w:r>
              <w:rPr>
                <w:b/>
              </w:rPr>
              <w:t>主要危险物质及分布</w:t>
            </w:r>
          </w:p>
        </w:tc>
        <w:tc>
          <w:tcPr>
            <w:tcW w:w="3772" w:type="pct"/>
            <w:gridSpan w:val="4"/>
            <w:tcBorders>
              <w:top w:val="single" w:color="auto" w:sz="4" w:space="0"/>
              <w:left w:val="single" w:color="auto" w:sz="4" w:space="0"/>
              <w:bottom w:val="single" w:color="auto" w:sz="4" w:space="0"/>
              <w:right w:val="nil"/>
            </w:tcBorders>
            <w:vAlign w:val="center"/>
          </w:tcPr>
          <w:p>
            <w:pPr>
              <w:pStyle w:val="63"/>
              <w:jc w:val="left"/>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主要</w:t>
            </w:r>
            <w:r>
              <w:t>危险物质</w:t>
            </w:r>
            <w:r>
              <w:rPr>
                <w:rFonts w:hint="eastAsia"/>
              </w:rPr>
              <w:t>：天然气；</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分布</w:t>
            </w:r>
            <w:r>
              <w:t>：</w:t>
            </w:r>
            <w:r>
              <w:rPr>
                <w:rFonts w:hint="eastAsia"/>
              </w:rPr>
              <w:t>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28" w:type="pct"/>
            <w:tcBorders>
              <w:top w:val="single" w:color="auto" w:sz="4" w:space="0"/>
              <w:left w:val="nil"/>
              <w:bottom w:val="single" w:color="auto" w:sz="4" w:space="0"/>
              <w:right w:val="single" w:color="auto" w:sz="4" w:space="0"/>
            </w:tcBorders>
            <w:vAlign w:val="center"/>
          </w:tcPr>
          <w:p>
            <w:pPr>
              <w:pStyle w:val="63"/>
              <w:rPr>
                <w:b/>
              </w:rPr>
            </w:pPr>
            <w:r>
              <w:rPr>
                <w:b/>
              </w:rPr>
              <w:t>环境影响途径及危害后果</w:t>
            </w:r>
          </w:p>
        </w:tc>
        <w:tc>
          <w:tcPr>
            <w:tcW w:w="3772" w:type="pct"/>
            <w:gridSpan w:val="4"/>
            <w:tcBorders>
              <w:top w:val="single" w:color="auto" w:sz="4" w:space="0"/>
              <w:left w:val="single" w:color="auto" w:sz="4" w:space="0"/>
              <w:bottom w:val="single" w:color="auto" w:sz="4" w:space="0"/>
              <w:right w:val="nil"/>
            </w:tcBorders>
          </w:tcPr>
          <w:p>
            <w:pPr>
              <w:pStyle w:val="63"/>
              <w:jc w:val="left"/>
            </w:pPr>
            <w:r>
              <w:t>1.</w:t>
            </w:r>
            <w:r>
              <w:rPr>
                <w:rFonts w:hint="eastAsia"/>
                <w:kern w:val="0"/>
                <w:szCs w:val="24"/>
              </w:rPr>
              <w:t>天然气的泄露污染</w:t>
            </w:r>
            <w:r>
              <w:rPr>
                <w:kern w:val="0"/>
                <w:szCs w:val="24"/>
              </w:rPr>
              <w:t>大气环境</w:t>
            </w:r>
            <w:r>
              <w:t>。</w:t>
            </w:r>
          </w:p>
          <w:p>
            <w:pPr>
              <w:pStyle w:val="63"/>
              <w:jc w:val="left"/>
            </w:pPr>
            <w:r>
              <w:t>2.</w:t>
            </w:r>
            <w:r>
              <w:rPr>
                <w:rFonts w:hint="eastAsia"/>
                <w:kern w:val="0"/>
                <w:szCs w:val="24"/>
              </w:rPr>
              <w:t>天然气的泄露遇明火</w:t>
            </w:r>
            <w:r>
              <w:rPr>
                <w:kern w:val="0"/>
                <w:szCs w:val="24"/>
              </w:rPr>
              <w:t>发生</w:t>
            </w:r>
            <w:r>
              <w:rPr>
                <w:rFonts w:hint="eastAsia"/>
                <w:kern w:val="0"/>
                <w:szCs w:val="24"/>
              </w:rPr>
              <w:t>火灾爆炸引发的伴生/次生污染物排放，</w:t>
            </w:r>
            <w:r>
              <w:rPr>
                <w:kern w:val="0"/>
                <w:szCs w:val="24"/>
              </w:rPr>
              <w:t>污染大气环境</w:t>
            </w:r>
            <w:r>
              <w:rPr>
                <w:rFonts w:hint="eastAsia"/>
                <w:kern w:val="0"/>
                <w:szCs w:val="24"/>
              </w:rPr>
              <w:t>，</w:t>
            </w:r>
            <w:r>
              <w:rPr>
                <w:kern w:val="0"/>
                <w:szCs w:val="24"/>
              </w:rPr>
              <w:t>影响农作物及林地</w:t>
            </w:r>
            <w:r>
              <w:rPr>
                <w:rFonts w:hint="eastAsia"/>
                <w:kern w:val="0"/>
                <w:szCs w:val="24"/>
              </w:rPr>
              <w:t>植被</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28" w:type="pct"/>
            <w:tcBorders>
              <w:top w:val="single" w:color="auto" w:sz="4" w:space="0"/>
              <w:left w:val="nil"/>
              <w:bottom w:val="single" w:color="auto" w:sz="4" w:space="0"/>
              <w:right w:val="single" w:color="auto" w:sz="4" w:space="0"/>
            </w:tcBorders>
            <w:vAlign w:val="center"/>
          </w:tcPr>
          <w:p>
            <w:pPr>
              <w:pStyle w:val="63"/>
              <w:rPr>
                <w:b/>
              </w:rPr>
            </w:pPr>
            <w:r>
              <w:rPr>
                <w:b/>
              </w:rPr>
              <w:t>风险防范措施要求</w:t>
            </w:r>
          </w:p>
        </w:tc>
        <w:tc>
          <w:tcPr>
            <w:tcW w:w="3772" w:type="pct"/>
            <w:gridSpan w:val="4"/>
            <w:tcBorders>
              <w:top w:val="single" w:color="auto" w:sz="4" w:space="0"/>
              <w:left w:val="single" w:color="auto" w:sz="4" w:space="0"/>
              <w:bottom w:val="single" w:color="auto" w:sz="4" w:space="0"/>
              <w:right w:val="nil"/>
            </w:tcBorders>
          </w:tcPr>
          <w:p>
            <w:pPr>
              <w:pStyle w:val="63"/>
              <w:jc w:val="left"/>
            </w:pPr>
            <w:r>
              <w:rPr>
                <w:rFonts w:hint="eastAsia"/>
              </w:rPr>
              <w:t>1.</w:t>
            </w:r>
            <w:r>
              <w:t>设计阶段</w:t>
            </w:r>
            <w:r>
              <w:rPr>
                <w:rFonts w:hint="eastAsia"/>
              </w:rPr>
              <w:t>风险</w:t>
            </w:r>
            <w:r>
              <w:t>防范措施：优选路线、</w:t>
            </w:r>
            <w:r>
              <w:rPr>
                <w:rFonts w:hint="eastAsia"/>
              </w:rPr>
              <w:t>避开</w:t>
            </w:r>
            <w:r>
              <w:t>地质不好、环境敏感地段</w:t>
            </w:r>
            <w:r>
              <w:rPr>
                <w:rFonts w:hint="eastAsia"/>
              </w:rPr>
              <w:t>；</w:t>
            </w:r>
          </w:p>
          <w:p>
            <w:pPr>
              <w:pStyle w:val="63"/>
              <w:jc w:val="left"/>
            </w:pPr>
            <w:r>
              <w:t>2.</w:t>
            </w:r>
            <w:r>
              <w:rPr>
                <w:rFonts w:hint="eastAsia"/>
              </w:rPr>
              <w:t>施工</w:t>
            </w:r>
            <w:r>
              <w:t>阶段</w:t>
            </w:r>
            <w:r>
              <w:rPr>
                <w:rFonts w:hint="eastAsia"/>
              </w:rPr>
              <w:t>风险</w:t>
            </w:r>
            <w:r>
              <w:t>防范措施</w:t>
            </w:r>
            <w:r>
              <w:rPr>
                <w:rFonts w:hint="eastAsia"/>
              </w:rPr>
              <w:t>：加强</w:t>
            </w:r>
            <w:r>
              <w:t>施工管理，规范操作</w:t>
            </w:r>
            <w:r>
              <w:rPr>
                <w:rFonts w:hint="eastAsia"/>
              </w:rPr>
              <w:t>；</w:t>
            </w:r>
          </w:p>
          <w:p>
            <w:pPr>
              <w:pStyle w:val="63"/>
              <w:jc w:val="left"/>
            </w:pPr>
            <w:r>
              <w:rPr>
                <w:rFonts w:hint="eastAsia"/>
              </w:rPr>
              <w:t>3.</w:t>
            </w:r>
            <w:r>
              <w:t>运营阶段</w:t>
            </w:r>
            <w:r>
              <w:rPr>
                <w:rFonts w:hint="eastAsia"/>
              </w:rPr>
              <w:t>风险</w:t>
            </w:r>
            <w:r>
              <w:t>防范措施</w:t>
            </w:r>
            <w:r>
              <w:rPr>
                <w:rFonts w:hint="eastAsia"/>
              </w:rPr>
              <w:t>：加强</w:t>
            </w:r>
            <w:r>
              <w:t>巡检</w:t>
            </w:r>
            <w:r>
              <w:rPr>
                <w:rFonts w:hint="eastAsia"/>
              </w:rPr>
              <w:t>，做好</w:t>
            </w:r>
            <w:r>
              <w:t>宣传，</w:t>
            </w:r>
            <w:r>
              <w:rPr>
                <w:rFonts w:hint="eastAsia"/>
              </w:rPr>
              <w:t>应急</w:t>
            </w:r>
            <w:r>
              <w:t>保</w:t>
            </w:r>
            <w:r>
              <w:rPr>
                <w:rFonts w:hint="eastAsia"/>
              </w:rPr>
              <w:t>障；</w:t>
            </w:r>
          </w:p>
          <w:p>
            <w:pPr>
              <w:pStyle w:val="63"/>
              <w:jc w:val="left"/>
            </w:pPr>
            <w:r>
              <w:rPr>
                <w:rFonts w:hint="eastAsia"/>
              </w:rPr>
              <w:t>4.</w:t>
            </w:r>
            <w:r>
              <w:t>加强环境风险管理措施</w:t>
            </w:r>
            <w:r>
              <w:rPr>
                <w:rFonts w:hint="eastAsia"/>
              </w:rPr>
              <w:t>；</w:t>
            </w:r>
          </w:p>
          <w:p>
            <w:pPr>
              <w:pStyle w:val="63"/>
              <w:jc w:val="left"/>
            </w:pPr>
            <w:r>
              <w:rPr>
                <w:rFonts w:hint="eastAsia"/>
              </w:rPr>
              <w:t>5</w:t>
            </w:r>
            <w:r>
              <w:t>.制定环境风险应急预案并进行演练。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2" w:hRule="atLeast"/>
        </w:trPr>
        <w:tc>
          <w:tcPr>
            <w:tcW w:w="5000" w:type="pct"/>
            <w:gridSpan w:val="5"/>
            <w:tcBorders>
              <w:top w:val="single" w:color="auto" w:sz="4" w:space="0"/>
              <w:left w:val="nil"/>
              <w:bottom w:val="single" w:color="auto" w:sz="12" w:space="0"/>
              <w:right w:val="nil"/>
            </w:tcBorders>
            <w:vAlign w:val="center"/>
          </w:tcPr>
          <w:p>
            <w:pPr>
              <w:pStyle w:val="63"/>
              <w:jc w:val="left"/>
            </w:pPr>
            <w:r>
              <w:t>填表说明：</w:t>
            </w:r>
          </w:p>
        </w:tc>
      </w:tr>
    </w:tbl>
    <w:p>
      <w:pPr>
        <w:ind w:firstLine="480"/>
        <w:rPr>
          <w:rFonts w:cs="Times New Roman"/>
        </w:rPr>
      </w:pPr>
    </w:p>
    <w:p>
      <w:pPr>
        <w:ind w:firstLine="480"/>
        <w:rPr>
          <w:rFonts w:cs="Times New Roman"/>
        </w:rPr>
        <w:sectPr>
          <w:headerReference r:id="rId32" w:type="default"/>
          <w:pgSz w:w="11906" w:h="16838"/>
          <w:pgMar w:top="1440" w:right="1800" w:bottom="1440" w:left="1800" w:header="851" w:footer="794" w:gutter="0"/>
          <w:cols w:space="425" w:num="1"/>
          <w:docGrid w:type="lines" w:linePitch="326" w:charSpace="0"/>
        </w:sectPr>
      </w:pPr>
    </w:p>
    <w:p>
      <w:pPr>
        <w:pStyle w:val="3"/>
        <w:rPr>
          <w:rFonts w:cs="Times New Roman"/>
        </w:rPr>
      </w:pPr>
      <w:r>
        <w:rPr>
          <w:rFonts w:hint="eastAsia" w:cs="Times New Roman"/>
        </w:rPr>
        <w:t xml:space="preserve"> </w:t>
      </w:r>
      <w:bookmarkStart w:id="337" w:name="_Toc96680763"/>
      <w:r>
        <w:rPr>
          <w:rFonts w:cs="Times New Roman"/>
        </w:rPr>
        <w:t>环境保护措施</w:t>
      </w:r>
      <w:r>
        <w:rPr>
          <w:rFonts w:hint="eastAsia" w:cs="Times New Roman"/>
        </w:rPr>
        <w:t>及其</w:t>
      </w:r>
      <w:r>
        <w:rPr>
          <w:rFonts w:cs="Times New Roman"/>
        </w:rPr>
        <w:t>可行性论证</w:t>
      </w:r>
      <w:bookmarkEnd w:id="337"/>
    </w:p>
    <w:p>
      <w:pPr>
        <w:pStyle w:val="4"/>
        <w:rPr>
          <w:rFonts w:cs="Times New Roman"/>
        </w:rPr>
      </w:pPr>
      <w:r>
        <w:rPr>
          <w:rFonts w:cs="Times New Roman"/>
        </w:rPr>
        <w:t xml:space="preserve"> </w:t>
      </w:r>
      <w:bookmarkStart w:id="338" w:name="_Toc96680764"/>
      <w:r>
        <w:rPr>
          <w:rFonts w:hint="eastAsia" w:cs="Times New Roman"/>
        </w:rPr>
        <w:t>施工期环境影响</w:t>
      </w:r>
      <w:r>
        <w:rPr>
          <w:rFonts w:cs="Times New Roman"/>
        </w:rPr>
        <w:t>减缓措施</w:t>
      </w:r>
      <w:bookmarkEnd w:id="338"/>
    </w:p>
    <w:p>
      <w:pPr>
        <w:pStyle w:val="5"/>
        <w:rPr>
          <w:rFonts w:cs="Times New Roman"/>
        </w:rPr>
      </w:pPr>
      <w:r>
        <w:rPr>
          <w:rFonts w:cs="Times New Roman"/>
        </w:rPr>
        <w:t xml:space="preserve"> </w:t>
      </w:r>
      <w:bookmarkStart w:id="339" w:name="_Toc96680765"/>
      <w:r>
        <w:rPr>
          <w:rFonts w:cs="Times New Roman"/>
        </w:rPr>
        <w:t>施工期大气</w:t>
      </w:r>
      <w:r>
        <w:rPr>
          <w:rFonts w:hint="eastAsia" w:cs="Times New Roman"/>
        </w:rPr>
        <w:t>环境影响</w:t>
      </w:r>
      <w:r>
        <w:rPr>
          <w:rFonts w:cs="Times New Roman"/>
        </w:rPr>
        <w:t>减缓措施</w:t>
      </w:r>
      <w:bookmarkEnd w:id="339"/>
    </w:p>
    <w:p>
      <w:pPr>
        <w:ind w:firstLine="482"/>
        <w:rPr>
          <w:rFonts w:cs="Times New Roman"/>
          <w:b/>
        </w:rPr>
      </w:pPr>
      <w:r>
        <w:rPr>
          <w:rFonts w:hint="eastAsia" w:cs="Times New Roman"/>
          <w:b/>
        </w:rPr>
        <w:t>（1）</w:t>
      </w:r>
      <w:r>
        <w:rPr>
          <w:rFonts w:cs="Times New Roman"/>
          <w:b/>
        </w:rPr>
        <w:t>扬尘</w:t>
      </w:r>
    </w:p>
    <w:p>
      <w:pPr>
        <w:ind w:firstLine="480"/>
        <w:rPr>
          <w:rFonts w:cs="Times New Roman"/>
          <w:szCs w:val="24"/>
        </w:rPr>
      </w:pPr>
      <w:r>
        <w:rPr>
          <w:rFonts w:ascii="宋体" w:hAnsi="宋体"/>
        </w:rPr>
        <w:t>扬尘污染主要发生在施工期管沟和基坑开挖、基础处理、材料运输，土方回填，施工场地与便道开辟等环节中。</w:t>
      </w:r>
    </w:p>
    <w:p>
      <w:pPr>
        <w:ind w:firstLine="480"/>
      </w:pPr>
      <w:r>
        <w:rPr>
          <w:rFonts w:ascii="宋体" w:hAnsi="宋体"/>
        </w:rPr>
        <w:t>施工扬尘粒径较大，飘移距离短，影响范围有限。建设过程中，通过在施工现场采取设置围栏、洒水抑尘等防尘措施，可有效防止扬尘污染的发生。</w:t>
      </w:r>
    </w:p>
    <w:p>
      <w:pPr>
        <w:ind w:firstLine="480"/>
      </w:pPr>
      <w:r>
        <w:rPr>
          <w:rFonts w:ascii="宋体" w:hAnsi="宋体"/>
        </w:rPr>
        <w:t>运输过程中，道路下风向</w:t>
      </w:r>
      <w:r>
        <w:t>TSP</w:t>
      </w:r>
      <w:r>
        <w:rPr>
          <w:rFonts w:ascii="宋体" w:hAnsi="宋体"/>
        </w:rPr>
        <w:t>轴线净增浓度影响范围主要集中在道路两侧各</w:t>
      </w:r>
      <w:r>
        <w:t>50m</w:t>
      </w:r>
      <w:r>
        <w:rPr>
          <w:rFonts w:ascii="宋体" w:hAnsi="宋体"/>
        </w:rPr>
        <w:t>范围内。为减缓运输过程中扬尘对沿线环境的影响，环评提出以下措施：</w:t>
      </w:r>
    </w:p>
    <w:p>
      <w:pPr>
        <w:ind w:firstLine="480"/>
        <w:rPr>
          <w:rFonts w:cs="Times New Roman"/>
          <w:sz w:val="21"/>
        </w:rPr>
      </w:pPr>
      <w:r>
        <w:rPr>
          <w:rFonts w:hint="eastAsia" w:ascii="宋体" w:hAnsi="宋体"/>
          <w:szCs w:val="24"/>
        </w:rPr>
        <w:t>①在施工过程中，对于居民点等敏感地点附近的作业场地将采取</w:t>
      </w:r>
      <w:r>
        <w:rPr>
          <w:rFonts w:hint="eastAsia" w:ascii="宋体" w:hAnsi="宋体"/>
          <w:bCs/>
          <w:szCs w:val="24"/>
        </w:rPr>
        <w:t>围挡、围护</w:t>
      </w:r>
      <w:r>
        <w:rPr>
          <w:rFonts w:hint="eastAsia" w:ascii="宋体" w:hAnsi="宋体"/>
          <w:szCs w:val="24"/>
        </w:rPr>
        <w:t>以减少扬尘扩散，围挡、围护对减少扬尘对环境的污染有明显作用，当风速为</w:t>
      </w:r>
      <w:r>
        <w:rPr>
          <w:szCs w:val="24"/>
        </w:rPr>
        <w:t>2.5 m/s</w:t>
      </w:r>
      <w:r>
        <w:rPr>
          <w:rFonts w:hint="eastAsia" w:ascii="宋体" w:hAnsi="宋体"/>
          <w:szCs w:val="24"/>
        </w:rPr>
        <w:t>时可使影响距离缩短</w:t>
      </w:r>
      <w:r>
        <w:rPr>
          <w:szCs w:val="24"/>
        </w:rPr>
        <w:t>40%</w:t>
      </w:r>
      <w:r>
        <w:rPr>
          <w:rFonts w:hint="eastAsia" w:ascii="宋体" w:hAnsi="宋体"/>
          <w:szCs w:val="24"/>
        </w:rPr>
        <w:t>。在居民点施工现场周围，连续设置不低于</w:t>
      </w:r>
      <w:r>
        <w:rPr>
          <w:szCs w:val="24"/>
        </w:rPr>
        <w:t>1.5m</w:t>
      </w:r>
      <w:r>
        <w:rPr>
          <w:rFonts w:hint="eastAsia" w:ascii="宋体" w:hAnsi="宋体"/>
          <w:szCs w:val="24"/>
        </w:rPr>
        <w:t>高的围挡，并做到坚固美观。若遇风速四级以上天气，暂停土方开挖的施工作业。</w:t>
      </w:r>
    </w:p>
    <w:p>
      <w:pPr>
        <w:ind w:firstLine="480"/>
        <w:rPr>
          <w:szCs w:val="24"/>
        </w:rPr>
      </w:pPr>
      <w:r>
        <w:rPr>
          <w:rFonts w:hint="eastAsia" w:ascii="宋体" w:hAnsi="宋体"/>
          <w:szCs w:val="24"/>
        </w:rPr>
        <w:t>②针对施工任务和施工场地环境状况，</w:t>
      </w:r>
      <w:r>
        <w:rPr>
          <w:rFonts w:hint="eastAsia" w:ascii="宋体" w:hAnsi="宋体"/>
          <w:bCs/>
          <w:szCs w:val="24"/>
        </w:rPr>
        <w:t>制定合理的施工计划</w:t>
      </w:r>
      <w:r>
        <w:rPr>
          <w:rFonts w:hint="eastAsia" w:ascii="宋体" w:hAnsi="宋体"/>
          <w:szCs w:val="24"/>
        </w:rPr>
        <w:t>，采取集中力量逐段施工方法，缩短施工周期，减少施工现场的工作面，减轻施工扬尘对环境的影响。</w:t>
      </w:r>
    </w:p>
    <w:p>
      <w:pPr>
        <w:ind w:firstLine="480"/>
        <w:rPr>
          <w:rFonts w:ascii="Calibri" w:hAnsi="Calibri"/>
          <w:sz w:val="21"/>
        </w:rPr>
      </w:pPr>
      <w:r>
        <w:rPr>
          <w:rFonts w:hint="eastAsia" w:ascii="宋体" w:hAnsi="宋体"/>
          <w:szCs w:val="24"/>
        </w:rPr>
        <w:t>③在施工场地设置专人负责弃土、建筑垃圾、建筑材料的处置、清运和堆放，堆放场地加盖蓬布或洒水，防止二次扬尘。</w:t>
      </w:r>
    </w:p>
    <w:p>
      <w:pPr>
        <w:widowControl/>
        <w:ind w:firstLine="480"/>
        <w:jc w:val="left"/>
        <w:rPr>
          <w:szCs w:val="24"/>
        </w:rPr>
      </w:pP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 4 \* GB3</w:instrText>
      </w:r>
      <w:r>
        <w:rPr>
          <w:rFonts w:ascii="宋体" w:hAnsi="宋体"/>
          <w:szCs w:val="24"/>
        </w:rPr>
        <w:instrText xml:space="preserve"> </w:instrText>
      </w:r>
      <w:r>
        <w:rPr>
          <w:rFonts w:ascii="宋体" w:hAnsi="宋体"/>
          <w:szCs w:val="24"/>
        </w:rPr>
        <w:fldChar w:fldCharType="separate"/>
      </w:r>
      <w:r>
        <w:rPr>
          <w:rFonts w:hint="eastAsia" w:ascii="宋体" w:hAnsi="宋体"/>
          <w:szCs w:val="24"/>
        </w:rPr>
        <w:t>④</w:t>
      </w:r>
      <w:r>
        <w:rPr>
          <w:rFonts w:ascii="宋体" w:hAnsi="宋体"/>
          <w:szCs w:val="24"/>
        </w:rPr>
        <w:fldChar w:fldCharType="end"/>
      </w:r>
      <w:r>
        <w:rPr>
          <w:rFonts w:hint="eastAsia" w:ascii="宋体" w:hAnsi="宋体"/>
          <w:szCs w:val="24"/>
        </w:rPr>
        <w:t>对建筑垃圾及弃土应及时处理、清运、以减少占地，防止扬尘污染，改善施工场地的环境。</w:t>
      </w:r>
      <w:r>
        <w:rPr>
          <w:rFonts w:hint="eastAsia"/>
          <w:szCs w:val="24"/>
        </w:rPr>
        <w:t xml:space="preserve"> </w:t>
      </w:r>
    </w:p>
    <w:p>
      <w:pPr>
        <w:ind w:firstLine="480"/>
        <w:rPr>
          <w:szCs w:val="24"/>
        </w:rPr>
      </w:pP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 5 \* GB3</w:instrText>
      </w:r>
      <w:r>
        <w:rPr>
          <w:rFonts w:ascii="宋体" w:hAnsi="宋体"/>
          <w:szCs w:val="24"/>
        </w:rPr>
        <w:instrText xml:space="preserve"> </w:instrText>
      </w:r>
      <w:r>
        <w:rPr>
          <w:rFonts w:ascii="宋体" w:hAnsi="宋体"/>
          <w:szCs w:val="24"/>
        </w:rPr>
        <w:fldChar w:fldCharType="separate"/>
      </w:r>
      <w:r>
        <w:rPr>
          <w:rFonts w:hint="eastAsia" w:ascii="宋体" w:hAnsi="宋体"/>
          <w:szCs w:val="24"/>
        </w:rPr>
        <w:t>⑤</w:t>
      </w:r>
      <w:r>
        <w:rPr>
          <w:rFonts w:ascii="宋体" w:hAnsi="宋体"/>
          <w:szCs w:val="24"/>
        </w:rPr>
        <w:fldChar w:fldCharType="end"/>
      </w:r>
      <w:r>
        <w:rPr>
          <w:rFonts w:hint="eastAsia" w:ascii="宋体" w:hAnsi="宋体"/>
          <w:szCs w:val="24"/>
        </w:rPr>
        <w:t>施工中挖方和填方应采用</w:t>
      </w:r>
      <w:r>
        <w:rPr>
          <w:rFonts w:hint="eastAsia" w:ascii="宋体" w:hAnsi="宋体"/>
          <w:bCs/>
          <w:szCs w:val="24"/>
        </w:rPr>
        <w:t>湿法作业抑制扬尘</w:t>
      </w:r>
      <w:r>
        <w:rPr>
          <w:rFonts w:hint="eastAsia" w:ascii="宋体" w:hAnsi="宋体"/>
          <w:szCs w:val="24"/>
        </w:rPr>
        <w:t>，开挖土方应集中堆放，缩小粉尘影响范围，及时回填，减少粉尘影响时间；并配备洒水车一辆。非降水天气对施工场地和运输车辆行驶路面定期洒水，防止扬尘产生，一般每天洒水</w:t>
      </w:r>
      <w:r>
        <w:rPr>
          <w:szCs w:val="24"/>
        </w:rPr>
        <w:t>1~2</w:t>
      </w:r>
      <w:r>
        <w:rPr>
          <w:rFonts w:hint="eastAsia" w:ascii="宋体" w:hAnsi="宋体"/>
          <w:szCs w:val="24"/>
        </w:rPr>
        <w:t>次，如在大风日则加大洒水量及洒水次数；组员定人分工明确，打扫定两人，洒水定两人，清扫尘土、打扫人员全天上班，水车洒水应根据现场的实际情况适时洒水。</w:t>
      </w:r>
    </w:p>
    <w:p>
      <w:pPr>
        <w:ind w:firstLine="480"/>
        <w:rPr>
          <w:rFonts w:ascii="Calibri" w:hAnsi="Calibri"/>
          <w:sz w:val="21"/>
        </w:rPr>
      </w:pP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 6 \* GB3</w:instrText>
      </w:r>
      <w:r>
        <w:rPr>
          <w:rFonts w:ascii="宋体" w:hAnsi="宋体"/>
          <w:szCs w:val="24"/>
        </w:rPr>
        <w:instrText xml:space="preserve"> </w:instrText>
      </w:r>
      <w:r>
        <w:rPr>
          <w:rFonts w:ascii="宋体" w:hAnsi="宋体"/>
          <w:szCs w:val="24"/>
        </w:rPr>
        <w:fldChar w:fldCharType="separate"/>
      </w:r>
      <w:r>
        <w:rPr>
          <w:rFonts w:hint="eastAsia" w:ascii="宋体" w:hAnsi="宋体"/>
          <w:szCs w:val="24"/>
        </w:rPr>
        <w:t>⑥</w:t>
      </w:r>
      <w:r>
        <w:rPr>
          <w:rFonts w:ascii="宋体" w:hAnsi="宋体"/>
          <w:szCs w:val="24"/>
        </w:rPr>
        <w:fldChar w:fldCharType="end"/>
      </w:r>
      <w:r>
        <w:rPr>
          <w:rFonts w:hint="eastAsia" w:ascii="宋体" w:hAnsi="宋体"/>
          <w:szCs w:val="24"/>
        </w:rPr>
        <w:t>施工作业应尽量</w:t>
      </w:r>
      <w:r>
        <w:rPr>
          <w:rFonts w:hint="eastAsia" w:ascii="宋体" w:hAnsi="宋体"/>
          <w:bCs/>
          <w:szCs w:val="24"/>
        </w:rPr>
        <w:t>避开大风天气</w:t>
      </w:r>
      <w:r>
        <w:rPr>
          <w:rFonts w:hint="eastAsia" w:ascii="宋体" w:hAnsi="宋体"/>
          <w:szCs w:val="24"/>
        </w:rPr>
        <w:t>，遇四级以上大风天气，应当停止易产生扬尘污染的施工作业。</w:t>
      </w:r>
    </w:p>
    <w:p>
      <w:pPr>
        <w:ind w:firstLine="480"/>
      </w:pP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 7 \* GB3</w:instrText>
      </w:r>
      <w:r>
        <w:rPr>
          <w:rFonts w:ascii="宋体" w:hAnsi="宋体"/>
          <w:szCs w:val="24"/>
        </w:rPr>
        <w:instrText xml:space="preserve"> </w:instrText>
      </w:r>
      <w:r>
        <w:rPr>
          <w:rFonts w:ascii="宋体" w:hAnsi="宋体"/>
          <w:szCs w:val="24"/>
        </w:rPr>
        <w:fldChar w:fldCharType="separate"/>
      </w:r>
      <w:r>
        <w:rPr>
          <w:rFonts w:hint="eastAsia" w:ascii="宋体" w:hAnsi="宋体"/>
          <w:szCs w:val="24"/>
        </w:rPr>
        <w:t>⑦</w:t>
      </w:r>
      <w:r>
        <w:rPr>
          <w:rFonts w:ascii="宋体" w:hAnsi="宋体"/>
          <w:szCs w:val="24"/>
        </w:rPr>
        <w:fldChar w:fldCharType="end"/>
      </w:r>
      <w:r>
        <w:rPr>
          <w:rFonts w:hint="eastAsia" w:ascii="宋体" w:hAnsi="宋体"/>
          <w:bCs/>
          <w:szCs w:val="24"/>
        </w:rPr>
        <w:t>加强运输车辆的管理，合理安排施工车辆行驶路线</w:t>
      </w:r>
      <w:r>
        <w:rPr>
          <w:rFonts w:hint="eastAsia" w:ascii="宋体" w:hAnsi="宋体"/>
          <w:szCs w:val="24"/>
        </w:rPr>
        <w:t>，尽量避开居民集中区，路经居民区集中区域应尽量减缓行驶车速；施工区干道车辆实行限速行驶，车速不得大于</w:t>
      </w:r>
      <w:r>
        <w:rPr>
          <w:szCs w:val="24"/>
        </w:rPr>
        <w:t>40km/h</w:t>
      </w:r>
      <w:r>
        <w:rPr>
          <w:rFonts w:hint="eastAsia" w:ascii="宋体" w:hAnsi="宋体"/>
          <w:szCs w:val="24"/>
        </w:rPr>
        <w:t>，土方、砂石、水泥等在运输过程中应加盖封闭并适量装车，严禁超载运输，以防运输过程中撤落引起二次扬尘。运输车辆在离开施工区时应检查装车质量，防止扬尘污染；加强工程车辆的通行管理，运输土方车辆应加强装车控制，土方装车高度不得超过车厢，土方运送必须采取全覆盖的密封措施，必须装载规范，保持密闭运输和车容整洁，不得沿途飞扬、撒漏和带泥上路。严禁运输过程中掉土，如有掉土情况，清扫人员应及时清理打扫，适时洒水，控制扬尘。</w:t>
      </w:r>
    </w:p>
    <w:p>
      <w:pPr>
        <w:ind w:firstLine="480"/>
      </w:pP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 8 \* GB3</w:instrText>
      </w:r>
      <w:r>
        <w:rPr>
          <w:rFonts w:ascii="宋体" w:hAnsi="宋体"/>
          <w:szCs w:val="24"/>
        </w:rPr>
        <w:instrText xml:space="preserve"> </w:instrText>
      </w:r>
      <w:r>
        <w:rPr>
          <w:rFonts w:ascii="宋体" w:hAnsi="宋体"/>
          <w:szCs w:val="24"/>
        </w:rPr>
        <w:fldChar w:fldCharType="separate"/>
      </w:r>
      <w:r>
        <w:rPr>
          <w:rFonts w:hint="eastAsia" w:ascii="宋体" w:hAnsi="宋体"/>
          <w:szCs w:val="24"/>
        </w:rPr>
        <w:t>⑧</w:t>
      </w:r>
      <w:r>
        <w:rPr>
          <w:rFonts w:ascii="宋体" w:hAnsi="宋体"/>
          <w:szCs w:val="24"/>
        </w:rPr>
        <w:fldChar w:fldCharType="end"/>
      </w:r>
      <w:r>
        <w:rPr>
          <w:rFonts w:hint="eastAsia" w:ascii="宋体" w:hAnsi="宋体"/>
          <w:szCs w:val="24"/>
        </w:rPr>
        <w:t>竣工后要及时清理场地；在施工场地清理阶段，做到先洒水，后清扫，防止扬尘产生。</w:t>
      </w:r>
    </w:p>
    <w:p>
      <w:pPr>
        <w:ind w:firstLine="480"/>
      </w:pPr>
      <w:r>
        <w:rPr>
          <w:rFonts w:ascii="宋体" w:hAnsi="宋体"/>
        </w:rPr>
        <w:t>通过采取以上措施，施工扬尘对区域环境空气质量影响较小。随着施工期的结束，影响将会消失，污染防治措施可行。</w:t>
      </w:r>
    </w:p>
    <w:p>
      <w:pPr>
        <w:ind w:firstLine="482"/>
        <w:rPr>
          <w:rFonts w:cs="Times New Roman"/>
          <w:b/>
        </w:rPr>
      </w:pPr>
      <w:r>
        <w:rPr>
          <w:rFonts w:hint="eastAsia" w:cs="Times New Roman"/>
          <w:b/>
        </w:rPr>
        <w:t>（2）</w:t>
      </w:r>
      <w:r>
        <w:rPr>
          <w:rFonts w:cs="Times New Roman"/>
          <w:b/>
        </w:rPr>
        <w:t>机械废气</w:t>
      </w:r>
    </w:p>
    <w:p>
      <w:pPr>
        <w:ind w:firstLine="480"/>
        <w:rPr>
          <w:rFonts w:ascii="宋体" w:hAnsi="宋体"/>
        </w:rPr>
      </w:pPr>
      <w:r>
        <w:rPr>
          <w:rFonts w:ascii="宋体" w:hAnsi="宋体"/>
        </w:rPr>
        <w:t>施工期运输建筑材料及机械设备的车辆较多，且多为大型载重车辆，由于荷载重，尾气排放量较大，将增加施工区域和运输道路沿线的空气污染物排放。运输车辆尾气的影响主要在道路沿线两侧</w:t>
      </w:r>
      <w:r>
        <w:t>50m</w:t>
      </w:r>
      <w:r>
        <w:rPr>
          <w:rFonts w:ascii="宋体" w:hAnsi="宋体"/>
        </w:rPr>
        <w:t>范围内。</w:t>
      </w:r>
    </w:p>
    <w:p>
      <w:pPr>
        <w:ind w:firstLine="480"/>
        <w:rPr>
          <w:rFonts w:ascii="宋体" w:hAnsi="宋体"/>
        </w:rPr>
      </w:pPr>
      <w:r>
        <w:rPr>
          <w:rFonts w:ascii="宋体" w:hAnsi="宋体"/>
        </w:rPr>
        <w:t>为减缓汽车尾气造成的环境空气污染，施工单位应</w:t>
      </w:r>
      <w:r>
        <w:rPr>
          <w:rFonts w:hint="eastAsia" w:ascii="宋体" w:hAnsi="宋体"/>
        </w:rPr>
        <w:t>采取</w:t>
      </w:r>
      <w:r>
        <w:rPr>
          <w:rFonts w:ascii="宋体" w:hAnsi="宋体"/>
        </w:rPr>
        <w:t>以下防治措施：</w:t>
      </w:r>
    </w:p>
    <w:p>
      <w:pPr>
        <w:ind w:firstLine="480"/>
      </w:pPr>
      <w:r>
        <w:rPr>
          <w:rFonts w:hint="eastAsia"/>
        </w:rPr>
        <w:t>①加强施工机械的保养维护，提高机械的正常使用率。</w:t>
      </w:r>
    </w:p>
    <w:p>
      <w:pPr>
        <w:ind w:firstLine="480"/>
      </w:pPr>
      <w:r>
        <w:rPr>
          <w:rFonts w:hint="eastAsia"/>
        </w:rPr>
        <w:t>②加强对机械、车辆的维修保养，禁止以柴油为燃料的施工机械超负荷工作，减少烟度和颗粒物排放。</w:t>
      </w:r>
    </w:p>
    <w:p>
      <w:pPr>
        <w:ind w:firstLine="480"/>
      </w:pPr>
      <w:r>
        <w:rPr>
          <w:rFonts w:hint="eastAsia"/>
        </w:rPr>
        <w:t>③动力机械多选择使用电动工具，严格控制内燃机械的使用，场内施工内燃机械（如铲车、挖掘机等）安置有效的空气滤清装置，并定期清理。</w:t>
      </w:r>
    </w:p>
    <w:p>
      <w:pPr>
        <w:pStyle w:val="214"/>
        <w:ind w:firstLine="480"/>
      </w:pPr>
      <w:r>
        <w:rPr>
          <w:rFonts w:hint="eastAsia"/>
        </w:rPr>
        <w:t>④禁止使用废气排放超标的车辆。</w:t>
      </w:r>
    </w:p>
    <w:p>
      <w:pPr>
        <w:ind w:firstLine="480"/>
        <w:rPr>
          <w:rFonts w:ascii="宋体" w:hAnsi="宋体"/>
        </w:rPr>
      </w:pPr>
      <w:r>
        <w:rPr>
          <w:rFonts w:ascii="宋体" w:hAnsi="宋体"/>
        </w:rPr>
        <w:t>因作业范围较分散且车辆尾气属流动污染源，因此对环境空气的影响很小。</w:t>
      </w:r>
    </w:p>
    <w:p>
      <w:pPr>
        <w:ind w:firstLine="361" w:firstLineChars="150"/>
        <w:rPr>
          <w:rFonts w:cs="Times New Roman"/>
          <w:b/>
        </w:rPr>
      </w:pPr>
      <w:r>
        <w:rPr>
          <w:rFonts w:hint="eastAsia" w:cs="Times New Roman"/>
          <w:b/>
        </w:rPr>
        <w:t>（3）焊接</w:t>
      </w:r>
      <w:r>
        <w:rPr>
          <w:rFonts w:cs="Times New Roman"/>
          <w:b/>
        </w:rPr>
        <w:t>烟尘</w:t>
      </w:r>
    </w:p>
    <w:p>
      <w:pPr>
        <w:pStyle w:val="214"/>
        <w:ind w:firstLine="480"/>
      </w:pPr>
      <w:r>
        <w:t>项目管道焊接采用半自动焊接，焊烟产生量较小，施工场地地势开阔，利于焊接烟气扩散，在施工过程中先布管后进行焊接，</w:t>
      </w:r>
      <w:r>
        <w:rPr>
          <w:rFonts w:hint="eastAsia"/>
        </w:rPr>
        <w:t>加强施工场地通风，加强对工人的劳动防护，为焊接工人配备防护口罩、面具、防护服等措施。</w:t>
      </w:r>
      <w:r>
        <w:t>焊接点位沿管线布设，在同一个焊接点排放污染物较少，不会对环境造成明显影响。</w:t>
      </w:r>
    </w:p>
    <w:p>
      <w:pPr>
        <w:pStyle w:val="47"/>
        <w:numPr>
          <w:ilvl w:val="0"/>
          <w:numId w:val="5"/>
        </w:numPr>
        <w:ind w:firstLineChars="0"/>
        <w:rPr>
          <w:rFonts w:cs="Times New Roman"/>
          <w:b/>
        </w:rPr>
      </w:pPr>
      <w:r>
        <w:rPr>
          <w:rFonts w:hint="eastAsia" w:cs="Times New Roman"/>
          <w:b/>
        </w:rPr>
        <w:t>放空</w:t>
      </w:r>
      <w:r>
        <w:rPr>
          <w:rFonts w:cs="Times New Roman"/>
          <w:b/>
        </w:rPr>
        <w:t>废气</w:t>
      </w:r>
    </w:p>
    <w:p>
      <w:pPr>
        <w:ind w:firstLine="480"/>
      </w:pPr>
      <w:r>
        <w:rPr>
          <w:rFonts w:hint="eastAsia"/>
        </w:rPr>
        <w:t>新老管线连接前</w:t>
      </w:r>
      <w:r>
        <w:t>需</w:t>
      </w:r>
      <w:r>
        <w:rPr>
          <w:rFonts w:hint="eastAsia"/>
        </w:rPr>
        <w:t>对老管线进行清管放空作业，产生少量放空</w:t>
      </w:r>
      <w:r>
        <w:t>废气</w:t>
      </w:r>
      <w:r>
        <w:rPr>
          <w:rFonts w:hint="eastAsia"/>
        </w:rPr>
        <w:t>。管道内残留</w:t>
      </w:r>
      <w:r>
        <w:t>的天然气</w:t>
      </w:r>
      <w:r>
        <w:rPr>
          <w:rFonts w:cs="Times New Roman"/>
        </w:rPr>
        <w:t>依托</w:t>
      </w:r>
      <w:r>
        <w:rPr>
          <w:rFonts w:hint="eastAsia" w:cs="Times New Roman"/>
        </w:rPr>
        <w:t>草池增压站设置的放空管进行点火燃烧，</w:t>
      </w:r>
      <w:r>
        <w:rPr>
          <w:rFonts w:cs="Times New Roman"/>
        </w:rPr>
        <w:t>放</w:t>
      </w:r>
      <w:r>
        <w:rPr>
          <w:rFonts w:hint="eastAsia" w:cs="Times New Roman"/>
        </w:rPr>
        <w:t>空</w:t>
      </w:r>
      <w:r>
        <w:rPr>
          <w:rFonts w:cs="Times New Roman"/>
        </w:rPr>
        <w:t>管高度为15m，燃烧排放的废气中主要污染物为NO</w:t>
      </w:r>
      <w:r>
        <w:rPr>
          <w:rFonts w:hint="eastAsia" w:cs="Times New Roman"/>
          <w:vertAlign w:val="subscript"/>
        </w:rPr>
        <w:t>x</w:t>
      </w:r>
      <w:r>
        <w:rPr>
          <w:rFonts w:cs="Times New Roman"/>
        </w:rPr>
        <w:t>、烟尘</w:t>
      </w:r>
      <w:r>
        <w:rPr>
          <w:rFonts w:hint="eastAsia" w:cs="Times New Roman"/>
        </w:rPr>
        <w:t>，产生</w:t>
      </w:r>
      <w:r>
        <w:rPr>
          <w:rFonts w:cs="Times New Roman"/>
        </w:rPr>
        <w:t>量较少，对环境空气质量影响较小。</w:t>
      </w:r>
    </w:p>
    <w:p>
      <w:pPr>
        <w:pStyle w:val="5"/>
        <w:rPr>
          <w:rFonts w:cs="Times New Roman"/>
        </w:rPr>
      </w:pPr>
      <w:r>
        <w:rPr>
          <w:rFonts w:cs="Times New Roman"/>
        </w:rPr>
        <w:t xml:space="preserve"> </w:t>
      </w:r>
      <w:bookmarkStart w:id="340" w:name="_Toc96680766"/>
      <w:r>
        <w:rPr>
          <w:rFonts w:hint="eastAsia" w:cs="Times New Roman"/>
        </w:rPr>
        <w:t>施工期地表水环境</w:t>
      </w:r>
      <w:r>
        <w:rPr>
          <w:rFonts w:cs="Times New Roman"/>
        </w:rPr>
        <w:t>影响减缓措施</w:t>
      </w:r>
      <w:bookmarkEnd w:id="340"/>
    </w:p>
    <w:p>
      <w:pPr>
        <w:ind w:firstLine="480"/>
        <w:rPr>
          <w:rFonts w:ascii="宋体" w:hAnsi="宋体"/>
        </w:rPr>
      </w:pPr>
      <w:r>
        <w:rPr>
          <w:rFonts w:ascii="宋体" w:hAnsi="宋体"/>
        </w:rPr>
        <w:t>本项目不设施工营地，其产生的生活</w:t>
      </w:r>
      <w:r>
        <w:rPr>
          <w:rFonts w:hint="eastAsia" w:ascii="宋体" w:hAnsi="宋体"/>
        </w:rPr>
        <w:t>污水</w:t>
      </w:r>
      <w:r>
        <w:rPr>
          <w:rFonts w:ascii="宋体" w:hAnsi="宋体"/>
        </w:rPr>
        <w:t>利用附近农户现有的设施</w:t>
      </w:r>
      <w:r>
        <w:rPr>
          <w:rFonts w:hint="eastAsia" w:ascii="宋体" w:hAnsi="宋体"/>
        </w:rPr>
        <w:t>收集，</w:t>
      </w:r>
      <w:r>
        <w:rPr>
          <w:rFonts w:ascii="宋体" w:hAnsi="宋体"/>
        </w:rPr>
        <w:t>不集中产生和排放</w:t>
      </w:r>
      <w:r>
        <w:rPr>
          <w:rFonts w:hint="eastAsia" w:ascii="宋体" w:hAnsi="宋体"/>
        </w:rPr>
        <w:t>；试压废水</w:t>
      </w:r>
      <w:r>
        <w:rPr>
          <w:rFonts w:ascii="宋体" w:hAnsi="宋体"/>
        </w:rPr>
        <w:t>经简易的沉淀池沉淀处理后，</w:t>
      </w:r>
      <w:r>
        <w:rPr>
          <w:rFonts w:hint="eastAsia" w:ascii="宋体" w:hAnsi="宋体"/>
        </w:rPr>
        <w:t>用于施工现场洒水抑尘，不外排；</w:t>
      </w:r>
      <w:r>
        <w:rPr>
          <w:rFonts w:ascii="宋体" w:hAnsi="宋体"/>
        </w:rPr>
        <w:t>施工废水经隔油沉淀处理后回用于洒水降尘和混凝土养护用水，不外排</w:t>
      </w:r>
      <w:r>
        <w:rPr>
          <w:rFonts w:hint="eastAsia" w:ascii="宋体" w:hAnsi="宋体"/>
        </w:rPr>
        <w:t>；因此对区域水环境的影响较小。</w:t>
      </w:r>
    </w:p>
    <w:p>
      <w:pPr>
        <w:pStyle w:val="5"/>
      </w:pPr>
      <w:r>
        <w:rPr>
          <w:rFonts w:hint="eastAsia"/>
        </w:rPr>
        <w:t xml:space="preserve"> </w:t>
      </w:r>
      <w:bookmarkStart w:id="341" w:name="_Toc96680767"/>
      <w:r>
        <w:rPr>
          <w:rFonts w:hint="eastAsia"/>
        </w:rPr>
        <w:t>施工期</w:t>
      </w:r>
      <w:r>
        <w:t>地下水</w:t>
      </w:r>
      <w:r>
        <w:rPr>
          <w:rFonts w:hint="eastAsia"/>
        </w:rPr>
        <w:t>污染</w:t>
      </w:r>
      <w:r>
        <w:t>防治</w:t>
      </w:r>
      <w:r>
        <w:rPr>
          <w:rFonts w:hint="eastAsia"/>
        </w:rPr>
        <w:t>措施</w:t>
      </w:r>
      <w:bookmarkEnd w:id="341"/>
    </w:p>
    <w:p>
      <w:pPr>
        <w:ind w:firstLine="480"/>
      </w:pPr>
      <w:r>
        <w:rPr>
          <w:rFonts w:ascii="宋体" w:hAnsi="宋体"/>
          <w:kern w:val="0"/>
        </w:rPr>
        <w:t>本工程管道在施工过程中的原辅料主要为砂石、水泥、黏土等，在施工过程中将采取防雨措施，故其不会在雨水的淋滤作用下不会产生有毒有害物质，项目管道建设对地下水的影响较小。项目施工过程中不设营地，均依托民居与招待所，生活污水、生活垃圾利用现有设施进行处理处置，对地下水的影响很小。</w:t>
      </w:r>
    </w:p>
    <w:p>
      <w:pPr>
        <w:pStyle w:val="5"/>
        <w:rPr>
          <w:rFonts w:cs="Times New Roman"/>
        </w:rPr>
      </w:pPr>
      <w:r>
        <w:rPr>
          <w:rFonts w:hint="eastAsia" w:cs="Times New Roman"/>
        </w:rPr>
        <w:t xml:space="preserve"> </w:t>
      </w:r>
      <w:bookmarkStart w:id="342" w:name="_Toc96680768"/>
      <w:r>
        <w:rPr>
          <w:rFonts w:hint="eastAsia" w:cs="Times New Roman"/>
        </w:rPr>
        <w:t>施工期</w:t>
      </w:r>
      <w:r>
        <w:rPr>
          <w:rFonts w:cs="Times New Roman"/>
        </w:rPr>
        <w:t>噪声污染防治措施</w:t>
      </w:r>
      <w:bookmarkEnd w:id="342"/>
    </w:p>
    <w:p>
      <w:pPr>
        <w:ind w:firstLine="480"/>
        <w:rPr>
          <w:rFonts w:cs="Times New Roman"/>
          <w:szCs w:val="24"/>
        </w:rPr>
      </w:pPr>
      <w:r>
        <w:rPr>
          <w:rFonts w:hint="eastAsia" w:ascii="宋体" w:hAnsi="宋体"/>
        </w:rPr>
        <w:t>施工阶段的噪声主要为机械设备噪声和车辆噪声，本次评价建议施工过程采取如下噪声控制措施：</w:t>
      </w:r>
    </w:p>
    <w:p>
      <w:pPr>
        <w:ind w:firstLine="480"/>
      </w:pPr>
      <w:r>
        <w:rPr>
          <w:rFonts w:hint="eastAsia" w:ascii="宋体" w:hAnsi="宋体"/>
        </w:rPr>
        <w:t>（</w:t>
      </w:r>
      <w:r>
        <w:t>1</w:t>
      </w:r>
      <w:r>
        <w:rPr>
          <w:rFonts w:hint="eastAsia" w:ascii="宋体" w:hAnsi="宋体"/>
        </w:rPr>
        <w:t>）</w:t>
      </w:r>
      <w:r>
        <w:rPr>
          <w:rFonts w:hint="eastAsia" w:ascii="宋体" w:hAnsi="宋体"/>
          <w:szCs w:val="24"/>
        </w:rPr>
        <w:t>加大声源治理力度。选择低噪声施工机械，加强设备、车辆的日常维修保养，使施工机械保持良好运行状态，避免超过正常噪声运转。对于必须使用的高噪声设备，应采取加装消声器、隔声罩等措施，尽量降低其噪音的辐射强度。</w:t>
      </w:r>
    </w:p>
    <w:p>
      <w:pPr>
        <w:ind w:firstLine="480"/>
        <w:rPr>
          <w:rFonts w:ascii="宋体" w:hAnsi="宋体"/>
        </w:rPr>
      </w:pPr>
      <w:r>
        <w:rPr>
          <w:rFonts w:hint="eastAsia" w:ascii="宋体" w:hAnsi="宋体"/>
        </w:rPr>
        <w:t>（</w:t>
      </w:r>
      <w:r>
        <w:t>2</w:t>
      </w:r>
      <w:r>
        <w:rPr>
          <w:rFonts w:hint="eastAsia" w:ascii="宋体" w:hAnsi="宋体"/>
        </w:rPr>
        <w:t>）</w:t>
      </w:r>
      <w:r>
        <w:rPr>
          <w:rFonts w:hint="eastAsia" w:ascii="宋体" w:hAnsi="宋体"/>
          <w:szCs w:val="24"/>
        </w:rPr>
        <w:t>合理布局施工现场。避免在同一地点安排大量动力机械设备，以免局部声压级过高。</w:t>
      </w:r>
      <w:r>
        <w:rPr>
          <w:rFonts w:hint="eastAsia" w:ascii="宋体" w:hAnsi="宋体"/>
        </w:rPr>
        <w:t>施工机械尽量布置在远离居民一侧。</w:t>
      </w:r>
    </w:p>
    <w:p>
      <w:pPr>
        <w:ind w:firstLine="480"/>
        <w:rPr>
          <w:rFonts w:ascii="宋体" w:hAnsi="宋体"/>
        </w:rPr>
      </w:pPr>
      <w:r>
        <w:rPr>
          <w:rFonts w:hint="eastAsia" w:ascii="宋体" w:hAnsi="宋体"/>
        </w:rPr>
        <w:t>（</w:t>
      </w:r>
      <w:r>
        <w:t>3</w:t>
      </w:r>
      <w:r>
        <w:rPr>
          <w:rFonts w:hint="eastAsia" w:ascii="宋体" w:hAnsi="宋体"/>
        </w:rPr>
        <w:t>）</w:t>
      </w:r>
      <w:r>
        <w:rPr>
          <w:rFonts w:hint="eastAsia" w:ascii="宋体" w:hAnsi="宋体"/>
          <w:szCs w:val="24"/>
        </w:rPr>
        <w:t>合理安排施工时间。在制定施工计划时，尽可能避免大量高噪声设备同时施工，高噪声设备施工安排在日间，管线运输、吊装应安排在日间，夜间减少施工量或尽量不施工。</w:t>
      </w:r>
      <w:r>
        <w:rPr>
          <w:rFonts w:hint="eastAsia" w:ascii="宋体" w:hAnsi="宋体"/>
        </w:rPr>
        <w:t>对居民相对集中的地段避免中午（</w:t>
      </w:r>
      <w:r>
        <w:t>12</w:t>
      </w:r>
      <w:r>
        <w:rPr>
          <w:rFonts w:hint="eastAsia" w:ascii="宋体" w:hAnsi="宋体"/>
        </w:rPr>
        <w:t>：</w:t>
      </w:r>
      <w:r>
        <w:t>00</w:t>
      </w:r>
      <w:r>
        <w:rPr>
          <w:rFonts w:hint="eastAsia" w:ascii="宋体" w:hAnsi="宋体"/>
        </w:rPr>
        <w:t>～</w:t>
      </w:r>
      <w:r>
        <w:t>14</w:t>
      </w:r>
      <w:r>
        <w:rPr>
          <w:rFonts w:hint="eastAsia" w:ascii="宋体" w:hAnsi="宋体"/>
        </w:rPr>
        <w:t>：</w:t>
      </w:r>
      <w:r>
        <w:t>00</w:t>
      </w:r>
      <w:r>
        <w:rPr>
          <w:rFonts w:hint="eastAsia" w:ascii="宋体" w:hAnsi="宋体"/>
        </w:rPr>
        <w:t>）和夜间（</w:t>
      </w:r>
      <w:r>
        <w:t>23</w:t>
      </w:r>
      <w:r>
        <w:rPr>
          <w:rFonts w:hint="eastAsia" w:ascii="宋体" w:hAnsi="宋体"/>
        </w:rPr>
        <w:t>：</w:t>
      </w:r>
      <w:r>
        <w:t>00</w:t>
      </w:r>
      <w:r>
        <w:rPr>
          <w:rFonts w:hint="eastAsia" w:ascii="宋体" w:hAnsi="宋体"/>
        </w:rPr>
        <w:t>～</w:t>
      </w:r>
      <w:r>
        <w:t>7</w:t>
      </w:r>
      <w:r>
        <w:rPr>
          <w:rFonts w:hint="eastAsia" w:ascii="宋体" w:hAnsi="宋体"/>
        </w:rPr>
        <w:t>：</w:t>
      </w:r>
      <w:r>
        <w:t>00</w:t>
      </w:r>
      <w:r>
        <w:rPr>
          <w:rFonts w:hint="eastAsia" w:ascii="宋体" w:hAnsi="宋体"/>
        </w:rPr>
        <w:t>）施工，同时做好与受影响的居民的协调工作。</w:t>
      </w:r>
    </w:p>
    <w:p>
      <w:pPr>
        <w:ind w:firstLine="480"/>
        <w:rPr>
          <w:rFonts w:ascii="宋体" w:hAnsi="宋体"/>
        </w:rPr>
      </w:pPr>
      <w:r>
        <w:rPr>
          <w:rFonts w:hint="eastAsia" w:ascii="宋体" w:hAnsi="宋体"/>
        </w:rPr>
        <w:t>（</w:t>
      </w:r>
      <w:r>
        <w:t>4</w:t>
      </w:r>
      <w:r>
        <w:rPr>
          <w:rFonts w:hint="eastAsia" w:ascii="宋体" w:hAnsi="宋体"/>
        </w:rPr>
        <w:t xml:space="preserve">）在居民较多较集中的地段进行施工时，应考虑采用隔离围挡，尽量减小施工噪声对周围居民的影响，确保噪声不扰民。 </w:t>
      </w:r>
    </w:p>
    <w:p>
      <w:pPr>
        <w:ind w:firstLine="480"/>
      </w:pPr>
      <w:r>
        <w:rPr>
          <w:rFonts w:hint="eastAsia" w:ascii="宋体" w:hAnsi="宋体"/>
          <w:szCs w:val="24"/>
        </w:rPr>
        <w:t>（5）在施工前，应认真做好周围居民的协调和沟通工作，争取得到周边农户的理解和支持。</w:t>
      </w:r>
    </w:p>
    <w:p>
      <w:pPr>
        <w:ind w:firstLine="480"/>
        <w:rPr>
          <w:rFonts w:ascii="宋体" w:hAnsi="宋体"/>
        </w:rPr>
      </w:pPr>
      <w:r>
        <w:rPr>
          <w:rFonts w:hint="eastAsia" w:ascii="宋体" w:hAnsi="宋体"/>
        </w:rPr>
        <w:t>在采取以上措施后，工程施工期噪声对周围环境影响较小，可以满足施工场界噪声标准限值要求，随施工的结束，影响随之消失，噪声控制措施可行。</w:t>
      </w:r>
    </w:p>
    <w:p>
      <w:pPr>
        <w:pStyle w:val="5"/>
      </w:pPr>
      <w:r>
        <w:rPr>
          <w:rFonts w:hint="eastAsia"/>
        </w:rPr>
        <w:t xml:space="preserve"> </w:t>
      </w:r>
      <w:bookmarkStart w:id="343" w:name="_Toc96680769"/>
      <w:r>
        <w:rPr>
          <w:rFonts w:hint="eastAsia"/>
        </w:rPr>
        <w:t>施工期</w:t>
      </w:r>
      <w:r>
        <w:t>固体废</w:t>
      </w:r>
      <w:r>
        <w:rPr>
          <w:rFonts w:hint="eastAsia"/>
        </w:rPr>
        <w:t>物</w:t>
      </w:r>
      <w:r>
        <w:t>污染防治措施</w:t>
      </w:r>
      <w:bookmarkEnd w:id="343"/>
    </w:p>
    <w:p>
      <w:pPr>
        <w:pStyle w:val="214"/>
        <w:ind w:firstLine="480"/>
        <w:rPr>
          <w:kern w:val="2"/>
        </w:rPr>
      </w:pPr>
      <w:r>
        <w:t>施工期产生的固体废物主要是生活垃圾、施工废料以及清管试压废渣。施工人员生活垃圾拟采取定点收集，收集后定期交当地环卫部门处理的措施，规范生活垃圾的管理，避免其乱堆放，确保施工场地有良好的卫生条件，减小生活垃圾对环境的不良影响。施工废料部分由施工单位回收利用，不能利用的由施工队伍统一收集清运至周边合法建筑渣场处置。清管试压废渣统一收集清运至周边合法建筑渣场处置。</w:t>
      </w:r>
    </w:p>
    <w:p>
      <w:pPr>
        <w:pStyle w:val="214"/>
        <w:ind w:firstLine="480"/>
      </w:pPr>
      <w:r>
        <w:rPr>
          <w:rFonts w:hint="eastAsia"/>
        </w:rPr>
        <w:t>综上施工期固废都得到妥善处置，处置措施可行。</w:t>
      </w:r>
    </w:p>
    <w:p>
      <w:pPr>
        <w:pStyle w:val="5"/>
      </w:pPr>
      <w:r>
        <w:rPr>
          <w:rFonts w:hint="eastAsia"/>
        </w:rPr>
        <w:t xml:space="preserve"> </w:t>
      </w:r>
      <w:bookmarkStart w:id="344" w:name="_Toc96680770"/>
      <w:r>
        <w:rPr>
          <w:rFonts w:hint="eastAsia"/>
        </w:rPr>
        <w:t>施工期生态</w:t>
      </w:r>
      <w:r>
        <w:t>环境影响</w:t>
      </w:r>
      <w:r>
        <w:rPr>
          <w:rFonts w:hint="eastAsia"/>
        </w:rPr>
        <w:t>减缓措施</w:t>
      </w:r>
      <w:bookmarkEnd w:id="344"/>
    </w:p>
    <w:p>
      <w:pPr>
        <w:pStyle w:val="6"/>
        <w:rPr>
          <w:rFonts w:cstheme="minorBidi"/>
        </w:rPr>
      </w:pPr>
      <w:r>
        <w:rPr>
          <w:rFonts w:hint="eastAsia"/>
        </w:rPr>
        <w:t xml:space="preserve"> </w:t>
      </w:r>
      <w:r>
        <w:t>土地利用的保护及恢复措施</w:t>
      </w:r>
    </w:p>
    <w:p>
      <w:pPr>
        <w:ind w:firstLine="482"/>
        <w:rPr>
          <w:rFonts w:cs="Times New Roman"/>
          <w:szCs w:val="24"/>
        </w:rPr>
      </w:pPr>
      <w:r>
        <w:rPr>
          <w:rFonts w:hint="eastAsia" w:ascii="宋体" w:hAnsi="宋体"/>
          <w:b/>
          <w:bCs/>
          <w:kern w:val="0"/>
        </w:rPr>
        <w:t>（1）</w:t>
      </w:r>
      <w:r>
        <w:rPr>
          <w:rFonts w:ascii="宋体" w:hAnsi="宋体"/>
          <w:b/>
          <w:bCs/>
          <w:kern w:val="0"/>
        </w:rPr>
        <w:t>严格控制施工占用土地</w:t>
      </w:r>
    </w:p>
    <w:p>
      <w:pPr>
        <w:ind w:firstLine="480"/>
        <w:rPr>
          <w:rFonts w:cs="Times New Roman"/>
          <w:kern w:val="0"/>
          <w:szCs w:val="24"/>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1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①</w:t>
      </w:r>
      <w:r>
        <w:rPr>
          <w:rFonts w:ascii="宋体" w:hAnsi="宋体"/>
          <w:kern w:val="0"/>
        </w:rPr>
        <w:fldChar w:fldCharType="end"/>
      </w:r>
      <w:r>
        <w:rPr>
          <w:rFonts w:ascii="宋体" w:hAnsi="宋体"/>
          <w:kern w:val="0"/>
        </w:rPr>
        <w:t>按设计标准规定，严格控制施工作业带面积，不得超过作业标准规定，对管线敷设施工宽度控制在设计标准范围内，以减少土壤扰动和地表植被破坏，减少裸地和土方暴露面积。</w:t>
      </w:r>
    </w:p>
    <w:p>
      <w:pPr>
        <w:ind w:firstLine="480"/>
        <w:rPr>
          <w:rFonts w:cs="Times New Roman"/>
          <w:kern w:val="0"/>
          <w:szCs w:val="24"/>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2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②</w:t>
      </w:r>
      <w:r>
        <w:rPr>
          <w:rFonts w:ascii="宋体" w:hAnsi="宋体"/>
          <w:kern w:val="0"/>
        </w:rPr>
        <w:fldChar w:fldCharType="end"/>
      </w:r>
      <w:r>
        <w:rPr>
          <w:rFonts w:ascii="宋体" w:hAnsi="宋体"/>
          <w:kern w:val="0"/>
        </w:rPr>
        <w:t>对管线占地、施工便道等临时占地区，工程施工过程中，应严格按照设计进行施工和开挖，不得超计划占地。</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3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③</w:t>
      </w:r>
      <w:r>
        <w:rPr>
          <w:rFonts w:ascii="宋体" w:hAnsi="宋体"/>
          <w:kern w:val="0"/>
        </w:rPr>
        <w:fldChar w:fldCharType="end"/>
      </w:r>
      <w:r>
        <w:rPr>
          <w:rFonts w:ascii="宋体" w:hAnsi="宋体"/>
          <w:kern w:val="0"/>
        </w:rPr>
        <w:t>管道沿线不单独设置集中的施工营场地，表土堆放在工程用地范围内。施工中严格按照水保方案，不得新增占地，禁止在施工作业带以外随意堆渣弃土。</w:t>
      </w:r>
    </w:p>
    <w:p>
      <w:pPr>
        <w:ind w:firstLine="480"/>
        <w:rPr>
          <w:rFonts w:cs="Times New Roman"/>
          <w:szCs w:val="24"/>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4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④</w:t>
      </w:r>
      <w:r>
        <w:rPr>
          <w:rFonts w:ascii="宋体" w:hAnsi="宋体"/>
          <w:kern w:val="0"/>
        </w:rPr>
        <w:fldChar w:fldCharType="end"/>
      </w:r>
      <w:r>
        <w:rPr>
          <w:rFonts w:ascii="宋体" w:hAnsi="宋体"/>
          <w:kern w:val="0"/>
        </w:rPr>
        <w:t>一切施工作业尽量利用原有公路，沿</w:t>
      </w:r>
      <w:r>
        <w:rPr>
          <w:rFonts w:hint="eastAsia" w:ascii="宋体" w:hAnsi="宋体"/>
          <w:kern w:val="0"/>
        </w:rPr>
        <w:t>已有</w:t>
      </w:r>
      <w:r>
        <w:rPr>
          <w:rFonts w:ascii="宋体" w:hAnsi="宋体"/>
          <w:kern w:val="0"/>
        </w:rPr>
        <w:t>车辙行驶，若无原有公路，则要执行先修道路，后设点作业的原则进行。</w:t>
      </w:r>
    </w:p>
    <w:p>
      <w:pPr>
        <w:ind w:firstLine="480"/>
        <w:rPr>
          <w:rFonts w:cs="Times New Roman"/>
          <w:szCs w:val="24"/>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5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⑤</w:t>
      </w:r>
      <w:r>
        <w:rPr>
          <w:rFonts w:ascii="宋体" w:hAnsi="宋体"/>
          <w:kern w:val="0"/>
        </w:rPr>
        <w:fldChar w:fldCharType="end"/>
      </w:r>
      <w:r>
        <w:rPr>
          <w:rFonts w:ascii="宋体" w:hAnsi="宋体"/>
          <w:kern w:val="0"/>
        </w:rPr>
        <w:t>现场施工作业机械应严格管理，划定活动范围，不得在道路站场以外的地方行驶和作业，保持路外植被不被破坏。</w:t>
      </w:r>
    </w:p>
    <w:p>
      <w:pPr>
        <w:ind w:firstLine="482"/>
        <w:rPr>
          <w:rFonts w:cs="Times New Roman"/>
          <w:szCs w:val="24"/>
        </w:rPr>
      </w:pPr>
      <w:r>
        <w:rPr>
          <w:rFonts w:hint="eastAsia" w:ascii="宋体" w:hAnsi="宋体"/>
          <w:b/>
          <w:bCs/>
          <w:kern w:val="0"/>
        </w:rPr>
        <w:t>（2）</w:t>
      </w:r>
      <w:r>
        <w:rPr>
          <w:rFonts w:ascii="宋体" w:hAnsi="宋体"/>
          <w:b/>
          <w:bCs/>
          <w:kern w:val="0"/>
        </w:rPr>
        <w:t>恢复土地利用原有格局</w:t>
      </w:r>
    </w:p>
    <w:p>
      <w:pPr>
        <w:ind w:firstLine="480"/>
        <w:rPr>
          <w:rFonts w:cs="Times New Roman"/>
          <w:kern w:val="0"/>
          <w:szCs w:val="24"/>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1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①</w:t>
      </w:r>
      <w:r>
        <w:rPr>
          <w:rFonts w:ascii="宋体" w:hAnsi="宋体"/>
          <w:kern w:val="0"/>
        </w:rPr>
        <w:fldChar w:fldCharType="end"/>
      </w:r>
      <w:r>
        <w:rPr>
          <w:rFonts w:ascii="宋体" w:hAnsi="宋体"/>
          <w:kern w:val="0"/>
        </w:rPr>
        <w:t>施工结束后，</w:t>
      </w:r>
      <w:r>
        <w:rPr>
          <w:rFonts w:hint="eastAsia" w:ascii="宋体" w:hAnsi="宋体"/>
          <w:kern w:val="0"/>
        </w:rPr>
        <w:t>临时用地</w:t>
      </w:r>
      <w:r>
        <w:rPr>
          <w:rFonts w:ascii="宋体" w:hAnsi="宋体"/>
          <w:kern w:val="0"/>
        </w:rPr>
        <w:t>应恢复地貌原状。施工时对管沟开挖的土壤做分层堆放，分层回填压实，以保护植被生长层，降低对土壤养分的影响，尽快使土壤恢复生产力，同时减少水土流失。</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2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②</w:t>
      </w:r>
      <w:r>
        <w:rPr>
          <w:rFonts w:ascii="宋体" w:hAnsi="宋体"/>
          <w:kern w:val="0"/>
        </w:rPr>
        <w:fldChar w:fldCharType="end"/>
      </w:r>
      <w:r>
        <w:rPr>
          <w:rFonts w:ascii="宋体" w:hAnsi="宋体"/>
          <w:kern w:val="0"/>
        </w:rPr>
        <w:t>对管沟回填后多余的土严禁大量集中弃置，应均匀分散在管线中心两侧，并使管沟与周围自然地表形成平滑过度，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集水环境存在。</w:t>
      </w:r>
    </w:p>
    <w:p>
      <w:pPr>
        <w:ind w:firstLine="480"/>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3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③</w:t>
      </w:r>
      <w:r>
        <w:rPr>
          <w:rFonts w:ascii="宋体" w:hAnsi="宋体"/>
          <w:kern w:val="0"/>
        </w:rPr>
        <w:fldChar w:fldCharType="end"/>
      </w:r>
      <w:r>
        <w:rPr>
          <w:rFonts w:ascii="宋体" w:hAnsi="宋体"/>
          <w:kern w:val="0"/>
        </w:rPr>
        <w:t>道路施工中挖填方尽量实现自身平衡。若要取土，则就近取两侧土为宜，若有弃土要堆放在天然洼地中，并</w:t>
      </w:r>
      <w:r>
        <w:rPr>
          <w:rFonts w:hint="eastAsia" w:ascii="宋体" w:hAnsi="宋体"/>
          <w:kern w:val="0"/>
        </w:rPr>
        <w:t>予以</w:t>
      </w:r>
      <w:r>
        <w:rPr>
          <w:rFonts w:ascii="宋体" w:hAnsi="宋体"/>
          <w:kern w:val="0"/>
        </w:rPr>
        <w:t>平整，避免形成小土丘。路基加固处理所需砂砾石尽量就近取材。对管线修筑过程中产生的弃土区及取土、取砂砾料区，都要平整，然后洒上一次水，再让其自然恢复。</w:t>
      </w:r>
    </w:p>
    <w:p>
      <w:pPr>
        <w:pStyle w:val="6"/>
      </w:pPr>
      <w:r>
        <w:rPr>
          <w:rFonts w:hint="eastAsia"/>
        </w:rPr>
        <w:t xml:space="preserve"> 农业</w:t>
      </w:r>
      <w:r>
        <w:t>生态保护措施</w:t>
      </w:r>
    </w:p>
    <w:p>
      <w:pPr>
        <w:ind w:firstLine="482"/>
        <w:rPr>
          <w:rFonts w:cs="Times New Roman"/>
          <w:b/>
          <w:szCs w:val="24"/>
        </w:rPr>
      </w:pPr>
      <w:r>
        <w:rPr>
          <w:rFonts w:hint="eastAsia" w:ascii="宋体" w:hAnsi="宋体"/>
          <w:b/>
        </w:rPr>
        <w:t>（1）农田生态保护措施</w:t>
      </w:r>
    </w:p>
    <w:p>
      <w:pPr>
        <w:ind w:firstLine="480"/>
        <w:rPr>
          <w:rFonts w:cs="Times New Roman"/>
          <w:kern w:val="0"/>
          <w:szCs w:val="24"/>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1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①</w:t>
      </w:r>
      <w:r>
        <w:rPr>
          <w:rFonts w:ascii="宋体" w:hAnsi="宋体"/>
          <w:kern w:val="0"/>
        </w:rPr>
        <w:fldChar w:fldCharType="end"/>
      </w:r>
      <w:r>
        <w:rPr>
          <w:rFonts w:ascii="宋体" w:hAnsi="宋体"/>
          <w:kern w:val="0"/>
        </w:rPr>
        <w:t>在工程的总体规划中必须考虑施工对农业生产的影响，将农业损失纳入到工程预算中，管道通过农业区时，尤其是占用园地、菜地、果林等经济农业区时应尽量缩小影响范围，减少损失，降低工程对农业生态环境的干扰和破坏。</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2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②</w:t>
      </w:r>
      <w:r>
        <w:rPr>
          <w:rFonts w:ascii="宋体" w:hAnsi="宋体"/>
          <w:kern w:val="0"/>
        </w:rPr>
        <w:fldChar w:fldCharType="end"/>
      </w:r>
      <w:r>
        <w:rPr>
          <w:rFonts w:ascii="宋体" w:hAnsi="宋体"/>
          <w:kern w:val="0"/>
        </w:rPr>
        <w:t>对于本项目所涉及的临时占地应按有关土地管理办法的要求，逐级上报有审批权的政府部门批准。</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3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③</w:t>
      </w:r>
      <w:r>
        <w:rPr>
          <w:rFonts w:ascii="宋体" w:hAnsi="宋体"/>
          <w:kern w:val="0"/>
        </w:rPr>
        <w:fldChar w:fldCharType="end"/>
      </w:r>
      <w:r>
        <w:rPr>
          <w:rFonts w:ascii="宋体" w:hAnsi="宋体"/>
          <w:kern w:val="0"/>
        </w:rPr>
        <w:t>临时占用的农田，使用后立即实施复垦措施；可与农民协商，由农民自行复垦。</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4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④</w:t>
      </w:r>
      <w:r>
        <w:rPr>
          <w:rFonts w:ascii="宋体" w:hAnsi="宋体"/>
          <w:kern w:val="0"/>
        </w:rPr>
        <w:fldChar w:fldCharType="end"/>
      </w:r>
      <w:r>
        <w:rPr>
          <w:rFonts w:ascii="宋体" w:hAnsi="宋体"/>
          <w:kern w:val="0"/>
        </w:rPr>
        <w:t>提高施工效率，缩短施工时间，以保持耕作层肥力，缩短农业生产季节的损失。因地制宜地选择施工季节，尽量避开农作物的生长和收获期，减少农业当季损失。</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5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⑤</w:t>
      </w:r>
      <w:r>
        <w:rPr>
          <w:rFonts w:ascii="宋体" w:hAnsi="宋体"/>
          <w:kern w:val="0"/>
        </w:rPr>
        <w:fldChar w:fldCharType="end"/>
      </w:r>
      <w:r>
        <w:rPr>
          <w:rFonts w:ascii="宋体" w:hAnsi="宋体"/>
          <w:kern w:val="0"/>
        </w:rPr>
        <w:t>管道施工中要采取保护土壤措施，对农业熟化土壤要分层开挖，分别堆放，分层</w:t>
      </w:r>
      <w:r>
        <w:rPr>
          <w:rFonts w:hint="eastAsia" w:ascii="宋体" w:hAnsi="宋体"/>
          <w:kern w:val="0"/>
        </w:rPr>
        <w:t>回填</w:t>
      </w:r>
      <w:r>
        <w:rPr>
          <w:rFonts w:ascii="宋体" w:hAnsi="宋体"/>
          <w:kern w:val="0"/>
        </w:rPr>
        <w:t>的方法，减少因施工生土上翻耕层养分损失农作物减产的后果，同时要避免间断覆土造成的土层不坚实形成的水土流失等问题。</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6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⑥</w:t>
      </w:r>
      <w:r>
        <w:rPr>
          <w:rFonts w:ascii="宋体" w:hAnsi="宋体"/>
          <w:kern w:val="0"/>
        </w:rPr>
        <w:fldChar w:fldCharType="end"/>
      </w:r>
      <w:r>
        <w:rPr>
          <w:rFonts w:ascii="宋体" w:hAnsi="宋体"/>
          <w:kern w:val="0"/>
        </w:rPr>
        <w:t>施工完成后做好现场清理及恢复工作，包括田埂、水渠妥善处治等，尽可能降低施工对农田生态系统带来的不利影响。</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7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⑦</w:t>
      </w:r>
      <w:r>
        <w:rPr>
          <w:rFonts w:ascii="宋体" w:hAnsi="宋体"/>
          <w:kern w:val="0"/>
        </w:rPr>
        <w:fldChar w:fldCharType="end"/>
      </w:r>
      <w:r>
        <w:rPr>
          <w:rFonts w:ascii="宋体" w:hAnsi="宋体"/>
          <w:kern w:val="0"/>
        </w:rPr>
        <w:t>由于施工设备基本属于重型、庞大类别，在施工时，应避免农田基础设施受碾压而失去正常使用功能。例如：灌渠、灌溉暗管（一般埋藏较浅）等水利设施的损坏，会导致灌溉区受益范围内农作物生长受影响。</w:t>
      </w:r>
    </w:p>
    <w:p>
      <w:pPr>
        <w:ind w:firstLine="480"/>
      </w:pPr>
      <w:r>
        <w:rPr>
          <w:rFonts w:ascii="宋体" w:hAnsi="宋体"/>
          <w:kern w:val="0"/>
        </w:rPr>
        <w:t>管道施工时，除了以上耕地恢复的措施外，在开挖地表土壤时，在地形地貌允许的地方，应尽可能的把表土层单独堆放，回填时，把表土覆盖在最上面的地表层，这样可以大大缩短土壤生产力恢复的时间，减少工程影响时间。</w:t>
      </w:r>
    </w:p>
    <w:p>
      <w:pPr>
        <w:pStyle w:val="214"/>
        <w:ind w:firstLine="482"/>
        <w:rPr>
          <w:rFonts w:cs="宋体"/>
          <w:b/>
        </w:rPr>
      </w:pPr>
      <w:r>
        <w:rPr>
          <w:rFonts w:hint="eastAsia"/>
          <w:b/>
        </w:rPr>
        <w:t>（2）基本农田保护措施</w:t>
      </w:r>
    </w:p>
    <w:p>
      <w:pPr>
        <w:ind w:firstLine="480"/>
        <w:rPr>
          <w:rFonts w:cs="Times New Roman"/>
          <w:kern w:val="0"/>
          <w:szCs w:val="24"/>
        </w:rPr>
      </w:pPr>
      <w:r>
        <w:rPr>
          <w:rFonts w:hint="eastAsia" w:ascii="宋体" w:hAnsi="宋体"/>
          <w:kern w:val="0"/>
        </w:rPr>
        <w:t>本项目占地仅少量永久占地（三桩），主要为临时占地，项目临时占地主要为占用基本农田。本工程拟定基本农田区域的作业宽度为</w:t>
      </w:r>
      <w:r>
        <w:rPr>
          <w:rFonts w:ascii="宋体" w:hAnsi="宋体"/>
          <w:kern w:val="0"/>
        </w:rPr>
        <w:t>12</w:t>
      </w:r>
      <w:r>
        <w:rPr>
          <w:rFonts w:hint="eastAsia" w:ascii="宋体" w:hAnsi="宋体"/>
          <w:kern w:val="0"/>
        </w:rPr>
        <w:t>m，沟底宽度控制在</w:t>
      </w:r>
      <w:r>
        <w:rPr>
          <w:rFonts w:hint="eastAsia"/>
          <w:kern w:val="0"/>
        </w:rPr>
        <w:t>1.2m</w:t>
      </w:r>
      <w:r>
        <w:rPr>
          <w:rFonts w:hint="eastAsia" w:ascii="宋体" w:hAnsi="宋体"/>
          <w:kern w:val="0"/>
        </w:rPr>
        <w:t>以内。</w:t>
      </w:r>
    </w:p>
    <w:p>
      <w:pPr>
        <w:pStyle w:val="47"/>
        <w:numPr>
          <w:ilvl w:val="0"/>
          <w:numId w:val="7"/>
        </w:numPr>
        <w:ind w:firstLineChars="0"/>
        <w:rPr>
          <w:b/>
          <w:kern w:val="0"/>
        </w:rPr>
      </w:pPr>
      <w:r>
        <w:rPr>
          <w:rFonts w:hint="eastAsia" w:ascii="宋体" w:hAnsi="宋体"/>
          <w:b/>
          <w:kern w:val="0"/>
        </w:rPr>
        <w:t>污染防治措施</w:t>
      </w:r>
    </w:p>
    <w:p>
      <w:pPr>
        <w:ind w:firstLine="480"/>
        <w:rPr>
          <w:kern w:val="0"/>
        </w:rPr>
      </w:pPr>
      <w:r>
        <w:rPr>
          <w:rFonts w:hint="eastAsia" w:ascii="宋体" w:hAnsi="宋体"/>
          <w:kern w:val="0"/>
        </w:rPr>
        <w:t>a</w:t>
      </w:r>
      <w:r>
        <w:rPr>
          <w:rFonts w:ascii="宋体" w:hAnsi="宋体"/>
          <w:kern w:val="0"/>
        </w:rPr>
        <w:t>.</w:t>
      </w:r>
      <w:r>
        <w:rPr>
          <w:rFonts w:hint="eastAsia" w:ascii="宋体" w:hAnsi="宋体"/>
          <w:kern w:val="0"/>
        </w:rPr>
        <w:t>施工营地租用施工现场附近民房作为临时施工营地；划定施工范围，尽可能缩小施工作业带范围，尽可能减少占用基本农田；施工便道尽量利用现有道路改造，减少临时占用基本农田。</w:t>
      </w:r>
    </w:p>
    <w:p>
      <w:pPr>
        <w:ind w:firstLine="480"/>
        <w:rPr>
          <w:kern w:val="0"/>
        </w:rPr>
      </w:pPr>
      <w:r>
        <w:rPr>
          <w:rFonts w:hint="eastAsia" w:ascii="宋体" w:hAnsi="宋体"/>
          <w:kern w:val="0"/>
        </w:rPr>
        <w:t>b</w:t>
      </w:r>
      <w:r>
        <w:rPr>
          <w:rFonts w:ascii="宋体" w:hAnsi="宋体"/>
          <w:kern w:val="0"/>
        </w:rPr>
        <w:t>.</w:t>
      </w:r>
      <w:r>
        <w:rPr>
          <w:rFonts w:hint="eastAsia" w:ascii="宋体" w:hAnsi="宋体"/>
          <w:kern w:val="0"/>
        </w:rPr>
        <w:t>施工单位要加强对施工过程中占用基本农田情况的监督，严格落实施工期的基本农田保护措施，在组织交工验收时，应对土地利用和恢复情况进行全面检查。</w:t>
      </w:r>
    </w:p>
    <w:p>
      <w:pPr>
        <w:ind w:firstLine="480"/>
        <w:rPr>
          <w:kern w:val="0"/>
        </w:rPr>
      </w:pPr>
      <w:r>
        <w:rPr>
          <w:rFonts w:hint="eastAsia" w:ascii="宋体" w:hAnsi="宋体"/>
          <w:kern w:val="0"/>
        </w:rPr>
        <w:t>c</w:t>
      </w:r>
      <w:r>
        <w:rPr>
          <w:rFonts w:ascii="宋体" w:hAnsi="宋体"/>
          <w:kern w:val="0"/>
        </w:rPr>
        <w:t>.</w:t>
      </w:r>
      <w:r>
        <w:rPr>
          <w:rFonts w:hint="eastAsia" w:ascii="宋体" w:hAnsi="宋体"/>
          <w:kern w:val="0"/>
        </w:rPr>
        <w:t>施工期要保护好农灌系统，避免施工对沿线农业灌溉系统的影响，合理安排施工时间，保证不违农时和不留工程隐患。</w:t>
      </w:r>
    </w:p>
    <w:p>
      <w:pPr>
        <w:ind w:firstLine="480"/>
        <w:rPr>
          <w:kern w:val="0"/>
        </w:rPr>
      </w:pPr>
      <w:r>
        <w:rPr>
          <w:rFonts w:hint="eastAsia" w:ascii="宋体" w:hAnsi="宋体"/>
          <w:kern w:val="0"/>
        </w:rPr>
        <w:t>d</w:t>
      </w:r>
      <w:r>
        <w:rPr>
          <w:rFonts w:ascii="宋体" w:hAnsi="宋体"/>
          <w:kern w:val="0"/>
        </w:rPr>
        <w:t>.</w:t>
      </w:r>
      <w:r>
        <w:rPr>
          <w:rFonts w:hint="eastAsia" w:ascii="宋体" w:hAnsi="宋体"/>
          <w:kern w:val="0"/>
        </w:rPr>
        <w:t>施工废水严禁直排进入永久基本农田，以免冲刷和污染基本农田。</w:t>
      </w:r>
    </w:p>
    <w:p>
      <w:pPr>
        <w:ind w:firstLine="480"/>
        <w:rPr>
          <w:kern w:val="0"/>
        </w:rPr>
      </w:pPr>
      <w:r>
        <w:rPr>
          <w:rFonts w:hint="eastAsia" w:ascii="宋体" w:hAnsi="宋体"/>
          <w:kern w:val="0"/>
        </w:rPr>
        <w:t>e</w:t>
      </w:r>
      <w:r>
        <w:rPr>
          <w:rFonts w:ascii="宋体" w:hAnsi="宋体"/>
          <w:kern w:val="0"/>
        </w:rPr>
        <w:t>.</w:t>
      </w:r>
      <w:r>
        <w:rPr>
          <w:rFonts w:hint="eastAsia" w:ascii="宋体" w:hAnsi="宋体"/>
          <w:kern w:val="0"/>
        </w:rPr>
        <w:t>严禁在基本农田保护区随意丢弃、处置施工固体废弃物，避免对基本农田区造成二次污染。</w:t>
      </w:r>
    </w:p>
    <w:p>
      <w:pPr>
        <w:ind w:firstLine="482"/>
        <w:rPr>
          <w:rFonts w:ascii="宋体" w:hAnsi="宋体"/>
          <w:b/>
          <w:kern w:val="0"/>
        </w:rPr>
      </w:pPr>
      <w:r>
        <w:rPr>
          <w:rFonts w:ascii="宋体" w:hAnsi="宋体"/>
          <w:b/>
          <w:kern w:val="0"/>
        </w:rPr>
        <w:fldChar w:fldCharType="begin"/>
      </w:r>
      <w:r>
        <w:rPr>
          <w:rFonts w:ascii="宋体" w:hAnsi="宋体"/>
          <w:b/>
          <w:kern w:val="0"/>
        </w:rPr>
        <w:instrText xml:space="preserve"> </w:instrText>
      </w:r>
      <w:r>
        <w:rPr>
          <w:rFonts w:hint="eastAsia" w:ascii="宋体" w:hAnsi="宋体"/>
          <w:b/>
          <w:kern w:val="0"/>
        </w:rPr>
        <w:instrText xml:space="preserve">= 2 \* GB3</w:instrText>
      </w:r>
      <w:r>
        <w:rPr>
          <w:rFonts w:ascii="宋体" w:hAnsi="宋体"/>
          <w:b/>
          <w:kern w:val="0"/>
        </w:rPr>
        <w:instrText xml:space="preserve"> </w:instrText>
      </w:r>
      <w:r>
        <w:rPr>
          <w:rFonts w:ascii="宋体" w:hAnsi="宋体"/>
          <w:b/>
          <w:kern w:val="0"/>
        </w:rPr>
        <w:fldChar w:fldCharType="separate"/>
      </w:r>
      <w:r>
        <w:rPr>
          <w:rFonts w:hint="eastAsia" w:ascii="宋体" w:hAnsi="宋体"/>
          <w:b/>
          <w:kern w:val="0"/>
        </w:rPr>
        <w:t>②</w:t>
      </w:r>
      <w:r>
        <w:rPr>
          <w:rFonts w:ascii="宋体" w:hAnsi="宋体"/>
          <w:b/>
          <w:kern w:val="0"/>
        </w:rPr>
        <w:fldChar w:fldCharType="end"/>
      </w:r>
      <w:r>
        <w:rPr>
          <w:rFonts w:hint="eastAsia" w:ascii="宋体" w:hAnsi="宋体"/>
          <w:b/>
          <w:kern w:val="0"/>
        </w:rPr>
        <w:t>基本农田保护措施</w:t>
      </w:r>
    </w:p>
    <w:p>
      <w:pPr>
        <w:pStyle w:val="214"/>
        <w:ind w:firstLine="480"/>
      </w:pPr>
      <w:r>
        <w:rPr>
          <w:rFonts w:hint="eastAsia"/>
        </w:rPr>
        <w:t>a</w:t>
      </w:r>
      <w:r>
        <w:t>.对于占用的基本农田耕地，按照保持耕地面积动态平衡，应“占一补一”；没有条件开垦或开垦耕地不符合要求的应按四川省规定缴纳耕地开垦费，专款用于开垦新耕地。采用向涉及区县国土资源局缴纳开垦费的办法予以补偿。</w:t>
      </w:r>
    </w:p>
    <w:p>
      <w:pPr>
        <w:adjustRightInd w:val="0"/>
        <w:snapToGrid w:val="0"/>
        <w:ind w:firstLine="480"/>
        <w:jc w:val="left"/>
      </w:pPr>
      <w:r>
        <w:rPr>
          <w:rFonts w:hint="eastAsia" w:ascii="宋体" w:hAnsi="宋体"/>
        </w:rPr>
        <w:t>b</w:t>
      </w:r>
      <w:r>
        <w:rPr>
          <w:rFonts w:ascii="宋体" w:hAnsi="宋体"/>
        </w:rPr>
        <w:t>.建设前期</w:t>
      </w:r>
      <w:r>
        <w:rPr>
          <w:rFonts w:hint="eastAsia" w:ascii="宋体" w:hAnsi="宋体"/>
        </w:rPr>
        <w:t>主要减缓措施：</w:t>
      </w:r>
      <w:r>
        <w:t>1</w:t>
      </w:r>
      <w:r>
        <w:rPr>
          <w:rFonts w:hint="eastAsia"/>
        </w:rPr>
        <w:t>）</w:t>
      </w:r>
      <w:r>
        <w:rPr>
          <w:rFonts w:ascii="宋体" w:hAnsi="宋体"/>
        </w:rPr>
        <w:t>优化管道选线。本项目管线穿越农业耕作区，在优化走向过程中应注意尽量避开永久基本农田、不破坏其水利设施</w:t>
      </w:r>
      <w:r>
        <w:rPr>
          <w:rFonts w:hint="eastAsia" w:ascii="宋体" w:hAnsi="宋体"/>
        </w:rPr>
        <w:t>。</w:t>
      </w:r>
      <w:r>
        <w:t>2</w:t>
      </w:r>
      <w:r>
        <w:rPr>
          <w:rFonts w:hint="eastAsia"/>
        </w:rPr>
        <w:t>）</w:t>
      </w:r>
      <w:r>
        <w:rPr>
          <w:rFonts w:ascii="宋体" w:hAnsi="宋体"/>
        </w:rPr>
        <w:t>合理安排工期。占用农田的施工活动尽量在农作物收获期以后进行，以减少农业生产损失</w:t>
      </w:r>
      <w:r>
        <w:rPr>
          <w:rFonts w:hint="eastAsia" w:ascii="宋体" w:hAnsi="宋体"/>
        </w:rPr>
        <w:t>。</w:t>
      </w:r>
      <w:r>
        <w:t>3</w:t>
      </w:r>
      <w:r>
        <w:rPr>
          <w:rFonts w:hint="eastAsia"/>
        </w:rPr>
        <w:t>）</w:t>
      </w:r>
      <w:r>
        <w:rPr>
          <w:rFonts w:ascii="宋体" w:hAnsi="宋体"/>
        </w:rPr>
        <w:t>施工便道应避开永久基本农田，减少对基本农田的占用</w:t>
      </w:r>
      <w:r>
        <w:rPr>
          <w:rFonts w:hint="eastAsia" w:ascii="宋体" w:hAnsi="宋体"/>
        </w:rPr>
        <w:t>。</w:t>
      </w:r>
      <w:r>
        <w:t>4</w:t>
      </w:r>
      <w:r>
        <w:rPr>
          <w:rFonts w:hint="eastAsia"/>
        </w:rPr>
        <w:t>）</w:t>
      </w:r>
      <w:r>
        <w:rPr>
          <w:rFonts w:ascii="宋体" w:hAnsi="宋体"/>
        </w:rPr>
        <w:t>建设单位应严格执行国家及地方法律、法规有关永久基本农田征占审批和补偿的规定</w:t>
      </w:r>
      <w:r>
        <w:rPr>
          <w:rFonts w:hint="eastAsia" w:ascii="宋体" w:hAnsi="宋体"/>
        </w:rPr>
        <w:t>；</w:t>
      </w:r>
      <w:r>
        <w:t>5</w:t>
      </w:r>
      <w:r>
        <w:rPr>
          <w:rFonts w:hint="eastAsia"/>
        </w:rPr>
        <w:t>）</w:t>
      </w:r>
      <w:r>
        <w:rPr>
          <w:rFonts w:ascii="宋体" w:hAnsi="宋体"/>
        </w:rPr>
        <w:t>建设在单位在完成土地使用审批手续后应及时施工建设，严禁闲置永久基本农田。</w:t>
      </w:r>
    </w:p>
    <w:p>
      <w:pPr>
        <w:ind w:firstLine="480"/>
        <w:rPr>
          <w:rFonts w:ascii="宋体" w:hAnsi="宋体"/>
        </w:rPr>
      </w:pPr>
      <w:r>
        <w:rPr>
          <w:rFonts w:hint="eastAsia" w:ascii="宋体" w:hAnsi="宋体"/>
        </w:rPr>
        <w:t>c</w:t>
      </w:r>
      <w:r>
        <w:rPr>
          <w:rFonts w:ascii="宋体" w:hAnsi="宋体"/>
        </w:rPr>
        <w:t>.施工期</w:t>
      </w:r>
      <w:r>
        <w:rPr>
          <w:rFonts w:hint="eastAsia" w:ascii="宋体" w:hAnsi="宋体"/>
        </w:rPr>
        <w:t>主要减缓措施：</w:t>
      </w:r>
      <w:r>
        <w:t>1</w:t>
      </w:r>
      <w:r>
        <w:rPr>
          <w:rFonts w:hint="eastAsia"/>
        </w:rPr>
        <w:t>）</w:t>
      </w:r>
      <w:r>
        <w:rPr>
          <w:rFonts w:hint="eastAsia" w:ascii="宋体" w:hAnsi="宋体"/>
          <w:kern w:val="0"/>
        </w:rPr>
        <w:t>管沟开挖采取分层开挖、分层堆放、分层回填的作业方式，</w:t>
      </w:r>
      <w:r>
        <w:rPr>
          <w:rFonts w:ascii="宋体" w:hAnsi="宋体"/>
        </w:rPr>
        <w:t>占用永久基本农田前要将耕作层进行剥离，单独收集堆放，</w:t>
      </w:r>
      <w:r>
        <w:rPr>
          <w:rFonts w:hint="eastAsia" w:ascii="宋体" w:hAnsi="宋体"/>
          <w:kern w:val="0"/>
        </w:rPr>
        <w:t>对表土采取彩条布覆盖和袋装土拦挡防护</w:t>
      </w:r>
      <w:r>
        <w:rPr>
          <w:rFonts w:ascii="宋体" w:hAnsi="宋体"/>
        </w:rPr>
        <w:t>。施工结束后用于复垦或新开垦耕地或其他耕地的土壤改良</w:t>
      </w:r>
      <w:r>
        <w:rPr>
          <w:rFonts w:hint="eastAsia" w:ascii="宋体" w:hAnsi="宋体"/>
        </w:rPr>
        <w:t>，</w:t>
      </w:r>
      <w:r>
        <w:rPr>
          <w:rFonts w:ascii="宋体" w:hAnsi="宋体"/>
        </w:rPr>
        <w:t>耕作层剥离再利用所需资金列入建设项目概算</w:t>
      </w:r>
      <w:r>
        <w:rPr>
          <w:rFonts w:hint="eastAsia" w:ascii="宋体" w:hAnsi="宋体"/>
        </w:rPr>
        <w:t>。</w:t>
      </w:r>
      <w:r>
        <w:t>2</w:t>
      </w:r>
      <w:r>
        <w:rPr>
          <w:rFonts w:hint="eastAsia"/>
        </w:rPr>
        <w:t>）</w:t>
      </w:r>
      <w:r>
        <w:rPr>
          <w:rFonts w:ascii="宋体" w:hAnsi="宋体"/>
        </w:rPr>
        <w:t>妥善处理农田灌溉水利设施</w:t>
      </w:r>
      <w:r>
        <w:rPr>
          <w:rFonts w:hint="eastAsia" w:ascii="宋体" w:hAnsi="宋体"/>
        </w:rPr>
        <w:t>，</w:t>
      </w:r>
      <w:r>
        <w:rPr>
          <w:rFonts w:ascii="宋体" w:hAnsi="宋体"/>
        </w:rPr>
        <w:t>对施工开挖可能破坏的灌溉水利设施，开挖前另建替代管道，避免中断农业灌溉</w:t>
      </w:r>
      <w:r>
        <w:rPr>
          <w:rFonts w:hint="eastAsia" w:ascii="宋体" w:hAnsi="宋体"/>
        </w:rPr>
        <w:t>。</w:t>
      </w:r>
      <w:r>
        <w:t>3</w:t>
      </w:r>
      <w:r>
        <w:rPr>
          <w:rFonts w:hint="eastAsia"/>
        </w:rPr>
        <w:t>）</w:t>
      </w:r>
      <w:r>
        <w:rPr>
          <w:rFonts w:ascii="宋体" w:hAnsi="宋体"/>
        </w:rPr>
        <w:t>本项目涉及的土石方应及时清运，严禁临时堆置于永久基本农田内</w:t>
      </w:r>
      <w:r>
        <w:rPr>
          <w:rFonts w:hint="eastAsia" w:ascii="宋体" w:hAnsi="宋体"/>
        </w:rPr>
        <w:t>。</w:t>
      </w:r>
      <w:r>
        <w:t>4</w:t>
      </w:r>
      <w:r>
        <w:rPr>
          <w:rFonts w:hint="eastAsia"/>
        </w:rPr>
        <w:t>）</w:t>
      </w:r>
      <w:r>
        <w:rPr>
          <w:rFonts w:ascii="宋体" w:hAnsi="宋体"/>
        </w:rPr>
        <w:t>施工期间应对施工废弃物实行集中堆放，及时清运处理，严禁随意弃置污染永久基本农田土壤</w:t>
      </w:r>
      <w:r>
        <w:rPr>
          <w:rFonts w:hint="eastAsia" w:ascii="宋体" w:hAnsi="宋体"/>
        </w:rPr>
        <w:t>。</w:t>
      </w:r>
      <w:r>
        <w:t>5</w:t>
      </w:r>
      <w:r>
        <w:rPr>
          <w:rFonts w:hint="eastAsia"/>
        </w:rPr>
        <w:t>）</w:t>
      </w:r>
      <w:r>
        <w:rPr>
          <w:rFonts w:ascii="宋体" w:hAnsi="宋体"/>
        </w:rPr>
        <w:t>施工结束后，建设单位负责开垦与所占永久基本农田的数量与质量相当的耕地</w:t>
      </w:r>
      <w:r>
        <w:rPr>
          <w:rFonts w:hint="eastAsia" w:ascii="宋体" w:hAnsi="宋体"/>
        </w:rPr>
        <w:t>，</w:t>
      </w:r>
      <w:r>
        <w:rPr>
          <w:rFonts w:ascii="宋体" w:hAnsi="宋体"/>
        </w:rPr>
        <w:t>没有条件开垦或者开垦的耕地不符合要求的，应当按照相关规定缴纳耕地开垦费，专款用于开垦新的耕地。</w:t>
      </w:r>
    </w:p>
    <w:p>
      <w:pPr>
        <w:pStyle w:val="6"/>
      </w:pPr>
      <w:r>
        <w:rPr>
          <w:rFonts w:hint="eastAsia"/>
        </w:rPr>
        <w:t xml:space="preserve"> 林地</w:t>
      </w:r>
      <w:r>
        <w:t>生态保护措施</w:t>
      </w:r>
    </w:p>
    <w:p>
      <w:pPr>
        <w:ind w:firstLine="482"/>
        <w:rPr>
          <w:rFonts w:cs="Times New Roman"/>
          <w:b/>
          <w:bCs/>
          <w:kern w:val="0"/>
          <w:szCs w:val="24"/>
        </w:rPr>
      </w:pPr>
      <w:r>
        <w:rPr>
          <w:rFonts w:hint="eastAsia"/>
          <w:b/>
          <w:bCs/>
          <w:kern w:val="0"/>
        </w:rPr>
        <w:t>（1）</w:t>
      </w:r>
      <w:r>
        <w:rPr>
          <w:rFonts w:ascii="宋体" w:hAnsi="宋体"/>
          <w:b/>
          <w:bCs/>
          <w:kern w:val="0"/>
        </w:rPr>
        <w:t>加强对施工人员及施工活动的管理</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1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①</w:t>
      </w:r>
      <w:r>
        <w:rPr>
          <w:rFonts w:ascii="宋体" w:hAnsi="宋体"/>
          <w:kern w:val="0"/>
        </w:rPr>
        <w:fldChar w:fldCharType="end"/>
      </w:r>
      <w:r>
        <w:rPr>
          <w:rFonts w:ascii="宋体" w:hAnsi="宋体"/>
          <w:kern w:val="0"/>
        </w:rPr>
        <w:t>施工过程中，加强施工人员的管理，禁止施工人员对野生植被滥砍滥伐，严格限制人员的活动范围，破坏沿线的生态环境。</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2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②</w:t>
      </w:r>
      <w:r>
        <w:rPr>
          <w:rFonts w:ascii="宋体" w:hAnsi="宋体"/>
          <w:kern w:val="0"/>
        </w:rPr>
        <w:fldChar w:fldCharType="end"/>
      </w:r>
      <w:r>
        <w:rPr>
          <w:rFonts w:ascii="宋体" w:hAnsi="宋体"/>
          <w:kern w:val="0"/>
        </w:rPr>
        <w:t>工程施工占有林地和砍伐树木，管线通过林</w:t>
      </w:r>
      <w:r>
        <w:rPr>
          <w:rFonts w:hint="eastAsia" w:ascii="宋体" w:hAnsi="宋体"/>
          <w:kern w:val="0"/>
        </w:rPr>
        <w:t>地</w:t>
      </w:r>
      <w:r>
        <w:rPr>
          <w:rFonts w:ascii="宋体" w:hAnsi="宋体"/>
          <w:kern w:val="0"/>
        </w:rPr>
        <w:t>时，应向林业主管部门申报。</w:t>
      </w:r>
    </w:p>
    <w:p>
      <w:pPr>
        <w:ind w:firstLine="482"/>
        <w:rPr>
          <w:b/>
          <w:bCs/>
          <w:kern w:val="0"/>
        </w:rPr>
      </w:pPr>
      <w:r>
        <w:rPr>
          <w:rFonts w:hint="eastAsia"/>
          <w:b/>
          <w:bCs/>
          <w:kern w:val="0"/>
        </w:rPr>
        <w:t>（2）</w:t>
      </w:r>
      <w:r>
        <w:rPr>
          <w:rFonts w:ascii="宋体" w:hAnsi="宋体"/>
          <w:b/>
          <w:bCs/>
          <w:kern w:val="0"/>
        </w:rPr>
        <w:t>施工后的植被恢复</w:t>
      </w:r>
    </w:p>
    <w:p>
      <w:pPr>
        <w:ind w:firstLine="482"/>
        <w:rPr>
          <w:b/>
          <w:bCs/>
          <w:kern w:val="0"/>
        </w:rPr>
      </w:pPr>
      <w:r>
        <w:rPr>
          <w:rFonts w:ascii="宋体" w:hAnsi="宋体"/>
          <w:b/>
          <w:bCs/>
          <w:kern w:val="0"/>
        </w:rPr>
        <w:fldChar w:fldCharType="begin"/>
      </w:r>
      <w:r>
        <w:rPr>
          <w:rFonts w:ascii="宋体" w:hAnsi="宋体"/>
          <w:b/>
          <w:bCs/>
          <w:kern w:val="0"/>
        </w:rPr>
        <w:instrText xml:space="preserve"> </w:instrText>
      </w:r>
      <w:r>
        <w:rPr>
          <w:rFonts w:hint="eastAsia" w:ascii="宋体" w:hAnsi="宋体"/>
          <w:b/>
          <w:bCs/>
          <w:kern w:val="0"/>
        </w:rPr>
        <w:instrText xml:space="preserve">= 1 \* GB3</w:instrText>
      </w:r>
      <w:r>
        <w:rPr>
          <w:rFonts w:ascii="宋体" w:hAnsi="宋体"/>
          <w:b/>
          <w:bCs/>
          <w:kern w:val="0"/>
        </w:rPr>
        <w:instrText xml:space="preserve"> </w:instrText>
      </w:r>
      <w:r>
        <w:rPr>
          <w:rFonts w:ascii="宋体" w:hAnsi="宋体"/>
          <w:b/>
          <w:bCs/>
          <w:kern w:val="0"/>
        </w:rPr>
        <w:fldChar w:fldCharType="separate"/>
      </w:r>
      <w:r>
        <w:rPr>
          <w:rFonts w:hint="eastAsia" w:ascii="宋体" w:hAnsi="宋体"/>
          <w:b/>
          <w:bCs/>
          <w:kern w:val="0"/>
        </w:rPr>
        <w:t>①</w:t>
      </w:r>
      <w:r>
        <w:rPr>
          <w:rFonts w:ascii="宋体" w:hAnsi="宋体"/>
          <w:b/>
          <w:bCs/>
          <w:kern w:val="0"/>
        </w:rPr>
        <w:fldChar w:fldCharType="end"/>
      </w:r>
      <w:r>
        <w:rPr>
          <w:rFonts w:ascii="宋体" w:hAnsi="宋体"/>
          <w:b/>
          <w:bCs/>
          <w:kern w:val="0"/>
        </w:rPr>
        <w:t>总体原则</w:t>
      </w:r>
    </w:p>
    <w:p>
      <w:pPr>
        <w:ind w:firstLine="480"/>
        <w:rPr>
          <w:kern w:val="0"/>
        </w:rPr>
      </w:pPr>
      <w:r>
        <w:rPr>
          <w:rFonts w:ascii="宋体" w:hAnsi="宋体"/>
          <w:kern w:val="0"/>
        </w:rPr>
        <w:t>管道开挖填埋土方工程完成后，沿线区间尽早植树种草，原为草地的要植草，原为林地的要植树。由于在管线两侧</w:t>
      </w:r>
      <w:r>
        <w:rPr>
          <w:kern w:val="0"/>
        </w:rPr>
        <w:t>5m</w:t>
      </w:r>
      <w:r>
        <w:rPr>
          <w:rFonts w:ascii="宋体" w:hAnsi="宋体"/>
          <w:kern w:val="0"/>
        </w:rPr>
        <w:t>范围内不能种植深根作物，不能植树的地方（管道两侧</w:t>
      </w:r>
      <w:r>
        <w:rPr>
          <w:kern w:val="0"/>
        </w:rPr>
        <w:t>5m</w:t>
      </w:r>
      <w:r>
        <w:rPr>
          <w:rFonts w:ascii="宋体" w:hAnsi="宋体"/>
          <w:kern w:val="0"/>
        </w:rPr>
        <w:t>）可</w:t>
      </w:r>
      <w:r>
        <w:rPr>
          <w:rFonts w:hint="eastAsia" w:ascii="宋体" w:hAnsi="宋体"/>
          <w:kern w:val="0"/>
        </w:rPr>
        <w:t>种植浅根灌木或</w:t>
      </w:r>
      <w:r>
        <w:rPr>
          <w:rFonts w:ascii="宋体" w:hAnsi="宋体"/>
          <w:kern w:val="0"/>
        </w:rPr>
        <w:t>种草。</w:t>
      </w:r>
    </w:p>
    <w:p>
      <w:pPr>
        <w:ind w:firstLine="482"/>
        <w:rPr>
          <w:b/>
          <w:bCs/>
          <w:kern w:val="0"/>
        </w:rPr>
      </w:pPr>
      <w:r>
        <w:rPr>
          <w:rFonts w:ascii="宋体" w:hAnsi="宋体"/>
          <w:b/>
          <w:bCs/>
          <w:kern w:val="0"/>
        </w:rPr>
        <w:fldChar w:fldCharType="begin"/>
      </w:r>
      <w:r>
        <w:rPr>
          <w:rFonts w:ascii="宋体" w:hAnsi="宋体"/>
          <w:b/>
          <w:bCs/>
          <w:kern w:val="0"/>
        </w:rPr>
        <w:instrText xml:space="preserve"> </w:instrText>
      </w:r>
      <w:r>
        <w:rPr>
          <w:rFonts w:hint="eastAsia" w:ascii="宋体" w:hAnsi="宋体"/>
          <w:b/>
          <w:bCs/>
          <w:kern w:val="0"/>
        </w:rPr>
        <w:instrText xml:space="preserve">= 2 \* GB3</w:instrText>
      </w:r>
      <w:r>
        <w:rPr>
          <w:rFonts w:ascii="宋体" w:hAnsi="宋体"/>
          <w:b/>
          <w:bCs/>
          <w:kern w:val="0"/>
        </w:rPr>
        <w:instrText xml:space="preserve"> </w:instrText>
      </w:r>
      <w:r>
        <w:rPr>
          <w:rFonts w:ascii="宋体" w:hAnsi="宋体"/>
          <w:b/>
          <w:bCs/>
          <w:kern w:val="0"/>
        </w:rPr>
        <w:fldChar w:fldCharType="separate"/>
      </w:r>
      <w:r>
        <w:rPr>
          <w:rFonts w:hint="eastAsia" w:ascii="宋体" w:hAnsi="宋体"/>
          <w:b/>
          <w:bCs/>
          <w:kern w:val="0"/>
        </w:rPr>
        <w:t>②</w:t>
      </w:r>
      <w:r>
        <w:rPr>
          <w:rFonts w:ascii="宋体" w:hAnsi="宋体"/>
          <w:b/>
          <w:bCs/>
          <w:kern w:val="0"/>
        </w:rPr>
        <w:fldChar w:fldCharType="end"/>
      </w:r>
      <w:r>
        <w:rPr>
          <w:rFonts w:ascii="宋体" w:hAnsi="宋体"/>
          <w:b/>
          <w:bCs/>
          <w:kern w:val="0"/>
        </w:rPr>
        <w:t>植被恢复措施</w:t>
      </w:r>
    </w:p>
    <w:p>
      <w:pPr>
        <w:ind w:firstLine="480"/>
        <w:rPr>
          <w:kern w:val="0"/>
        </w:rPr>
      </w:pPr>
      <w:r>
        <w:rPr>
          <w:rFonts w:ascii="宋体" w:hAnsi="宋体"/>
          <w:kern w:val="0"/>
        </w:rPr>
        <w:t>本管道工程植被</w:t>
      </w:r>
      <w:r>
        <w:rPr>
          <w:rFonts w:hint="eastAsia" w:ascii="宋体" w:hAnsi="宋体"/>
          <w:kern w:val="0"/>
        </w:rPr>
        <w:t>恢复</w:t>
      </w:r>
      <w:r>
        <w:rPr>
          <w:rFonts w:ascii="宋体" w:hAnsi="宋体"/>
          <w:kern w:val="0"/>
        </w:rPr>
        <w:t>措施主要布设在空地及周边、管道作业带、管道穿越工程施工场地、</w:t>
      </w:r>
      <w:r>
        <w:rPr>
          <w:rFonts w:hint="eastAsia" w:ascii="宋体" w:hAnsi="宋体"/>
          <w:kern w:val="0"/>
        </w:rPr>
        <w:t>堆管场</w:t>
      </w:r>
      <w:r>
        <w:rPr>
          <w:rFonts w:ascii="宋体" w:hAnsi="宋体"/>
          <w:kern w:val="0"/>
        </w:rPr>
        <w:t>裸露空地、施工便道等工程单元。林草措施分为铺种草皮、人工种草、种植乔木、种植灌木、种植攀援植物、植物护坡等</w:t>
      </w:r>
      <w:r>
        <w:rPr>
          <w:kern w:val="0"/>
        </w:rPr>
        <w:t>6</w:t>
      </w:r>
      <w:r>
        <w:rPr>
          <w:rFonts w:ascii="宋体" w:hAnsi="宋体"/>
          <w:kern w:val="0"/>
        </w:rPr>
        <w:t>种类型。</w:t>
      </w:r>
    </w:p>
    <w:p>
      <w:pPr>
        <w:ind w:firstLine="482"/>
        <w:rPr>
          <w:b/>
          <w:bCs/>
          <w:kern w:val="0"/>
        </w:rPr>
      </w:pPr>
      <w:r>
        <w:rPr>
          <w:rFonts w:ascii="宋体" w:hAnsi="宋体"/>
          <w:b/>
          <w:bCs/>
          <w:kern w:val="0"/>
        </w:rPr>
        <w:fldChar w:fldCharType="begin"/>
      </w:r>
      <w:r>
        <w:rPr>
          <w:rFonts w:ascii="宋体" w:hAnsi="宋体"/>
          <w:b/>
          <w:bCs/>
          <w:kern w:val="0"/>
        </w:rPr>
        <w:instrText xml:space="preserve"> </w:instrText>
      </w:r>
      <w:r>
        <w:rPr>
          <w:rFonts w:hint="eastAsia" w:ascii="宋体" w:hAnsi="宋体"/>
          <w:b/>
          <w:bCs/>
          <w:kern w:val="0"/>
        </w:rPr>
        <w:instrText xml:space="preserve">= 3 \* GB3</w:instrText>
      </w:r>
      <w:r>
        <w:rPr>
          <w:rFonts w:ascii="宋体" w:hAnsi="宋体"/>
          <w:b/>
          <w:bCs/>
          <w:kern w:val="0"/>
        </w:rPr>
        <w:instrText xml:space="preserve"> </w:instrText>
      </w:r>
      <w:r>
        <w:rPr>
          <w:rFonts w:ascii="宋体" w:hAnsi="宋体"/>
          <w:b/>
          <w:bCs/>
          <w:kern w:val="0"/>
        </w:rPr>
        <w:fldChar w:fldCharType="separate"/>
      </w:r>
      <w:r>
        <w:rPr>
          <w:rFonts w:hint="eastAsia" w:ascii="宋体" w:hAnsi="宋体"/>
          <w:b/>
          <w:bCs/>
          <w:kern w:val="0"/>
        </w:rPr>
        <w:t>③</w:t>
      </w:r>
      <w:r>
        <w:rPr>
          <w:rFonts w:ascii="宋体" w:hAnsi="宋体"/>
          <w:b/>
          <w:bCs/>
          <w:kern w:val="0"/>
        </w:rPr>
        <w:fldChar w:fldCharType="end"/>
      </w:r>
      <w:r>
        <w:rPr>
          <w:rFonts w:ascii="宋体" w:hAnsi="宋体"/>
          <w:b/>
          <w:bCs/>
          <w:kern w:val="0"/>
        </w:rPr>
        <w:t>植物种类选择</w:t>
      </w:r>
    </w:p>
    <w:p>
      <w:pPr>
        <w:ind w:firstLine="480"/>
        <w:rPr>
          <w:kern w:val="0"/>
        </w:rPr>
      </w:pPr>
      <w:r>
        <w:rPr>
          <w:rFonts w:hint="eastAsia" w:ascii="宋体" w:hAnsi="宋体"/>
          <w:kern w:val="0"/>
        </w:rPr>
        <w:t>a</w:t>
      </w:r>
      <w:r>
        <w:rPr>
          <w:rFonts w:ascii="宋体" w:hAnsi="宋体"/>
          <w:kern w:val="0"/>
        </w:rPr>
        <w:t>.工程区属亚热带季风气候区，水热条件充沛，在地质、地形、土壤、气候和生物等因素的综合作用下，为植物生长提供了有利条件，形成亚热带常绿阔叶、落叶阔叶与针叶林为主的低山、丘陵天然林、人工次生林。集输气管道沿线主要为人工植被，有柏木</w:t>
      </w:r>
      <w:r>
        <w:rPr>
          <w:rFonts w:hint="eastAsia" w:ascii="宋体" w:hAnsi="宋体"/>
          <w:kern w:val="0"/>
        </w:rPr>
        <w:t>、</w:t>
      </w:r>
      <w:r>
        <w:rPr>
          <w:rFonts w:ascii="宋体" w:hAnsi="宋体"/>
          <w:kern w:val="0"/>
        </w:rPr>
        <w:t>马尾松等用材林；农作物一般为水稻、蔬菜等季节性农作物。当地水土保持植物主要有紫穗槐、巴茅、狗牙根、三叶草等。</w:t>
      </w:r>
    </w:p>
    <w:p>
      <w:pPr>
        <w:ind w:firstLine="480"/>
        <w:rPr>
          <w:kern w:val="0"/>
        </w:rPr>
      </w:pPr>
      <w:r>
        <w:rPr>
          <w:rFonts w:hint="eastAsia" w:ascii="宋体" w:hAnsi="宋体"/>
          <w:kern w:val="0"/>
        </w:rPr>
        <w:t>b</w:t>
      </w:r>
      <w:r>
        <w:rPr>
          <w:rFonts w:ascii="宋体" w:hAnsi="宋体"/>
          <w:kern w:val="0"/>
        </w:rPr>
        <w:t>.乔木树种选择抗逆性强、形体优美的树种，主要有杨树、柏树、香樟、刺槐、小叶榕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w:t>
      </w:r>
    </w:p>
    <w:p>
      <w:pPr>
        <w:ind w:firstLine="480"/>
        <w:rPr>
          <w:kern w:val="0"/>
        </w:rPr>
      </w:pPr>
      <w:r>
        <w:rPr>
          <w:rFonts w:hint="eastAsia" w:ascii="宋体" w:hAnsi="宋体"/>
          <w:kern w:val="0"/>
        </w:rPr>
        <w:t>c</w:t>
      </w:r>
      <w:r>
        <w:rPr>
          <w:rFonts w:ascii="宋体" w:hAnsi="宋体"/>
          <w:kern w:val="0"/>
        </w:rPr>
        <w:t>.对于管道沿线较大面积的林地中，林分单一，多为针叶林，因此工程施工中严禁带入有害的外来物种，从而避免病虫害以及森林树种的竞争等。</w:t>
      </w:r>
    </w:p>
    <w:p>
      <w:pPr>
        <w:ind w:firstLine="482"/>
        <w:rPr>
          <w:b/>
          <w:bCs/>
          <w:kern w:val="0"/>
        </w:rPr>
      </w:pPr>
      <w:r>
        <w:rPr>
          <w:rFonts w:ascii="宋体" w:hAnsi="宋体"/>
          <w:b/>
          <w:bCs/>
          <w:kern w:val="0"/>
        </w:rPr>
        <w:fldChar w:fldCharType="begin"/>
      </w:r>
      <w:r>
        <w:rPr>
          <w:rFonts w:ascii="宋体" w:hAnsi="宋体"/>
          <w:b/>
          <w:bCs/>
          <w:kern w:val="0"/>
        </w:rPr>
        <w:instrText xml:space="preserve"> </w:instrText>
      </w:r>
      <w:r>
        <w:rPr>
          <w:rFonts w:hint="eastAsia" w:ascii="宋体" w:hAnsi="宋体"/>
          <w:b/>
          <w:bCs/>
          <w:kern w:val="0"/>
        </w:rPr>
        <w:instrText xml:space="preserve">= 4 \* GB3</w:instrText>
      </w:r>
      <w:r>
        <w:rPr>
          <w:rFonts w:ascii="宋体" w:hAnsi="宋体"/>
          <w:b/>
          <w:bCs/>
          <w:kern w:val="0"/>
        </w:rPr>
        <w:instrText xml:space="preserve"> </w:instrText>
      </w:r>
      <w:r>
        <w:rPr>
          <w:rFonts w:ascii="宋体" w:hAnsi="宋体"/>
          <w:b/>
          <w:bCs/>
          <w:kern w:val="0"/>
        </w:rPr>
        <w:fldChar w:fldCharType="separate"/>
      </w:r>
      <w:r>
        <w:rPr>
          <w:rFonts w:hint="eastAsia" w:ascii="宋体" w:hAnsi="宋体"/>
          <w:b/>
          <w:bCs/>
          <w:kern w:val="0"/>
        </w:rPr>
        <w:t>④</w:t>
      </w:r>
      <w:r>
        <w:rPr>
          <w:rFonts w:ascii="宋体" w:hAnsi="宋体"/>
          <w:b/>
          <w:bCs/>
          <w:kern w:val="0"/>
        </w:rPr>
        <w:fldChar w:fldCharType="end"/>
      </w:r>
      <w:r>
        <w:rPr>
          <w:rFonts w:ascii="宋体" w:hAnsi="宋体"/>
          <w:b/>
          <w:bCs/>
          <w:kern w:val="0"/>
        </w:rPr>
        <w:t>种草</w:t>
      </w:r>
    </w:p>
    <w:p>
      <w:pPr>
        <w:ind w:firstLine="480"/>
        <w:rPr>
          <w:kern w:val="0"/>
        </w:rPr>
      </w:pPr>
      <w:r>
        <w:rPr>
          <w:rFonts w:ascii="宋体" w:hAnsi="宋体"/>
          <w:kern w:val="0"/>
        </w:rPr>
        <w:t>本管道项目种草有作业带种草及护坡种草。</w:t>
      </w:r>
    </w:p>
    <w:p>
      <w:pPr>
        <w:ind w:firstLine="480"/>
        <w:rPr>
          <w:bCs/>
          <w:kern w:val="0"/>
        </w:rPr>
      </w:pPr>
      <w:r>
        <w:rPr>
          <w:rFonts w:hint="eastAsia" w:ascii="宋体" w:hAnsi="宋体"/>
          <w:bCs/>
          <w:kern w:val="0"/>
        </w:rPr>
        <w:t>a</w:t>
      </w:r>
      <w:r>
        <w:rPr>
          <w:rFonts w:ascii="宋体" w:hAnsi="宋体"/>
          <w:bCs/>
          <w:kern w:val="0"/>
        </w:rPr>
        <w:t>.种植方式</w:t>
      </w:r>
    </w:p>
    <w:p>
      <w:pPr>
        <w:ind w:firstLine="480"/>
        <w:rPr>
          <w:kern w:val="0"/>
        </w:rPr>
      </w:pPr>
      <w:r>
        <w:rPr>
          <w:rFonts w:ascii="宋体" w:hAnsi="宋体"/>
          <w:kern w:val="0"/>
        </w:rPr>
        <w:t>栽植、埋植或直播。直播有条播、撒播、穴播和混播几种方式。部分植物护坡可采用网格状种草。</w:t>
      </w:r>
    </w:p>
    <w:p>
      <w:pPr>
        <w:ind w:firstLine="480"/>
        <w:rPr>
          <w:bCs/>
          <w:kern w:val="0"/>
        </w:rPr>
      </w:pPr>
      <w:r>
        <w:rPr>
          <w:rFonts w:hint="eastAsia" w:ascii="宋体" w:hAnsi="宋体"/>
          <w:bCs/>
          <w:kern w:val="0"/>
        </w:rPr>
        <w:t>b</w:t>
      </w:r>
      <w:r>
        <w:rPr>
          <w:rFonts w:ascii="宋体" w:hAnsi="宋体"/>
          <w:bCs/>
          <w:kern w:val="0"/>
        </w:rPr>
        <w:t>.抚育管理</w:t>
      </w:r>
    </w:p>
    <w:p>
      <w:pPr>
        <w:ind w:firstLine="480"/>
        <w:rPr>
          <w:kern w:val="0"/>
        </w:rPr>
      </w:pPr>
      <w:r>
        <w:rPr>
          <w:rFonts w:ascii="宋体" w:hAnsi="宋体"/>
          <w:kern w:val="0"/>
        </w:rPr>
        <w:t>栽植、播种后，根据实际情况及时浇水、除草。</w:t>
      </w:r>
    </w:p>
    <w:p>
      <w:pPr>
        <w:ind w:firstLine="482"/>
        <w:rPr>
          <w:b/>
          <w:bCs/>
          <w:kern w:val="0"/>
        </w:rPr>
      </w:pPr>
      <w:r>
        <w:rPr>
          <w:rFonts w:ascii="宋体" w:hAnsi="宋体"/>
          <w:b/>
          <w:bCs/>
          <w:kern w:val="0"/>
        </w:rPr>
        <w:fldChar w:fldCharType="begin"/>
      </w:r>
      <w:r>
        <w:rPr>
          <w:rFonts w:ascii="宋体" w:hAnsi="宋体"/>
          <w:b/>
          <w:bCs/>
          <w:kern w:val="0"/>
        </w:rPr>
        <w:instrText xml:space="preserve"> </w:instrText>
      </w:r>
      <w:r>
        <w:rPr>
          <w:rFonts w:hint="eastAsia" w:ascii="宋体" w:hAnsi="宋体"/>
          <w:b/>
          <w:bCs/>
          <w:kern w:val="0"/>
        </w:rPr>
        <w:instrText xml:space="preserve">= 5 \* GB3</w:instrText>
      </w:r>
      <w:r>
        <w:rPr>
          <w:rFonts w:ascii="宋体" w:hAnsi="宋体"/>
          <w:b/>
          <w:bCs/>
          <w:kern w:val="0"/>
        </w:rPr>
        <w:instrText xml:space="preserve"> </w:instrText>
      </w:r>
      <w:r>
        <w:rPr>
          <w:rFonts w:ascii="宋体" w:hAnsi="宋体"/>
          <w:b/>
          <w:bCs/>
          <w:kern w:val="0"/>
        </w:rPr>
        <w:fldChar w:fldCharType="separate"/>
      </w:r>
      <w:r>
        <w:rPr>
          <w:rFonts w:hint="eastAsia" w:ascii="宋体" w:hAnsi="宋体"/>
          <w:b/>
          <w:bCs/>
          <w:kern w:val="0"/>
        </w:rPr>
        <w:t>⑤</w:t>
      </w:r>
      <w:r>
        <w:rPr>
          <w:rFonts w:ascii="宋体" w:hAnsi="宋体"/>
          <w:b/>
          <w:bCs/>
          <w:kern w:val="0"/>
        </w:rPr>
        <w:fldChar w:fldCharType="end"/>
      </w:r>
      <w:r>
        <w:rPr>
          <w:rFonts w:ascii="宋体" w:hAnsi="宋体"/>
          <w:b/>
          <w:bCs/>
          <w:kern w:val="0"/>
        </w:rPr>
        <w:t>种树</w:t>
      </w:r>
    </w:p>
    <w:p>
      <w:pPr>
        <w:ind w:firstLine="480"/>
        <w:rPr>
          <w:kern w:val="0"/>
        </w:rPr>
      </w:pPr>
      <w:r>
        <w:rPr>
          <w:rFonts w:ascii="宋体" w:hAnsi="宋体"/>
          <w:kern w:val="0"/>
        </w:rPr>
        <w:t>本项目种树主要包括灌草结合方式种植和行道树栽植两种。</w:t>
      </w:r>
    </w:p>
    <w:p>
      <w:pPr>
        <w:ind w:firstLine="480"/>
        <w:rPr>
          <w:bCs/>
          <w:kern w:val="0"/>
        </w:rPr>
      </w:pPr>
      <w:r>
        <w:rPr>
          <w:rFonts w:hint="eastAsia" w:ascii="宋体" w:hAnsi="宋体"/>
          <w:bCs/>
          <w:kern w:val="0"/>
        </w:rPr>
        <w:t>a</w:t>
      </w:r>
      <w:r>
        <w:rPr>
          <w:rFonts w:ascii="宋体" w:hAnsi="宋体"/>
          <w:bCs/>
          <w:kern w:val="0"/>
        </w:rPr>
        <w:t>.行道树种植</w:t>
      </w:r>
    </w:p>
    <w:p>
      <w:pPr>
        <w:ind w:firstLine="480"/>
        <w:rPr>
          <w:kern w:val="0"/>
        </w:rPr>
      </w:pPr>
      <w:r>
        <w:rPr>
          <w:rFonts w:ascii="宋体" w:hAnsi="宋体"/>
          <w:kern w:val="0"/>
        </w:rPr>
        <w:t>选择树形整齐、树干通直、枝叶茂盛、冠大荫浓的树种作为行道树，如杨树、香樟、柏树、小叶榕，坑穴种植，株行距</w:t>
      </w:r>
      <w:r>
        <w:rPr>
          <w:kern w:val="0"/>
        </w:rPr>
        <w:t>3m×3m</w:t>
      </w:r>
      <w:r>
        <w:rPr>
          <w:rFonts w:ascii="宋体" w:hAnsi="宋体"/>
          <w:kern w:val="0"/>
        </w:rPr>
        <w:t>，坑穴尺寸</w:t>
      </w:r>
      <w:r>
        <w:rPr>
          <w:kern w:val="0"/>
        </w:rPr>
        <w:t>0.6m×0.6m×0.6m</w:t>
      </w:r>
      <w:r>
        <w:rPr>
          <w:rFonts w:ascii="宋体" w:hAnsi="宋体"/>
          <w:kern w:val="0"/>
        </w:rPr>
        <w:t>。</w:t>
      </w:r>
    </w:p>
    <w:p>
      <w:pPr>
        <w:ind w:firstLine="480"/>
        <w:rPr>
          <w:bCs/>
          <w:kern w:val="0"/>
        </w:rPr>
      </w:pPr>
      <w:r>
        <w:rPr>
          <w:rFonts w:hint="eastAsia" w:ascii="宋体" w:hAnsi="宋体"/>
          <w:bCs/>
          <w:kern w:val="0"/>
        </w:rPr>
        <w:t>b</w:t>
      </w:r>
      <w:r>
        <w:rPr>
          <w:rFonts w:ascii="宋体" w:hAnsi="宋体"/>
          <w:bCs/>
          <w:kern w:val="0"/>
        </w:rPr>
        <w:t>.施工场地</w:t>
      </w:r>
    </w:p>
    <w:p>
      <w:pPr>
        <w:ind w:firstLine="480"/>
        <w:rPr>
          <w:kern w:val="0"/>
        </w:rPr>
      </w:pPr>
      <w:r>
        <w:rPr>
          <w:rFonts w:ascii="宋体" w:hAnsi="宋体"/>
          <w:kern w:val="0"/>
        </w:rPr>
        <w:t>施工场地采用灌草结合的方式进行绿化，灌木株行距为</w:t>
      </w:r>
      <w:r>
        <w:rPr>
          <w:kern w:val="0"/>
        </w:rPr>
        <w:t>1.5m×2m</w:t>
      </w:r>
      <w:r>
        <w:rPr>
          <w:rFonts w:ascii="宋体" w:hAnsi="宋体"/>
          <w:kern w:val="0"/>
        </w:rPr>
        <w:t>，坑穴种植，坑穴尺寸</w:t>
      </w:r>
      <w:r>
        <w:rPr>
          <w:kern w:val="0"/>
        </w:rPr>
        <w:t>0.4m×0.4m×0.4m</w:t>
      </w:r>
      <w:r>
        <w:rPr>
          <w:rFonts w:ascii="宋体" w:hAnsi="宋体"/>
          <w:kern w:val="0"/>
        </w:rPr>
        <w:t>，灌木林下撒播种草，撒播密度为</w:t>
      </w:r>
      <w:r>
        <w:rPr>
          <w:kern w:val="0"/>
        </w:rPr>
        <w:t>60kg/hm</w:t>
      </w:r>
      <w:r>
        <w:rPr>
          <w:kern w:val="0"/>
          <w:vertAlign w:val="superscript"/>
        </w:rPr>
        <w:t>2</w:t>
      </w:r>
      <w:r>
        <w:rPr>
          <w:rFonts w:ascii="宋体" w:hAnsi="宋体"/>
          <w:kern w:val="0"/>
        </w:rPr>
        <w:t>。</w:t>
      </w:r>
    </w:p>
    <w:p>
      <w:pPr>
        <w:ind w:firstLine="480"/>
        <w:rPr>
          <w:bCs/>
          <w:kern w:val="0"/>
        </w:rPr>
      </w:pPr>
      <w:r>
        <w:rPr>
          <w:rFonts w:hint="eastAsia" w:ascii="宋体" w:hAnsi="宋体"/>
          <w:bCs/>
          <w:kern w:val="0"/>
        </w:rPr>
        <w:t>c</w:t>
      </w:r>
      <w:r>
        <w:rPr>
          <w:rFonts w:ascii="宋体" w:hAnsi="宋体"/>
          <w:bCs/>
          <w:kern w:val="0"/>
        </w:rPr>
        <w:t>.抚育管理</w:t>
      </w:r>
    </w:p>
    <w:p>
      <w:pPr>
        <w:ind w:firstLine="480"/>
        <w:rPr>
          <w:kern w:val="0"/>
        </w:rPr>
      </w:pPr>
      <w:r>
        <w:rPr>
          <w:rFonts w:ascii="宋体" w:hAnsi="宋体"/>
          <w:kern w:val="0"/>
        </w:rPr>
        <w:t>栽植、播种后，根据实际情况及时浇水、除草。</w:t>
      </w:r>
    </w:p>
    <w:p>
      <w:pPr>
        <w:ind w:firstLine="482"/>
        <w:rPr>
          <w:b/>
          <w:bCs/>
          <w:kern w:val="0"/>
        </w:rPr>
      </w:pPr>
      <w:r>
        <w:rPr>
          <w:rFonts w:ascii="宋体" w:hAnsi="宋体"/>
          <w:b/>
          <w:bCs/>
          <w:kern w:val="0"/>
        </w:rPr>
        <w:fldChar w:fldCharType="begin"/>
      </w:r>
      <w:r>
        <w:rPr>
          <w:rFonts w:ascii="宋体" w:hAnsi="宋体"/>
          <w:b/>
          <w:bCs/>
          <w:kern w:val="0"/>
        </w:rPr>
        <w:instrText xml:space="preserve"> </w:instrText>
      </w:r>
      <w:r>
        <w:rPr>
          <w:rFonts w:hint="eastAsia" w:ascii="宋体" w:hAnsi="宋体"/>
          <w:b/>
          <w:bCs/>
          <w:kern w:val="0"/>
        </w:rPr>
        <w:instrText xml:space="preserve">= 6 \* GB3</w:instrText>
      </w:r>
      <w:r>
        <w:rPr>
          <w:rFonts w:ascii="宋体" w:hAnsi="宋体"/>
          <w:b/>
          <w:bCs/>
          <w:kern w:val="0"/>
        </w:rPr>
        <w:instrText xml:space="preserve"> </w:instrText>
      </w:r>
      <w:r>
        <w:rPr>
          <w:rFonts w:ascii="宋体" w:hAnsi="宋体"/>
          <w:b/>
          <w:bCs/>
          <w:kern w:val="0"/>
        </w:rPr>
        <w:fldChar w:fldCharType="separate"/>
      </w:r>
      <w:r>
        <w:rPr>
          <w:rFonts w:hint="eastAsia" w:ascii="宋体" w:hAnsi="宋体"/>
          <w:b/>
          <w:bCs/>
          <w:kern w:val="0"/>
        </w:rPr>
        <w:t>⑥</w:t>
      </w:r>
      <w:r>
        <w:rPr>
          <w:rFonts w:ascii="宋体" w:hAnsi="宋体"/>
          <w:b/>
          <w:bCs/>
          <w:kern w:val="0"/>
        </w:rPr>
        <w:fldChar w:fldCharType="end"/>
      </w:r>
      <w:r>
        <w:rPr>
          <w:rFonts w:ascii="宋体" w:hAnsi="宋体"/>
          <w:b/>
          <w:bCs/>
          <w:kern w:val="0"/>
        </w:rPr>
        <w:t>植物措施管理技术要点</w:t>
      </w:r>
    </w:p>
    <w:p>
      <w:pPr>
        <w:ind w:firstLine="480"/>
        <w:rPr>
          <w:kern w:val="0"/>
        </w:rPr>
      </w:pPr>
      <w:r>
        <w:rPr>
          <w:rFonts w:hint="eastAsia" w:ascii="宋体" w:hAnsi="宋体"/>
          <w:kern w:val="0"/>
        </w:rPr>
        <w:t>a</w:t>
      </w:r>
      <w:r>
        <w:rPr>
          <w:rFonts w:ascii="宋体" w:hAnsi="宋体"/>
          <w:kern w:val="0"/>
        </w:rPr>
        <w:t>.幼林抚育管理包括补植、松土、除草、灌水、修枝和平茬，对于成活率低于</w:t>
      </w:r>
      <w:r>
        <w:rPr>
          <w:kern w:val="0"/>
        </w:rPr>
        <w:t>85%</w:t>
      </w:r>
      <w:r>
        <w:rPr>
          <w:rFonts w:ascii="宋体" w:hAnsi="宋体"/>
          <w:kern w:val="0"/>
        </w:rPr>
        <w:t>的林地要进行苗木补植，同时要禁止放牧和人为破坏，做好病虫害防治工作。</w:t>
      </w:r>
    </w:p>
    <w:p>
      <w:pPr>
        <w:ind w:firstLine="480"/>
        <w:rPr>
          <w:kern w:val="0"/>
        </w:rPr>
      </w:pPr>
      <w:r>
        <w:rPr>
          <w:rFonts w:hint="eastAsia" w:ascii="宋体" w:hAnsi="宋体"/>
          <w:kern w:val="0"/>
        </w:rPr>
        <w:t>b</w:t>
      </w:r>
      <w:r>
        <w:rPr>
          <w:rFonts w:ascii="宋体" w:hAnsi="宋体"/>
          <w:kern w:val="0"/>
        </w:rPr>
        <w:t>.植苗造林所用的苗木必须是未受冻害、为损伤、根系较完整、失水少且经过较短时间和距离运输的苗木，尤其以附近苗圃繁育的优质壮苗为佳</w:t>
      </w:r>
      <w:r>
        <w:rPr>
          <w:kern w:val="0"/>
        </w:rPr>
        <w:t>;</w:t>
      </w:r>
      <w:r>
        <w:rPr>
          <w:rFonts w:ascii="宋体" w:hAnsi="宋体"/>
          <w:kern w:val="0"/>
        </w:rPr>
        <w:t>草坪草播后洒水，保持土壤湿润至全部出苗。</w:t>
      </w:r>
    </w:p>
    <w:p>
      <w:pPr>
        <w:ind w:firstLine="480"/>
        <w:rPr>
          <w:rFonts w:ascii="宋体" w:hAnsi="宋体"/>
          <w:kern w:val="0"/>
        </w:rPr>
      </w:pPr>
      <w:r>
        <w:rPr>
          <w:rFonts w:hint="eastAsia" w:ascii="宋体" w:hAnsi="宋体"/>
          <w:kern w:val="0"/>
        </w:rPr>
        <w:t>c</w:t>
      </w:r>
      <w:r>
        <w:rPr>
          <w:rFonts w:ascii="宋体" w:hAnsi="宋体"/>
          <w:kern w:val="0"/>
        </w:rPr>
        <w:t>.乔木树种选用</w:t>
      </w:r>
      <w:r>
        <w:rPr>
          <w:kern w:val="0"/>
        </w:rPr>
        <w:t>2</w:t>
      </w:r>
      <w:r>
        <w:rPr>
          <w:rFonts w:ascii="宋体" w:hAnsi="宋体"/>
          <w:kern w:val="0"/>
        </w:rPr>
        <w:t>年以上的实生壮苗，苗高</w:t>
      </w:r>
      <w:r>
        <w:rPr>
          <w:kern w:val="0"/>
        </w:rPr>
        <w:t>1.5m</w:t>
      </w:r>
      <w:r>
        <w:rPr>
          <w:rFonts w:ascii="宋体" w:hAnsi="宋体"/>
          <w:kern w:val="0"/>
        </w:rPr>
        <w:t>左右，紫穗槐等灌木选用</w:t>
      </w:r>
      <w:r>
        <w:rPr>
          <w:kern w:val="0"/>
        </w:rPr>
        <w:t>1</w:t>
      </w:r>
      <w:r>
        <w:rPr>
          <w:rFonts w:ascii="宋体" w:hAnsi="宋体"/>
          <w:kern w:val="0"/>
        </w:rPr>
        <w:t>年生壮苗，苗高</w:t>
      </w:r>
      <w:r>
        <w:rPr>
          <w:kern w:val="0"/>
        </w:rPr>
        <w:t>0.5m</w:t>
      </w:r>
      <w:r>
        <w:rPr>
          <w:rFonts w:ascii="宋体" w:hAnsi="宋体"/>
          <w:kern w:val="0"/>
        </w:rPr>
        <w:t>，为提高成活率，每穴栽植两株。狗尾草、野羊茅等草种用当年收获且籽粒饱满、发芽率在</w:t>
      </w:r>
      <w:r>
        <w:rPr>
          <w:kern w:val="0"/>
        </w:rPr>
        <w:t>80%</w:t>
      </w:r>
      <w:r>
        <w:rPr>
          <w:rFonts w:ascii="宋体" w:hAnsi="宋体"/>
          <w:kern w:val="0"/>
        </w:rPr>
        <w:t>以上的种子。</w:t>
      </w:r>
    </w:p>
    <w:p>
      <w:pPr>
        <w:pStyle w:val="6"/>
      </w:pPr>
      <w:r>
        <w:rPr>
          <w:rFonts w:hint="eastAsia"/>
        </w:rPr>
        <w:t xml:space="preserve"> </w:t>
      </w:r>
      <w:r>
        <w:t>生物多样性的保护措施</w:t>
      </w:r>
    </w:p>
    <w:p>
      <w:pPr>
        <w:ind w:firstLine="480"/>
        <w:rPr>
          <w:rFonts w:cs="Times New Roman"/>
          <w:kern w:val="0"/>
          <w:szCs w:val="24"/>
        </w:rPr>
      </w:pPr>
      <w:r>
        <w:rPr>
          <w:rFonts w:ascii="宋体" w:hAnsi="宋体"/>
          <w:kern w:val="0"/>
        </w:rPr>
        <w:t>（</w:t>
      </w:r>
      <w:r>
        <w:rPr>
          <w:kern w:val="0"/>
        </w:rPr>
        <w:t>1</w:t>
      </w:r>
      <w:r>
        <w:rPr>
          <w:rFonts w:ascii="宋体" w:hAnsi="宋体"/>
          <w:kern w:val="0"/>
        </w:rPr>
        <w:t>）在施工过程中，应加强施工人员的管理，禁止施工人员对野外植被滥砍滥伐，破坏沿线地区的生态环境。</w:t>
      </w:r>
    </w:p>
    <w:p>
      <w:pPr>
        <w:ind w:firstLine="480"/>
        <w:rPr>
          <w:kern w:val="0"/>
        </w:rPr>
      </w:pPr>
      <w:r>
        <w:rPr>
          <w:rFonts w:ascii="宋体" w:hAnsi="宋体"/>
          <w:kern w:val="0"/>
        </w:rPr>
        <w:t>（</w:t>
      </w:r>
      <w:r>
        <w:rPr>
          <w:kern w:val="0"/>
        </w:rPr>
        <w:t>2</w:t>
      </w:r>
      <w:r>
        <w:rPr>
          <w:rFonts w:ascii="宋体" w:hAnsi="宋体"/>
          <w:kern w:val="0"/>
        </w:rPr>
        <w:t>）禁止施工人员对野生动物尤其是珍稀动物的滥捕滥杀，作好野生动物的保护工作。</w:t>
      </w:r>
    </w:p>
    <w:p>
      <w:pPr>
        <w:ind w:firstLine="480"/>
        <w:rPr>
          <w:kern w:val="0"/>
        </w:rPr>
      </w:pPr>
      <w:r>
        <w:rPr>
          <w:rFonts w:ascii="宋体" w:hAnsi="宋体"/>
          <w:kern w:val="0"/>
        </w:rPr>
        <w:t>（</w:t>
      </w:r>
      <w:r>
        <w:rPr>
          <w:kern w:val="0"/>
        </w:rPr>
        <w:t>3</w:t>
      </w:r>
      <w:r>
        <w:rPr>
          <w:rFonts w:ascii="宋体" w:hAnsi="宋体"/>
          <w:kern w:val="0"/>
        </w:rPr>
        <w:t>）施工期要加大对保护野生动物的宣传力度，大力宣传两栖、爬行动物、鸟类对农林卫生业的作用。蛙类、蜥蜴类和蛇类要吃掉大量的农林卫生业上害虫害鼠，对人类有益，应克服任意拘杀两栖、爬行动物和鸟类的恶习。</w:t>
      </w:r>
    </w:p>
    <w:p>
      <w:pPr>
        <w:ind w:firstLine="480"/>
        <w:rPr>
          <w:kern w:val="0"/>
        </w:rPr>
      </w:pPr>
      <w:r>
        <w:rPr>
          <w:rFonts w:ascii="宋体" w:hAnsi="宋体"/>
          <w:kern w:val="0"/>
        </w:rPr>
        <w:t>（</w:t>
      </w:r>
      <w:r>
        <w:rPr>
          <w:kern w:val="0"/>
        </w:rPr>
        <w:t>4</w:t>
      </w:r>
      <w:r>
        <w:rPr>
          <w:rFonts w:ascii="宋体" w:hAnsi="宋体"/>
          <w:kern w:val="0"/>
        </w:rPr>
        <w:t>）对施工期处于繁殖</w:t>
      </w:r>
      <w:r>
        <w:rPr>
          <w:rFonts w:hint="eastAsia" w:ascii="宋体" w:hAnsi="宋体"/>
          <w:kern w:val="0"/>
        </w:rPr>
        <w:t>期</w:t>
      </w:r>
      <w:r>
        <w:rPr>
          <w:rFonts w:ascii="宋体" w:hAnsi="宋体"/>
          <w:kern w:val="0"/>
        </w:rPr>
        <w:t>的动物，在车辆行驶中，遇见动物通过时，应避让。施工结束后，应采取相应的恢复替代措施，如对破坏植被的恢复等。</w:t>
      </w:r>
    </w:p>
    <w:p>
      <w:pPr>
        <w:ind w:firstLine="480"/>
        <w:rPr>
          <w:kern w:val="0"/>
        </w:rPr>
      </w:pPr>
      <w:r>
        <w:rPr>
          <w:rFonts w:ascii="宋体" w:hAnsi="宋体"/>
          <w:kern w:val="0"/>
        </w:rPr>
        <w:t>（</w:t>
      </w:r>
      <w:r>
        <w:rPr>
          <w:kern w:val="0"/>
        </w:rPr>
        <w:t>5</w:t>
      </w:r>
      <w:r>
        <w:rPr>
          <w:rFonts w:ascii="宋体" w:hAnsi="宋体"/>
          <w:kern w:val="0"/>
        </w:rPr>
        <w:t>）对水生生物的保护措施为：施工用料的堆放应远离水源和其他水体，选择暴雨径流难以冲刷的地方。防止被暴雨径流带入水体，影响水质，各类材料应备有防雨遮雨设施。</w:t>
      </w:r>
    </w:p>
    <w:p>
      <w:pPr>
        <w:pStyle w:val="6"/>
      </w:pPr>
      <w:r>
        <w:rPr>
          <w:rFonts w:hint="eastAsia"/>
        </w:rPr>
        <w:t xml:space="preserve"> </w:t>
      </w:r>
      <w:r>
        <w:t>景观影响减缓措施</w:t>
      </w:r>
    </w:p>
    <w:p>
      <w:pPr>
        <w:ind w:firstLine="480"/>
        <w:rPr>
          <w:rFonts w:cs="Times New Roman"/>
          <w:kern w:val="0"/>
          <w:szCs w:val="24"/>
        </w:rPr>
      </w:pPr>
      <w:r>
        <w:rPr>
          <w:rFonts w:ascii="宋体" w:hAnsi="宋体"/>
          <w:kern w:val="0"/>
        </w:rPr>
        <w:t>（</w:t>
      </w:r>
      <w:r>
        <w:rPr>
          <w:kern w:val="0"/>
        </w:rPr>
        <w:t>1</w:t>
      </w:r>
      <w:r>
        <w:rPr>
          <w:rFonts w:ascii="宋体" w:hAnsi="宋体"/>
          <w:kern w:val="0"/>
        </w:rPr>
        <w:t>）施工过程中，文明施工，有序作业，减少临时占地面积，尽量减少农作物的损失。</w:t>
      </w:r>
    </w:p>
    <w:p>
      <w:pPr>
        <w:ind w:firstLine="480"/>
        <w:rPr>
          <w:kern w:val="0"/>
        </w:rPr>
      </w:pPr>
      <w:r>
        <w:rPr>
          <w:rFonts w:ascii="宋体" w:hAnsi="宋体"/>
          <w:kern w:val="0"/>
        </w:rPr>
        <w:t>（</w:t>
      </w:r>
      <w:r>
        <w:rPr>
          <w:kern w:val="0"/>
        </w:rPr>
        <w:t>2</w:t>
      </w:r>
      <w:r>
        <w:rPr>
          <w:rFonts w:ascii="宋体" w:hAnsi="宋体"/>
          <w:kern w:val="0"/>
        </w:rPr>
        <w:t>）在遇到确定为环境敏感点的区域时，施工人员、施工车辆以及各种设备应按规定的路线行驶、操作，不得随意破坏道路等设施。</w:t>
      </w:r>
    </w:p>
    <w:p>
      <w:pPr>
        <w:ind w:firstLine="480"/>
        <w:rPr>
          <w:kern w:val="0"/>
        </w:rPr>
      </w:pPr>
      <w:r>
        <w:rPr>
          <w:rFonts w:ascii="宋体" w:hAnsi="宋体"/>
          <w:kern w:val="0"/>
        </w:rPr>
        <w:t>（</w:t>
      </w:r>
      <w:r>
        <w:rPr>
          <w:kern w:val="0"/>
        </w:rPr>
        <w:t>3</w:t>
      </w:r>
      <w:r>
        <w:rPr>
          <w:rFonts w:ascii="宋体" w:hAnsi="宋体"/>
          <w:kern w:val="0"/>
        </w:rPr>
        <w:t>）对必须要毁坏的树木，予以经济补偿或者是易地种植，种植地通常可选择在公路两旁、河渠两侧等。</w:t>
      </w:r>
    </w:p>
    <w:p>
      <w:pPr>
        <w:ind w:firstLine="480"/>
        <w:rPr>
          <w:kern w:val="0"/>
        </w:rPr>
      </w:pPr>
      <w:r>
        <w:rPr>
          <w:rFonts w:ascii="宋体" w:hAnsi="宋体"/>
          <w:kern w:val="0"/>
        </w:rPr>
        <w:t>（</w:t>
      </w:r>
      <w:r>
        <w:rPr>
          <w:kern w:val="0"/>
        </w:rPr>
        <w:t>4</w:t>
      </w:r>
      <w:r>
        <w:rPr>
          <w:rFonts w:ascii="宋体" w:hAnsi="宋体"/>
          <w:kern w:val="0"/>
        </w:rPr>
        <w:t>）尽量缩短施工期，使土壤暴露时间缩短，并快速回填。</w:t>
      </w:r>
    </w:p>
    <w:p>
      <w:pPr>
        <w:ind w:firstLine="480"/>
        <w:rPr>
          <w:kern w:val="0"/>
        </w:rPr>
      </w:pPr>
      <w:r>
        <w:rPr>
          <w:rFonts w:ascii="宋体" w:hAnsi="宋体"/>
          <w:kern w:val="0"/>
        </w:rPr>
        <w:t>（</w:t>
      </w:r>
      <w:r>
        <w:rPr>
          <w:kern w:val="0"/>
        </w:rPr>
        <w:t>5</w:t>
      </w:r>
      <w:r>
        <w:rPr>
          <w:rFonts w:ascii="宋体" w:hAnsi="宋体"/>
          <w:kern w:val="0"/>
        </w:rPr>
        <w:t>）管道穿越公路等敏感区段时，施工期必须采取防护措施，如开挖面支撑；施工结束后，立即采取防护措施，如人工绿化、水泥护坡等。</w:t>
      </w:r>
    </w:p>
    <w:p>
      <w:pPr>
        <w:ind w:firstLine="480"/>
      </w:pPr>
      <w:r>
        <w:rPr>
          <w:rFonts w:ascii="宋体" w:hAnsi="宋体"/>
          <w:kern w:val="0"/>
        </w:rPr>
        <w:t>（</w:t>
      </w:r>
      <w:r>
        <w:rPr>
          <w:kern w:val="0"/>
        </w:rPr>
        <w:t>6</w:t>
      </w:r>
      <w:r>
        <w:rPr>
          <w:rFonts w:ascii="宋体" w:hAnsi="宋体"/>
          <w:kern w:val="0"/>
        </w:rPr>
        <w:t>）临时堆放场应选择较平整的场地，且场地使用后尽快恢复植被。</w:t>
      </w:r>
    </w:p>
    <w:p>
      <w:pPr>
        <w:pStyle w:val="6"/>
        <w:rPr>
          <w:rFonts w:cs="Times New Roman"/>
        </w:rPr>
      </w:pPr>
      <w:r>
        <w:t xml:space="preserve"> 水土流失防治措施</w:t>
      </w:r>
    </w:p>
    <w:p>
      <w:pPr>
        <w:ind w:firstLine="480"/>
        <w:rPr>
          <w:rFonts w:cs="Times New Roman"/>
          <w:kern w:val="0"/>
          <w:szCs w:val="24"/>
        </w:rPr>
      </w:pPr>
      <w:r>
        <w:rPr>
          <w:rFonts w:ascii="宋体" w:hAnsi="宋体"/>
          <w:kern w:val="0"/>
        </w:rPr>
        <w:t>（</w:t>
      </w:r>
      <w:r>
        <w:rPr>
          <w:kern w:val="0"/>
        </w:rPr>
        <w:t>1</w:t>
      </w:r>
      <w:r>
        <w:rPr>
          <w:rFonts w:ascii="宋体" w:hAnsi="宋体"/>
          <w:kern w:val="0"/>
        </w:rPr>
        <w:t>）尽量避开雨季施工；分段施工，做到随挖、随运、随铺、随压，尽量不留疏松地面，减少风蚀导致的水土流失。</w:t>
      </w:r>
    </w:p>
    <w:p>
      <w:pPr>
        <w:ind w:firstLine="480"/>
        <w:rPr>
          <w:kern w:val="0"/>
        </w:rPr>
      </w:pPr>
      <w:r>
        <w:rPr>
          <w:rFonts w:ascii="宋体" w:hAnsi="宋体"/>
          <w:kern w:val="0"/>
        </w:rPr>
        <w:t>（</w:t>
      </w:r>
      <w:r>
        <w:rPr>
          <w:kern w:val="0"/>
        </w:rPr>
        <w:t>2</w:t>
      </w:r>
      <w:r>
        <w:rPr>
          <w:rFonts w:ascii="宋体" w:hAnsi="宋体"/>
          <w:kern w:val="0"/>
        </w:rPr>
        <w:t>）划定施工作业带范围和路线，不随意扩大。并严格控制机械和车辆的作业范围，尽可能减少对土壤和农作物的破坏以及由此引发的水土流失。</w:t>
      </w:r>
    </w:p>
    <w:p>
      <w:pPr>
        <w:ind w:firstLine="480"/>
        <w:rPr>
          <w:kern w:val="0"/>
        </w:rPr>
      </w:pPr>
      <w:r>
        <w:rPr>
          <w:rFonts w:ascii="宋体" w:hAnsi="宋体"/>
          <w:kern w:val="0"/>
        </w:rPr>
        <w:t>（</w:t>
      </w:r>
      <w:r>
        <w:rPr>
          <w:kern w:val="0"/>
        </w:rPr>
        <w:t>3</w:t>
      </w:r>
      <w:r>
        <w:rPr>
          <w:rFonts w:ascii="宋体" w:hAnsi="宋体"/>
          <w:kern w:val="0"/>
        </w:rPr>
        <w:t>）提高工程施工效率，缩短施工工期。</w:t>
      </w:r>
    </w:p>
    <w:p>
      <w:pPr>
        <w:ind w:firstLine="480"/>
        <w:rPr>
          <w:kern w:val="0"/>
        </w:rPr>
      </w:pPr>
      <w:r>
        <w:rPr>
          <w:rFonts w:ascii="宋体" w:hAnsi="宋体"/>
          <w:kern w:val="0"/>
        </w:rPr>
        <w:t>（</w:t>
      </w:r>
      <w:r>
        <w:rPr>
          <w:kern w:val="0"/>
        </w:rPr>
        <w:t>4</w:t>
      </w:r>
      <w:r>
        <w:rPr>
          <w:rFonts w:ascii="宋体" w:hAnsi="宋体"/>
          <w:kern w:val="0"/>
        </w:rPr>
        <w:t>）施工时将禁止材料的随意堆放，划定统一的堆料</w:t>
      </w:r>
      <w:r>
        <w:rPr>
          <w:rFonts w:hint="eastAsia" w:ascii="宋体" w:hAnsi="宋体"/>
          <w:kern w:val="0"/>
        </w:rPr>
        <w:t>、堆管</w:t>
      </w:r>
      <w:r>
        <w:rPr>
          <w:rFonts w:ascii="宋体" w:hAnsi="宋体"/>
          <w:kern w:val="0"/>
        </w:rPr>
        <w:t>场，防止对植物破坏范围扩大。</w:t>
      </w:r>
    </w:p>
    <w:p>
      <w:pPr>
        <w:ind w:firstLine="480"/>
        <w:rPr>
          <w:rFonts w:ascii="宋体" w:hAnsi="宋体"/>
          <w:kern w:val="0"/>
        </w:rPr>
      </w:pPr>
      <w:r>
        <w:rPr>
          <w:rFonts w:ascii="宋体" w:hAnsi="宋体"/>
          <w:kern w:val="0"/>
        </w:rPr>
        <w:t>（</w:t>
      </w:r>
      <w:r>
        <w:rPr>
          <w:kern w:val="0"/>
        </w:rPr>
        <w:t>5</w:t>
      </w:r>
      <w:r>
        <w:rPr>
          <w:rFonts w:ascii="宋体" w:hAnsi="宋体"/>
          <w:kern w:val="0"/>
        </w:rPr>
        <w:t>）施工破坏的植被地带，施工结束后，及时恢复植被，减少水土流失。对于穿越的林地，管线敷设后，土方回填不仅遵循设计规范要求，还将遵循下石上土、下粗上细、肥沃的在上贫瘠的在下的原则。回填后管线两侧</w:t>
      </w:r>
      <w:r>
        <w:rPr>
          <w:kern w:val="0"/>
        </w:rPr>
        <w:t>5m</w:t>
      </w:r>
      <w:r>
        <w:rPr>
          <w:rFonts w:ascii="宋体" w:hAnsi="宋体"/>
          <w:kern w:val="0"/>
        </w:rPr>
        <w:t>范围内栽种根系不发达、生长性强的植被。对于耕地，施工结束后，遵循上述相同的原则，进行复耕。</w:t>
      </w:r>
    </w:p>
    <w:p>
      <w:pPr>
        <w:pStyle w:val="214"/>
        <w:ind w:firstLine="480"/>
      </w:pPr>
      <w:r>
        <w:rPr>
          <w:rFonts w:hint="eastAsia"/>
        </w:rPr>
        <w:t>（6）对滑坡、高陡边坡及松散堆积体等地质灾害进行治理，通过工程与生物措施相结合的方式，防止滑坡、坍塌等地质灾害的发生，减少水土流失量。</w:t>
      </w:r>
    </w:p>
    <w:p>
      <w:pPr>
        <w:pStyle w:val="4"/>
        <w:rPr>
          <w:rFonts w:cs="Times New Roman"/>
        </w:rPr>
      </w:pPr>
      <w:r>
        <w:rPr>
          <w:rFonts w:cs="Times New Roman"/>
        </w:rPr>
        <w:t xml:space="preserve"> </w:t>
      </w:r>
      <w:bookmarkStart w:id="345" w:name="_Toc96680771"/>
      <w:r>
        <w:rPr>
          <w:rFonts w:hint="eastAsia" w:cs="Times New Roman"/>
        </w:rPr>
        <w:t>运营</w:t>
      </w:r>
      <w:r>
        <w:rPr>
          <w:rFonts w:cs="Times New Roman"/>
        </w:rPr>
        <w:t>期</w:t>
      </w:r>
      <w:r>
        <w:rPr>
          <w:rFonts w:hint="eastAsia" w:cs="Times New Roman"/>
        </w:rPr>
        <w:t>环境影响</w:t>
      </w:r>
      <w:r>
        <w:rPr>
          <w:rFonts w:cs="Times New Roman"/>
        </w:rPr>
        <w:t>减缓措施</w:t>
      </w:r>
      <w:bookmarkEnd w:id="345"/>
    </w:p>
    <w:p>
      <w:pPr>
        <w:pStyle w:val="5"/>
      </w:pPr>
      <w:r>
        <w:t xml:space="preserve"> </w:t>
      </w:r>
      <w:bookmarkStart w:id="346" w:name="_Toc96680772"/>
      <w:r>
        <w:rPr>
          <w:rFonts w:hint="eastAsia"/>
        </w:rPr>
        <w:t>运营</w:t>
      </w:r>
      <w:r>
        <w:t>期</w:t>
      </w:r>
      <w:r>
        <w:rPr>
          <w:rFonts w:hint="eastAsia"/>
        </w:rPr>
        <w:t>污染防治</w:t>
      </w:r>
      <w:r>
        <w:t>措施</w:t>
      </w:r>
      <w:bookmarkEnd w:id="346"/>
    </w:p>
    <w:p>
      <w:pPr>
        <w:ind w:firstLine="480"/>
        <w:rPr>
          <w:rFonts w:cs="Times New Roman"/>
          <w:kern w:val="0"/>
          <w:szCs w:val="24"/>
        </w:rPr>
      </w:pPr>
      <w:r>
        <w:rPr>
          <w:rFonts w:ascii="宋体" w:hAnsi="宋体"/>
          <w:kern w:val="0"/>
        </w:rPr>
        <w:t>项目建成后由建设单位统一调配人员管理，不新增劳动定员，因此，本项目无新增生活废水、生活垃圾；管道采用埋地敷设，噪声可忽略不计。</w:t>
      </w:r>
    </w:p>
    <w:p>
      <w:pPr>
        <w:ind w:firstLine="480"/>
        <w:rPr>
          <w:kern w:val="0"/>
        </w:rPr>
      </w:pPr>
      <w:r>
        <w:rPr>
          <w:rFonts w:ascii="宋体" w:hAnsi="宋体"/>
          <w:kern w:val="0"/>
        </w:rPr>
        <w:t>项目输送的天然气为净化天然气，在正常情况下无废气产生，仅在清管、检修以及事故状况下会产生废气，此部分废气依托</w:t>
      </w:r>
      <w:r>
        <w:rPr>
          <w:rFonts w:hint="eastAsia" w:ascii="宋体" w:hAnsi="宋体"/>
          <w:kern w:val="0"/>
        </w:rPr>
        <w:t>草池增压站</w:t>
      </w:r>
      <w:r>
        <w:rPr>
          <w:rFonts w:ascii="宋体" w:hAnsi="宋体"/>
          <w:kern w:val="0"/>
        </w:rPr>
        <w:t>设置的放</w:t>
      </w:r>
      <w:r>
        <w:rPr>
          <w:rFonts w:hint="eastAsia" w:ascii="宋体" w:hAnsi="宋体"/>
          <w:kern w:val="0"/>
        </w:rPr>
        <w:t>孔</w:t>
      </w:r>
      <w:r>
        <w:rPr>
          <w:rFonts w:ascii="宋体" w:hAnsi="宋体"/>
          <w:kern w:val="0"/>
        </w:rPr>
        <w:t>管进行</w:t>
      </w:r>
      <w:r>
        <w:rPr>
          <w:rFonts w:hint="eastAsia" w:ascii="宋体" w:hAnsi="宋体"/>
          <w:kern w:val="0"/>
        </w:rPr>
        <w:t>燃烧放空</w:t>
      </w:r>
      <w:r>
        <w:rPr>
          <w:rFonts w:ascii="宋体" w:hAnsi="宋体"/>
          <w:kern w:val="0"/>
        </w:rPr>
        <w:t>。</w:t>
      </w:r>
    </w:p>
    <w:p>
      <w:pPr>
        <w:ind w:firstLine="480"/>
      </w:pPr>
      <w:r>
        <w:rPr>
          <w:rFonts w:ascii="宋体" w:hAnsi="宋体"/>
          <w:kern w:val="0"/>
        </w:rPr>
        <w:t>从以往同类管道站场的验收评价来看，以上环境空气污染防治措施可行，工程运行后，所在区域的环境空气质量不会低于现有功能。依托站场的放</w:t>
      </w:r>
      <w:r>
        <w:rPr>
          <w:rFonts w:hint="eastAsia" w:ascii="宋体" w:hAnsi="宋体"/>
          <w:kern w:val="0"/>
        </w:rPr>
        <w:t>空</w:t>
      </w:r>
      <w:r>
        <w:rPr>
          <w:rFonts w:ascii="宋体" w:hAnsi="宋体"/>
          <w:kern w:val="0"/>
        </w:rPr>
        <w:t>管高度设置为</w:t>
      </w:r>
      <w:r>
        <w:rPr>
          <w:kern w:val="0"/>
        </w:rPr>
        <w:t>15m</w:t>
      </w:r>
      <w:r>
        <w:rPr>
          <w:rFonts w:ascii="宋体" w:hAnsi="宋体"/>
          <w:kern w:val="0"/>
        </w:rPr>
        <w:t>是合理的，作为大气环境保护措施具有经济技术可行性。</w:t>
      </w:r>
    </w:p>
    <w:p>
      <w:pPr>
        <w:pStyle w:val="5"/>
        <w:rPr>
          <w:rFonts w:cs="Times New Roman"/>
        </w:rPr>
      </w:pPr>
      <w:r>
        <w:rPr>
          <w:rFonts w:cs="Times New Roman"/>
        </w:rPr>
        <w:t xml:space="preserve"> </w:t>
      </w:r>
      <w:bookmarkStart w:id="347" w:name="_Toc96680773"/>
      <w:r>
        <w:rPr>
          <w:rFonts w:cs="Times New Roman"/>
        </w:rPr>
        <w:t>运营期</w:t>
      </w:r>
      <w:r>
        <w:rPr>
          <w:rFonts w:hint="eastAsia" w:cs="Times New Roman"/>
        </w:rPr>
        <w:t>生态环境</w:t>
      </w:r>
      <w:r>
        <w:rPr>
          <w:rFonts w:cs="Times New Roman"/>
        </w:rPr>
        <w:t>影响减缓措施</w:t>
      </w:r>
      <w:bookmarkEnd w:id="347"/>
    </w:p>
    <w:p>
      <w:pPr>
        <w:ind w:firstLine="480"/>
        <w:rPr>
          <w:rFonts w:cs="Times New Roman"/>
          <w:kern w:val="0"/>
          <w:szCs w:val="24"/>
        </w:rPr>
      </w:pPr>
      <w:r>
        <w:rPr>
          <w:rFonts w:hint="eastAsia"/>
          <w:kern w:val="0"/>
        </w:rPr>
        <w:t>（1）</w:t>
      </w:r>
      <w:r>
        <w:rPr>
          <w:rFonts w:ascii="宋体" w:hAnsi="宋体"/>
          <w:kern w:val="0"/>
        </w:rPr>
        <w:t>项目运行期，在管道沿线区域要加强对临时占地区域的植被恢复工程</w:t>
      </w:r>
      <w:r>
        <w:rPr>
          <w:rFonts w:hint="eastAsia" w:ascii="宋体" w:hAnsi="宋体"/>
          <w:kern w:val="0"/>
        </w:rPr>
        <w:t>监测</w:t>
      </w:r>
      <w:r>
        <w:rPr>
          <w:rFonts w:ascii="宋体" w:hAnsi="宋体"/>
          <w:kern w:val="0"/>
        </w:rPr>
        <w:t>，发现植被恢复受阻，如死亡的林木等，要进行植被的补植补种；森林的管护和抚育，提供森林植被的水源涵养能力，针对管线建设所形成的廊道，应制定严格的管理措施，严格限制人员进入廊道实施与管道管理和森林保护无关的活动。</w:t>
      </w:r>
    </w:p>
    <w:p>
      <w:pPr>
        <w:ind w:firstLine="480"/>
        <w:rPr>
          <w:kern w:val="0"/>
        </w:rPr>
      </w:pPr>
      <w:r>
        <w:rPr>
          <w:rFonts w:hint="eastAsia"/>
          <w:kern w:val="0"/>
        </w:rPr>
        <w:t>（2）</w:t>
      </w:r>
      <w:r>
        <w:rPr>
          <w:rFonts w:ascii="宋体" w:hAnsi="宋体"/>
          <w:kern w:val="0"/>
        </w:rPr>
        <w:t>在项目区内特别是在林地区域内设置告示牌和警告牌，宣传保护野生动物及其栖息地生态环境，加强公众的野生动物保护和生态环境的保护意识教育。</w:t>
      </w:r>
    </w:p>
    <w:p>
      <w:pPr>
        <w:ind w:firstLine="480"/>
        <w:rPr>
          <w:rFonts w:cs="Times New Roman"/>
        </w:rPr>
      </w:pPr>
      <w:r>
        <w:rPr>
          <w:rFonts w:hint="eastAsia"/>
          <w:kern w:val="0"/>
        </w:rPr>
        <w:t>（3）</w:t>
      </w:r>
      <w:r>
        <w:rPr>
          <w:rFonts w:ascii="宋体" w:hAnsi="宋体"/>
          <w:kern w:val="0"/>
        </w:rPr>
        <w:t>加强对项目区内的生态保护，严格按照相关的规章制度执行。</w:t>
      </w:r>
    </w:p>
    <w:p>
      <w:pPr>
        <w:pStyle w:val="5"/>
        <w:rPr>
          <w:rFonts w:cs="Times New Roman"/>
        </w:rPr>
      </w:pPr>
      <w:r>
        <w:rPr>
          <w:rFonts w:cs="Times New Roman"/>
        </w:rPr>
        <w:t xml:space="preserve"> </w:t>
      </w:r>
      <w:bookmarkStart w:id="348" w:name="_Toc96680774"/>
      <w:r>
        <w:rPr>
          <w:rFonts w:hint="eastAsia" w:cs="Times New Roman"/>
        </w:rPr>
        <w:t>运营期天然气</w:t>
      </w:r>
      <w:r>
        <w:rPr>
          <w:rFonts w:cs="Times New Roman"/>
        </w:rPr>
        <w:t>管线保护措施</w:t>
      </w:r>
      <w:bookmarkEnd w:id="348"/>
    </w:p>
    <w:p>
      <w:pPr>
        <w:ind w:firstLine="482"/>
        <w:rPr>
          <w:rFonts w:cs="Times New Roman"/>
          <w:b/>
          <w:bCs/>
          <w:kern w:val="0"/>
          <w:szCs w:val="24"/>
        </w:rPr>
      </w:pPr>
      <w:r>
        <w:rPr>
          <w:rFonts w:hint="eastAsia"/>
          <w:b/>
          <w:bCs/>
          <w:kern w:val="0"/>
        </w:rPr>
        <w:t>（1）</w:t>
      </w:r>
      <w:r>
        <w:rPr>
          <w:rFonts w:ascii="宋体" w:hAnsi="宋体"/>
          <w:b/>
          <w:bCs/>
          <w:kern w:val="0"/>
        </w:rPr>
        <w:t>天然气管道与建筑构筑物的安全间距</w:t>
      </w:r>
    </w:p>
    <w:p>
      <w:pPr>
        <w:ind w:firstLine="480"/>
        <w:rPr>
          <w:kern w:val="0"/>
        </w:rPr>
      </w:pPr>
      <w:r>
        <w:rPr>
          <w:rFonts w:ascii="宋体" w:hAnsi="宋体"/>
          <w:kern w:val="0"/>
        </w:rPr>
        <w:t>天然气管道施工过程中，应与其周围的设施、建构筑物等保持一定安全间距。以确保管线的施工及运行不会对设施、建构筑物等产生破坏，同时，也可以防止设施、建构筑物等对管道产生影响或降低影响程度。</w:t>
      </w:r>
    </w:p>
    <w:p>
      <w:pPr>
        <w:ind w:firstLine="480"/>
        <w:rPr>
          <w:kern w:val="0"/>
        </w:rPr>
      </w:pPr>
      <w:r>
        <w:rPr>
          <w:rFonts w:ascii="宋体" w:hAnsi="宋体"/>
          <w:kern w:val="0"/>
        </w:rPr>
        <w:t>《输气管道工程设计规范》（</w:t>
      </w:r>
      <w:r>
        <w:rPr>
          <w:kern w:val="0"/>
        </w:rPr>
        <w:t>GB50251-2015</w:t>
      </w:r>
      <w:r>
        <w:rPr>
          <w:rFonts w:ascii="宋体" w:hAnsi="宋体"/>
          <w:kern w:val="0"/>
        </w:rPr>
        <w:t>）没有明确规定管道与建构筑物的安全间距。根据《中华人民共和国石油天然气管道保护法》第三十条的规定，在管道线路中心线两侧各</w:t>
      </w:r>
      <w:r>
        <w:rPr>
          <w:kern w:val="0"/>
        </w:rPr>
        <w:t>5m</w:t>
      </w:r>
      <w:r>
        <w:rPr>
          <w:rFonts w:ascii="宋体" w:hAnsi="宋体"/>
          <w:kern w:val="0"/>
        </w:rPr>
        <w:t>地域范围内，禁止下列危害管道安全的行为：</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1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①</w:t>
      </w:r>
      <w:r>
        <w:rPr>
          <w:rFonts w:ascii="宋体" w:hAnsi="宋体"/>
          <w:kern w:val="0"/>
        </w:rPr>
        <w:fldChar w:fldCharType="end"/>
      </w:r>
      <w:r>
        <w:rPr>
          <w:rFonts w:ascii="宋体" w:hAnsi="宋体"/>
          <w:kern w:val="0"/>
        </w:rPr>
        <w:t>种植乔木、灌木、藤类、芦苇、竹子或者其他根系深达管道埋设部位可能损坏管道防腐层的深根植物；</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2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②</w:t>
      </w:r>
      <w:r>
        <w:rPr>
          <w:rFonts w:ascii="宋体" w:hAnsi="宋体"/>
          <w:kern w:val="0"/>
        </w:rPr>
        <w:fldChar w:fldCharType="end"/>
      </w:r>
      <w:r>
        <w:rPr>
          <w:rFonts w:ascii="宋体" w:hAnsi="宋体"/>
          <w:kern w:val="0"/>
        </w:rPr>
        <w:t>取土、采石、用火、堆放重物、排放腐蚀性物质、使用机械工具进行挖掘施工；</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3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③</w:t>
      </w:r>
      <w:r>
        <w:rPr>
          <w:rFonts w:ascii="宋体" w:hAnsi="宋体"/>
          <w:kern w:val="0"/>
        </w:rPr>
        <w:fldChar w:fldCharType="end"/>
      </w:r>
      <w:r>
        <w:rPr>
          <w:rFonts w:ascii="宋体" w:hAnsi="宋体"/>
          <w:kern w:val="0"/>
        </w:rPr>
        <w:t>挖塘、修渠、修晒场、修建水产养殖场、建温室、建家畜棚圈、建房以及修建其他建筑物、构筑物。</w:t>
      </w:r>
    </w:p>
    <w:p>
      <w:pPr>
        <w:ind w:firstLine="480"/>
        <w:rPr>
          <w:kern w:val="0"/>
        </w:rPr>
      </w:pPr>
      <w:r>
        <w:rPr>
          <w:rFonts w:ascii="宋体" w:hAnsi="宋体"/>
          <w:kern w:val="0"/>
        </w:rPr>
        <w:t>对于独立的民房或建构筑物，安全间距不小于</w:t>
      </w:r>
      <w:r>
        <w:rPr>
          <w:kern w:val="0"/>
        </w:rPr>
        <w:t>5m</w:t>
      </w:r>
      <w:r>
        <w:rPr>
          <w:rFonts w:ascii="宋体" w:hAnsi="宋体"/>
          <w:kern w:val="0"/>
        </w:rPr>
        <w:t>；对于密集居民区或建构筑物群，按照间距不小于</w:t>
      </w:r>
      <w:r>
        <w:rPr>
          <w:kern w:val="0"/>
        </w:rPr>
        <w:t>30m</w:t>
      </w:r>
      <w:r>
        <w:rPr>
          <w:rFonts w:ascii="宋体" w:hAnsi="宋体"/>
          <w:kern w:val="0"/>
        </w:rPr>
        <w:t>执行。</w:t>
      </w:r>
    </w:p>
    <w:p>
      <w:pPr>
        <w:ind w:firstLine="482"/>
        <w:rPr>
          <w:b/>
          <w:bCs/>
          <w:kern w:val="0"/>
        </w:rPr>
      </w:pPr>
      <w:r>
        <w:rPr>
          <w:rFonts w:hint="eastAsia"/>
          <w:b/>
          <w:bCs/>
          <w:kern w:val="0"/>
        </w:rPr>
        <w:t>（2）</w:t>
      </w:r>
      <w:r>
        <w:rPr>
          <w:rFonts w:ascii="宋体" w:hAnsi="宋体"/>
          <w:b/>
          <w:bCs/>
          <w:kern w:val="0"/>
        </w:rPr>
        <w:t>管道与公路并行的安全间距</w:t>
      </w:r>
    </w:p>
    <w:p>
      <w:pPr>
        <w:ind w:firstLine="480"/>
        <w:rPr>
          <w:kern w:val="0"/>
        </w:rPr>
      </w:pPr>
      <w:r>
        <w:rPr>
          <w:rFonts w:ascii="宋体" w:hAnsi="宋体"/>
          <w:kern w:val="0"/>
        </w:rPr>
        <w:t>按照《关于规范公路桥梁与石油天然气管道交叉工程管理的通知》规定，在管道附近有新（改）建公路时，油、气管道的中心线与公路用地范围、边线之间应保持</w:t>
      </w:r>
      <w:r>
        <w:rPr>
          <w:kern w:val="0"/>
        </w:rPr>
        <w:t>20m</w:t>
      </w:r>
      <w:r>
        <w:rPr>
          <w:rFonts w:ascii="宋体" w:hAnsi="宋体"/>
          <w:kern w:val="0"/>
        </w:rPr>
        <w:t>安全间距。油、气管道防护带为管线中心算起，两侧各</w:t>
      </w:r>
      <w:r>
        <w:rPr>
          <w:kern w:val="0"/>
        </w:rPr>
        <w:t>5m</w:t>
      </w:r>
      <w:r>
        <w:rPr>
          <w:rFonts w:ascii="宋体" w:hAnsi="宋体"/>
          <w:kern w:val="0"/>
        </w:rPr>
        <w:t>的范围。</w:t>
      </w:r>
    </w:p>
    <w:p>
      <w:pPr>
        <w:ind w:firstLine="482"/>
        <w:rPr>
          <w:b/>
          <w:bCs/>
          <w:kern w:val="0"/>
        </w:rPr>
      </w:pPr>
      <w:r>
        <w:rPr>
          <w:rFonts w:hint="eastAsia"/>
          <w:b/>
          <w:bCs/>
          <w:kern w:val="0"/>
        </w:rPr>
        <w:t>（3）</w:t>
      </w:r>
      <w:r>
        <w:rPr>
          <w:rFonts w:ascii="宋体" w:hAnsi="宋体"/>
          <w:b/>
          <w:bCs/>
          <w:kern w:val="0"/>
        </w:rPr>
        <w:t>管道与桥梁和电力线路的安全间距</w:t>
      </w:r>
    </w:p>
    <w:p>
      <w:pPr>
        <w:ind w:firstLine="480"/>
        <w:rPr>
          <w:kern w:val="0"/>
        </w:rPr>
      </w:pPr>
      <w:r>
        <w:rPr>
          <w:rFonts w:ascii="宋体" w:hAnsi="宋体"/>
          <w:kern w:val="0"/>
        </w:rPr>
        <w:t>本项目与电力线路并行敷设的间距符合《</w:t>
      </w:r>
      <w:r>
        <w:rPr>
          <w:kern w:val="0"/>
        </w:rPr>
        <w:t>66kV</w:t>
      </w:r>
      <w:r>
        <w:rPr>
          <w:rFonts w:ascii="宋体" w:hAnsi="宋体"/>
          <w:kern w:val="0"/>
        </w:rPr>
        <w:t>以下及架空电力线路设计规范》（</w:t>
      </w:r>
      <w:r>
        <w:rPr>
          <w:kern w:val="0"/>
        </w:rPr>
        <w:t>GB50061-2010</w:t>
      </w:r>
      <w:r>
        <w:rPr>
          <w:rFonts w:ascii="宋体" w:hAnsi="宋体"/>
          <w:kern w:val="0"/>
        </w:rPr>
        <w:t>）、《</w:t>
      </w:r>
      <w:r>
        <w:rPr>
          <w:kern w:val="0"/>
        </w:rPr>
        <w:t>110~500kV</w:t>
      </w:r>
      <w:r>
        <w:rPr>
          <w:rFonts w:ascii="宋体" w:hAnsi="宋体"/>
          <w:kern w:val="0"/>
        </w:rPr>
        <w:t>架空送电线路设计技术规程》（</w:t>
      </w:r>
      <w:r>
        <w:rPr>
          <w:kern w:val="0"/>
        </w:rPr>
        <w:t>DL/T 5092-1999</w:t>
      </w:r>
      <w:r>
        <w:rPr>
          <w:rFonts w:ascii="宋体" w:hAnsi="宋体"/>
          <w:kern w:val="0"/>
        </w:rPr>
        <w:t>）和《钢质管道外腐蚀控制规范》（</w:t>
      </w:r>
      <w:r>
        <w:rPr>
          <w:kern w:val="0"/>
        </w:rPr>
        <w:t>GB/T 21447-2008</w:t>
      </w:r>
      <w:r>
        <w:rPr>
          <w:rFonts w:ascii="宋体" w:hAnsi="宋体"/>
          <w:kern w:val="0"/>
        </w:rPr>
        <w:t>）中规定执行，但在条件允许的情况下，尽量保持最高杆（塔）高的间距要求。</w:t>
      </w:r>
    </w:p>
    <w:p>
      <w:pPr>
        <w:pStyle w:val="227"/>
        <w:ind w:left="2880"/>
        <w:rPr>
          <w:kern w:val="0"/>
        </w:rPr>
      </w:pPr>
      <w:r>
        <w:rPr>
          <w:rFonts w:ascii="楷体" w:hAnsi="楷体"/>
        </w:rPr>
        <w:t>表</w:t>
      </w:r>
      <w:r>
        <w:t xml:space="preserve">9.2-1 </w:t>
      </w:r>
      <w:r>
        <w:rPr>
          <w:rFonts w:ascii="楷体" w:hAnsi="楷体"/>
        </w:rPr>
        <w:t>天然气管道安全间距一览表</w:t>
      </w:r>
    </w:p>
    <w:tbl>
      <w:tblPr>
        <w:tblStyle w:val="2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2836"/>
        <w:gridCol w:w="31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7" w:type="pct"/>
            <w:tcBorders>
              <w:top w:val="single" w:color="auto" w:sz="12" w:space="0"/>
              <w:left w:val="nil"/>
              <w:bottom w:val="single" w:color="auto" w:sz="4" w:space="0"/>
              <w:right w:val="single" w:color="auto" w:sz="4" w:space="0"/>
            </w:tcBorders>
            <w:vAlign w:val="center"/>
          </w:tcPr>
          <w:p>
            <w:pPr>
              <w:pStyle w:val="63"/>
              <w:rPr>
                <w:b/>
              </w:rPr>
            </w:pPr>
            <w:r>
              <w:rPr>
                <w:b/>
              </w:rPr>
              <w:t>项目</w:t>
            </w:r>
          </w:p>
        </w:tc>
        <w:tc>
          <w:tcPr>
            <w:tcW w:w="1664" w:type="pct"/>
            <w:tcBorders>
              <w:top w:val="single" w:color="auto" w:sz="12" w:space="0"/>
              <w:left w:val="single" w:color="auto" w:sz="4" w:space="0"/>
              <w:bottom w:val="single" w:color="auto" w:sz="4" w:space="0"/>
              <w:right w:val="single" w:color="auto" w:sz="4" w:space="0"/>
            </w:tcBorders>
            <w:vAlign w:val="center"/>
          </w:tcPr>
          <w:p>
            <w:pPr>
              <w:pStyle w:val="63"/>
              <w:rPr>
                <w:b/>
              </w:rPr>
            </w:pPr>
            <w:r>
              <w:rPr>
                <w:b/>
              </w:rPr>
              <w:t>要求</w:t>
            </w:r>
          </w:p>
        </w:tc>
        <w:tc>
          <w:tcPr>
            <w:tcW w:w="1859" w:type="pct"/>
            <w:tcBorders>
              <w:top w:val="single" w:color="auto" w:sz="12" w:space="0"/>
              <w:left w:val="single" w:color="auto" w:sz="4" w:space="0"/>
              <w:bottom w:val="single" w:color="auto" w:sz="4" w:space="0"/>
              <w:right w:val="nil"/>
            </w:tcBorders>
            <w:vAlign w:val="center"/>
          </w:tcPr>
          <w:p>
            <w:pPr>
              <w:pStyle w:val="63"/>
              <w:rPr>
                <w:b/>
              </w:rPr>
            </w:pPr>
            <w:r>
              <w:rPr>
                <w:b/>
              </w:rPr>
              <w:t>安全间距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7" w:type="pct"/>
            <w:vMerge w:val="restart"/>
            <w:tcBorders>
              <w:top w:val="single" w:color="auto" w:sz="4" w:space="0"/>
              <w:left w:val="nil"/>
              <w:bottom w:val="single" w:color="auto" w:sz="4" w:space="0"/>
              <w:right w:val="single" w:color="auto" w:sz="4" w:space="0"/>
            </w:tcBorders>
            <w:vAlign w:val="center"/>
          </w:tcPr>
          <w:p>
            <w:pPr>
              <w:pStyle w:val="63"/>
            </w:pPr>
            <w:r>
              <w:t>管道与建构筑物的安全间距</w:t>
            </w:r>
          </w:p>
        </w:tc>
        <w:tc>
          <w:tcPr>
            <w:tcW w:w="1664" w:type="pct"/>
            <w:tcBorders>
              <w:top w:val="single" w:color="auto" w:sz="4" w:space="0"/>
              <w:left w:val="single" w:color="auto" w:sz="4" w:space="0"/>
              <w:bottom w:val="single" w:color="auto" w:sz="4" w:space="0"/>
              <w:right w:val="single" w:color="auto" w:sz="4" w:space="0"/>
            </w:tcBorders>
            <w:vAlign w:val="center"/>
          </w:tcPr>
          <w:p>
            <w:pPr>
              <w:pStyle w:val="63"/>
            </w:pPr>
            <w:r>
              <w:t>独立的民房或建构筑物</w:t>
            </w:r>
          </w:p>
        </w:tc>
        <w:tc>
          <w:tcPr>
            <w:tcW w:w="1859" w:type="pct"/>
            <w:tcBorders>
              <w:top w:val="single" w:color="auto" w:sz="4" w:space="0"/>
              <w:left w:val="single" w:color="auto" w:sz="4" w:space="0"/>
              <w:bottom w:val="single" w:color="auto" w:sz="4" w:space="0"/>
              <w:right w:val="nil"/>
            </w:tcBorders>
            <w:vAlign w:val="center"/>
          </w:tcPr>
          <w:p>
            <w:pPr>
              <w:pStyle w:val="63"/>
            </w:pPr>
            <w:r>
              <w:t>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7" w:type="pct"/>
            <w:vMerge w:val="continue"/>
            <w:tcBorders>
              <w:top w:val="single" w:color="auto" w:sz="4" w:space="0"/>
              <w:left w:val="nil"/>
              <w:bottom w:val="single" w:color="auto" w:sz="4" w:space="0"/>
              <w:right w:val="single" w:color="auto" w:sz="4" w:space="0"/>
            </w:tcBorders>
            <w:vAlign w:val="center"/>
          </w:tcPr>
          <w:p>
            <w:pPr>
              <w:pStyle w:val="63"/>
            </w:pPr>
          </w:p>
        </w:tc>
        <w:tc>
          <w:tcPr>
            <w:tcW w:w="1664" w:type="pct"/>
            <w:tcBorders>
              <w:top w:val="single" w:color="auto" w:sz="4" w:space="0"/>
              <w:left w:val="single" w:color="auto" w:sz="4" w:space="0"/>
              <w:bottom w:val="single" w:color="auto" w:sz="4" w:space="0"/>
              <w:right w:val="single" w:color="auto" w:sz="4" w:space="0"/>
            </w:tcBorders>
            <w:vAlign w:val="center"/>
          </w:tcPr>
          <w:p>
            <w:pPr>
              <w:pStyle w:val="63"/>
            </w:pPr>
            <w:r>
              <w:t>密集居民区建构筑物群</w:t>
            </w:r>
          </w:p>
        </w:tc>
        <w:tc>
          <w:tcPr>
            <w:tcW w:w="1859" w:type="pct"/>
            <w:tcBorders>
              <w:top w:val="single" w:color="auto" w:sz="4" w:space="0"/>
              <w:left w:val="single" w:color="auto" w:sz="4" w:space="0"/>
              <w:bottom w:val="single" w:color="auto" w:sz="4" w:space="0"/>
              <w:right w:val="nil"/>
            </w:tcBorders>
            <w:vAlign w:val="center"/>
          </w:tcPr>
          <w:p>
            <w:pPr>
              <w:pStyle w:val="63"/>
            </w:pPr>
            <w:r>
              <w:t>30m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7" w:type="pct"/>
            <w:vMerge w:val="restart"/>
            <w:tcBorders>
              <w:top w:val="single" w:color="auto" w:sz="4" w:space="0"/>
              <w:left w:val="nil"/>
              <w:bottom w:val="single" w:color="auto" w:sz="4" w:space="0"/>
              <w:right w:val="single" w:color="auto" w:sz="4" w:space="0"/>
            </w:tcBorders>
            <w:vAlign w:val="center"/>
          </w:tcPr>
          <w:p>
            <w:pPr>
              <w:pStyle w:val="63"/>
            </w:pPr>
            <w:r>
              <w:t>管道与公路并行的安全间距</w:t>
            </w:r>
          </w:p>
        </w:tc>
        <w:tc>
          <w:tcPr>
            <w:tcW w:w="1664" w:type="pct"/>
            <w:tcBorders>
              <w:top w:val="single" w:color="auto" w:sz="4" w:space="0"/>
              <w:left w:val="single" w:color="auto" w:sz="4" w:space="0"/>
              <w:bottom w:val="single" w:color="auto" w:sz="4" w:space="0"/>
              <w:right w:val="single" w:color="auto" w:sz="4" w:space="0"/>
            </w:tcBorders>
            <w:vAlign w:val="center"/>
          </w:tcPr>
          <w:p>
            <w:pPr>
              <w:pStyle w:val="63"/>
            </w:pPr>
            <w:r>
              <w:t>与公路用地范围、边线</w:t>
            </w:r>
          </w:p>
        </w:tc>
        <w:tc>
          <w:tcPr>
            <w:tcW w:w="1859" w:type="pct"/>
            <w:tcBorders>
              <w:top w:val="single" w:color="auto" w:sz="4" w:space="0"/>
              <w:left w:val="single" w:color="auto" w:sz="4" w:space="0"/>
              <w:bottom w:val="single" w:color="auto" w:sz="4" w:space="0"/>
              <w:right w:val="nil"/>
            </w:tcBorders>
            <w:vAlign w:val="center"/>
          </w:tcPr>
          <w:p>
            <w:pPr>
              <w:pStyle w:val="63"/>
            </w:pPr>
            <w:r>
              <w:t>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7" w:type="pct"/>
            <w:vMerge w:val="continue"/>
            <w:tcBorders>
              <w:top w:val="single" w:color="auto" w:sz="4" w:space="0"/>
              <w:left w:val="nil"/>
              <w:bottom w:val="single" w:color="auto" w:sz="4" w:space="0"/>
              <w:right w:val="single" w:color="auto" w:sz="4" w:space="0"/>
            </w:tcBorders>
            <w:vAlign w:val="center"/>
          </w:tcPr>
          <w:p>
            <w:pPr>
              <w:pStyle w:val="63"/>
            </w:pPr>
          </w:p>
        </w:tc>
        <w:tc>
          <w:tcPr>
            <w:tcW w:w="1664" w:type="pct"/>
            <w:tcBorders>
              <w:top w:val="single" w:color="auto" w:sz="4" w:space="0"/>
              <w:left w:val="single" w:color="auto" w:sz="4" w:space="0"/>
              <w:bottom w:val="single" w:color="auto" w:sz="4" w:space="0"/>
              <w:right w:val="single" w:color="auto" w:sz="4" w:space="0"/>
            </w:tcBorders>
            <w:vAlign w:val="center"/>
          </w:tcPr>
          <w:p>
            <w:pPr>
              <w:pStyle w:val="63"/>
            </w:pPr>
            <w:r>
              <w:t>油、气管道防护带</w:t>
            </w:r>
          </w:p>
        </w:tc>
        <w:tc>
          <w:tcPr>
            <w:tcW w:w="1859" w:type="pct"/>
            <w:tcBorders>
              <w:top w:val="single" w:color="auto" w:sz="4" w:space="0"/>
              <w:left w:val="single" w:color="auto" w:sz="4" w:space="0"/>
              <w:bottom w:val="single" w:color="auto" w:sz="4" w:space="0"/>
              <w:right w:val="nil"/>
            </w:tcBorders>
            <w:vAlign w:val="center"/>
          </w:tcPr>
          <w:p>
            <w:pPr>
              <w:pStyle w:val="63"/>
            </w:pPr>
            <w:r>
              <w:t>管线中心两侧各5m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41" w:type="pct"/>
            <w:gridSpan w:val="2"/>
            <w:tcBorders>
              <w:top w:val="single" w:color="auto" w:sz="4" w:space="0"/>
              <w:left w:val="nil"/>
              <w:bottom w:val="single" w:color="auto" w:sz="12" w:space="0"/>
              <w:right w:val="single" w:color="auto" w:sz="4" w:space="0"/>
            </w:tcBorders>
            <w:vAlign w:val="center"/>
          </w:tcPr>
          <w:p>
            <w:pPr>
              <w:pStyle w:val="63"/>
            </w:pPr>
            <w:r>
              <w:t>管道与电力线路的安全间距</w:t>
            </w:r>
          </w:p>
        </w:tc>
        <w:tc>
          <w:tcPr>
            <w:tcW w:w="1859" w:type="pct"/>
            <w:tcBorders>
              <w:top w:val="single" w:color="auto" w:sz="4" w:space="0"/>
              <w:left w:val="single" w:color="auto" w:sz="4" w:space="0"/>
              <w:bottom w:val="single" w:color="auto" w:sz="12" w:space="0"/>
              <w:right w:val="nil"/>
            </w:tcBorders>
            <w:vAlign w:val="center"/>
          </w:tcPr>
          <w:p>
            <w:pPr>
              <w:pStyle w:val="63"/>
            </w:pPr>
            <w:r>
              <w:t>按相关规定执行</w:t>
            </w:r>
          </w:p>
        </w:tc>
      </w:tr>
    </w:tbl>
    <w:p>
      <w:pPr>
        <w:ind w:firstLine="482"/>
        <w:rPr>
          <w:rFonts w:cs="Times New Roman"/>
          <w:b/>
          <w:bCs/>
          <w:kern w:val="0"/>
          <w:szCs w:val="24"/>
        </w:rPr>
      </w:pPr>
      <w:r>
        <w:rPr>
          <w:rFonts w:hint="eastAsia"/>
          <w:b/>
          <w:bCs/>
          <w:kern w:val="0"/>
        </w:rPr>
        <w:t>（4）</w:t>
      </w:r>
      <w:r>
        <w:rPr>
          <w:rFonts w:ascii="宋体" w:hAnsi="宋体"/>
          <w:b/>
          <w:bCs/>
          <w:kern w:val="0"/>
        </w:rPr>
        <w:t>管道标志桩（测试桩）、警示牌及特殊安全保护设施</w:t>
      </w:r>
    </w:p>
    <w:p>
      <w:pPr>
        <w:ind w:firstLine="480"/>
        <w:rPr>
          <w:kern w:val="0"/>
        </w:rPr>
      </w:pPr>
      <w:r>
        <w:rPr>
          <w:rFonts w:ascii="宋体" w:hAnsi="宋体"/>
          <w:kern w:val="0"/>
        </w:rPr>
        <w:t>环评建议根据《管道地面标识管理规范》（</w:t>
      </w:r>
      <w:r>
        <w:rPr>
          <w:kern w:val="0"/>
        </w:rPr>
        <w:t>Q/SY GD0190-2008</w:t>
      </w:r>
      <w:r>
        <w:rPr>
          <w:rFonts w:ascii="宋体" w:hAnsi="宋体"/>
          <w:kern w:val="0"/>
        </w:rPr>
        <w:t>）的规定，沿线应设置以下标志桩：</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1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①</w:t>
      </w:r>
      <w:r>
        <w:rPr>
          <w:rFonts w:ascii="宋体" w:hAnsi="宋体"/>
          <w:kern w:val="0"/>
        </w:rPr>
        <w:fldChar w:fldCharType="end"/>
      </w:r>
      <w:r>
        <w:rPr>
          <w:rFonts w:ascii="宋体" w:hAnsi="宋体"/>
          <w:kern w:val="0"/>
        </w:rPr>
        <w:t>里程桩：管线每公里设置</w:t>
      </w:r>
      <w:r>
        <w:rPr>
          <w:kern w:val="0"/>
        </w:rPr>
        <w:t>1</w:t>
      </w:r>
      <w:r>
        <w:rPr>
          <w:rFonts w:ascii="宋体" w:hAnsi="宋体"/>
          <w:kern w:val="0"/>
        </w:rPr>
        <w:t>个，一般与阴极保护测试桩合用。</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2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②</w:t>
      </w:r>
      <w:r>
        <w:rPr>
          <w:rFonts w:ascii="宋体" w:hAnsi="宋体"/>
          <w:kern w:val="0"/>
        </w:rPr>
        <w:fldChar w:fldCharType="end"/>
      </w:r>
      <w:r>
        <w:rPr>
          <w:rFonts w:ascii="宋体" w:hAnsi="宋体"/>
          <w:kern w:val="0"/>
        </w:rPr>
        <w:t>转角桩：在管线水平方向改变位置，应设置转角桩，转角桩上要标明管线里程、转角角度等。</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3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③</w:t>
      </w:r>
      <w:r>
        <w:rPr>
          <w:rFonts w:ascii="宋体" w:hAnsi="宋体"/>
          <w:kern w:val="0"/>
        </w:rPr>
        <w:fldChar w:fldCharType="end"/>
      </w:r>
      <w:r>
        <w:rPr>
          <w:rFonts w:ascii="宋体" w:hAnsi="宋体"/>
          <w:kern w:val="0"/>
        </w:rPr>
        <w:t>穿跨越桩：管道穿（跨）越水渠、公路时，应在两侧设置穿跨越桩，穿跨越桩应标明管线名称、公路或河流的名称，线路里程，穿跨越长度，有套管的应注明套管长度、规格和材质等。</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4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④</w:t>
      </w:r>
      <w:r>
        <w:rPr>
          <w:rFonts w:ascii="宋体" w:hAnsi="宋体"/>
          <w:kern w:val="0"/>
        </w:rPr>
        <w:fldChar w:fldCharType="end"/>
      </w:r>
      <w:r>
        <w:rPr>
          <w:rFonts w:ascii="宋体" w:hAnsi="宋体"/>
          <w:kern w:val="0"/>
        </w:rPr>
        <w:t>交叉桩：凡是与地下管道、电（光）缆交叉的位置，应设置交叉桩。交叉桩上应注明线路里程、交叉物名称、与交叉物的关系等。</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5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⑤</w:t>
      </w:r>
      <w:r>
        <w:rPr>
          <w:rFonts w:ascii="宋体" w:hAnsi="宋体"/>
          <w:kern w:val="0"/>
        </w:rPr>
        <w:fldChar w:fldCharType="end"/>
      </w:r>
      <w:r>
        <w:rPr>
          <w:rFonts w:ascii="宋体" w:hAnsi="宋体"/>
          <w:kern w:val="0"/>
        </w:rPr>
        <w:t>警示牌：管道通过学校等人群聚集场所设警示牌，管道靠近人口集中居住区等需加强管道安全保护的地方设警示牌（设置地点应优先考虑道路穿越处附近）。</w:t>
      </w:r>
    </w:p>
    <w:p>
      <w:pPr>
        <w:ind w:firstLine="480"/>
        <w:rPr>
          <w:kern w:val="0"/>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6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⑥</w:t>
      </w:r>
      <w:r>
        <w:rPr>
          <w:rFonts w:ascii="宋体" w:hAnsi="宋体"/>
          <w:kern w:val="0"/>
        </w:rPr>
        <w:fldChar w:fldCharType="end"/>
      </w:r>
      <w:r>
        <w:rPr>
          <w:rFonts w:ascii="宋体" w:hAnsi="宋体"/>
          <w:kern w:val="0"/>
        </w:rPr>
        <w:t>警示桩：每</w:t>
      </w:r>
      <w:r>
        <w:rPr>
          <w:kern w:val="0"/>
        </w:rPr>
        <w:t>50-100m</w:t>
      </w:r>
      <w:r>
        <w:rPr>
          <w:rFonts w:ascii="宋体" w:hAnsi="宋体"/>
          <w:kern w:val="0"/>
        </w:rPr>
        <w:t>设置一个警示桩，特殊地点可根据实际情况设置。</w:t>
      </w:r>
    </w:p>
    <w:p>
      <w:pPr>
        <w:ind w:firstLine="480"/>
        <w:rPr>
          <w:rFonts w:cs="Times New Roman"/>
          <w:szCs w:val="24"/>
        </w:rPr>
      </w:pPr>
      <w:r>
        <w:rPr>
          <w:rFonts w:ascii="宋体" w:hAnsi="宋体"/>
          <w:kern w:val="0"/>
        </w:rPr>
        <w:fldChar w:fldCharType="begin"/>
      </w:r>
      <w:r>
        <w:rPr>
          <w:rFonts w:ascii="宋体" w:hAnsi="宋体"/>
          <w:kern w:val="0"/>
        </w:rPr>
        <w:instrText xml:space="preserve"> </w:instrText>
      </w:r>
      <w:r>
        <w:rPr>
          <w:rFonts w:hint="eastAsia" w:ascii="宋体" w:hAnsi="宋体"/>
          <w:kern w:val="0"/>
        </w:rPr>
        <w:instrText xml:space="preserve">= 7 \* GB3</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⑦</w:t>
      </w:r>
      <w:r>
        <w:rPr>
          <w:rFonts w:ascii="宋体" w:hAnsi="宋体"/>
          <w:kern w:val="0"/>
        </w:rPr>
        <w:fldChar w:fldCharType="end"/>
      </w:r>
      <w:r>
        <w:rPr>
          <w:rFonts w:ascii="宋体" w:hAnsi="宋体"/>
          <w:kern w:val="0"/>
        </w:rPr>
        <w:t>警示带：在开挖管沟内，全线在管顶上方</w:t>
      </w:r>
      <w:r>
        <w:rPr>
          <w:kern w:val="0"/>
        </w:rPr>
        <w:t>0.5m</w:t>
      </w:r>
      <w:r>
        <w:rPr>
          <w:rFonts w:ascii="宋体" w:hAnsi="宋体"/>
          <w:kern w:val="0"/>
        </w:rPr>
        <w:t>处设置警示带，以防止第三方施工破坏。</w:t>
      </w:r>
    </w:p>
    <w:p>
      <w:pPr>
        <w:pStyle w:val="4"/>
        <w:rPr>
          <w:rFonts w:cs="Times New Roman"/>
        </w:rPr>
      </w:pPr>
      <w:bookmarkStart w:id="349" w:name="_Toc65783963"/>
      <w:bookmarkStart w:id="350" w:name="_Toc57711072"/>
      <w:r>
        <w:rPr>
          <w:rFonts w:cs="Times New Roman"/>
        </w:rPr>
        <w:t xml:space="preserve"> </w:t>
      </w:r>
      <w:bookmarkStart w:id="351" w:name="_Toc96680775"/>
      <w:r>
        <w:rPr>
          <w:rFonts w:cs="Times New Roman"/>
        </w:rPr>
        <w:t>环保投资估算</w:t>
      </w:r>
      <w:bookmarkEnd w:id="349"/>
      <w:bookmarkEnd w:id="350"/>
      <w:bookmarkEnd w:id="351"/>
    </w:p>
    <w:p>
      <w:pPr>
        <w:ind w:firstLine="480"/>
        <w:rPr>
          <w:rFonts w:cs="Times New Roman"/>
        </w:rPr>
      </w:pPr>
      <w:r>
        <w:rPr>
          <w:rFonts w:cs="Times New Roman"/>
          <w:kern w:val="0"/>
        </w:rPr>
        <w:t>工程项目总投资</w:t>
      </w:r>
      <w:r>
        <w:rPr>
          <w:rFonts w:cs="Times New Roman"/>
        </w:rPr>
        <w:t>857.88</w:t>
      </w:r>
      <w:r>
        <w:rPr>
          <w:rFonts w:cs="Times New Roman"/>
          <w:kern w:val="0"/>
        </w:rPr>
        <w:t>万元，环保投资</w:t>
      </w:r>
      <w:r>
        <w:rPr>
          <w:rFonts w:hint="eastAsia" w:cs="Times New Roman"/>
        </w:rPr>
        <w:t>39.6</w:t>
      </w:r>
      <w:r>
        <w:rPr>
          <w:rFonts w:cs="Times New Roman"/>
        </w:rPr>
        <w:t>万元，</w:t>
      </w:r>
      <w:r>
        <w:rPr>
          <w:rFonts w:cs="Times New Roman"/>
          <w:kern w:val="0"/>
        </w:rPr>
        <w:t>占总投资的</w:t>
      </w:r>
      <w:r>
        <w:rPr>
          <w:rFonts w:hint="eastAsia" w:cs="Times New Roman"/>
          <w:kern w:val="0"/>
        </w:rPr>
        <w:t>4.</w:t>
      </w:r>
      <w:r>
        <w:rPr>
          <w:rFonts w:cs="Times New Roman"/>
          <w:kern w:val="0"/>
        </w:rPr>
        <w:t>62％</w:t>
      </w:r>
      <w:r>
        <w:rPr>
          <w:rFonts w:cs="Times New Roman"/>
        </w:rPr>
        <w:t>。本工程环保投资主要用于生态恢复、扬尘防治及风险防范等，符合项目实际特点，投资方向合理可行。本项目环保投资见下表。</w:t>
      </w:r>
    </w:p>
    <w:p>
      <w:pPr>
        <w:pStyle w:val="2"/>
        <w:ind w:left="900" w:hanging="420"/>
      </w:pPr>
    </w:p>
    <w:p>
      <w:pPr>
        <w:ind w:firstLine="480"/>
      </w:pPr>
    </w:p>
    <w:p>
      <w:pPr>
        <w:pStyle w:val="2"/>
        <w:ind w:left="900" w:hanging="420"/>
      </w:pPr>
    </w:p>
    <w:p>
      <w:pPr>
        <w:ind w:firstLine="480"/>
      </w:pPr>
    </w:p>
    <w:p>
      <w:pPr>
        <w:pStyle w:val="2"/>
        <w:ind w:left="900" w:hanging="420"/>
      </w:pPr>
    </w:p>
    <w:p>
      <w:pPr>
        <w:pStyle w:val="57"/>
      </w:pPr>
      <w:r>
        <w:t>表</w:t>
      </w:r>
      <w:r>
        <w:fldChar w:fldCharType="begin"/>
      </w:r>
      <w:r>
        <w:instrText xml:space="preserve"> STYLEREF 2 \s </w:instrText>
      </w:r>
      <w:r>
        <w:fldChar w:fldCharType="separate"/>
      </w:r>
      <w:r>
        <w:t>9.3</w:t>
      </w:r>
      <w:r>
        <w:fldChar w:fldCharType="end"/>
      </w:r>
      <w:r>
        <w:t>-</w:t>
      </w:r>
      <w:r>
        <w:fldChar w:fldCharType="begin"/>
      </w:r>
      <w:r>
        <w:instrText xml:space="preserve"> SEQ 表格 \* ARABIC \s 2 </w:instrText>
      </w:r>
      <w:r>
        <w:fldChar w:fldCharType="separate"/>
      </w:r>
      <w:r>
        <w:t>1</w:t>
      </w:r>
      <w:r>
        <w:fldChar w:fldCharType="end"/>
      </w:r>
      <w:r>
        <w:t xml:space="preserve">  本项目环保投资一览表</w:t>
      </w:r>
    </w:p>
    <w:tbl>
      <w:tblPr>
        <w:tblStyle w:val="35"/>
        <w:tblW w:w="8650" w:type="dxa"/>
        <w:tblInd w:w="24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2"/>
        <w:gridCol w:w="1559"/>
        <w:gridCol w:w="4253"/>
        <w:gridCol w:w="21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2271" w:type="dxa"/>
            <w:gridSpan w:val="2"/>
            <w:vAlign w:val="center"/>
          </w:tcPr>
          <w:p>
            <w:pPr>
              <w:spacing w:line="240" w:lineRule="auto"/>
              <w:ind w:firstLine="0" w:firstLineChars="0"/>
              <w:jc w:val="center"/>
              <w:rPr>
                <w:rFonts w:cs="Times New Roman"/>
                <w:b/>
                <w:sz w:val="21"/>
              </w:rPr>
            </w:pPr>
            <w:r>
              <w:rPr>
                <w:rFonts w:cs="Times New Roman"/>
                <w:b/>
                <w:sz w:val="21"/>
              </w:rPr>
              <w:t>项目</w:t>
            </w:r>
          </w:p>
        </w:tc>
        <w:tc>
          <w:tcPr>
            <w:tcW w:w="4253" w:type="dxa"/>
            <w:vAlign w:val="center"/>
          </w:tcPr>
          <w:p>
            <w:pPr>
              <w:spacing w:line="240" w:lineRule="auto"/>
              <w:ind w:firstLine="0" w:firstLineChars="0"/>
              <w:jc w:val="center"/>
              <w:rPr>
                <w:rFonts w:cs="Times New Roman"/>
                <w:b/>
                <w:sz w:val="21"/>
              </w:rPr>
            </w:pPr>
            <w:r>
              <w:rPr>
                <w:rFonts w:cs="Times New Roman"/>
                <w:b/>
                <w:sz w:val="21"/>
              </w:rPr>
              <w:t>环保措施</w:t>
            </w:r>
          </w:p>
        </w:tc>
        <w:tc>
          <w:tcPr>
            <w:tcW w:w="2126" w:type="dxa"/>
            <w:vAlign w:val="center"/>
          </w:tcPr>
          <w:p>
            <w:pPr>
              <w:spacing w:line="240" w:lineRule="auto"/>
              <w:ind w:firstLine="0" w:firstLineChars="0"/>
              <w:jc w:val="center"/>
              <w:rPr>
                <w:rFonts w:cs="Times New Roman"/>
                <w:b/>
                <w:sz w:val="21"/>
              </w:rPr>
            </w:pPr>
            <w:r>
              <w:rPr>
                <w:rFonts w:cs="Times New Roman"/>
                <w:b/>
                <w:sz w:val="21"/>
              </w:rPr>
              <w:t>投资估算（万元）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Merge w:val="restart"/>
            <w:vAlign w:val="center"/>
          </w:tcPr>
          <w:p>
            <w:pPr>
              <w:spacing w:line="240" w:lineRule="auto"/>
              <w:ind w:firstLine="0" w:firstLineChars="0"/>
              <w:jc w:val="center"/>
              <w:rPr>
                <w:rFonts w:cs="Times New Roman"/>
                <w:sz w:val="21"/>
              </w:rPr>
            </w:pPr>
            <w:r>
              <w:rPr>
                <w:rFonts w:hint="eastAsia" w:cs="Times New Roman"/>
                <w:sz w:val="21"/>
              </w:rPr>
              <w:t>生态</w:t>
            </w:r>
            <w:r>
              <w:rPr>
                <w:rFonts w:cs="Times New Roman"/>
                <w:sz w:val="21"/>
              </w:rPr>
              <w:t>保护措施</w:t>
            </w:r>
          </w:p>
        </w:tc>
        <w:tc>
          <w:tcPr>
            <w:tcW w:w="1559" w:type="dxa"/>
            <w:vAlign w:val="center"/>
          </w:tcPr>
          <w:p>
            <w:pPr>
              <w:spacing w:line="240" w:lineRule="auto"/>
              <w:ind w:firstLine="0" w:firstLineChars="0"/>
              <w:jc w:val="center"/>
              <w:rPr>
                <w:rFonts w:cs="Times New Roman"/>
                <w:sz w:val="21"/>
              </w:rPr>
            </w:pPr>
            <w:r>
              <w:rPr>
                <w:rFonts w:hint="eastAsia" w:cs="Times New Roman"/>
                <w:sz w:val="21"/>
              </w:rPr>
              <w:t>征地费用</w:t>
            </w:r>
          </w:p>
        </w:tc>
        <w:tc>
          <w:tcPr>
            <w:tcW w:w="4253" w:type="dxa"/>
            <w:vAlign w:val="center"/>
          </w:tcPr>
          <w:p>
            <w:pPr>
              <w:spacing w:line="240" w:lineRule="auto"/>
              <w:ind w:firstLine="0" w:firstLineChars="0"/>
              <w:jc w:val="center"/>
              <w:rPr>
                <w:rFonts w:cs="Times New Roman"/>
                <w:sz w:val="21"/>
              </w:rPr>
            </w:pPr>
            <w:r>
              <w:rPr>
                <w:rFonts w:cs="Times New Roman"/>
                <w:sz w:val="21"/>
              </w:rPr>
              <w:t>土地使用费（含临时占地费、永久占地费）</w:t>
            </w:r>
          </w:p>
        </w:tc>
        <w:tc>
          <w:tcPr>
            <w:tcW w:w="2126" w:type="dxa"/>
            <w:vAlign w:val="center"/>
          </w:tcPr>
          <w:p>
            <w:pPr>
              <w:spacing w:line="240" w:lineRule="auto"/>
              <w:ind w:firstLine="0" w:firstLineChars="0"/>
              <w:jc w:val="center"/>
              <w:rPr>
                <w:rFonts w:cs="Times New Roman"/>
                <w:sz w:val="21"/>
              </w:rPr>
            </w:pPr>
            <w:r>
              <w:rPr>
                <w:rFonts w:cs="Times New Roman"/>
                <w:sz w:val="21"/>
              </w:rPr>
              <w:t>纳入工程投资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Merge w:val="continue"/>
            <w:vAlign w:val="center"/>
          </w:tcPr>
          <w:p>
            <w:pPr>
              <w:spacing w:line="240" w:lineRule="auto"/>
              <w:ind w:firstLine="0" w:firstLineChars="0"/>
              <w:jc w:val="center"/>
              <w:rPr>
                <w:rFonts w:cs="Times New Roman"/>
                <w:sz w:val="21"/>
              </w:rPr>
            </w:pPr>
          </w:p>
        </w:tc>
        <w:tc>
          <w:tcPr>
            <w:tcW w:w="1559" w:type="dxa"/>
            <w:vAlign w:val="center"/>
          </w:tcPr>
          <w:p>
            <w:pPr>
              <w:spacing w:line="240" w:lineRule="auto"/>
              <w:ind w:firstLine="0" w:firstLineChars="0"/>
              <w:jc w:val="center"/>
              <w:rPr>
                <w:rFonts w:cs="Times New Roman"/>
                <w:sz w:val="21"/>
              </w:rPr>
            </w:pPr>
            <w:r>
              <w:rPr>
                <w:rFonts w:hint="eastAsia" w:cs="Times New Roman"/>
                <w:sz w:val="21"/>
              </w:rPr>
              <w:t>赔偿费</w:t>
            </w:r>
          </w:p>
        </w:tc>
        <w:tc>
          <w:tcPr>
            <w:tcW w:w="4253" w:type="dxa"/>
            <w:vAlign w:val="center"/>
          </w:tcPr>
          <w:p>
            <w:pPr>
              <w:spacing w:line="240" w:lineRule="auto"/>
              <w:ind w:firstLine="0" w:firstLineChars="0"/>
              <w:jc w:val="center"/>
              <w:rPr>
                <w:rFonts w:cs="Times New Roman"/>
                <w:sz w:val="21"/>
              </w:rPr>
            </w:pPr>
            <w:r>
              <w:rPr>
                <w:rFonts w:hint="eastAsia" w:cs="Times New Roman"/>
                <w:sz w:val="21"/>
              </w:rPr>
              <w:t>经济农作物赔偿费、林地赔偿费</w:t>
            </w:r>
          </w:p>
        </w:tc>
        <w:tc>
          <w:tcPr>
            <w:tcW w:w="2126" w:type="dxa"/>
            <w:vAlign w:val="center"/>
          </w:tcPr>
          <w:p>
            <w:pPr>
              <w:spacing w:line="240" w:lineRule="auto"/>
              <w:ind w:firstLine="0" w:firstLineChars="0"/>
              <w:jc w:val="center"/>
              <w:rPr>
                <w:rFonts w:cs="Times New Roman"/>
                <w:sz w:val="21"/>
              </w:rPr>
            </w:pPr>
            <w:r>
              <w:rPr>
                <w:rFonts w:cs="Times New Roman"/>
                <w:sz w:val="21"/>
              </w:rPr>
              <w:t>纳入工程投资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Merge w:val="continue"/>
            <w:vAlign w:val="center"/>
          </w:tcPr>
          <w:p>
            <w:pPr>
              <w:spacing w:line="240" w:lineRule="auto"/>
              <w:ind w:firstLine="0" w:firstLineChars="0"/>
              <w:jc w:val="center"/>
              <w:rPr>
                <w:rFonts w:cs="Times New Roman"/>
                <w:sz w:val="21"/>
              </w:rPr>
            </w:pPr>
          </w:p>
        </w:tc>
        <w:tc>
          <w:tcPr>
            <w:tcW w:w="1559" w:type="dxa"/>
            <w:vAlign w:val="center"/>
          </w:tcPr>
          <w:p>
            <w:pPr>
              <w:spacing w:line="240" w:lineRule="auto"/>
              <w:ind w:firstLine="0" w:firstLineChars="0"/>
              <w:jc w:val="center"/>
              <w:rPr>
                <w:rFonts w:cs="Times New Roman"/>
                <w:sz w:val="21"/>
              </w:rPr>
            </w:pPr>
            <w:r>
              <w:rPr>
                <w:rFonts w:hint="eastAsia" w:cs="Times New Roman"/>
                <w:sz w:val="21"/>
              </w:rPr>
              <w:t>水土保持措施</w:t>
            </w:r>
          </w:p>
        </w:tc>
        <w:tc>
          <w:tcPr>
            <w:tcW w:w="4253" w:type="dxa"/>
            <w:vAlign w:val="center"/>
          </w:tcPr>
          <w:p>
            <w:pPr>
              <w:spacing w:line="240" w:lineRule="auto"/>
              <w:ind w:firstLine="0" w:firstLineChars="0"/>
              <w:jc w:val="center"/>
              <w:rPr>
                <w:rFonts w:cs="Times New Roman"/>
                <w:sz w:val="21"/>
              </w:rPr>
            </w:pPr>
            <w:r>
              <w:rPr>
                <w:rFonts w:cs="Times New Roman"/>
                <w:sz w:val="21"/>
              </w:rPr>
              <w:t>施工期管线区域、</w:t>
            </w:r>
            <w:r>
              <w:rPr>
                <w:rFonts w:hint="eastAsia" w:cs="Times New Roman"/>
                <w:sz w:val="21"/>
              </w:rPr>
              <w:t>临时道路</w:t>
            </w:r>
            <w:r>
              <w:rPr>
                <w:rFonts w:cs="Times New Roman"/>
                <w:sz w:val="21"/>
              </w:rPr>
              <w:t>等临时占地的剥离表土、土地整治、复耕等，以及用于挡墙建设、修建排水沟等建设；设置土质排水沟、临时沉砂池、土袋挡土墙等措施</w:t>
            </w:r>
          </w:p>
        </w:tc>
        <w:tc>
          <w:tcPr>
            <w:tcW w:w="2126" w:type="dxa"/>
            <w:vAlign w:val="center"/>
          </w:tcPr>
          <w:p>
            <w:pPr>
              <w:spacing w:line="240" w:lineRule="auto"/>
              <w:ind w:firstLine="0" w:firstLineChars="0"/>
              <w:jc w:val="center"/>
              <w:rPr>
                <w:rFonts w:cs="Times New Roman"/>
                <w:sz w:val="21"/>
              </w:rPr>
            </w:pPr>
            <w:r>
              <w:rPr>
                <w:rFonts w:cs="Times New Roman"/>
                <w:sz w:val="21"/>
              </w:rPr>
              <w:t>纳入工程投资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Merge w:val="continue"/>
            <w:tcBorders>
              <w:bottom w:val="single" w:color="auto" w:sz="4" w:space="0"/>
            </w:tcBorders>
            <w:vAlign w:val="center"/>
          </w:tcPr>
          <w:p>
            <w:pPr>
              <w:spacing w:line="240" w:lineRule="auto"/>
              <w:ind w:firstLine="0" w:firstLineChars="0"/>
              <w:jc w:val="center"/>
              <w:rPr>
                <w:rFonts w:cs="Times New Roman"/>
                <w:sz w:val="21"/>
              </w:rPr>
            </w:pPr>
          </w:p>
        </w:tc>
        <w:tc>
          <w:tcPr>
            <w:tcW w:w="1559" w:type="dxa"/>
            <w:vAlign w:val="center"/>
          </w:tcPr>
          <w:p>
            <w:pPr>
              <w:spacing w:line="240" w:lineRule="auto"/>
              <w:ind w:firstLine="0" w:firstLineChars="0"/>
              <w:jc w:val="center"/>
              <w:rPr>
                <w:rFonts w:cs="Times New Roman"/>
                <w:sz w:val="21"/>
              </w:rPr>
            </w:pPr>
            <w:r>
              <w:rPr>
                <w:rFonts w:cs="Times New Roman"/>
                <w:sz w:val="21"/>
              </w:rPr>
              <w:t>生态恢复</w:t>
            </w:r>
          </w:p>
        </w:tc>
        <w:tc>
          <w:tcPr>
            <w:tcW w:w="4253" w:type="dxa"/>
            <w:vAlign w:val="center"/>
          </w:tcPr>
          <w:p>
            <w:pPr>
              <w:spacing w:line="240" w:lineRule="auto"/>
              <w:ind w:firstLine="0" w:firstLineChars="0"/>
              <w:jc w:val="center"/>
              <w:rPr>
                <w:rFonts w:cs="Times New Roman"/>
                <w:sz w:val="21"/>
              </w:rPr>
            </w:pPr>
            <w:r>
              <w:rPr>
                <w:rFonts w:cs="Times New Roman"/>
                <w:sz w:val="21"/>
              </w:rPr>
              <w:t>临时占地、施工迹地地表恢复等</w:t>
            </w:r>
          </w:p>
        </w:tc>
        <w:tc>
          <w:tcPr>
            <w:tcW w:w="2126" w:type="dxa"/>
            <w:vAlign w:val="center"/>
          </w:tcPr>
          <w:p>
            <w:pPr>
              <w:spacing w:line="240" w:lineRule="auto"/>
              <w:ind w:firstLine="0" w:firstLineChars="0"/>
              <w:jc w:val="center"/>
              <w:rPr>
                <w:rFonts w:cs="Times New Roman"/>
                <w:sz w:val="21"/>
              </w:rPr>
            </w:pPr>
            <w:r>
              <w:rPr>
                <w:rFonts w:hint="eastAsia" w:cs="Times New Roman"/>
                <w:sz w:val="21"/>
              </w:rPr>
              <w:t>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4" w:hRule="atLeast"/>
        </w:trPr>
        <w:tc>
          <w:tcPr>
            <w:tcW w:w="712" w:type="dxa"/>
            <w:tcBorders>
              <w:top w:val="single" w:color="auto" w:sz="4" w:space="0"/>
            </w:tcBorders>
            <w:vAlign w:val="center"/>
          </w:tcPr>
          <w:p>
            <w:pPr>
              <w:pStyle w:val="63"/>
            </w:pPr>
            <w:r>
              <w:t>大气保护措施</w:t>
            </w:r>
          </w:p>
        </w:tc>
        <w:tc>
          <w:tcPr>
            <w:tcW w:w="1559" w:type="dxa"/>
            <w:tcBorders>
              <w:bottom w:val="single" w:color="auto" w:sz="4" w:space="0"/>
            </w:tcBorders>
            <w:vAlign w:val="center"/>
          </w:tcPr>
          <w:p>
            <w:pPr>
              <w:pStyle w:val="63"/>
            </w:pPr>
            <w:r>
              <w:t>施工期扬尘防护措施</w:t>
            </w:r>
          </w:p>
        </w:tc>
        <w:tc>
          <w:tcPr>
            <w:tcW w:w="4253" w:type="dxa"/>
            <w:vAlign w:val="center"/>
          </w:tcPr>
          <w:p>
            <w:pPr>
              <w:pStyle w:val="63"/>
              <w:rPr>
                <w:rFonts w:cs="Times New Roman"/>
              </w:rPr>
            </w:pPr>
            <w:r>
              <w:t>施工期购置洒水设备进行洒水作业，对临时堆放表土采用篷布覆盖、进行道路地面清扫；对施工期间物料运输车辆进行覆盖，粉料采用粉料车运输，防止物料散落和灰尘飘散</w:t>
            </w:r>
          </w:p>
        </w:tc>
        <w:tc>
          <w:tcPr>
            <w:tcW w:w="2126" w:type="dxa"/>
            <w:vAlign w:val="center"/>
          </w:tcPr>
          <w:p>
            <w:pPr>
              <w:spacing w:line="240" w:lineRule="auto"/>
              <w:ind w:firstLine="0" w:firstLineChars="0"/>
              <w:jc w:val="center"/>
              <w:rPr>
                <w:rFonts w:cs="Times New Roman"/>
                <w:sz w:val="21"/>
              </w:rPr>
            </w:pPr>
            <w:r>
              <w:rPr>
                <w:rFonts w:hint="eastAsia" w:cs="Times New Roman"/>
                <w:sz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 w:hRule="atLeast"/>
        </w:trPr>
        <w:tc>
          <w:tcPr>
            <w:tcW w:w="712" w:type="dxa"/>
            <w:vMerge w:val="restart"/>
            <w:tcBorders>
              <w:top w:val="single" w:color="auto" w:sz="4" w:space="0"/>
            </w:tcBorders>
            <w:vAlign w:val="center"/>
          </w:tcPr>
          <w:p>
            <w:pPr>
              <w:pStyle w:val="63"/>
            </w:pPr>
            <w:r>
              <w:t>水环境环保措施</w:t>
            </w:r>
          </w:p>
        </w:tc>
        <w:tc>
          <w:tcPr>
            <w:tcW w:w="1559" w:type="dxa"/>
            <w:tcBorders>
              <w:top w:val="single" w:color="auto" w:sz="4" w:space="0"/>
              <w:bottom w:val="single" w:color="auto" w:sz="4" w:space="0"/>
            </w:tcBorders>
            <w:vAlign w:val="center"/>
          </w:tcPr>
          <w:p>
            <w:pPr>
              <w:pStyle w:val="63"/>
            </w:pPr>
            <w:r>
              <w:t>试压废水</w:t>
            </w:r>
          </w:p>
        </w:tc>
        <w:tc>
          <w:tcPr>
            <w:tcW w:w="4253" w:type="dxa"/>
            <w:tcBorders>
              <w:top w:val="single" w:color="auto" w:sz="4" w:space="0"/>
            </w:tcBorders>
            <w:vAlign w:val="center"/>
          </w:tcPr>
          <w:p>
            <w:pPr>
              <w:spacing w:line="240" w:lineRule="auto"/>
              <w:ind w:firstLine="0" w:firstLineChars="0"/>
              <w:rPr>
                <w:rFonts w:cstheme="majorBidi"/>
                <w:sz w:val="21"/>
                <w:szCs w:val="20"/>
              </w:rPr>
            </w:pPr>
            <w:r>
              <w:rPr>
                <w:rFonts w:cstheme="majorBidi"/>
                <w:sz w:val="21"/>
                <w:szCs w:val="20"/>
              </w:rPr>
              <w:t>修建临时沉砂池，沉淀后用于施工场地洒水抑尘</w:t>
            </w:r>
          </w:p>
        </w:tc>
        <w:tc>
          <w:tcPr>
            <w:tcW w:w="2126" w:type="dxa"/>
            <w:vAlign w:val="center"/>
          </w:tcPr>
          <w:p>
            <w:pPr>
              <w:spacing w:line="240" w:lineRule="auto"/>
              <w:ind w:firstLine="0" w:firstLineChars="0"/>
              <w:jc w:val="center"/>
              <w:rPr>
                <w:rFonts w:cs="Times New Roman"/>
                <w:sz w:val="21"/>
              </w:rPr>
            </w:pPr>
            <w:r>
              <w:rPr>
                <w:rFonts w:hint="eastAsia" w:cs="Times New Roman"/>
                <w:sz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Merge w:val="continue"/>
            <w:tcBorders>
              <w:bottom w:val="single" w:color="auto" w:sz="4" w:space="0"/>
            </w:tcBorders>
            <w:vAlign w:val="center"/>
          </w:tcPr>
          <w:p>
            <w:pPr>
              <w:spacing w:line="240" w:lineRule="auto"/>
              <w:ind w:firstLine="0" w:firstLineChars="0"/>
              <w:jc w:val="center"/>
              <w:rPr>
                <w:rFonts w:cs="Times New Roman"/>
                <w:sz w:val="21"/>
              </w:rPr>
            </w:pPr>
          </w:p>
        </w:tc>
        <w:tc>
          <w:tcPr>
            <w:tcW w:w="1559" w:type="dxa"/>
            <w:tcBorders>
              <w:top w:val="single" w:color="auto" w:sz="4" w:space="0"/>
            </w:tcBorders>
            <w:vAlign w:val="center"/>
          </w:tcPr>
          <w:p>
            <w:pPr>
              <w:pStyle w:val="63"/>
            </w:pPr>
            <w:r>
              <w:t>施工人员生活废水</w:t>
            </w:r>
          </w:p>
        </w:tc>
        <w:tc>
          <w:tcPr>
            <w:tcW w:w="4253" w:type="dxa"/>
            <w:tcBorders>
              <w:top w:val="single" w:color="auto" w:sz="4" w:space="0"/>
            </w:tcBorders>
            <w:vAlign w:val="center"/>
          </w:tcPr>
          <w:p>
            <w:pPr>
              <w:pStyle w:val="63"/>
            </w:pPr>
            <w:r>
              <w:t>施工期生活污水依托租用民房现有的污水处理设施进行处理</w:t>
            </w:r>
          </w:p>
        </w:tc>
        <w:tc>
          <w:tcPr>
            <w:tcW w:w="2126" w:type="dxa"/>
            <w:vAlign w:val="center"/>
          </w:tcPr>
          <w:p>
            <w:pPr>
              <w:spacing w:line="240" w:lineRule="auto"/>
              <w:ind w:firstLine="0" w:firstLineChars="0"/>
              <w:jc w:val="center"/>
              <w:rPr>
                <w:rFonts w:cs="Times New Roman"/>
                <w:sz w:val="21"/>
              </w:rPr>
            </w:pPr>
            <w:r>
              <w:rPr>
                <w:rFonts w:hint="eastAsia" w:cs="Times New Roman"/>
                <w:sz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tcBorders>
              <w:top w:val="single" w:color="auto" w:sz="4" w:space="0"/>
              <w:bottom w:val="single" w:color="auto" w:sz="4" w:space="0"/>
            </w:tcBorders>
            <w:vAlign w:val="center"/>
          </w:tcPr>
          <w:p>
            <w:pPr>
              <w:pStyle w:val="63"/>
            </w:pPr>
            <w:r>
              <w:t>噪声防治措施</w:t>
            </w:r>
          </w:p>
        </w:tc>
        <w:tc>
          <w:tcPr>
            <w:tcW w:w="1559" w:type="dxa"/>
            <w:vAlign w:val="center"/>
          </w:tcPr>
          <w:p>
            <w:pPr>
              <w:pStyle w:val="63"/>
            </w:pPr>
            <w:r>
              <w:t>隔声降噪</w:t>
            </w:r>
          </w:p>
          <w:p>
            <w:pPr>
              <w:pStyle w:val="63"/>
            </w:pPr>
            <w:r>
              <w:t>措施</w:t>
            </w:r>
          </w:p>
        </w:tc>
        <w:tc>
          <w:tcPr>
            <w:tcW w:w="4253" w:type="dxa"/>
            <w:tcBorders>
              <w:top w:val="single" w:color="auto" w:sz="4" w:space="0"/>
            </w:tcBorders>
            <w:vAlign w:val="center"/>
          </w:tcPr>
          <w:p>
            <w:pPr>
              <w:pStyle w:val="63"/>
            </w:pPr>
            <w:r>
              <w:t>合理安排施工作业时间，合理布局施工现场，禁止夜间和午间施工；在施工沿线居民集中点设挡声板</w:t>
            </w:r>
          </w:p>
        </w:tc>
        <w:tc>
          <w:tcPr>
            <w:tcW w:w="2126" w:type="dxa"/>
            <w:vAlign w:val="center"/>
          </w:tcPr>
          <w:p>
            <w:pPr>
              <w:spacing w:line="240" w:lineRule="auto"/>
              <w:ind w:firstLine="0" w:firstLineChars="0"/>
              <w:jc w:val="center"/>
              <w:rPr>
                <w:rFonts w:cs="Times New Roman"/>
                <w:sz w:val="21"/>
              </w:rPr>
            </w:pPr>
            <w:r>
              <w:rPr>
                <w:rFonts w:hint="eastAsia" w:cs="Times New Roman"/>
                <w:sz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tcBorders>
              <w:top w:val="single" w:color="auto" w:sz="4" w:space="0"/>
              <w:bottom w:val="single" w:color="auto" w:sz="4" w:space="0"/>
            </w:tcBorders>
            <w:vAlign w:val="center"/>
          </w:tcPr>
          <w:p>
            <w:pPr>
              <w:pStyle w:val="63"/>
            </w:pPr>
            <w:r>
              <w:t>固废处理措施</w:t>
            </w:r>
          </w:p>
        </w:tc>
        <w:tc>
          <w:tcPr>
            <w:tcW w:w="1559" w:type="dxa"/>
            <w:vAlign w:val="center"/>
          </w:tcPr>
          <w:p>
            <w:pPr>
              <w:pStyle w:val="63"/>
            </w:pPr>
            <w:r>
              <w:t>施工期生活垃圾处理</w:t>
            </w:r>
          </w:p>
        </w:tc>
        <w:tc>
          <w:tcPr>
            <w:tcW w:w="4253" w:type="dxa"/>
            <w:vAlign w:val="center"/>
          </w:tcPr>
          <w:p>
            <w:pPr>
              <w:pStyle w:val="63"/>
            </w:pPr>
            <w:r>
              <w:t>施工过程中产生的生活垃圾经分类收集后，统一交由环卫部门清运处理</w:t>
            </w:r>
          </w:p>
        </w:tc>
        <w:tc>
          <w:tcPr>
            <w:tcW w:w="2126" w:type="dxa"/>
            <w:vAlign w:val="center"/>
          </w:tcPr>
          <w:p>
            <w:pPr>
              <w:spacing w:line="240" w:lineRule="auto"/>
              <w:ind w:firstLine="0" w:firstLineChars="0"/>
              <w:jc w:val="center"/>
              <w:rPr>
                <w:rFonts w:cs="Times New Roman"/>
                <w:sz w:val="21"/>
              </w:rPr>
            </w:pPr>
            <w:r>
              <w:rPr>
                <w:rFonts w:hint="eastAsia" w:cs="Times New Roman"/>
                <w:sz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Merge w:val="restart"/>
            <w:tcBorders>
              <w:top w:val="single" w:color="auto" w:sz="4" w:space="0"/>
            </w:tcBorders>
            <w:vAlign w:val="center"/>
          </w:tcPr>
          <w:p>
            <w:pPr>
              <w:spacing w:line="240" w:lineRule="auto"/>
              <w:ind w:firstLine="0" w:firstLineChars="0"/>
              <w:jc w:val="center"/>
              <w:rPr>
                <w:rFonts w:cs="Times New Roman"/>
                <w:sz w:val="21"/>
              </w:rPr>
            </w:pPr>
            <w:r>
              <w:rPr>
                <w:rFonts w:cs="Times New Roman"/>
                <w:sz w:val="21"/>
              </w:rPr>
              <w:t>环境风险措施</w:t>
            </w:r>
          </w:p>
        </w:tc>
        <w:tc>
          <w:tcPr>
            <w:tcW w:w="1559" w:type="dxa"/>
            <w:vAlign w:val="center"/>
          </w:tcPr>
          <w:p>
            <w:pPr>
              <w:pStyle w:val="63"/>
            </w:pPr>
            <w:r>
              <w:t>管道施工防护措施</w:t>
            </w:r>
          </w:p>
        </w:tc>
        <w:tc>
          <w:tcPr>
            <w:tcW w:w="4253" w:type="dxa"/>
            <w:vAlign w:val="center"/>
          </w:tcPr>
          <w:p>
            <w:pPr>
              <w:pStyle w:val="63"/>
            </w:pPr>
            <w:r>
              <w:t>做好管道防护加固措施、防腐工程、阴极保护等措施</w:t>
            </w:r>
          </w:p>
        </w:tc>
        <w:tc>
          <w:tcPr>
            <w:tcW w:w="2126" w:type="dxa"/>
            <w:vAlign w:val="center"/>
          </w:tcPr>
          <w:p>
            <w:pPr>
              <w:pStyle w:val="63"/>
            </w:pPr>
            <w:r>
              <w:t>计入主体工程投资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4" w:hRule="atLeast"/>
        </w:trPr>
        <w:tc>
          <w:tcPr>
            <w:tcW w:w="712" w:type="dxa"/>
            <w:vMerge w:val="continue"/>
            <w:vAlign w:val="center"/>
          </w:tcPr>
          <w:p>
            <w:pPr>
              <w:spacing w:line="240" w:lineRule="auto"/>
              <w:ind w:firstLine="0" w:firstLineChars="0"/>
              <w:jc w:val="center"/>
              <w:rPr>
                <w:rFonts w:cs="Times New Roman"/>
                <w:sz w:val="21"/>
              </w:rPr>
            </w:pPr>
          </w:p>
        </w:tc>
        <w:tc>
          <w:tcPr>
            <w:tcW w:w="1559" w:type="dxa"/>
            <w:vAlign w:val="center"/>
          </w:tcPr>
          <w:p>
            <w:pPr>
              <w:pStyle w:val="63"/>
            </w:pPr>
            <w:r>
              <w:t>环境应急</w:t>
            </w:r>
          </w:p>
          <w:p>
            <w:pPr>
              <w:pStyle w:val="63"/>
            </w:pPr>
            <w:r>
              <w:t>预案</w:t>
            </w:r>
          </w:p>
        </w:tc>
        <w:tc>
          <w:tcPr>
            <w:tcW w:w="4253" w:type="dxa"/>
            <w:vAlign w:val="center"/>
          </w:tcPr>
          <w:p>
            <w:pPr>
              <w:pStyle w:val="63"/>
              <w:rPr>
                <w:rFonts w:cs="Times New Roman"/>
              </w:rPr>
            </w:pPr>
            <w:r>
              <w:t>制定环境风险应急预案，建立环境风险事故报警系统体系，设置防火标示牌等</w:t>
            </w:r>
          </w:p>
        </w:tc>
        <w:tc>
          <w:tcPr>
            <w:tcW w:w="2126" w:type="dxa"/>
            <w:vAlign w:val="center"/>
          </w:tcPr>
          <w:p>
            <w:pPr>
              <w:spacing w:line="240" w:lineRule="auto"/>
              <w:ind w:firstLine="0" w:firstLineChars="0"/>
              <w:jc w:val="center"/>
              <w:rPr>
                <w:rFonts w:cs="Times New Roman"/>
                <w:sz w:val="21"/>
              </w:rPr>
            </w:pPr>
            <w:r>
              <w:rPr>
                <w:rFonts w:hint="eastAsia" w:cs="Times New Roman"/>
                <w:sz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dxa"/>
            <w:vAlign w:val="center"/>
          </w:tcPr>
          <w:p>
            <w:pPr>
              <w:pStyle w:val="63"/>
            </w:pPr>
            <w:r>
              <w:t>环境</w:t>
            </w:r>
          </w:p>
          <w:p>
            <w:pPr>
              <w:pStyle w:val="63"/>
            </w:pPr>
            <w:r>
              <w:t>管理</w:t>
            </w:r>
          </w:p>
        </w:tc>
        <w:tc>
          <w:tcPr>
            <w:tcW w:w="1559" w:type="dxa"/>
            <w:vAlign w:val="center"/>
          </w:tcPr>
          <w:p>
            <w:pPr>
              <w:pStyle w:val="63"/>
            </w:pPr>
            <w:r>
              <w:t>环境宣传、保护</w:t>
            </w:r>
          </w:p>
        </w:tc>
        <w:tc>
          <w:tcPr>
            <w:tcW w:w="4253" w:type="dxa"/>
            <w:vAlign w:val="center"/>
          </w:tcPr>
          <w:p>
            <w:pPr>
              <w:pStyle w:val="63"/>
            </w:pPr>
            <w:r>
              <w:t>开展环保知识培训；宣传环境保护法律、法规；建设并实行“三同时”制度</w:t>
            </w:r>
          </w:p>
        </w:tc>
        <w:tc>
          <w:tcPr>
            <w:tcW w:w="2126" w:type="dxa"/>
            <w:vAlign w:val="center"/>
          </w:tcPr>
          <w:p>
            <w:pPr>
              <w:spacing w:line="240" w:lineRule="auto"/>
              <w:ind w:firstLine="0" w:firstLineChars="0"/>
              <w:jc w:val="center"/>
              <w:rPr>
                <w:rFonts w:cs="Times New Roman"/>
                <w:sz w:val="21"/>
              </w:rPr>
            </w:pPr>
            <w:r>
              <w:rPr>
                <w:rFonts w:hint="eastAsia" w:cs="Times New Roman"/>
                <w:sz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24" w:type="dxa"/>
            <w:gridSpan w:val="3"/>
            <w:vAlign w:val="center"/>
          </w:tcPr>
          <w:p>
            <w:pPr>
              <w:spacing w:line="240" w:lineRule="auto"/>
              <w:ind w:firstLine="0" w:firstLineChars="0"/>
              <w:jc w:val="center"/>
              <w:rPr>
                <w:rFonts w:cs="Times New Roman"/>
                <w:sz w:val="21"/>
              </w:rPr>
            </w:pPr>
            <w:r>
              <w:rPr>
                <w:rFonts w:cs="Times New Roman"/>
                <w:sz w:val="21"/>
              </w:rPr>
              <w:t>合计</w:t>
            </w:r>
          </w:p>
        </w:tc>
        <w:tc>
          <w:tcPr>
            <w:tcW w:w="2126" w:type="dxa"/>
            <w:vAlign w:val="center"/>
          </w:tcPr>
          <w:p>
            <w:pPr>
              <w:spacing w:line="240" w:lineRule="auto"/>
              <w:ind w:firstLine="0" w:firstLineChars="0"/>
              <w:jc w:val="center"/>
              <w:rPr>
                <w:rFonts w:cs="Times New Roman"/>
                <w:sz w:val="21"/>
              </w:rPr>
            </w:pPr>
            <w:r>
              <w:rPr>
                <w:rFonts w:hint="eastAsia" w:cs="Times New Roman"/>
                <w:sz w:val="21"/>
              </w:rPr>
              <w:t>39.6</w:t>
            </w:r>
          </w:p>
        </w:tc>
      </w:tr>
    </w:tbl>
    <w:p>
      <w:pPr>
        <w:ind w:firstLine="480"/>
        <w:rPr>
          <w:rFonts w:cs="Times New Roman"/>
        </w:rPr>
      </w:pPr>
    </w:p>
    <w:p>
      <w:pPr>
        <w:ind w:firstLine="480"/>
        <w:rPr>
          <w:rFonts w:cs="Times New Roman"/>
        </w:rPr>
      </w:pPr>
    </w:p>
    <w:p>
      <w:pPr>
        <w:ind w:firstLine="480"/>
        <w:rPr>
          <w:rFonts w:cs="Times New Roman"/>
        </w:rPr>
      </w:pPr>
    </w:p>
    <w:p>
      <w:pPr>
        <w:ind w:firstLine="199" w:firstLineChars="83"/>
        <w:rPr>
          <w:rFonts w:cs="Times New Roman"/>
        </w:rPr>
        <w:sectPr>
          <w:headerReference r:id="rId33" w:type="default"/>
          <w:pgSz w:w="11906" w:h="16838"/>
          <w:pgMar w:top="1440" w:right="1800" w:bottom="1440" w:left="1800" w:header="851" w:footer="794" w:gutter="0"/>
          <w:cols w:space="425" w:num="1"/>
          <w:docGrid w:type="lines" w:linePitch="326" w:charSpace="0"/>
        </w:sectPr>
      </w:pPr>
    </w:p>
    <w:p>
      <w:pPr>
        <w:pStyle w:val="3"/>
        <w:rPr>
          <w:rFonts w:cs="Times New Roman"/>
        </w:rPr>
      </w:pPr>
      <w:bookmarkStart w:id="352" w:name="_Toc96680776"/>
      <w:r>
        <w:rPr>
          <w:rFonts w:cs="Times New Roman"/>
        </w:rPr>
        <w:t>环境影响经济损益分析</w:t>
      </w:r>
      <w:bookmarkEnd w:id="352"/>
    </w:p>
    <w:p>
      <w:pPr>
        <w:ind w:firstLine="480"/>
        <w:rPr>
          <w:rFonts w:cs="Times New Roman"/>
          <w:kern w:val="0"/>
          <w:szCs w:val="24"/>
        </w:rPr>
      </w:pPr>
      <w:r>
        <w:rPr>
          <w:rFonts w:cs="Times New Roman"/>
          <w:kern w:val="0"/>
          <w:szCs w:val="24"/>
        </w:rPr>
        <w:t>环境影响经济损益分析是环境影响评价的一项主要内容，设置的目的在于衡量建设项目所需投入的环保投资和能收到的环保效果，以评价拟建项目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pPr>
        <w:pStyle w:val="4"/>
        <w:rPr>
          <w:rFonts w:cs="Times New Roman"/>
        </w:rPr>
      </w:pPr>
      <w:r>
        <w:rPr>
          <w:rFonts w:cs="Times New Roman"/>
        </w:rPr>
        <w:t xml:space="preserve"> </w:t>
      </w:r>
      <w:bookmarkStart w:id="353" w:name="_Toc96680777"/>
      <w:r>
        <w:rPr>
          <w:rFonts w:cs="Times New Roman"/>
        </w:rPr>
        <w:t>经济效益分析</w:t>
      </w:r>
      <w:bookmarkEnd w:id="353"/>
    </w:p>
    <w:p>
      <w:pPr>
        <w:ind w:firstLine="480"/>
        <w:rPr>
          <w:rFonts w:cs="Times New Roman"/>
        </w:rPr>
      </w:pPr>
      <w:r>
        <w:rPr>
          <w:rFonts w:hint="eastAsia" w:ascii="宋体" w:hAnsi="宋体" w:cs="宋体"/>
          <w:kern w:val="0"/>
          <w:szCs w:val="24"/>
        </w:rPr>
        <w:t>完成管道治理后，可有效减少输气管道腐蚀穿孔造成的天然气损失、污染赔偿及维修费用，既减少了维修工作时间和人力物力消耗，又有力地保证了正常的生产，确保气田生产的安全性。</w:t>
      </w:r>
    </w:p>
    <w:p>
      <w:pPr>
        <w:pStyle w:val="4"/>
        <w:rPr>
          <w:rFonts w:cs="Times New Roman"/>
        </w:rPr>
      </w:pPr>
      <w:r>
        <w:rPr>
          <w:rFonts w:cs="Times New Roman"/>
        </w:rPr>
        <w:t xml:space="preserve"> </w:t>
      </w:r>
      <w:bookmarkStart w:id="354" w:name="_Toc96680778"/>
      <w:r>
        <w:rPr>
          <w:rFonts w:cs="Times New Roman"/>
        </w:rPr>
        <w:t>社会效益分析</w:t>
      </w:r>
      <w:bookmarkEnd w:id="354"/>
    </w:p>
    <w:p>
      <w:pPr>
        <w:pStyle w:val="214"/>
        <w:ind w:firstLine="480"/>
        <w:rPr>
          <w:rFonts w:ascii="宋体" w:hAnsi="宋体" w:cs="宋体"/>
        </w:rPr>
      </w:pPr>
      <w:r>
        <w:rPr>
          <w:rFonts w:hint="eastAsia" w:ascii="宋体" w:hAnsi="宋体" w:cs="宋体"/>
        </w:rPr>
        <w:t>完成管道治理，有效消除因管道泄漏等原因对居民生活的影响，保障沿线居民生产生活的安全感和幸福感。</w:t>
      </w:r>
    </w:p>
    <w:p>
      <w:pPr>
        <w:pStyle w:val="214"/>
        <w:ind w:firstLine="480"/>
        <w:rPr>
          <w:sz w:val="23"/>
          <w:szCs w:val="23"/>
        </w:rPr>
      </w:pPr>
      <w:r>
        <w:t>工程的建设有利于拉动国民经济的增长，扩大内需。通过实施本工程，可以扩大内需，增加就业机会，促进经济发展，还有利于提高沿途地区人民的生活质量，改善生活环境，注入新的能源。本工程建设需要一定数量的人力，除施工单位外，还需在当地招募民工，因而可给当地居民和农民增加收入。另外，管道工程建设需要大批钢材、建材及配套设备，可带动机械、电力、化工、冶金、建材等相关工业的发展。综上所述，本工程是造福沿线人民的幸福工程，在实施西部大开发战略、加快西部地区经济发展、拉动国民经济增长、调整我国能源结构和充分利用天然气资源等方面不但有重要的经济意义，而且有深远的政治意义。因此，该项目具有良好的经济、社会效益。</w:t>
      </w:r>
    </w:p>
    <w:p>
      <w:pPr>
        <w:pStyle w:val="4"/>
        <w:rPr>
          <w:rFonts w:cs="Times New Roman"/>
        </w:rPr>
      </w:pPr>
      <w:r>
        <w:rPr>
          <w:rFonts w:cs="Times New Roman"/>
        </w:rPr>
        <w:t xml:space="preserve"> </w:t>
      </w:r>
      <w:bookmarkStart w:id="355" w:name="_Toc96680779"/>
      <w:r>
        <w:rPr>
          <w:rFonts w:cs="Times New Roman"/>
        </w:rPr>
        <w:t>环境损益分析</w:t>
      </w:r>
      <w:bookmarkEnd w:id="355"/>
    </w:p>
    <w:p>
      <w:pPr>
        <w:pStyle w:val="5"/>
      </w:pPr>
      <w:r>
        <w:rPr>
          <w:rFonts w:hint="eastAsia"/>
        </w:rPr>
        <w:t xml:space="preserve"> </w:t>
      </w:r>
      <w:bookmarkStart w:id="356" w:name="_Toc96680780"/>
      <w:r>
        <w:rPr>
          <w:rFonts w:hint="eastAsia"/>
        </w:rPr>
        <w:t>环境</w:t>
      </w:r>
      <w:r>
        <w:rPr>
          <w:rFonts w:cs="Times New Roman"/>
        </w:rPr>
        <w:t>损失分析</w:t>
      </w:r>
      <w:bookmarkEnd w:id="356"/>
    </w:p>
    <w:p>
      <w:pPr>
        <w:ind w:firstLine="480"/>
        <w:rPr>
          <w:rFonts w:cs="Times New Roman"/>
          <w:kern w:val="0"/>
          <w:szCs w:val="24"/>
        </w:rPr>
      </w:pPr>
      <w:r>
        <w:rPr>
          <w:rFonts w:cs="Times New Roman"/>
          <w:kern w:val="0"/>
          <w:szCs w:val="24"/>
        </w:rPr>
        <w:t>本工程在建设过程中，需要临时占用一定数量的土地，主要占用的是农田</w:t>
      </w:r>
      <w:r>
        <w:rPr>
          <w:rFonts w:hint="eastAsia" w:cs="Times New Roman"/>
          <w:kern w:val="0"/>
          <w:szCs w:val="24"/>
        </w:rPr>
        <w:t>和</w:t>
      </w:r>
      <w:r>
        <w:rPr>
          <w:rFonts w:cs="Times New Roman"/>
          <w:kern w:val="0"/>
          <w:szCs w:val="24"/>
        </w:rPr>
        <w:t>林地。临时性占地只对耕作期的作物有影响，对农业带来的损失是暂时的，在施工结束后，经过一段时间皆可恢复其原有功能。临时性占地</w:t>
      </w:r>
      <w:r>
        <w:rPr>
          <w:rFonts w:hint="eastAsia" w:cs="Times New Roman"/>
          <w:kern w:val="0"/>
          <w:szCs w:val="24"/>
        </w:rPr>
        <w:t>对</w:t>
      </w:r>
      <w:r>
        <w:rPr>
          <w:rFonts w:cs="Times New Roman"/>
          <w:kern w:val="0"/>
          <w:szCs w:val="24"/>
        </w:rPr>
        <w:t>林地的影响</w:t>
      </w:r>
      <w:r>
        <w:rPr>
          <w:rFonts w:hint="eastAsia" w:cs="Times New Roman"/>
          <w:kern w:val="0"/>
          <w:szCs w:val="24"/>
        </w:rPr>
        <w:t>为原有</w:t>
      </w:r>
      <w:r>
        <w:rPr>
          <w:rFonts w:cs="Times New Roman"/>
          <w:kern w:val="0"/>
          <w:szCs w:val="24"/>
        </w:rPr>
        <w:t>的高大乔木变为</w:t>
      </w:r>
      <w:r>
        <w:rPr>
          <w:rFonts w:hint="eastAsia" w:cs="Times New Roman"/>
          <w:kern w:val="0"/>
          <w:szCs w:val="24"/>
        </w:rPr>
        <w:t>浅根灌木</w:t>
      </w:r>
      <w:r>
        <w:rPr>
          <w:rFonts w:cs="Times New Roman"/>
          <w:kern w:val="0"/>
          <w:szCs w:val="24"/>
        </w:rPr>
        <w:t>,生物量</w:t>
      </w:r>
      <w:r>
        <w:rPr>
          <w:rFonts w:hint="eastAsia" w:cs="Times New Roman"/>
          <w:kern w:val="0"/>
          <w:szCs w:val="24"/>
        </w:rPr>
        <w:t>有所</w:t>
      </w:r>
      <w:r>
        <w:rPr>
          <w:rFonts w:cs="Times New Roman"/>
          <w:kern w:val="0"/>
          <w:szCs w:val="24"/>
        </w:rPr>
        <w:t>减少</w:t>
      </w:r>
      <w:r>
        <w:rPr>
          <w:rFonts w:hint="eastAsia" w:cs="Times New Roman"/>
          <w:kern w:val="0"/>
          <w:szCs w:val="24"/>
        </w:rPr>
        <w:t>。</w:t>
      </w:r>
      <w:r>
        <w:rPr>
          <w:rFonts w:cs="Times New Roman"/>
          <w:kern w:val="0"/>
          <w:szCs w:val="24"/>
        </w:rPr>
        <w:t>一般来说，环境损失包括直接损失和间接损失，直接损失指由于项目建设对土壤、地表植被及其生境破坏所造成的环境经济损失，即土地资源破坏的经济损失，从而减少了耕地的面积；间接损失指由土地资源损失而引起的其它生态问题，如荒漠化、沙尘暴、生物多样性及生产力下降等生态灾害所造成的环境经济损失。间接损失的确定目前尚无一套完整的计算方法和参考数据，因此，仅通过直接农业生态和林地损失来代表环境损失。</w:t>
      </w:r>
    </w:p>
    <w:p>
      <w:pPr>
        <w:pStyle w:val="5"/>
        <w:rPr>
          <w:rFonts w:cs="Times New Roman"/>
        </w:rPr>
      </w:pPr>
      <w:bookmarkStart w:id="357" w:name="_Toc49803699"/>
      <w:bookmarkStart w:id="358" w:name="_Toc18374"/>
      <w:bookmarkStart w:id="359" w:name="_Toc89009805"/>
      <w:r>
        <w:rPr>
          <w:rFonts w:hint="eastAsia" w:cs="Times New Roman"/>
        </w:rPr>
        <w:t xml:space="preserve"> </w:t>
      </w:r>
      <w:bookmarkStart w:id="360" w:name="_Toc96680781"/>
      <w:r>
        <w:rPr>
          <w:rFonts w:cs="Times New Roman"/>
        </w:rPr>
        <w:t>环境</w:t>
      </w:r>
      <w:r>
        <w:rPr>
          <w:rFonts w:hint="eastAsia" w:cs="Times New Roman"/>
        </w:rPr>
        <w:t>效益</w:t>
      </w:r>
      <w:r>
        <w:rPr>
          <w:rFonts w:cs="Times New Roman"/>
        </w:rPr>
        <w:t>分析</w:t>
      </w:r>
      <w:bookmarkEnd w:id="357"/>
      <w:bookmarkEnd w:id="358"/>
      <w:bookmarkEnd w:id="359"/>
      <w:bookmarkEnd w:id="360"/>
    </w:p>
    <w:p>
      <w:pPr>
        <w:pStyle w:val="214"/>
        <w:ind w:firstLine="480"/>
      </w:pPr>
      <w:r>
        <w:rPr>
          <w:rFonts w:hint="eastAsia"/>
        </w:rPr>
        <w:t>（1）完成管道治理，有效消除因管道泄漏等原因对周围环境的影响，避免内环境污染事件的发生，并在一定程度上保障和提升环境质量。</w:t>
      </w:r>
    </w:p>
    <w:p>
      <w:pPr>
        <w:wordWrap w:val="0"/>
        <w:ind w:firstLine="480"/>
        <w:rPr>
          <w:rFonts w:cs="Times New Roman"/>
          <w:kern w:val="0"/>
          <w:szCs w:val="24"/>
        </w:rPr>
      </w:pPr>
      <w:r>
        <w:rPr>
          <w:rFonts w:hint="eastAsia" w:cs="Times New Roman"/>
        </w:rPr>
        <w:t>（2）</w:t>
      </w:r>
      <w:r>
        <w:rPr>
          <w:rFonts w:ascii="宋体" w:hAnsi="宋体" w:cs="Times New Roman"/>
        </w:rPr>
        <w:t>天然气利用可减少环境空气污染物的排放量，改善环境空气质量。根据相关资料，以天然气置换煤作燃料，每利用</w:t>
      </w:r>
      <w:r>
        <w:rPr>
          <w:rFonts w:cs="Times New Roman"/>
        </w:rPr>
        <w:t>1×10</w:t>
      </w:r>
      <w:r>
        <w:rPr>
          <w:rFonts w:cs="Times New Roman"/>
          <w:vertAlign w:val="superscript"/>
        </w:rPr>
        <w:t>8</w:t>
      </w:r>
      <w:r>
        <w:rPr>
          <w:rFonts w:cs="Times New Roman"/>
        </w:rPr>
        <w:t>m</w:t>
      </w:r>
      <w:r>
        <w:rPr>
          <w:rFonts w:cs="Times New Roman"/>
          <w:vertAlign w:val="superscript"/>
        </w:rPr>
        <w:t>3</w:t>
      </w:r>
      <w:r>
        <w:rPr>
          <w:rFonts w:ascii="宋体" w:hAnsi="宋体" w:cs="Times New Roman"/>
        </w:rPr>
        <w:t>天然气可减少</w:t>
      </w:r>
      <w:r>
        <w:rPr>
          <w:rFonts w:cs="Times New Roman"/>
        </w:rPr>
        <w:t>SO</w:t>
      </w:r>
      <w:r>
        <w:rPr>
          <w:rFonts w:cs="Times New Roman"/>
          <w:vertAlign w:val="subscript"/>
        </w:rPr>
        <w:t>2</w:t>
      </w:r>
      <w:r>
        <w:rPr>
          <w:rFonts w:ascii="宋体" w:hAnsi="宋体" w:cs="Times New Roman"/>
        </w:rPr>
        <w:t>排放量约</w:t>
      </w:r>
      <w:r>
        <w:rPr>
          <w:rFonts w:cs="Times New Roman"/>
        </w:rPr>
        <w:t>1210</w:t>
      </w:r>
      <w:r>
        <w:rPr>
          <w:rFonts w:ascii="宋体" w:hAnsi="宋体" w:cs="Times New Roman"/>
        </w:rPr>
        <w:t>吨，减少</w:t>
      </w:r>
      <w:r>
        <w:rPr>
          <w:rFonts w:cs="Times New Roman"/>
        </w:rPr>
        <w:t>NOx</w:t>
      </w:r>
      <w:r>
        <w:rPr>
          <w:rFonts w:ascii="宋体" w:hAnsi="宋体" w:cs="Times New Roman"/>
        </w:rPr>
        <w:t>排放量约</w:t>
      </w:r>
      <w:r>
        <w:rPr>
          <w:rFonts w:cs="Times New Roman"/>
        </w:rPr>
        <w:t>1650</w:t>
      </w:r>
      <w:r>
        <w:rPr>
          <w:rFonts w:ascii="宋体" w:hAnsi="宋体" w:cs="Times New Roman"/>
        </w:rPr>
        <w:t>吨，减少烟尘排放量约</w:t>
      </w:r>
      <w:r>
        <w:rPr>
          <w:rFonts w:cs="Times New Roman"/>
        </w:rPr>
        <w:t>4070</w:t>
      </w:r>
      <w:r>
        <w:rPr>
          <w:rFonts w:ascii="宋体" w:hAnsi="宋体" w:cs="Times New Roman"/>
        </w:rPr>
        <w:t>吨。本项目</w:t>
      </w:r>
      <w:r>
        <w:rPr>
          <w:rFonts w:hint="eastAsia" w:cs="Times New Roman"/>
        </w:rPr>
        <w:t>所在的</w:t>
      </w:r>
      <w:r>
        <w:rPr>
          <w:rFonts w:cs="Times New Roman"/>
        </w:rPr>
        <w:t>河巴线</w:t>
      </w:r>
      <w:r>
        <w:rPr>
          <w:rFonts w:ascii="宋体" w:hAnsi="宋体" w:cs="Times New Roman"/>
        </w:rPr>
        <w:t>天然气管道工程输气量为</w:t>
      </w:r>
      <w:r>
        <w:rPr>
          <w:rFonts w:cs="Times New Roman"/>
        </w:rPr>
        <w:t>5.5×10</w:t>
      </w:r>
      <w:r>
        <w:rPr>
          <w:rFonts w:cs="Times New Roman"/>
          <w:vertAlign w:val="superscript"/>
        </w:rPr>
        <w:t>8</w:t>
      </w:r>
      <w:r>
        <w:rPr>
          <w:rFonts w:cs="Times New Roman"/>
        </w:rPr>
        <w:t>m</w:t>
      </w:r>
      <w:r>
        <w:rPr>
          <w:rFonts w:cs="Times New Roman"/>
          <w:vertAlign w:val="superscript"/>
        </w:rPr>
        <w:t>3</w:t>
      </w:r>
      <w:r>
        <w:rPr>
          <w:rFonts w:cs="Times New Roman"/>
        </w:rPr>
        <w:t>/a</w:t>
      </w:r>
      <w:r>
        <w:rPr>
          <w:rFonts w:ascii="宋体" w:hAnsi="宋体" w:cs="Times New Roman"/>
        </w:rPr>
        <w:t>，以此推算，可减少</w:t>
      </w:r>
      <w:r>
        <w:rPr>
          <w:rFonts w:cs="Times New Roman"/>
        </w:rPr>
        <w:t>SO</w:t>
      </w:r>
      <w:r>
        <w:rPr>
          <w:rFonts w:cs="Times New Roman"/>
          <w:vertAlign w:val="subscript"/>
        </w:rPr>
        <w:t>2</w:t>
      </w:r>
      <w:r>
        <w:rPr>
          <w:rFonts w:ascii="宋体" w:hAnsi="宋体" w:cs="Times New Roman"/>
        </w:rPr>
        <w:t>排放量约</w:t>
      </w:r>
      <w:r>
        <w:rPr>
          <w:rFonts w:cs="Times New Roman"/>
        </w:rPr>
        <w:t>6655t/a</w:t>
      </w:r>
      <w:r>
        <w:rPr>
          <w:rFonts w:ascii="宋体" w:hAnsi="宋体" w:cs="Times New Roman"/>
        </w:rPr>
        <w:t>，减少</w:t>
      </w:r>
      <w:r>
        <w:rPr>
          <w:rFonts w:cs="Times New Roman"/>
        </w:rPr>
        <w:t>NOx</w:t>
      </w:r>
      <w:r>
        <w:rPr>
          <w:rFonts w:ascii="宋体" w:hAnsi="宋体" w:cs="Times New Roman"/>
        </w:rPr>
        <w:t>排放量约</w:t>
      </w:r>
      <w:r>
        <w:rPr>
          <w:rFonts w:cs="Times New Roman"/>
        </w:rPr>
        <w:t>9075t/a</w:t>
      </w:r>
      <w:r>
        <w:rPr>
          <w:rFonts w:ascii="宋体" w:hAnsi="宋体" w:cs="Times New Roman"/>
        </w:rPr>
        <w:t>，减少烟尘排放量约</w:t>
      </w:r>
      <w:r>
        <w:rPr>
          <w:rFonts w:cs="Times New Roman"/>
        </w:rPr>
        <w:t>22385t/a</w:t>
      </w:r>
      <w:r>
        <w:rPr>
          <w:rFonts w:ascii="宋体" w:hAnsi="宋体" w:cs="Times New Roman"/>
        </w:rPr>
        <w:t>。可见，工程建成对于加速利用天然气资源，减少污染物排放，具有巨大的环境效益。</w:t>
      </w:r>
    </w:p>
    <w:p>
      <w:pPr>
        <w:wordWrap w:val="0"/>
        <w:ind w:firstLine="480"/>
        <w:rPr>
          <w:rFonts w:cs="Times New Roman"/>
        </w:rPr>
      </w:pPr>
      <w:r>
        <w:rPr>
          <w:rFonts w:ascii="宋体" w:hAnsi="宋体" w:cs="Times New Roman"/>
        </w:rPr>
        <w:t>（</w:t>
      </w:r>
      <w:r>
        <w:rPr>
          <w:rFonts w:cs="Times New Roman"/>
        </w:rPr>
        <w:t>3</w:t>
      </w:r>
      <w:r>
        <w:rPr>
          <w:rFonts w:ascii="宋体" w:hAnsi="宋体" w:cs="Times New Roman"/>
        </w:rPr>
        <w:t>）天然气的利用可以节省污染物处理费用。以</w:t>
      </w:r>
      <w:r>
        <w:rPr>
          <w:rFonts w:cs="Times New Roman"/>
        </w:rPr>
        <w:t>SO</w:t>
      </w:r>
      <w:r>
        <w:rPr>
          <w:rFonts w:cs="Times New Roman"/>
          <w:vertAlign w:val="subscript"/>
        </w:rPr>
        <w:t>2</w:t>
      </w:r>
      <w:r>
        <w:rPr>
          <w:rFonts w:ascii="宋体" w:hAnsi="宋体" w:cs="Times New Roman"/>
        </w:rPr>
        <w:t>处理为例，据统计，处理</w:t>
      </w:r>
      <w:r>
        <w:rPr>
          <w:rFonts w:cs="Times New Roman"/>
        </w:rPr>
        <w:t>SO</w:t>
      </w:r>
      <w:r>
        <w:rPr>
          <w:rFonts w:cs="Times New Roman"/>
          <w:vertAlign w:val="subscript"/>
        </w:rPr>
        <w:t>2</w:t>
      </w:r>
      <w:r>
        <w:rPr>
          <w:rFonts w:ascii="宋体" w:hAnsi="宋体" w:cs="Times New Roman"/>
        </w:rPr>
        <w:t>所需费用为</w:t>
      </w:r>
      <w:r>
        <w:rPr>
          <w:rFonts w:cs="Times New Roman"/>
        </w:rPr>
        <w:t>1.0</w:t>
      </w:r>
      <w:r>
        <w:rPr>
          <w:rFonts w:ascii="宋体" w:hAnsi="宋体" w:cs="Times New Roman"/>
        </w:rPr>
        <w:t>元</w:t>
      </w:r>
      <w:r>
        <w:rPr>
          <w:rFonts w:cs="Times New Roman"/>
        </w:rPr>
        <w:t>/kg</w:t>
      </w:r>
      <w:r>
        <w:rPr>
          <w:rFonts w:ascii="宋体" w:hAnsi="宋体" w:cs="Times New Roman"/>
        </w:rPr>
        <w:t>，用气量达到</w:t>
      </w:r>
      <w:r>
        <w:rPr>
          <w:rFonts w:cs="Times New Roman"/>
        </w:rPr>
        <w:t>5.5×10</w:t>
      </w:r>
      <w:r>
        <w:rPr>
          <w:rFonts w:cs="Times New Roman"/>
          <w:vertAlign w:val="superscript"/>
        </w:rPr>
        <w:t>8</w:t>
      </w:r>
      <w:r>
        <w:rPr>
          <w:rFonts w:cs="Times New Roman"/>
        </w:rPr>
        <w:t>m</w:t>
      </w:r>
      <w:r>
        <w:rPr>
          <w:rFonts w:cs="Times New Roman"/>
          <w:vertAlign w:val="superscript"/>
        </w:rPr>
        <w:t>3</w:t>
      </w:r>
      <w:r>
        <w:rPr>
          <w:rFonts w:cs="Times New Roman"/>
        </w:rPr>
        <w:t>/a</w:t>
      </w:r>
      <w:r>
        <w:rPr>
          <w:rFonts w:ascii="宋体" w:hAnsi="宋体" w:cs="Times New Roman"/>
        </w:rPr>
        <w:t>时，每年可节约</w:t>
      </w:r>
      <w:r>
        <w:rPr>
          <w:rFonts w:cs="Times New Roman"/>
        </w:rPr>
        <w:t>SO</w:t>
      </w:r>
      <w:r>
        <w:rPr>
          <w:rFonts w:cs="Times New Roman"/>
          <w:vertAlign w:val="subscript"/>
        </w:rPr>
        <w:t>2</w:t>
      </w:r>
      <w:r>
        <w:rPr>
          <w:rFonts w:ascii="宋体" w:hAnsi="宋体" w:cs="Times New Roman"/>
        </w:rPr>
        <w:t>治理费约为</w:t>
      </w:r>
      <w:r>
        <w:rPr>
          <w:rFonts w:cs="Times New Roman"/>
        </w:rPr>
        <w:t>665.5</w:t>
      </w:r>
      <w:r>
        <w:rPr>
          <w:rFonts w:ascii="宋体" w:hAnsi="宋体" w:cs="Times New Roman"/>
        </w:rPr>
        <w:t>万元。</w:t>
      </w:r>
    </w:p>
    <w:p>
      <w:pPr>
        <w:wordWrap w:val="0"/>
        <w:ind w:firstLine="480"/>
        <w:rPr>
          <w:rFonts w:cs="Times New Roman"/>
        </w:rPr>
      </w:pPr>
      <w:r>
        <w:rPr>
          <w:rFonts w:ascii="宋体" w:hAnsi="宋体" w:cs="Times New Roman"/>
        </w:rPr>
        <w:t>（</w:t>
      </w:r>
      <w:r>
        <w:rPr>
          <w:rFonts w:cs="Times New Roman"/>
        </w:rPr>
        <w:t>4</w:t>
      </w:r>
      <w:r>
        <w:rPr>
          <w:rFonts w:ascii="宋体" w:hAnsi="宋体" w:cs="Times New Roman"/>
        </w:rPr>
        <w:t>）天然气的利用可以降低由环境空气污染引起的疾病，进而减少治疗疾病所花的医疗费及误工费。</w:t>
      </w:r>
    </w:p>
    <w:p>
      <w:pPr>
        <w:ind w:firstLine="480"/>
        <w:rPr>
          <w:rFonts w:cs="宋体"/>
        </w:rPr>
      </w:pPr>
      <w:r>
        <w:rPr>
          <w:rFonts w:ascii="宋体" w:hAnsi="宋体" w:cs="Times New Roman"/>
        </w:rPr>
        <w:t>（</w:t>
      </w:r>
      <w:r>
        <w:rPr>
          <w:rFonts w:cs="Times New Roman"/>
        </w:rPr>
        <w:t>5</w:t>
      </w:r>
      <w:r>
        <w:rPr>
          <w:rFonts w:ascii="宋体" w:hAnsi="宋体" w:cs="Times New Roman"/>
        </w:rPr>
        <w:t>）管道输送是一种安全、稳定、高效的运送方式，可减少由于运输带来的环境污染。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pPr>
        <w:pStyle w:val="4"/>
      </w:pPr>
      <w:r>
        <w:rPr>
          <w:rFonts w:hint="eastAsia"/>
        </w:rPr>
        <w:t xml:space="preserve"> </w:t>
      </w:r>
      <w:bookmarkStart w:id="361" w:name="_Toc96680782"/>
      <w:r>
        <w:rPr>
          <w:rFonts w:hint="eastAsia"/>
        </w:rPr>
        <w:t>环境</w:t>
      </w:r>
      <w:r>
        <w:t>影响</w:t>
      </w:r>
      <w:r>
        <w:rPr>
          <w:rFonts w:hint="eastAsia"/>
        </w:rPr>
        <w:t>经济</w:t>
      </w:r>
      <w:r>
        <w:t>损益分析结论</w:t>
      </w:r>
      <w:bookmarkEnd w:id="361"/>
    </w:p>
    <w:p>
      <w:pPr>
        <w:ind w:firstLine="480"/>
        <w:rPr>
          <w:rFonts w:ascii="宋体" w:hAnsi="宋体" w:cs="Times New Roman"/>
        </w:rPr>
        <w:sectPr>
          <w:headerReference r:id="rId34" w:type="default"/>
          <w:pgSz w:w="11906" w:h="16838"/>
          <w:pgMar w:top="1440" w:right="1800" w:bottom="1440" w:left="1800" w:header="851" w:footer="794" w:gutter="0"/>
          <w:cols w:space="425" w:num="1"/>
          <w:docGrid w:type="lines" w:linePitch="326" w:charSpace="0"/>
        </w:sectPr>
      </w:pPr>
      <w:r>
        <w:rPr>
          <w:rFonts w:ascii="宋体" w:hAnsi="宋体" w:cs="Times New Roman"/>
        </w:rPr>
        <w:t>经上述分析可知，工程实施后，</w:t>
      </w:r>
      <w:r>
        <w:rPr>
          <w:rFonts w:hint="eastAsia" w:ascii="宋体" w:hAnsi="宋体" w:cs="宋体"/>
        </w:rPr>
        <w:t>有效消除因管道泄漏等原因对居民生活的影响，</w:t>
      </w:r>
      <w:r>
        <w:rPr>
          <w:rFonts w:hint="eastAsia"/>
        </w:rPr>
        <w:t>消除因管道泄漏等原因对周围环境的影响，</w:t>
      </w:r>
      <w:r>
        <w:rPr>
          <w:rFonts w:ascii="宋体" w:hAnsi="宋体" w:cs="Times New Roman"/>
        </w:rPr>
        <w:t>对提高天然气利用水平、减少污染物排放量、改善环境空气质量具有重大意义。天然气利用可减少环境空气污染物的排放量，改善环境空气质量。同时，可减少慢性气管炎、肺心病等疾病的发病率以及这些疾病医疗费的支出，对节约污染物处理费用同样具有重大意义。由此可见，本工程实施后所带来的环境经济效益，比工程在施工中所造成的直接环境经济损失要大的多。因此，本工程实施后，产生的环境经济效益是显著的，项目建设符合社会效益、经济效益和环境效益统一的原则。</w:t>
      </w:r>
    </w:p>
    <w:p>
      <w:pPr>
        <w:pStyle w:val="3"/>
        <w:rPr>
          <w:rFonts w:cs="Times New Roman"/>
        </w:rPr>
      </w:pPr>
      <w:r>
        <w:rPr>
          <w:rFonts w:cs="Times New Roman"/>
        </w:rPr>
        <w:t xml:space="preserve"> </w:t>
      </w:r>
      <w:bookmarkStart w:id="362" w:name="_Toc96680783"/>
      <w:r>
        <w:rPr>
          <w:rFonts w:cs="Times New Roman"/>
        </w:rPr>
        <w:t>环境管理及监测计划</w:t>
      </w:r>
      <w:bookmarkEnd w:id="362"/>
    </w:p>
    <w:p>
      <w:pPr>
        <w:ind w:firstLine="480"/>
        <w:rPr>
          <w:rFonts w:cs="Times New Roman"/>
          <w:kern w:val="0"/>
          <w:szCs w:val="24"/>
        </w:rPr>
      </w:pPr>
      <w:r>
        <w:rPr>
          <w:rFonts w:ascii="宋体" w:hAnsi="宋体"/>
          <w:kern w:val="0"/>
        </w:rPr>
        <w:t>环境管理是企业管理的一项重要内容。加强环境监督管理力度，尽可能的减少</w:t>
      </w:r>
      <w:r>
        <w:rPr>
          <w:kern w:val="0"/>
        </w:rPr>
        <w:t>“</w:t>
      </w:r>
      <w:r>
        <w:rPr>
          <w:rFonts w:ascii="宋体" w:hAnsi="宋体"/>
          <w:kern w:val="0"/>
        </w:rPr>
        <w:t>三废</w:t>
      </w:r>
      <w:r>
        <w:rPr>
          <w:kern w:val="0"/>
        </w:rPr>
        <w:t>”</w:t>
      </w:r>
      <w:r>
        <w:rPr>
          <w:rFonts w:ascii="宋体" w:hAnsi="宋体"/>
          <w:kern w:val="0"/>
        </w:rPr>
        <w:t>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pPr>
        <w:ind w:firstLine="480"/>
        <w:rPr>
          <w:kern w:val="0"/>
        </w:rPr>
      </w:pPr>
      <w:r>
        <w:rPr>
          <w:rFonts w:ascii="宋体" w:hAnsi="宋体"/>
          <w:kern w:val="0"/>
        </w:rPr>
        <w:t>本管道工程线路长度较短，穿越一定量的公路，对环境的影响主要来自施工期的各种作业活动及运行期的风险事故。无论是施工期的各种作业活动还是运行期的事故，都将会给生态环境带来较大的影响。为最大限度地减轻施工作业对生态环境的影响，减少事故的发生，确保管道安全运行，建立科学有效的环境管理体制，落实各项环保和安全措施尤为重要。</w:t>
      </w:r>
    </w:p>
    <w:p>
      <w:pPr>
        <w:ind w:firstLine="480"/>
      </w:pPr>
      <w:r>
        <w:rPr>
          <w:rFonts w:ascii="宋体" w:hAnsi="宋体"/>
          <w:kern w:val="0"/>
        </w:rPr>
        <w:t>本章将根据工程在施工期和运营期的环境污染特征，提出施工期和运营期的环境管理、施工环境监理和环境监测计划的具体内容。</w:t>
      </w:r>
    </w:p>
    <w:p>
      <w:pPr>
        <w:pStyle w:val="4"/>
      </w:pPr>
      <w:r>
        <w:t xml:space="preserve"> </w:t>
      </w:r>
      <w:bookmarkStart w:id="363" w:name="_Toc96680784"/>
      <w:r>
        <w:t>环境管理</w:t>
      </w:r>
      <w:bookmarkEnd w:id="363"/>
    </w:p>
    <w:p>
      <w:pPr>
        <w:pStyle w:val="5"/>
      </w:pPr>
      <w:r>
        <w:rPr>
          <w:rFonts w:hint="eastAsia"/>
        </w:rPr>
        <w:t xml:space="preserve"> </w:t>
      </w:r>
      <w:bookmarkStart w:id="364" w:name="_Toc96680785"/>
      <w:r>
        <w:rPr>
          <w:rFonts w:hint="eastAsia"/>
        </w:rPr>
        <w:t>机构</w:t>
      </w:r>
      <w:r>
        <w:t>设置</w:t>
      </w:r>
      <w:bookmarkEnd w:id="364"/>
    </w:p>
    <w:p>
      <w:pPr>
        <w:pStyle w:val="214"/>
        <w:ind w:firstLine="480"/>
      </w:pPr>
      <w:r>
        <w:rPr>
          <w:rFonts w:hint="eastAsia"/>
        </w:rPr>
        <w:t>建设单位项目部在施工期成立安全环保小组，项目部建立实施</w:t>
      </w:r>
      <w:r>
        <w:t>HSSE</w:t>
      </w:r>
      <w:r>
        <w:rPr>
          <w:rFonts w:hint="eastAsia"/>
        </w:rPr>
        <w:t>管理体系，建立各岗位的</w:t>
      </w:r>
      <w:r>
        <w:t>HSSE</w:t>
      </w:r>
      <w:r>
        <w:rPr>
          <w:rFonts w:hint="eastAsia"/>
        </w:rPr>
        <w:t>责任制。项目部应定期监督承包商在项目进行过程中遵守</w:t>
      </w:r>
      <w:r>
        <w:t>HSSE</w:t>
      </w:r>
      <w:r>
        <w:rPr>
          <w:rFonts w:hint="eastAsia"/>
        </w:rPr>
        <w:t>管理要求的情况，并有权对现场发现的问题提出整改要求和意见；承包商应承担其施工现场的风险管理与控制；工程监理方应按国家相关法规要求履行其职责；环境监理方应按国家相关法规要求履行其职责；</w:t>
      </w:r>
      <w:r>
        <w:t>HSSE</w:t>
      </w:r>
      <w:r>
        <w:rPr>
          <w:rFonts w:hint="eastAsia"/>
        </w:rPr>
        <w:t>人员的主要职责是为风险的辨识、评价和控制提供技术支持和实施监督管理；项目部可通过定期检查和业绩考核等方式强化</w:t>
      </w:r>
      <w:r>
        <w:t>HSSE</w:t>
      </w:r>
      <w:r>
        <w:rPr>
          <w:rFonts w:hint="eastAsia"/>
        </w:rPr>
        <w:t>职责的落实，确保施工期不发生环境污染与生态破坏事件，同时监督环保设施的</w:t>
      </w:r>
      <w:r>
        <w:t>“</w:t>
      </w:r>
      <w:r>
        <w:rPr>
          <w:rFonts w:hint="eastAsia"/>
        </w:rPr>
        <w:t>三同时</w:t>
      </w:r>
      <w:r>
        <w:t>”</w:t>
      </w:r>
      <w:r>
        <w:rPr>
          <w:rFonts w:hint="eastAsia"/>
        </w:rPr>
        <w:t>实施情况。</w:t>
      </w:r>
    </w:p>
    <w:p>
      <w:pPr>
        <w:pStyle w:val="5"/>
      </w:pPr>
      <w:r>
        <w:rPr>
          <w:rFonts w:hint="eastAsia"/>
        </w:rPr>
        <w:t xml:space="preserve"> </w:t>
      </w:r>
      <w:bookmarkStart w:id="365" w:name="_Toc96680786"/>
      <w:r>
        <w:rPr>
          <w:rFonts w:hint="eastAsia"/>
        </w:rPr>
        <w:t>机构职责</w:t>
      </w:r>
      <w:bookmarkEnd w:id="365"/>
    </w:p>
    <w:p>
      <w:pPr>
        <w:pStyle w:val="6"/>
      </w:pPr>
      <w:r>
        <w:rPr>
          <w:rFonts w:hint="eastAsia"/>
        </w:rPr>
        <w:t xml:space="preserve"> 施工期管理职责 </w:t>
      </w:r>
    </w:p>
    <w:p>
      <w:pPr>
        <w:pStyle w:val="214"/>
        <w:ind w:firstLine="480"/>
      </w:pPr>
      <w:r>
        <w:rPr>
          <w:rFonts w:hint="eastAsia"/>
        </w:rPr>
        <w:t>（</w:t>
      </w:r>
      <w:r>
        <w:t>1</w:t>
      </w:r>
      <w:r>
        <w:rPr>
          <w:rFonts w:hint="eastAsia"/>
        </w:rPr>
        <w:t xml:space="preserve">）施工前期及施工过程中宣传并执行国家有关环保法规、条例、标准，组织制定和修改本单位的环境保护管理规章制度并监督执行； </w:t>
      </w:r>
    </w:p>
    <w:p>
      <w:pPr>
        <w:pStyle w:val="214"/>
        <w:ind w:firstLine="480"/>
      </w:pPr>
      <w:r>
        <w:rPr>
          <w:rFonts w:hint="eastAsia"/>
        </w:rPr>
        <w:t>（</w:t>
      </w:r>
      <w:r>
        <w:t>2</w:t>
      </w:r>
      <w:r>
        <w:rPr>
          <w:rFonts w:hint="eastAsia"/>
        </w:rPr>
        <w:t>）施工过程中在施工地点，应由工程环境监理人员在施工现场跟踪监控管理，监察环保设施设置与实施情况；</w:t>
      </w:r>
    </w:p>
    <w:p>
      <w:pPr>
        <w:pStyle w:val="214"/>
        <w:ind w:firstLine="480"/>
      </w:pPr>
      <w:r>
        <w:rPr>
          <w:rFonts w:hint="eastAsia"/>
        </w:rPr>
        <w:t>（</w:t>
      </w:r>
      <w:r>
        <w:t>3</w:t>
      </w:r>
      <w:r>
        <w:rPr>
          <w:rFonts w:hint="eastAsia"/>
        </w:rPr>
        <w:t>）施工过程中负责本项目施工期的环境保护管理工作。负责监督施工期各项环保措施的落实与执行情况；协调、处理因本项目的建设产生的环境问题而引起的各种投诉，并达成相应的谅解措施；</w:t>
      </w:r>
    </w:p>
    <w:p>
      <w:pPr>
        <w:pStyle w:val="214"/>
        <w:ind w:firstLine="480"/>
      </w:pPr>
      <w:r>
        <w:rPr>
          <w:rFonts w:hint="eastAsia"/>
        </w:rPr>
        <w:t>（</w:t>
      </w:r>
      <w:r>
        <w:t>4</w:t>
      </w:r>
      <w:r>
        <w:rPr>
          <w:rFonts w:hint="eastAsia"/>
        </w:rPr>
        <w:t xml:space="preserve">）组织开展环境监理，提高建设项目环境保护专业能力； </w:t>
      </w:r>
    </w:p>
    <w:p>
      <w:pPr>
        <w:pStyle w:val="214"/>
        <w:ind w:firstLine="480"/>
      </w:pPr>
      <w:r>
        <w:rPr>
          <w:rFonts w:hint="eastAsia"/>
        </w:rPr>
        <w:t>（</w:t>
      </w:r>
      <w:r>
        <w:t>5</w:t>
      </w:r>
      <w:r>
        <w:rPr>
          <w:rFonts w:hint="eastAsia"/>
        </w:rPr>
        <w:t xml:space="preserve">）组织开展施工期环境监测工作，推进环境监测计划的实施； </w:t>
      </w:r>
    </w:p>
    <w:p>
      <w:pPr>
        <w:pStyle w:val="214"/>
        <w:ind w:firstLine="480"/>
      </w:pPr>
      <w:r>
        <w:rPr>
          <w:rFonts w:hint="eastAsia"/>
        </w:rPr>
        <w:t>（</w:t>
      </w:r>
      <w:r>
        <w:t>6</w:t>
      </w:r>
      <w:r>
        <w:rPr>
          <w:rFonts w:hint="eastAsia"/>
        </w:rPr>
        <w:t>）工程竣工后根据国家环保行政主管部门的程序要求开展试生产与竣工环保验收，如果项目分期投产，必须根据相关法律法规的规定做到分期验收。</w:t>
      </w:r>
    </w:p>
    <w:p>
      <w:pPr>
        <w:pStyle w:val="6"/>
      </w:pPr>
      <w:r>
        <w:rPr>
          <w:rFonts w:hint="eastAsia"/>
        </w:rPr>
        <w:t xml:space="preserve"> 营运期期管理职责 </w:t>
      </w:r>
    </w:p>
    <w:p>
      <w:pPr>
        <w:pStyle w:val="214"/>
        <w:ind w:firstLine="480"/>
      </w:pPr>
      <w:r>
        <w:rPr>
          <w:rFonts w:hint="eastAsia"/>
        </w:rPr>
        <w:t>（</w:t>
      </w:r>
      <w:r>
        <w:t>1</w:t>
      </w:r>
      <w:r>
        <w:rPr>
          <w:rFonts w:hint="eastAsia"/>
        </w:rPr>
        <w:t>）组织和实施本单位的环境监测；</w:t>
      </w:r>
    </w:p>
    <w:p>
      <w:pPr>
        <w:pStyle w:val="214"/>
        <w:ind w:firstLine="480"/>
      </w:pPr>
      <w:r>
        <w:rPr>
          <w:rFonts w:hint="eastAsia"/>
        </w:rPr>
        <w:t>（</w:t>
      </w:r>
      <w:r>
        <w:t>2</w:t>
      </w:r>
      <w:r>
        <w:rPr>
          <w:rFonts w:hint="eastAsia"/>
        </w:rPr>
        <w:t xml:space="preserve">）推广应用环境保护先进技术和经验； </w:t>
      </w:r>
    </w:p>
    <w:p>
      <w:pPr>
        <w:pStyle w:val="214"/>
        <w:ind w:firstLine="480"/>
      </w:pPr>
      <w:r>
        <w:rPr>
          <w:rFonts w:hint="eastAsia"/>
        </w:rPr>
        <w:t>（</w:t>
      </w:r>
      <w:r>
        <w:t>3</w:t>
      </w:r>
      <w:r>
        <w:rPr>
          <w:rFonts w:hint="eastAsia"/>
        </w:rPr>
        <w:t xml:space="preserve">）制定并组织实施环境保护规划和计划； </w:t>
      </w:r>
    </w:p>
    <w:p>
      <w:pPr>
        <w:pStyle w:val="214"/>
        <w:ind w:firstLine="480"/>
      </w:pPr>
      <w:r>
        <w:rPr>
          <w:rFonts w:hint="eastAsia"/>
        </w:rPr>
        <w:t>（</w:t>
      </w:r>
      <w:r>
        <w:t>4</w:t>
      </w:r>
      <w:r>
        <w:rPr>
          <w:rFonts w:hint="eastAsia"/>
        </w:rPr>
        <w:t xml:space="preserve">）检查本单位环境保护设施的运行； </w:t>
      </w:r>
    </w:p>
    <w:p>
      <w:pPr>
        <w:pStyle w:val="214"/>
        <w:ind w:firstLine="480"/>
      </w:pPr>
      <w:r>
        <w:rPr>
          <w:rFonts w:hint="eastAsia"/>
        </w:rPr>
        <w:t>（</w:t>
      </w:r>
      <w:r>
        <w:t>5</w:t>
      </w:r>
      <w:r>
        <w:rPr>
          <w:rFonts w:hint="eastAsia"/>
        </w:rPr>
        <w:t xml:space="preserve">）组织开展本单位的环境保护专业技术培训，提高人员素质； </w:t>
      </w:r>
    </w:p>
    <w:p>
      <w:pPr>
        <w:pStyle w:val="214"/>
        <w:ind w:firstLine="480"/>
      </w:pPr>
      <w:r>
        <w:rPr>
          <w:rFonts w:hint="eastAsia"/>
        </w:rPr>
        <w:t>（</w:t>
      </w:r>
      <w:r>
        <w:t>6</w:t>
      </w:r>
      <w:r>
        <w:rPr>
          <w:rFonts w:hint="eastAsia"/>
        </w:rPr>
        <w:t xml:space="preserve">）组织开展本单位的环境保护科研和技术交流； </w:t>
      </w:r>
    </w:p>
    <w:p>
      <w:pPr>
        <w:pStyle w:val="214"/>
        <w:ind w:firstLine="480"/>
      </w:pPr>
      <w:r>
        <w:rPr>
          <w:rFonts w:hint="eastAsia"/>
        </w:rPr>
        <w:t>（</w:t>
      </w:r>
      <w:r>
        <w:t>7</w:t>
      </w:r>
      <w:r>
        <w:rPr>
          <w:rFonts w:hint="eastAsia"/>
        </w:rPr>
        <w:t xml:space="preserve">）运营期负责对运营期污染事故的调查、监测分析工作，并写出调查报告； </w:t>
      </w:r>
    </w:p>
    <w:p>
      <w:pPr>
        <w:pStyle w:val="214"/>
        <w:ind w:firstLine="480"/>
      </w:pPr>
      <w:r>
        <w:rPr>
          <w:rFonts w:hint="eastAsia"/>
        </w:rPr>
        <w:t>（</w:t>
      </w:r>
      <w:r>
        <w:t>8</w:t>
      </w:r>
      <w:r>
        <w:rPr>
          <w:rFonts w:hint="eastAsia"/>
        </w:rPr>
        <w:t xml:space="preserve">）按环保主管部门的规定和要求填报各种环境管理报表； </w:t>
      </w:r>
    </w:p>
    <w:p>
      <w:pPr>
        <w:pStyle w:val="214"/>
        <w:ind w:firstLine="480"/>
      </w:pPr>
      <w:r>
        <w:rPr>
          <w:rFonts w:hint="eastAsia"/>
        </w:rPr>
        <w:t>（</w:t>
      </w:r>
      <w:r>
        <w:t>9</w:t>
      </w:r>
      <w:r>
        <w:rPr>
          <w:rFonts w:hint="eastAsia"/>
        </w:rPr>
        <w:t xml:space="preserve">）运营过程中负责本项目运营期的环境保护管理工作。负责监督试运营期各项环保设备的运营情况；协调、处理因本项目的运营期间产生的环境问题而引起的各种投诉； </w:t>
      </w:r>
    </w:p>
    <w:p>
      <w:pPr>
        <w:pStyle w:val="214"/>
        <w:ind w:firstLine="480"/>
      </w:pPr>
      <w:r>
        <w:rPr>
          <w:rFonts w:hint="eastAsia"/>
        </w:rPr>
        <w:t>（</w:t>
      </w:r>
      <w:r>
        <w:t>10</w:t>
      </w:r>
      <w:r>
        <w:rPr>
          <w:rFonts w:hint="eastAsia"/>
        </w:rPr>
        <w:t>）制定运营期环境监测计划并监督落实。</w:t>
      </w:r>
    </w:p>
    <w:p>
      <w:pPr>
        <w:pStyle w:val="5"/>
      </w:pPr>
      <w:r>
        <w:rPr>
          <w:rFonts w:hint="eastAsia"/>
        </w:rPr>
        <w:t xml:space="preserve"> </w:t>
      </w:r>
      <w:bookmarkStart w:id="366" w:name="_Toc96680787"/>
      <w:r>
        <w:rPr>
          <w:rFonts w:hint="eastAsia"/>
        </w:rPr>
        <w:t>施工期环境</w:t>
      </w:r>
      <w:r>
        <w:t>管理</w:t>
      </w:r>
      <w:bookmarkEnd w:id="366"/>
    </w:p>
    <w:p>
      <w:pPr>
        <w:pStyle w:val="214"/>
        <w:ind w:firstLine="480"/>
      </w:pPr>
      <w:r>
        <w:rPr>
          <w:rFonts w:hint="eastAsia"/>
        </w:rPr>
        <w:t>本项目施工期是对生态环境影响最大的时期，同时也存在很多改善的机会，加强这一时期的环境管理工作有着非常重要的意义。为确保各项环保措施的落实，最大限度地减轻施工作业对环境的影响，建立施工期</w:t>
      </w:r>
      <w:r>
        <w:t>HSE</w:t>
      </w:r>
      <w:r>
        <w:rPr>
          <w:rFonts w:hint="eastAsia"/>
        </w:rPr>
        <w:t xml:space="preserve">环境管理体系、引入环境监理、监督机制尤为重要。 </w:t>
      </w:r>
    </w:p>
    <w:p>
      <w:pPr>
        <w:pStyle w:val="214"/>
        <w:ind w:firstLine="482"/>
        <w:rPr>
          <w:b/>
        </w:rPr>
      </w:pPr>
      <w:r>
        <w:rPr>
          <w:rFonts w:hint="eastAsia"/>
          <w:b/>
        </w:rPr>
        <w:t>（</w:t>
      </w:r>
      <w:r>
        <w:rPr>
          <w:b/>
        </w:rPr>
        <w:t>1</w:t>
      </w:r>
      <w:r>
        <w:rPr>
          <w:rFonts w:hint="eastAsia"/>
          <w:b/>
        </w:rPr>
        <w:t>）明确</w:t>
      </w:r>
      <w:r>
        <w:rPr>
          <w:b/>
        </w:rPr>
        <w:t>HSSE</w:t>
      </w:r>
      <w:r>
        <w:rPr>
          <w:rFonts w:hint="eastAsia"/>
          <w:b/>
        </w:rPr>
        <w:t xml:space="preserve">机构在施工期环境管理上的主要职责 </w:t>
      </w:r>
    </w:p>
    <w:p>
      <w:pPr>
        <w:pStyle w:val="214"/>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w:t>
      </w:r>
      <w:r>
        <w:t>HSSE</w:t>
      </w:r>
      <w:r>
        <w:rPr>
          <w:rFonts w:hint="eastAsia"/>
        </w:rPr>
        <w:t xml:space="preserve">体系建立及实施过程中的监督、协调、人员培训和文件管理工作； </w:t>
      </w:r>
    </w:p>
    <w:p>
      <w:pPr>
        <w:pStyle w:val="214"/>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负责制定本管道施工作业的环境保护规定，根据施工中各工种的作业特点分别制定各工种的环境保护要求，制定发生事故的应急计划； </w:t>
      </w:r>
    </w:p>
    <w:p>
      <w:pPr>
        <w:pStyle w:val="214"/>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 xml:space="preserve">负责组织环保安全检查和奖、惩； </w:t>
      </w:r>
    </w:p>
    <w:p>
      <w:pPr>
        <w:pStyle w:val="214"/>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 xml:space="preserve">监督各项环保措施的落实及环保工程的检查和预验收，负责协调与沿线各省、市环保、水利、土地等部门的关系，以及负责有关环保文件、技术资料的收集建档。组织开展管道环境保护的宣传教育与培训工作。 </w:t>
      </w:r>
    </w:p>
    <w:p>
      <w:pPr>
        <w:pStyle w:val="214"/>
        <w:ind w:firstLine="482"/>
        <w:rPr>
          <w:b/>
        </w:rPr>
      </w:pPr>
      <w:r>
        <w:rPr>
          <w:rFonts w:hint="eastAsia"/>
          <w:b/>
        </w:rPr>
        <w:t xml:space="preserve">（2）加强施工承包方的管理 </w:t>
      </w:r>
    </w:p>
    <w:p>
      <w:pPr>
        <w:pStyle w:val="214"/>
        <w:ind w:firstLine="480"/>
      </w:pPr>
      <w:r>
        <w:rPr>
          <w:rFonts w:hint="eastAsia"/>
        </w:rPr>
        <w:t xml:space="preserve">施工承包方是管道施工作业的直接参与者，对他们的管理如何将直接关系到环境管理的好坏。为此，在施工单位的选择与管理上应提出如下要求。 </w:t>
      </w:r>
    </w:p>
    <w:p>
      <w:pPr>
        <w:pStyle w:val="214"/>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 xml:space="preserve">在技术装备、人员素质等同的条件下，优先考虑环境管理水平高、环保业绩好的单位。 </w:t>
      </w:r>
    </w:p>
    <w:p>
      <w:pPr>
        <w:pStyle w:val="214"/>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在承包合同中应明确有关环境保护条款，如环境保护目标，采取的水、气、声、生态保护及水土保持措施等，将环保工作的好坏作为工程验收的标准之一。 </w:t>
      </w:r>
    </w:p>
    <w:p>
      <w:pPr>
        <w:pStyle w:val="214"/>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各施工单位在施工作业前，应编制详细的环境管理方案，连同施工计划一起呈报公司</w:t>
      </w:r>
      <w:r>
        <w:t>HSSE</w:t>
      </w:r>
      <w:r>
        <w:rPr>
          <w:rFonts w:hint="eastAsia"/>
        </w:rPr>
        <w:t xml:space="preserve">部门及其它相关环保部门，批准后方可开工。 </w:t>
      </w:r>
    </w:p>
    <w:p>
      <w:pPr>
        <w:pStyle w:val="214"/>
        <w:ind w:firstLine="480"/>
        <w:rPr>
          <w:rFonts w:ascii="宋体" w:hAnsi="宋体" w:cs="宋体"/>
        </w:rPr>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在施工作业前对施工人员进行环保知识培训，主要包括：了解国家及地方有关环境的法律、法规和标准；了解环境保护的重要性及公司环境管理的方针、目标和要求；掌握动植物、地下水及地表水源等的保护方法；掌握如何减少、收集和处理固体废物的方法；掌握管理、存放及处理危险物品</w:t>
      </w:r>
      <w:r>
        <w:rPr>
          <w:rFonts w:hint="eastAsia" w:ascii="宋体" w:hAnsi="宋体" w:cs="宋体"/>
        </w:rPr>
        <w:t xml:space="preserve">的方法等。 </w:t>
      </w:r>
    </w:p>
    <w:p>
      <w:pPr>
        <w:pStyle w:val="214"/>
        <w:ind w:firstLine="480"/>
        <w:rPr>
          <w:rFonts w:ascii="宋体" w:hAnsi="宋体" w:cs="宋体"/>
        </w:rPr>
      </w:pPr>
      <w:r>
        <w:rPr>
          <w:rFonts w:ascii="宋体" w:hAnsi="宋体" w:cs="宋体"/>
        </w:rPr>
        <w:fldChar w:fldCharType="begin"/>
      </w:r>
      <w:r>
        <w:rPr>
          <w:rFonts w:ascii="宋体" w:hAnsi="宋体" w:cs="宋体"/>
        </w:rPr>
        <w:instrText xml:space="preserve"> </w:instrText>
      </w:r>
      <w:r>
        <w:rPr>
          <w:rFonts w:hint="eastAsia" w:ascii="宋体" w:hAnsi="宋体" w:cs="宋体"/>
        </w:rPr>
        <w:instrText xml:space="preserve">= 5 \* GB3</w:instrText>
      </w:r>
      <w:r>
        <w:rPr>
          <w:rFonts w:ascii="宋体" w:hAnsi="宋体" w:cs="宋体"/>
        </w:rPr>
        <w:instrText xml:space="preserve"> </w:instrText>
      </w:r>
      <w:r>
        <w:rPr>
          <w:rFonts w:ascii="宋体" w:hAnsi="宋体" w:cs="宋体"/>
        </w:rPr>
        <w:fldChar w:fldCharType="separate"/>
      </w:r>
      <w:r>
        <w:rPr>
          <w:rFonts w:hint="eastAsia" w:ascii="宋体" w:hAnsi="宋体" w:cs="宋体"/>
        </w:rPr>
        <w:t>⑤</w:t>
      </w:r>
      <w:r>
        <w:rPr>
          <w:rFonts w:ascii="宋体" w:hAnsi="宋体" w:cs="宋体"/>
        </w:rPr>
        <w:fldChar w:fldCharType="end"/>
      </w:r>
      <w:r>
        <w:rPr>
          <w:rFonts w:hint="eastAsia" w:ascii="宋体" w:hAnsi="宋体" w:cs="宋体"/>
        </w:rPr>
        <w:t xml:space="preserve">加强施工营地的管理：施工单位应根据当地环境合理选择布设施工营地，制定施工营地管理条例，条例中应包括对人员活动范围、生活垃圾及其它废物的管理。 </w:t>
      </w:r>
    </w:p>
    <w:p>
      <w:pPr>
        <w:pStyle w:val="214"/>
        <w:ind w:firstLine="480"/>
        <w:rPr>
          <w:rFonts w:ascii="宋体" w:hAnsi="宋体" w:cs="宋体"/>
        </w:rPr>
      </w:pPr>
      <w:r>
        <w:rPr>
          <w:rFonts w:ascii="宋体" w:hAnsi="宋体" w:cs="宋体"/>
        </w:rPr>
        <w:fldChar w:fldCharType="begin"/>
      </w:r>
      <w:r>
        <w:rPr>
          <w:rFonts w:ascii="宋体" w:hAnsi="宋体" w:cs="宋体"/>
        </w:rPr>
        <w:instrText xml:space="preserve"> </w:instrText>
      </w:r>
      <w:r>
        <w:rPr>
          <w:rFonts w:hint="eastAsia" w:ascii="宋体" w:hAnsi="宋体" w:cs="宋体"/>
        </w:rPr>
        <w:instrText xml:space="preserve">= 6 \* GB3</w:instrText>
      </w:r>
      <w:r>
        <w:rPr>
          <w:rFonts w:ascii="宋体" w:hAnsi="宋体" w:cs="宋体"/>
        </w:rPr>
        <w:instrText xml:space="preserve"> </w:instrText>
      </w:r>
      <w:r>
        <w:rPr>
          <w:rFonts w:ascii="宋体" w:hAnsi="宋体" w:cs="宋体"/>
        </w:rPr>
        <w:fldChar w:fldCharType="separate"/>
      </w:r>
      <w:r>
        <w:rPr>
          <w:rFonts w:hint="eastAsia" w:ascii="宋体" w:hAnsi="宋体" w:cs="宋体"/>
        </w:rPr>
        <w:t>⑥</w:t>
      </w:r>
      <w:r>
        <w:rPr>
          <w:rFonts w:ascii="宋体" w:hAnsi="宋体" w:cs="宋体"/>
        </w:rPr>
        <w:fldChar w:fldCharType="end"/>
      </w:r>
      <w:r>
        <w:rPr>
          <w:rFonts w:hint="eastAsia" w:ascii="宋体" w:hAnsi="宋体" w:cs="宋体"/>
        </w:rPr>
        <w:t xml:space="preserve">为加强管理施工单位作业范围，明确施工人员作业区域，应在施工作业带两侧加以显著标志，严禁跨区域施工。 </w:t>
      </w:r>
    </w:p>
    <w:p>
      <w:pPr>
        <w:pStyle w:val="214"/>
        <w:ind w:firstLine="482"/>
        <w:rPr>
          <w:rFonts w:ascii="宋体" w:hAnsi="宋体" w:cs="宋体"/>
          <w:b/>
        </w:rPr>
      </w:pPr>
      <w:r>
        <w:rPr>
          <w:rFonts w:hint="eastAsia"/>
          <w:b/>
        </w:rPr>
        <w:t>（3）</w:t>
      </w:r>
      <w:r>
        <w:rPr>
          <w:rFonts w:hint="eastAsia" w:ascii="宋体" w:hAnsi="宋体" w:cs="宋体"/>
          <w:b/>
        </w:rPr>
        <w:t xml:space="preserve">制定施工期环境监督计划 </w:t>
      </w:r>
    </w:p>
    <w:p>
      <w:pPr>
        <w:pStyle w:val="214"/>
        <w:ind w:firstLine="480"/>
        <w:rPr>
          <w:rFonts w:ascii="宋体" w:hAnsi="宋体" w:cs="宋体"/>
        </w:rPr>
      </w:pPr>
      <w:r>
        <w:rPr>
          <w:rFonts w:hint="eastAsia" w:ascii="宋体" w:hAnsi="宋体" w:cs="宋体"/>
        </w:rPr>
        <w:t xml:space="preserve">在施工阶段，业主和施工单位的专兼职环保人员，应制定施工期环境监督计划，并按照计划要求进行监督。业主和当地环保部门负责不定期的对施工单位和施工场地、施工行为进行检查，考核监控计划的执行情况及环境减缓措施、水保措施与各项环保要求的落实，并对施工期环境监控进行业务指导。 </w:t>
      </w:r>
    </w:p>
    <w:p>
      <w:pPr>
        <w:pStyle w:val="214"/>
        <w:ind w:firstLine="482"/>
        <w:rPr>
          <w:rFonts w:ascii="宋体" w:hAnsi="宋体" w:cs="宋体"/>
          <w:b/>
        </w:rPr>
      </w:pPr>
      <w:r>
        <w:rPr>
          <w:rFonts w:hint="eastAsia"/>
          <w:b/>
        </w:rPr>
        <w:t>（4）</w:t>
      </w:r>
      <w:r>
        <w:rPr>
          <w:rFonts w:hint="eastAsia" w:ascii="宋体" w:hAnsi="宋体" w:cs="宋体"/>
          <w:b/>
        </w:rPr>
        <w:t xml:space="preserve">实施环境监理制度 </w:t>
      </w:r>
    </w:p>
    <w:p>
      <w:pPr>
        <w:pStyle w:val="214"/>
        <w:ind w:firstLine="480"/>
        <w:rPr>
          <w:rFonts w:ascii="宋体" w:hAnsi="宋体" w:cs="宋体"/>
        </w:rPr>
      </w:pPr>
      <w:r>
        <w:rPr>
          <w:rFonts w:hint="eastAsia" w:ascii="宋体" w:hAnsi="宋体" w:cs="宋体"/>
        </w:rPr>
        <w:t>为确保各项环保措施的落实，最大限度地减轻施工作业对环境的影响，除公司自身实施</w:t>
      </w:r>
      <w:r>
        <w:t>HSSE</w:t>
      </w:r>
      <w:r>
        <w:rPr>
          <w:rFonts w:hint="eastAsia" w:ascii="宋体" w:hAnsi="宋体" w:cs="宋体"/>
        </w:rPr>
        <w:t>管理外，建议引入环境监理机制，纳入整体工程监理当中。</w:t>
      </w:r>
    </w:p>
    <w:p>
      <w:pPr>
        <w:pStyle w:val="5"/>
      </w:pPr>
      <w:r>
        <w:rPr>
          <w:rFonts w:hint="eastAsia"/>
        </w:rPr>
        <w:t xml:space="preserve"> </w:t>
      </w:r>
      <w:bookmarkStart w:id="367" w:name="_Toc96680788"/>
      <w:r>
        <w:rPr>
          <w:rFonts w:hint="eastAsia"/>
        </w:rPr>
        <w:t>运营期环境</w:t>
      </w:r>
      <w:r>
        <w:t>管理</w:t>
      </w:r>
      <w:bookmarkEnd w:id="367"/>
    </w:p>
    <w:p>
      <w:pPr>
        <w:pStyle w:val="214"/>
        <w:ind w:firstLine="480"/>
      </w:pPr>
      <w:r>
        <w:rPr>
          <w:rFonts w:hint="eastAsia"/>
        </w:rPr>
        <w:t>为确保各项环保措施的落实，最大限度地减轻施工作业对环境的影响，本项目在运营期</w:t>
      </w:r>
      <w:r>
        <w:t>HSSE</w:t>
      </w:r>
      <w:r>
        <w:rPr>
          <w:rFonts w:hint="eastAsia"/>
        </w:rPr>
        <w:t xml:space="preserve">管理的主要内容是： </w:t>
      </w:r>
    </w:p>
    <w:p>
      <w:pPr>
        <w:pStyle w:val="214"/>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 xml:space="preserve">协助环保部门进行环境保护设施的竣工验收工作； </w:t>
      </w:r>
    </w:p>
    <w:p>
      <w:pPr>
        <w:pStyle w:val="214"/>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定期进行环保检查和召开有关会议； </w:t>
      </w:r>
    </w:p>
    <w:p>
      <w:pPr>
        <w:pStyle w:val="214"/>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 xml:space="preserve">对领导和职工特别是兼职环保人员进行环保方面的培训； </w:t>
      </w:r>
    </w:p>
    <w:p>
      <w:pPr>
        <w:pStyle w:val="214"/>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 xml:space="preserve">制定环保管理制度； </w:t>
      </w:r>
    </w:p>
    <w:p>
      <w:pPr>
        <w:pStyle w:val="214"/>
        <w:ind w:firstLine="48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 xml:space="preserve">制定环境事故应急预案，定期组织演练； </w:t>
      </w:r>
    </w:p>
    <w:p>
      <w:pPr>
        <w:pStyle w:val="214"/>
        <w:ind w:firstLine="48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主管环保的人员应参加生产调度和管理工作会议，针对生产运行中存在的环境污染问题，向主管领导和生产部门提出建议和技术处理措施。</w:t>
      </w:r>
    </w:p>
    <w:p>
      <w:pPr>
        <w:pStyle w:val="5"/>
      </w:pPr>
      <w:r>
        <w:rPr>
          <w:rFonts w:hint="eastAsia"/>
        </w:rPr>
        <w:t xml:space="preserve"> </w:t>
      </w:r>
      <w:bookmarkStart w:id="368" w:name="_Toc96680789"/>
      <w:r>
        <w:rPr>
          <w:rFonts w:hint="eastAsia"/>
        </w:rPr>
        <w:t>环境</w:t>
      </w:r>
      <w:r>
        <w:t>监理</w:t>
      </w:r>
      <w:bookmarkEnd w:id="368"/>
    </w:p>
    <w:p>
      <w:pPr>
        <w:pStyle w:val="214"/>
        <w:ind w:firstLine="480"/>
      </w:pPr>
      <w:r>
        <w:rPr>
          <w:rFonts w:hint="eastAsia"/>
        </w:rPr>
        <w:t xml:space="preserve">由于本项目施工期对环境影响较大，因此本项目实行环境监理制度，为施工期防止污染环境和项目竣工环境保护验收提供可靠的技术依据。 </w:t>
      </w:r>
    </w:p>
    <w:p>
      <w:pPr>
        <w:pStyle w:val="6"/>
      </w:pPr>
      <w:r>
        <w:rPr>
          <w:rFonts w:hint="eastAsia"/>
        </w:rPr>
        <w:t xml:space="preserve"> 实施环境监理的原则要求 </w:t>
      </w:r>
    </w:p>
    <w:p>
      <w:pPr>
        <w:pStyle w:val="214"/>
        <w:ind w:firstLine="480"/>
      </w:pPr>
      <w:r>
        <w:rPr>
          <w:rFonts w:hint="eastAsia"/>
        </w:rPr>
        <w:t xml:space="preserve">（1）环境监理单位和人员的资质 </w:t>
      </w:r>
    </w:p>
    <w:p>
      <w:pPr>
        <w:pStyle w:val="214"/>
        <w:ind w:firstLine="480"/>
      </w:pPr>
      <w:r>
        <w:rPr>
          <w:rFonts w:hint="eastAsia"/>
        </w:rPr>
        <w:t xml:space="preserve">建设单位应委托具有环境监理资质并经过环境保护专业培训的单位承担工程环境监理工作。 </w:t>
      </w:r>
    </w:p>
    <w:p>
      <w:pPr>
        <w:pStyle w:val="214"/>
        <w:ind w:firstLine="480"/>
      </w:pPr>
      <w:r>
        <w:rPr>
          <w:rFonts w:hint="eastAsia"/>
        </w:rPr>
        <w:t xml:space="preserve">（2）工程招标、合同等文件的管理 </w:t>
      </w:r>
    </w:p>
    <w:p>
      <w:pPr>
        <w:pStyle w:val="214"/>
        <w:ind w:firstLine="480"/>
      </w:pPr>
      <w:r>
        <w:rPr>
          <w:rFonts w:hint="eastAsia"/>
        </w:rPr>
        <w:t xml:space="preserve">建设单位应依据环境影响报告书、工程设计等文件的有关要求，制定施工期环境监理计划，并在施工招标文件、施工合同、监理招标文件和监理合同中明确施工单位和环境监理单位的环境保护责任和目标任务。 </w:t>
      </w:r>
    </w:p>
    <w:p>
      <w:pPr>
        <w:pStyle w:val="214"/>
        <w:ind w:firstLine="480"/>
      </w:pPr>
      <w:r>
        <w:rPr>
          <w:rFonts w:hint="eastAsia"/>
        </w:rPr>
        <w:t xml:space="preserve">（3）环境监理的原则要求 </w:t>
      </w:r>
    </w:p>
    <w:p>
      <w:pPr>
        <w:pStyle w:val="214"/>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 xml:space="preserve">环境监理的依据：国家和地方有关的环境保护法律、法规和文件，环境影响报告书及其批复文件，项目的环境行动计划、技术规范、设计文件，工程和环境质量标准等； </w:t>
      </w:r>
    </w:p>
    <w:p>
      <w:pPr>
        <w:pStyle w:val="214"/>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环境监理主要内容：主要包括环保措施监理、环保达标监理和环保工程监理；</w:t>
      </w:r>
    </w:p>
    <w:p>
      <w:pPr>
        <w:pStyle w:val="214"/>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 xml:space="preserve">环境监理机构：建设项目的工程总监办负责对工程和环境实施统一监理工作。一般可在总监办设置一名工程环境监理的兼职或专职的副总监，重点负责工程的环境监理工作。驻地办可任命一定数量的工程环境监理工程师（工程监理工程师兼任），具体落实各项工程的环境保护工作； </w:t>
      </w:r>
    </w:p>
    <w:p>
      <w:pPr>
        <w:pStyle w:val="214"/>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 xml:space="preserve">环境监理考核：工程监理考核内容中应包括环境监理的相应内容，并单独完成工程环境监理情况的总结报告，该总结报告应作为环保单项验收的资料之一。 </w:t>
      </w:r>
    </w:p>
    <w:p>
      <w:pPr>
        <w:pStyle w:val="6"/>
      </w:pPr>
      <w:r>
        <w:rPr>
          <w:rFonts w:hint="eastAsia"/>
        </w:rPr>
        <w:t xml:space="preserve"> 环境监理工作人员要求 </w:t>
      </w:r>
    </w:p>
    <w:p>
      <w:pPr>
        <w:pStyle w:val="214"/>
        <w:ind w:firstLine="480"/>
      </w:pPr>
      <w:r>
        <w:rPr>
          <w:rFonts w:hint="eastAsia"/>
        </w:rPr>
        <w:t xml:space="preserve">（1）具备环保专业知识，熟悉国家环保法律、法规、政策，了解管道沿线各地环保要求、功能区划和执行环境标准的级别和类别； </w:t>
      </w:r>
    </w:p>
    <w:p>
      <w:pPr>
        <w:pStyle w:val="214"/>
        <w:ind w:firstLine="480"/>
      </w:pPr>
      <w:r>
        <w:rPr>
          <w:rFonts w:hint="eastAsia"/>
        </w:rPr>
        <w:t>（2）接受过正规的</w:t>
      </w:r>
      <w:r>
        <w:t>HSSE</w:t>
      </w:r>
      <w:r>
        <w:rPr>
          <w:rFonts w:hint="eastAsia"/>
        </w:rPr>
        <w:t xml:space="preserve">专门培训，并取得有关资质证书和中石化环境监理资质证书，有一定的工作经历和现场施工经验。 </w:t>
      </w:r>
    </w:p>
    <w:p>
      <w:pPr>
        <w:pStyle w:val="6"/>
      </w:pPr>
      <w:r>
        <w:rPr>
          <w:rFonts w:hint="eastAsia"/>
        </w:rPr>
        <w:t xml:space="preserve"> 环境监理主要任务及监理要点 </w:t>
      </w:r>
    </w:p>
    <w:p>
      <w:pPr>
        <w:pStyle w:val="214"/>
        <w:ind w:firstLine="480"/>
      </w:pPr>
      <w:r>
        <w:rPr>
          <w:rFonts w:hint="eastAsia"/>
        </w:rPr>
        <w:t xml:space="preserve">（1）环境监理主要任务 </w:t>
      </w:r>
    </w:p>
    <w:p>
      <w:pPr>
        <w:pStyle w:val="214"/>
        <w:ind w:firstLine="480"/>
      </w:pPr>
      <w:r>
        <w:rPr>
          <w:rFonts w:hint="eastAsia"/>
        </w:rPr>
        <w:t xml:space="preserve">环境监理即聘请第三方对环境管理工作及环境法规和政策的执行情况进行监察和督促的整套措施和方法。施工期环境监理最主要的工作是现场环境监察，主要任务为： </w:t>
      </w:r>
    </w:p>
    <w:p>
      <w:pPr>
        <w:pStyle w:val="214"/>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协助</w:t>
      </w:r>
      <w:r>
        <w:t>HSSE</w:t>
      </w:r>
      <w:r>
        <w:rPr>
          <w:rFonts w:hint="eastAsia"/>
        </w:rPr>
        <w:t xml:space="preserve">部门经理宣传贯彻国家和地方有关环境方面的法律、法规； </w:t>
      </w:r>
    </w:p>
    <w:p>
      <w:pPr>
        <w:pStyle w:val="214"/>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落实环境影响报告表及施工设计中的环保措施，如水土流失防止、污染防治与防止施工扰民等； </w:t>
      </w:r>
    </w:p>
    <w:p>
      <w:pPr>
        <w:pStyle w:val="214"/>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 xml:space="preserve">及时发现施工中新出现的环境问题，提出改善措施和寻求实施方法； </w:t>
      </w:r>
    </w:p>
    <w:p>
      <w:pPr>
        <w:pStyle w:val="214"/>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 xml:space="preserve">记录施工中环保措施和环境工作状况，建立环保档案，为竣工验收提供基础性资料，也为建设项目环境管理提供有效服务。 </w:t>
      </w:r>
    </w:p>
    <w:p>
      <w:pPr>
        <w:pStyle w:val="214"/>
        <w:ind w:firstLine="480"/>
      </w:pPr>
      <w:r>
        <w:rPr>
          <w:rFonts w:hint="eastAsia"/>
        </w:rPr>
        <w:t xml:space="preserve">施工期环境监理工作应对承包商的以下工作进行现场监督管理：动植物保护、噪声污染控制、水质保护、固体废物处置（包括生活垃圾和生产废物处理）、生活污水排放等，检查环保措施的落实情况。 </w:t>
      </w:r>
    </w:p>
    <w:p>
      <w:pPr>
        <w:pStyle w:val="214"/>
        <w:ind w:firstLine="480"/>
      </w:pPr>
      <w:r>
        <w:rPr>
          <w:rFonts w:hint="eastAsia"/>
        </w:rPr>
        <w:t xml:space="preserve">环境监理工程师应按照业主的委托，按照施工期工程环境监理方案和监理重点进行工作，确保施工场地、料场、施工营地等符合环保要求，监督环评报告书提出的环保措施得到落实，通过工程监理发出指令来控制施工中的环境问题。 </w:t>
      </w:r>
    </w:p>
    <w:p>
      <w:pPr>
        <w:pStyle w:val="214"/>
        <w:ind w:firstLine="480"/>
      </w:pPr>
      <w:r>
        <w:rPr>
          <w:rFonts w:hint="eastAsia"/>
        </w:rPr>
        <w:t xml:space="preserve">（2）环境监理要点 </w:t>
      </w:r>
    </w:p>
    <w:p>
      <w:pPr>
        <w:pStyle w:val="214"/>
        <w:ind w:firstLine="480"/>
      </w:pPr>
      <w:r>
        <w:rPr>
          <w:rFonts w:hint="eastAsia"/>
        </w:rPr>
        <w:t>在施工前期对污染防治方案和施工承包合同中的环境保护专项条款的审核。施工过程中重点对防止水环境污染进行监理，同时对环保设施的</w:t>
      </w:r>
      <w:r>
        <w:t>“</w:t>
      </w:r>
      <w:r>
        <w:rPr>
          <w:rFonts w:hint="eastAsia"/>
        </w:rPr>
        <w:t>三同时</w:t>
      </w:r>
      <w:r>
        <w:t>”</w:t>
      </w:r>
      <w:r>
        <w:rPr>
          <w:rFonts w:hint="eastAsia"/>
        </w:rPr>
        <w:t>进行监理。输气管道工程施工环境监理要点见下表。</w:t>
      </w:r>
    </w:p>
    <w:p>
      <w:pPr>
        <w:pStyle w:val="222"/>
        <w:rPr>
          <w:rFonts w:ascii="宋体" w:hAnsi="宋体"/>
        </w:rPr>
      </w:pPr>
      <w:r>
        <w:t>表</w:t>
      </w:r>
      <w:r>
        <w:fldChar w:fldCharType="begin"/>
      </w:r>
      <w:r>
        <w:instrText xml:space="preserve"> STYLEREF 2 \s </w:instrText>
      </w:r>
      <w:r>
        <w:fldChar w:fldCharType="separate"/>
      </w:r>
      <w:r>
        <w:t>11.1</w:t>
      </w:r>
      <w:r>
        <w:fldChar w:fldCharType="end"/>
      </w:r>
      <w:r>
        <w:t>-</w:t>
      </w:r>
      <w:r>
        <w:fldChar w:fldCharType="begin"/>
      </w:r>
      <w:r>
        <w:instrText xml:space="preserve"> SEQ 表格 \* ARABIC \s 2 </w:instrText>
      </w:r>
      <w:r>
        <w:fldChar w:fldCharType="separate"/>
      </w:r>
      <w:r>
        <w:t>1</w:t>
      </w:r>
      <w:r>
        <w:fldChar w:fldCharType="end"/>
      </w:r>
      <w:r>
        <w:t xml:space="preserve"> </w:t>
      </w:r>
      <w:r>
        <w:rPr>
          <w:rFonts w:hint="eastAsia" w:ascii="宋体" w:hAnsi="宋体"/>
        </w:rPr>
        <w:t>施工期</w:t>
      </w:r>
      <w:r>
        <w:rPr>
          <w:rFonts w:ascii="宋体" w:hAnsi="宋体"/>
        </w:rPr>
        <w:t>环境监理要</w:t>
      </w:r>
      <w:r>
        <w:rPr>
          <w:rFonts w:hint="eastAsia" w:ascii="宋体" w:hAnsi="宋体"/>
        </w:rPr>
        <w:t>点一览表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134"/>
        <w:gridCol w:w="4394"/>
        <w:gridCol w:w="992"/>
        <w:gridCol w:w="709"/>
        <w:gridCol w:w="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Borders>
              <w:top w:val="single" w:color="auto" w:sz="12" w:space="0"/>
              <w:left w:val="nil"/>
            </w:tcBorders>
            <w:vAlign w:val="center"/>
          </w:tcPr>
          <w:p>
            <w:pPr>
              <w:pStyle w:val="63"/>
              <w:rPr>
                <w:b/>
              </w:rPr>
            </w:pPr>
            <w:r>
              <w:rPr>
                <w:rFonts w:hint="eastAsia"/>
                <w:b/>
              </w:rPr>
              <w:t>序号</w:t>
            </w:r>
          </w:p>
        </w:tc>
        <w:tc>
          <w:tcPr>
            <w:tcW w:w="1134" w:type="dxa"/>
            <w:tcBorders>
              <w:top w:val="single" w:color="auto" w:sz="12" w:space="0"/>
            </w:tcBorders>
            <w:vAlign w:val="center"/>
          </w:tcPr>
          <w:p>
            <w:pPr>
              <w:pStyle w:val="63"/>
              <w:rPr>
                <w:b/>
              </w:rPr>
            </w:pPr>
            <w:r>
              <w:rPr>
                <w:rFonts w:hint="eastAsia"/>
                <w:b/>
              </w:rPr>
              <w:t>监理项目</w:t>
            </w:r>
          </w:p>
        </w:tc>
        <w:tc>
          <w:tcPr>
            <w:tcW w:w="4394" w:type="dxa"/>
            <w:tcBorders>
              <w:top w:val="single" w:color="auto" w:sz="12" w:space="0"/>
            </w:tcBorders>
            <w:vAlign w:val="center"/>
          </w:tcPr>
          <w:p>
            <w:pPr>
              <w:pStyle w:val="63"/>
              <w:rPr>
                <w:b/>
              </w:rPr>
            </w:pPr>
            <w:r>
              <w:rPr>
                <w:rFonts w:hint="eastAsia"/>
                <w:b/>
              </w:rPr>
              <w:t>环境</w:t>
            </w:r>
            <w:r>
              <w:rPr>
                <w:b/>
              </w:rPr>
              <w:t>监理工作</w:t>
            </w:r>
            <w:r>
              <w:rPr>
                <w:rFonts w:hint="eastAsia"/>
                <w:b/>
              </w:rPr>
              <w:t>重</w:t>
            </w:r>
            <w:r>
              <w:rPr>
                <w:b/>
              </w:rPr>
              <w:t>点</w:t>
            </w:r>
          </w:p>
        </w:tc>
        <w:tc>
          <w:tcPr>
            <w:tcW w:w="992" w:type="dxa"/>
            <w:tcBorders>
              <w:top w:val="single" w:color="auto" w:sz="12" w:space="0"/>
            </w:tcBorders>
            <w:vAlign w:val="center"/>
          </w:tcPr>
          <w:p>
            <w:pPr>
              <w:pStyle w:val="63"/>
              <w:rPr>
                <w:b/>
              </w:rPr>
            </w:pPr>
            <w:r>
              <w:rPr>
                <w:rFonts w:hint="eastAsia"/>
                <w:b/>
              </w:rPr>
              <w:t>监理</w:t>
            </w:r>
            <w:r>
              <w:rPr>
                <w:b/>
              </w:rPr>
              <w:t>时间、频次</w:t>
            </w:r>
          </w:p>
        </w:tc>
        <w:tc>
          <w:tcPr>
            <w:tcW w:w="709" w:type="dxa"/>
            <w:tcBorders>
              <w:top w:val="single" w:color="auto" w:sz="12" w:space="0"/>
            </w:tcBorders>
            <w:vAlign w:val="center"/>
          </w:tcPr>
          <w:p>
            <w:pPr>
              <w:pStyle w:val="63"/>
              <w:rPr>
                <w:b/>
              </w:rPr>
            </w:pPr>
            <w:r>
              <w:rPr>
                <w:rFonts w:hint="eastAsia"/>
                <w:b/>
              </w:rPr>
              <w:t>实施</w:t>
            </w:r>
            <w:r>
              <w:rPr>
                <w:b/>
              </w:rPr>
              <w:t>机构</w:t>
            </w:r>
          </w:p>
        </w:tc>
        <w:tc>
          <w:tcPr>
            <w:tcW w:w="759" w:type="dxa"/>
            <w:tcBorders>
              <w:top w:val="single" w:color="auto" w:sz="12" w:space="0"/>
            </w:tcBorders>
            <w:vAlign w:val="center"/>
          </w:tcPr>
          <w:p>
            <w:pPr>
              <w:pStyle w:val="63"/>
              <w:rPr>
                <w:b/>
              </w:rPr>
            </w:pPr>
            <w:r>
              <w:rPr>
                <w:rFonts w:hint="eastAsia"/>
                <w:b/>
              </w:rPr>
              <w:t>监督</w:t>
            </w:r>
            <w:r>
              <w:rPr>
                <w:b/>
              </w:rPr>
              <w:t>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Borders>
              <w:left w:val="nil"/>
            </w:tcBorders>
            <w:vAlign w:val="center"/>
          </w:tcPr>
          <w:p>
            <w:pPr>
              <w:pStyle w:val="63"/>
            </w:pPr>
            <w:r>
              <w:rPr>
                <w:rFonts w:hint="eastAsia"/>
              </w:rPr>
              <w:t>1</w:t>
            </w:r>
          </w:p>
        </w:tc>
        <w:tc>
          <w:tcPr>
            <w:tcW w:w="1134" w:type="dxa"/>
            <w:vAlign w:val="center"/>
          </w:tcPr>
          <w:p>
            <w:pPr>
              <w:pStyle w:val="63"/>
            </w:pPr>
            <w:r>
              <w:rPr>
                <w:rFonts w:hint="eastAsia"/>
              </w:rPr>
              <w:t>生态环境</w:t>
            </w:r>
          </w:p>
        </w:tc>
        <w:tc>
          <w:tcPr>
            <w:tcW w:w="4394" w:type="dxa"/>
            <w:vAlign w:val="center"/>
          </w:tcPr>
          <w:p>
            <w:pPr>
              <w:pStyle w:val="63"/>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施工过程及施工场地的水土流失控制落实情况；②施工临时性工程用地植被处理、恢复及水保措施落实情况。</w:t>
            </w:r>
          </w:p>
        </w:tc>
        <w:tc>
          <w:tcPr>
            <w:tcW w:w="992" w:type="dxa"/>
            <w:vMerge w:val="restart"/>
            <w:vAlign w:val="center"/>
          </w:tcPr>
          <w:p>
            <w:pPr>
              <w:widowControl/>
              <w:spacing w:line="240" w:lineRule="auto"/>
              <w:ind w:firstLine="0" w:firstLineChars="0"/>
              <w:jc w:val="center"/>
            </w:pPr>
            <w:r>
              <w:rPr>
                <w:rFonts w:hint="eastAsia" w:ascii="宋体" w:hAnsi="宋体" w:cs="宋体"/>
                <w:kern w:val="0"/>
                <w:sz w:val="21"/>
              </w:rPr>
              <w:t>日常检</w:t>
            </w:r>
            <w:r>
              <w:rPr>
                <w:rFonts w:hint="eastAsia" w:ascii="宋体" w:hAnsi="宋体" w:cs="宋体"/>
                <w:kern w:val="0"/>
              </w:rPr>
              <w:t>查</w:t>
            </w:r>
          </w:p>
        </w:tc>
        <w:tc>
          <w:tcPr>
            <w:tcW w:w="709" w:type="dxa"/>
            <w:vMerge w:val="restart"/>
            <w:vAlign w:val="center"/>
          </w:tcPr>
          <w:p>
            <w:pPr>
              <w:pStyle w:val="63"/>
              <w:rPr>
                <w:rFonts w:ascii="宋体" w:hAnsi="宋体" w:cs="宋体"/>
                <w:kern w:val="0"/>
              </w:rPr>
            </w:pPr>
            <w:r>
              <w:rPr>
                <w:rFonts w:hint="eastAsia" w:ascii="宋体" w:hAnsi="宋体" w:cs="宋体"/>
                <w:kern w:val="0"/>
              </w:rPr>
              <w:t>环境监理</w:t>
            </w:r>
            <w:r>
              <w:rPr>
                <w:rFonts w:ascii="宋体" w:hAnsi="宋体" w:cs="宋体"/>
                <w:kern w:val="0"/>
              </w:rPr>
              <w:t>单位</w:t>
            </w:r>
          </w:p>
        </w:tc>
        <w:tc>
          <w:tcPr>
            <w:tcW w:w="759" w:type="dxa"/>
            <w:vMerge w:val="restart"/>
            <w:vAlign w:val="center"/>
          </w:tcPr>
          <w:p>
            <w:pPr>
              <w:pStyle w:val="63"/>
              <w:rPr>
                <w:rFonts w:ascii="宋体" w:hAnsi="宋体" w:cs="宋体"/>
                <w:kern w:val="0"/>
              </w:rPr>
            </w:pPr>
            <w:r>
              <w:rPr>
                <w:rFonts w:hint="eastAsia" w:ascii="宋体" w:hAnsi="宋体" w:cs="宋体"/>
                <w:kern w:val="0"/>
              </w:rPr>
              <w:t>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Borders>
              <w:left w:val="nil"/>
            </w:tcBorders>
            <w:vAlign w:val="center"/>
          </w:tcPr>
          <w:p>
            <w:pPr>
              <w:pStyle w:val="63"/>
            </w:pPr>
            <w:r>
              <w:rPr>
                <w:rFonts w:hint="eastAsia"/>
              </w:rPr>
              <w:t>2</w:t>
            </w:r>
          </w:p>
        </w:tc>
        <w:tc>
          <w:tcPr>
            <w:tcW w:w="1134" w:type="dxa"/>
            <w:vAlign w:val="center"/>
          </w:tcPr>
          <w:p>
            <w:pPr>
              <w:pStyle w:val="63"/>
            </w:pPr>
            <w:r>
              <w:rPr>
                <w:rFonts w:hint="eastAsia"/>
                <w:szCs w:val="21"/>
              </w:rPr>
              <w:t>水环境</w:t>
            </w:r>
          </w:p>
        </w:tc>
        <w:tc>
          <w:tcPr>
            <w:tcW w:w="4394" w:type="dxa"/>
            <w:vAlign w:val="center"/>
          </w:tcPr>
          <w:p>
            <w:pPr>
              <w:pStyle w:val="63"/>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ascii="宋体" w:hAnsi="宋体" w:cs="宋体"/>
                <w:kern w:val="0"/>
              </w:rPr>
              <w:t>施工场站的施工生产废水及临时生活污水收集与处理设施的建设情况及排放情况；</w:t>
            </w:r>
          </w:p>
          <w:p>
            <w:pPr>
              <w:pStyle w:val="63"/>
              <w:jc w:val="both"/>
            </w:pPr>
            <w:r>
              <w:rPr>
                <w:rFonts w:hint="eastAsia" w:ascii="宋体" w:hAnsi="宋体" w:cs="宋体"/>
                <w:kern w:val="0"/>
              </w:rPr>
              <w:t>②施工环保措施落实情况；</w:t>
            </w:r>
            <w:r>
              <w:rPr>
                <w:rFonts w:hint="eastAsia" w:ascii="宋体" w:hAnsi="宋体" w:cs="宋体"/>
                <w:kern w:val="0"/>
                <w:szCs w:val="21"/>
              </w:rPr>
              <w:t>施工营地生产废水处理措施落实情况。</w:t>
            </w:r>
          </w:p>
        </w:tc>
        <w:tc>
          <w:tcPr>
            <w:tcW w:w="992" w:type="dxa"/>
            <w:vMerge w:val="continue"/>
            <w:vAlign w:val="center"/>
          </w:tcPr>
          <w:p>
            <w:pPr>
              <w:pStyle w:val="63"/>
            </w:pPr>
          </w:p>
        </w:tc>
        <w:tc>
          <w:tcPr>
            <w:tcW w:w="709" w:type="dxa"/>
            <w:vMerge w:val="continue"/>
            <w:vAlign w:val="center"/>
          </w:tcPr>
          <w:p>
            <w:pPr>
              <w:pStyle w:val="63"/>
            </w:pPr>
          </w:p>
        </w:tc>
        <w:tc>
          <w:tcPr>
            <w:tcW w:w="759" w:type="dxa"/>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Borders>
              <w:left w:val="nil"/>
            </w:tcBorders>
            <w:vAlign w:val="center"/>
          </w:tcPr>
          <w:p>
            <w:pPr>
              <w:pStyle w:val="63"/>
            </w:pPr>
            <w:r>
              <w:rPr>
                <w:rFonts w:hint="eastAsia"/>
              </w:rPr>
              <w:t>3</w:t>
            </w:r>
          </w:p>
        </w:tc>
        <w:tc>
          <w:tcPr>
            <w:tcW w:w="1134" w:type="dxa"/>
            <w:vAlign w:val="center"/>
          </w:tcPr>
          <w:p>
            <w:pPr>
              <w:pStyle w:val="63"/>
            </w:pPr>
            <w:r>
              <w:rPr>
                <w:rFonts w:hint="eastAsia"/>
              </w:rPr>
              <w:t>水土保持</w:t>
            </w:r>
          </w:p>
        </w:tc>
        <w:tc>
          <w:tcPr>
            <w:tcW w:w="4394" w:type="dxa"/>
            <w:vAlign w:val="center"/>
          </w:tcPr>
          <w:p>
            <w:pPr>
              <w:pStyle w:val="63"/>
            </w:pPr>
            <w:r>
              <w:rPr>
                <w:rFonts w:hint="eastAsia"/>
                <w:szCs w:val="21"/>
              </w:rPr>
              <w:t>水土保持措施落实情况</w:t>
            </w:r>
          </w:p>
        </w:tc>
        <w:tc>
          <w:tcPr>
            <w:tcW w:w="992" w:type="dxa"/>
            <w:vMerge w:val="continue"/>
            <w:vAlign w:val="center"/>
          </w:tcPr>
          <w:p>
            <w:pPr>
              <w:pStyle w:val="63"/>
            </w:pPr>
          </w:p>
        </w:tc>
        <w:tc>
          <w:tcPr>
            <w:tcW w:w="709" w:type="dxa"/>
            <w:vMerge w:val="continue"/>
            <w:vAlign w:val="center"/>
          </w:tcPr>
          <w:p>
            <w:pPr>
              <w:pStyle w:val="63"/>
            </w:pPr>
          </w:p>
        </w:tc>
        <w:tc>
          <w:tcPr>
            <w:tcW w:w="759" w:type="dxa"/>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Borders>
              <w:left w:val="nil"/>
            </w:tcBorders>
            <w:vAlign w:val="center"/>
          </w:tcPr>
          <w:p>
            <w:pPr>
              <w:pStyle w:val="63"/>
            </w:pPr>
            <w:r>
              <w:rPr>
                <w:rFonts w:hint="eastAsia"/>
              </w:rPr>
              <w:t>4</w:t>
            </w:r>
          </w:p>
        </w:tc>
        <w:tc>
          <w:tcPr>
            <w:tcW w:w="1134" w:type="dxa"/>
            <w:vAlign w:val="center"/>
          </w:tcPr>
          <w:p>
            <w:pPr>
              <w:pStyle w:val="63"/>
            </w:pPr>
            <w:r>
              <w:rPr>
                <w:rFonts w:hint="eastAsia"/>
              </w:rPr>
              <w:t>声环境</w:t>
            </w:r>
          </w:p>
        </w:tc>
        <w:tc>
          <w:tcPr>
            <w:tcW w:w="4394" w:type="dxa"/>
            <w:vAlign w:val="center"/>
          </w:tcPr>
          <w:p>
            <w:pPr>
              <w:pStyle w:val="63"/>
            </w:pPr>
            <w:r>
              <w:rPr>
                <w:rFonts w:hint="eastAsia" w:ascii="宋体" w:hAnsi="宋体" w:cs="宋体"/>
                <w:kern w:val="0"/>
              </w:rPr>
              <w:t>禁止夜间施工，如因特殊原因需施工的，必须报经当地环保</w:t>
            </w:r>
            <w:r>
              <w:rPr>
                <w:rFonts w:hint="eastAsia" w:ascii="宋体" w:hAnsi="宋体" w:cs="宋体"/>
                <w:kern w:val="0"/>
                <w:szCs w:val="21"/>
              </w:rPr>
              <w:t>主管部门批准，并予以公示。</w:t>
            </w:r>
          </w:p>
        </w:tc>
        <w:tc>
          <w:tcPr>
            <w:tcW w:w="992" w:type="dxa"/>
            <w:vMerge w:val="continue"/>
            <w:vAlign w:val="center"/>
          </w:tcPr>
          <w:p>
            <w:pPr>
              <w:pStyle w:val="63"/>
            </w:pPr>
          </w:p>
        </w:tc>
        <w:tc>
          <w:tcPr>
            <w:tcW w:w="709" w:type="dxa"/>
            <w:vMerge w:val="continue"/>
            <w:vAlign w:val="center"/>
          </w:tcPr>
          <w:p>
            <w:pPr>
              <w:pStyle w:val="63"/>
            </w:pPr>
          </w:p>
        </w:tc>
        <w:tc>
          <w:tcPr>
            <w:tcW w:w="759" w:type="dxa"/>
            <w:vMerge w:val="continue"/>
            <w:vAlign w:val="center"/>
          </w:tcPr>
          <w:p>
            <w:pPr>
              <w:pStyle w:val="6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Borders>
              <w:left w:val="nil"/>
            </w:tcBorders>
            <w:vAlign w:val="center"/>
          </w:tcPr>
          <w:p>
            <w:pPr>
              <w:pStyle w:val="63"/>
            </w:pPr>
            <w:r>
              <w:rPr>
                <w:rFonts w:hint="eastAsia"/>
              </w:rPr>
              <w:t>5</w:t>
            </w:r>
          </w:p>
        </w:tc>
        <w:tc>
          <w:tcPr>
            <w:tcW w:w="1134" w:type="dxa"/>
            <w:vAlign w:val="center"/>
          </w:tcPr>
          <w:p>
            <w:pPr>
              <w:pStyle w:val="63"/>
            </w:pPr>
            <w:r>
              <w:rPr>
                <w:rFonts w:hint="eastAsia"/>
              </w:rPr>
              <w:t>环境</w:t>
            </w:r>
            <w:r>
              <w:t>空气</w:t>
            </w:r>
          </w:p>
        </w:tc>
        <w:tc>
          <w:tcPr>
            <w:tcW w:w="4394" w:type="dxa"/>
            <w:vAlign w:val="center"/>
          </w:tcPr>
          <w:p>
            <w:pPr>
              <w:pStyle w:val="63"/>
              <w:jc w:val="both"/>
              <w:rPr>
                <w:rFonts w:ascii="宋体" w:hAnsi="宋体" w:cs="宋体"/>
                <w:kern w:val="0"/>
                <w:szCs w:val="24"/>
              </w:rPr>
            </w:pPr>
            <w:r>
              <w:rPr>
                <w:rFonts w:hint="eastAsia" w:ascii="宋体" w:hAnsi="宋体" w:cs="宋体"/>
                <w:kern w:val="0"/>
              </w:rPr>
              <w:t xml:space="preserve">①施工扬尘控制措施落实情况； </w:t>
            </w:r>
          </w:p>
          <w:p>
            <w:pPr>
              <w:pStyle w:val="63"/>
              <w:jc w:val="both"/>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GB3</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②</w:t>
            </w:r>
            <w:r>
              <w:rPr>
                <w:rFonts w:ascii="宋体" w:hAnsi="宋体" w:cs="宋体"/>
                <w:kern w:val="0"/>
                <w:szCs w:val="21"/>
              </w:rPr>
              <w:fldChar w:fldCharType="end"/>
            </w:r>
            <w:r>
              <w:rPr>
                <w:rFonts w:hint="eastAsia" w:ascii="宋体" w:hAnsi="宋体" w:cs="宋体"/>
                <w:kern w:val="0"/>
                <w:szCs w:val="21"/>
              </w:rPr>
              <w:t>土石方开挖填及运输过程中的扬尘控制措施落实情况。</w:t>
            </w:r>
          </w:p>
        </w:tc>
        <w:tc>
          <w:tcPr>
            <w:tcW w:w="992" w:type="dxa"/>
            <w:vMerge w:val="continue"/>
            <w:vAlign w:val="center"/>
          </w:tcPr>
          <w:p>
            <w:pPr>
              <w:pStyle w:val="63"/>
            </w:pPr>
          </w:p>
        </w:tc>
        <w:tc>
          <w:tcPr>
            <w:tcW w:w="709" w:type="dxa"/>
            <w:vMerge w:val="continue"/>
            <w:vAlign w:val="center"/>
          </w:tcPr>
          <w:p>
            <w:pPr>
              <w:pStyle w:val="63"/>
            </w:pPr>
          </w:p>
        </w:tc>
        <w:tc>
          <w:tcPr>
            <w:tcW w:w="759" w:type="dxa"/>
            <w:vMerge w:val="continue"/>
            <w:vAlign w:val="center"/>
          </w:tcPr>
          <w:p>
            <w:pPr>
              <w:pStyle w:val="63"/>
            </w:pPr>
          </w:p>
        </w:tc>
      </w:tr>
    </w:tbl>
    <w:p>
      <w:pPr>
        <w:pStyle w:val="4"/>
        <w:rPr>
          <w:rFonts w:cs="Times New Roman"/>
        </w:rPr>
      </w:pPr>
      <w:r>
        <w:rPr>
          <w:rFonts w:cs="Times New Roman"/>
        </w:rPr>
        <w:t xml:space="preserve"> </w:t>
      </w:r>
      <w:bookmarkStart w:id="369" w:name="_Toc96680790"/>
      <w:r>
        <w:rPr>
          <w:rFonts w:cs="Times New Roman"/>
        </w:rPr>
        <w:t>环境监测计划</w:t>
      </w:r>
      <w:bookmarkEnd w:id="369"/>
    </w:p>
    <w:p>
      <w:pPr>
        <w:pStyle w:val="5"/>
        <w:rPr>
          <w:rFonts w:cs="Times New Roman"/>
        </w:rPr>
      </w:pPr>
      <w:r>
        <w:rPr>
          <w:rFonts w:cs="Times New Roman"/>
        </w:rPr>
        <w:t xml:space="preserve"> </w:t>
      </w:r>
      <w:bookmarkStart w:id="370" w:name="_Toc96680791"/>
      <w:r>
        <w:rPr>
          <w:rFonts w:cs="Times New Roman"/>
        </w:rPr>
        <w:t>环境监测工作组织</w:t>
      </w:r>
      <w:bookmarkEnd w:id="370"/>
    </w:p>
    <w:p>
      <w:pPr>
        <w:spacing w:line="480" w:lineRule="exact"/>
        <w:ind w:firstLine="480"/>
        <w:rPr>
          <w:rFonts w:cs="Times New Roman"/>
          <w:szCs w:val="24"/>
        </w:rPr>
      </w:pPr>
      <w:r>
        <w:rPr>
          <w:rFonts w:cs="Times New Roman"/>
          <w:szCs w:val="24"/>
        </w:rPr>
        <w:t>项目建设单位为中国石油化工股份有限公司</w:t>
      </w:r>
      <w:r>
        <w:rPr>
          <w:rFonts w:hint="eastAsia" w:cs="Times New Roman"/>
          <w:szCs w:val="24"/>
        </w:rPr>
        <w:t>天然气分公司四川天然气销售中心，</w:t>
      </w:r>
      <w:r>
        <w:rPr>
          <w:rFonts w:cs="Times New Roman"/>
          <w:szCs w:val="24"/>
        </w:rPr>
        <w:t>中石化西南环保中心设有具有资质的环境监测中心</w:t>
      </w:r>
      <w:r>
        <w:rPr>
          <w:rFonts w:hint="eastAsia" w:cs="Times New Roman"/>
          <w:szCs w:val="24"/>
        </w:rPr>
        <w:t>。本项目</w:t>
      </w:r>
      <w:r>
        <w:rPr>
          <w:rFonts w:cs="Times New Roman"/>
          <w:szCs w:val="24"/>
        </w:rPr>
        <w:t>的监测计划由环境监测中心</w:t>
      </w:r>
      <w:r>
        <w:rPr>
          <w:rFonts w:hint="eastAsia" w:cs="Times New Roman"/>
          <w:szCs w:val="24"/>
        </w:rPr>
        <w:t>实施</w:t>
      </w:r>
      <w:r>
        <w:rPr>
          <w:rFonts w:cs="Times New Roman"/>
          <w:szCs w:val="24"/>
        </w:rPr>
        <w:t>，</w:t>
      </w:r>
      <w:r>
        <w:rPr>
          <w:rFonts w:hint="eastAsia" w:cs="Times New Roman"/>
          <w:szCs w:val="24"/>
        </w:rPr>
        <w:t>同时</w:t>
      </w:r>
      <w:r>
        <w:rPr>
          <w:rFonts w:cs="Times New Roman"/>
          <w:szCs w:val="24"/>
        </w:rPr>
        <w:t>建立健全监测档案，发现问题及时处理。</w:t>
      </w:r>
    </w:p>
    <w:p>
      <w:pPr>
        <w:pStyle w:val="5"/>
        <w:rPr>
          <w:rFonts w:cs="Times New Roman"/>
        </w:rPr>
      </w:pPr>
      <w:r>
        <w:rPr>
          <w:rFonts w:hint="eastAsia"/>
        </w:rPr>
        <w:t xml:space="preserve"> </w:t>
      </w:r>
      <w:bookmarkStart w:id="371" w:name="_Toc96680792"/>
      <w:r>
        <w:t>监测计划</w:t>
      </w:r>
      <w:bookmarkEnd w:id="371"/>
    </w:p>
    <w:p>
      <w:pPr>
        <w:ind w:firstLine="480"/>
      </w:pPr>
      <w:r>
        <w:rPr>
          <w:rFonts w:cs="Times New Roman"/>
          <w:bCs/>
          <w:szCs w:val="24"/>
        </w:rPr>
        <w:t>根据项目的特点，设置环境监测计划</w:t>
      </w:r>
      <w:r>
        <w:rPr>
          <w:rFonts w:hint="eastAsia" w:cs="Times New Roman"/>
          <w:bCs/>
          <w:szCs w:val="24"/>
        </w:rPr>
        <w:t>，</w:t>
      </w:r>
      <w:r>
        <w:rPr>
          <w:rFonts w:cs="Times New Roman"/>
          <w:bCs/>
          <w:szCs w:val="24"/>
        </w:rPr>
        <w:t>具体见下表所示。</w:t>
      </w:r>
    </w:p>
    <w:p>
      <w:pPr>
        <w:pStyle w:val="57"/>
        <w:spacing w:line="240" w:lineRule="auto"/>
      </w:pPr>
      <w:r>
        <w:t>表</w:t>
      </w:r>
      <w:r>
        <w:fldChar w:fldCharType="begin"/>
      </w:r>
      <w:r>
        <w:instrText xml:space="preserve"> STYLEREF 2 \s </w:instrText>
      </w:r>
      <w:r>
        <w:fldChar w:fldCharType="separate"/>
      </w:r>
      <w:r>
        <w:t>11.2</w:t>
      </w:r>
      <w:r>
        <w:fldChar w:fldCharType="end"/>
      </w:r>
      <w:r>
        <w:t>-</w:t>
      </w:r>
      <w:r>
        <w:fldChar w:fldCharType="begin"/>
      </w:r>
      <w:r>
        <w:instrText xml:space="preserve"> SEQ 表格 \* ARABIC \s 2 </w:instrText>
      </w:r>
      <w:r>
        <w:fldChar w:fldCharType="separate"/>
      </w:r>
      <w:r>
        <w:t>1</w:t>
      </w:r>
      <w:r>
        <w:fldChar w:fldCharType="end"/>
      </w:r>
      <w:r>
        <w:t xml:space="preserve">  环境监测方案</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765"/>
        <w:gridCol w:w="1094"/>
        <w:gridCol w:w="1326"/>
        <w:gridCol w:w="1133"/>
        <w:gridCol w:w="3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3" w:type="pct"/>
            <w:tcBorders>
              <w:top w:val="single" w:color="auto" w:sz="12" w:space="0"/>
              <w:left w:val="nil"/>
            </w:tcBorders>
            <w:vAlign w:val="center"/>
          </w:tcPr>
          <w:p>
            <w:pPr>
              <w:pStyle w:val="63"/>
              <w:rPr>
                <w:b/>
              </w:rPr>
            </w:pPr>
            <w:r>
              <w:rPr>
                <w:rFonts w:hint="eastAsia"/>
                <w:b/>
              </w:rPr>
              <w:t>时段</w:t>
            </w:r>
          </w:p>
        </w:tc>
        <w:tc>
          <w:tcPr>
            <w:tcW w:w="449" w:type="pct"/>
            <w:tcBorders>
              <w:top w:val="single" w:color="auto" w:sz="12" w:space="0"/>
            </w:tcBorders>
            <w:vAlign w:val="center"/>
          </w:tcPr>
          <w:p>
            <w:pPr>
              <w:pStyle w:val="63"/>
              <w:rPr>
                <w:b/>
              </w:rPr>
            </w:pPr>
            <w:r>
              <w:rPr>
                <w:rFonts w:hint="eastAsia"/>
                <w:b/>
              </w:rPr>
              <w:t>监测要素</w:t>
            </w:r>
          </w:p>
        </w:tc>
        <w:tc>
          <w:tcPr>
            <w:tcW w:w="642" w:type="pct"/>
            <w:tcBorders>
              <w:top w:val="single" w:color="auto" w:sz="12" w:space="0"/>
            </w:tcBorders>
            <w:vAlign w:val="center"/>
          </w:tcPr>
          <w:p>
            <w:pPr>
              <w:pStyle w:val="63"/>
              <w:rPr>
                <w:b/>
              </w:rPr>
            </w:pPr>
            <w:r>
              <w:rPr>
                <w:rFonts w:cs="Times New Roman"/>
                <w:b/>
                <w:bCs/>
              </w:rPr>
              <w:t>监测点位</w:t>
            </w:r>
          </w:p>
        </w:tc>
        <w:tc>
          <w:tcPr>
            <w:tcW w:w="778" w:type="pct"/>
            <w:tcBorders>
              <w:top w:val="single" w:color="auto" w:sz="12" w:space="0"/>
            </w:tcBorders>
            <w:vAlign w:val="center"/>
          </w:tcPr>
          <w:p>
            <w:pPr>
              <w:pStyle w:val="63"/>
              <w:rPr>
                <w:b/>
              </w:rPr>
            </w:pPr>
            <w:r>
              <w:rPr>
                <w:rFonts w:hint="eastAsia"/>
                <w:b/>
              </w:rPr>
              <w:t>监测</w:t>
            </w:r>
            <w:r>
              <w:rPr>
                <w:b/>
              </w:rPr>
              <w:t>项目</w:t>
            </w:r>
          </w:p>
        </w:tc>
        <w:tc>
          <w:tcPr>
            <w:tcW w:w="665" w:type="pct"/>
            <w:tcBorders>
              <w:top w:val="single" w:color="auto" w:sz="12" w:space="0"/>
            </w:tcBorders>
            <w:vAlign w:val="center"/>
          </w:tcPr>
          <w:p>
            <w:pPr>
              <w:pStyle w:val="63"/>
              <w:rPr>
                <w:b/>
              </w:rPr>
            </w:pPr>
            <w:r>
              <w:rPr>
                <w:rFonts w:hint="eastAsia"/>
                <w:b/>
              </w:rPr>
              <w:t>监测</w:t>
            </w:r>
            <w:r>
              <w:rPr>
                <w:b/>
              </w:rPr>
              <w:t>频次</w:t>
            </w:r>
          </w:p>
        </w:tc>
        <w:tc>
          <w:tcPr>
            <w:tcW w:w="1943" w:type="pct"/>
            <w:tcBorders>
              <w:top w:val="single" w:color="auto" w:sz="12" w:space="0"/>
            </w:tcBorders>
            <w:vAlign w:val="center"/>
          </w:tcPr>
          <w:p>
            <w:pPr>
              <w:pStyle w:val="63"/>
              <w:rPr>
                <w:b/>
              </w:rPr>
            </w:pPr>
            <w:r>
              <w:rPr>
                <w:rFonts w:cs="Times New Roman"/>
                <w:b/>
                <w:bCs/>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3" w:type="pct"/>
            <w:vMerge w:val="restart"/>
            <w:tcBorders>
              <w:left w:val="nil"/>
            </w:tcBorders>
            <w:vAlign w:val="center"/>
          </w:tcPr>
          <w:p>
            <w:pPr>
              <w:pStyle w:val="63"/>
            </w:pPr>
            <w:r>
              <w:rPr>
                <w:rFonts w:hint="eastAsia"/>
              </w:rPr>
              <w:t>施工期</w:t>
            </w:r>
          </w:p>
        </w:tc>
        <w:tc>
          <w:tcPr>
            <w:tcW w:w="449" w:type="pct"/>
            <w:vMerge w:val="restart"/>
            <w:vAlign w:val="center"/>
          </w:tcPr>
          <w:p>
            <w:pPr>
              <w:pStyle w:val="63"/>
            </w:pPr>
            <w:r>
              <w:rPr>
                <w:rFonts w:hint="eastAsia"/>
              </w:rPr>
              <w:t>噪声</w:t>
            </w:r>
          </w:p>
        </w:tc>
        <w:tc>
          <w:tcPr>
            <w:tcW w:w="642" w:type="pct"/>
            <w:vAlign w:val="center"/>
          </w:tcPr>
          <w:p>
            <w:pPr>
              <w:pStyle w:val="63"/>
            </w:pPr>
            <w:r>
              <w:rPr>
                <w:rFonts w:hint="eastAsia"/>
              </w:rPr>
              <w:t>施工红线</w:t>
            </w:r>
            <w:r>
              <w:t>边界</w:t>
            </w:r>
          </w:p>
        </w:tc>
        <w:tc>
          <w:tcPr>
            <w:tcW w:w="778" w:type="pct"/>
            <w:vAlign w:val="center"/>
          </w:tcPr>
          <w:p>
            <w:pPr>
              <w:pStyle w:val="63"/>
            </w:pPr>
            <w:r>
              <w:rPr>
                <w:rFonts w:cs="Times New Roman"/>
              </w:rPr>
              <w:t>等效A声级</w:t>
            </w:r>
          </w:p>
        </w:tc>
        <w:tc>
          <w:tcPr>
            <w:tcW w:w="665" w:type="pct"/>
            <w:vAlign w:val="center"/>
          </w:tcPr>
          <w:p>
            <w:pPr>
              <w:pStyle w:val="63"/>
            </w:pPr>
            <w:r>
              <w:rPr>
                <w:rFonts w:hint="eastAsia"/>
              </w:rPr>
              <w:t>1次</w:t>
            </w:r>
          </w:p>
        </w:tc>
        <w:tc>
          <w:tcPr>
            <w:tcW w:w="1943" w:type="pct"/>
            <w:vAlign w:val="center"/>
          </w:tcPr>
          <w:p>
            <w:pPr>
              <w:pStyle w:val="63"/>
            </w:pPr>
            <w:r>
              <w:rPr>
                <w:rFonts w:cs="Times New Roman"/>
                <w:snapToGrid w:val="0"/>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3" w:type="pct"/>
            <w:vMerge w:val="continue"/>
            <w:tcBorders>
              <w:left w:val="nil"/>
            </w:tcBorders>
            <w:vAlign w:val="center"/>
          </w:tcPr>
          <w:p>
            <w:pPr>
              <w:pStyle w:val="63"/>
            </w:pPr>
          </w:p>
        </w:tc>
        <w:tc>
          <w:tcPr>
            <w:tcW w:w="449" w:type="pct"/>
            <w:vMerge w:val="continue"/>
            <w:vAlign w:val="center"/>
          </w:tcPr>
          <w:p>
            <w:pPr>
              <w:pStyle w:val="63"/>
            </w:pPr>
          </w:p>
        </w:tc>
        <w:tc>
          <w:tcPr>
            <w:tcW w:w="642" w:type="pct"/>
            <w:vAlign w:val="center"/>
          </w:tcPr>
          <w:p>
            <w:pPr>
              <w:pStyle w:val="63"/>
            </w:pPr>
            <w:r>
              <w:t>最近农户处</w:t>
            </w:r>
          </w:p>
        </w:tc>
        <w:tc>
          <w:tcPr>
            <w:tcW w:w="778" w:type="pct"/>
            <w:vAlign w:val="center"/>
          </w:tcPr>
          <w:p>
            <w:pPr>
              <w:pStyle w:val="63"/>
            </w:pPr>
            <w:r>
              <w:rPr>
                <w:rFonts w:cs="Times New Roman"/>
              </w:rPr>
              <w:t>等效A声级</w:t>
            </w:r>
          </w:p>
        </w:tc>
        <w:tc>
          <w:tcPr>
            <w:tcW w:w="665" w:type="pct"/>
            <w:vAlign w:val="center"/>
          </w:tcPr>
          <w:p>
            <w:pPr>
              <w:pStyle w:val="63"/>
            </w:pPr>
            <w:r>
              <w:rPr>
                <w:rFonts w:hint="eastAsia"/>
              </w:rPr>
              <w:t>1次</w:t>
            </w:r>
          </w:p>
        </w:tc>
        <w:tc>
          <w:tcPr>
            <w:tcW w:w="1943" w:type="pct"/>
            <w:vAlign w:val="center"/>
          </w:tcPr>
          <w:p>
            <w:pPr>
              <w:pStyle w:val="63"/>
            </w:pPr>
            <w:r>
              <w:rPr>
                <w:rFonts w:cs="Times New Roman"/>
              </w:rPr>
              <w:t>《声环境质量标准》（GB3096-2008）中的2类标准</w:t>
            </w:r>
          </w:p>
        </w:tc>
      </w:tr>
    </w:tbl>
    <w:p>
      <w:pPr>
        <w:pStyle w:val="4"/>
      </w:pPr>
      <w:r>
        <w:t xml:space="preserve"> </w:t>
      </w:r>
      <w:bookmarkStart w:id="372" w:name="_Toc96680793"/>
      <w:r>
        <w:t>环境工程监督管理建议</w:t>
      </w:r>
      <w:bookmarkEnd w:id="372"/>
    </w:p>
    <w:p>
      <w:pPr>
        <w:ind w:firstLine="480"/>
        <w:rPr>
          <w:rFonts w:cs="Times New Roman"/>
          <w:kern w:val="0"/>
          <w:szCs w:val="24"/>
        </w:rPr>
      </w:pPr>
      <w:r>
        <w:rPr>
          <w:rFonts w:ascii="宋体" w:hAnsi="宋体"/>
          <w:kern w:val="0"/>
        </w:rPr>
        <w:t>除加强环保设备的基础管理外，尚需狠抓制度的落实，制定环保经济责任制考核制度，以提高各部门对环境保护的责任感。</w:t>
      </w:r>
    </w:p>
    <w:p>
      <w:pPr>
        <w:ind w:firstLine="480"/>
      </w:pPr>
      <w:r>
        <w:rPr>
          <w:rFonts w:ascii="宋体" w:hAnsi="宋体"/>
          <w:kern w:val="0"/>
        </w:rPr>
        <w:t>在管道运行期，环境管理除做好监督与检查各项环保设施的运行和维护等工作外，工作重点应针对管线破裂后天然气泄漏着火爆炸、事故排放、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pPr>
        <w:pStyle w:val="4"/>
      </w:pPr>
      <w:r>
        <w:t xml:space="preserve"> </w:t>
      </w:r>
      <w:bookmarkStart w:id="373" w:name="_Toc96680794"/>
      <w:r>
        <w:t>竣工环保验收内容及要求</w:t>
      </w:r>
      <w:bookmarkEnd w:id="373"/>
    </w:p>
    <w:p>
      <w:pPr>
        <w:spacing w:line="480" w:lineRule="exact"/>
        <w:ind w:firstLine="480"/>
        <w:rPr>
          <w:rFonts w:cs="Times New Roman"/>
          <w:bCs/>
          <w:szCs w:val="24"/>
        </w:rPr>
      </w:pPr>
      <w:r>
        <w:rPr>
          <w:rFonts w:cs="Times New Roman"/>
          <w:bCs/>
          <w:szCs w:val="24"/>
        </w:rPr>
        <w:t>项目的竣工验收内容及要求见</w:t>
      </w:r>
      <w:r>
        <w:rPr>
          <w:rFonts w:hint="eastAsia" w:cs="Times New Roman"/>
          <w:bCs/>
          <w:szCs w:val="24"/>
        </w:rPr>
        <w:t>下表</w:t>
      </w:r>
      <w:r>
        <w:rPr>
          <w:rFonts w:cs="Times New Roman"/>
          <w:bCs/>
          <w:szCs w:val="24"/>
        </w:rPr>
        <w:t>。</w:t>
      </w:r>
    </w:p>
    <w:p>
      <w:pPr>
        <w:pStyle w:val="2"/>
        <w:ind w:left="900" w:hanging="420"/>
      </w:pPr>
    </w:p>
    <w:p>
      <w:pPr>
        <w:ind w:firstLine="480"/>
      </w:pPr>
    </w:p>
    <w:p>
      <w:pPr>
        <w:pStyle w:val="2"/>
        <w:ind w:left="900" w:hanging="420"/>
      </w:pPr>
    </w:p>
    <w:p>
      <w:pPr>
        <w:pStyle w:val="57"/>
        <w:rPr>
          <w:sz w:val="21"/>
          <w:szCs w:val="21"/>
        </w:rPr>
      </w:pPr>
      <w:r>
        <w:t>表</w:t>
      </w:r>
      <w:r>
        <w:fldChar w:fldCharType="begin"/>
      </w:r>
      <w:r>
        <w:instrText xml:space="preserve"> STYLEREF 2 \s </w:instrText>
      </w:r>
      <w:r>
        <w:fldChar w:fldCharType="separate"/>
      </w:r>
      <w:r>
        <w:t>11.4</w:t>
      </w:r>
      <w:r>
        <w:fldChar w:fldCharType="end"/>
      </w:r>
      <w:r>
        <w:t>-</w:t>
      </w:r>
      <w:r>
        <w:fldChar w:fldCharType="begin"/>
      </w:r>
      <w:r>
        <w:instrText xml:space="preserve"> SEQ 表格 \* ARABIC \s 2 </w:instrText>
      </w:r>
      <w:r>
        <w:fldChar w:fldCharType="separate"/>
      </w:r>
      <w:r>
        <w:t>1</w:t>
      </w:r>
      <w:r>
        <w:fldChar w:fldCharType="end"/>
      </w:r>
      <w:r>
        <w:t xml:space="preserve">  竣工环保验收内容及要求一览表</w:t>
      </w:r>
    </w:p>
    <w:tbl>
      <w:tblPr>
        <w:tblStyle w:val="35"/>
        <w:tblW w:w="856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24"/>
        <w:gridCol w:w="1276"/>
        <w:gridCol w:w="2977"/>
        <w:gridCol w:w="36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624" w:type="dxa"/>
            <w:tcBorders>
              <w:top w:val="single" w:color="auto" w:sz="4" w:space="0"/>
              <w:left w:val="nil"/>
              <w:bottom w:val="single" w:color="auto" w:sz="4" w:space="0"/>
              <w:right w:val="single" w:color="auto" w:sz="4" w:space="0"/>
            </w:tcBorders>
            <w:vAlign w:val="center"/>
          </w:tcPr>
          <w:p>
            <w:pPr>
              <w:pStyle w:val="63"/>
            </w:pPr>
            <w:r>
              <w:t>项目</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pStyle w:val="63"/>
            </w:pPr>
            <w:r>
              <w:t>验收项目及</w:t>
            </w:r>
            <w:r>
              <w:rPr>
                <w:rFonts w:hint="eastAsia"/>
              </w:rPr>
              <w:t>位置</w:t>
            </w:r>
          </w:p>
        </w:tc>
        <w:tc>
          <w:tcPr>
            <w:tcW w:w="3685" w:type="dxa"/>
            <w:tcBorders>
              <w:top w:val="single" w:color="auto" w:sz="4" w:space="0"/>
              <w:left w:val="single" w:color="auto" w:sz="4" w:space="0"/>
              <w:bottom w:val="single" w:color="auto" w:sz="4" w:space="0"/>
              <w:right w:val="nil"/>
            </w:tcBorders>
            <w:vAlign w:val="center"/>
          </w:tcPr>
          <w:p>
            <w:pPr>
              <w:pStyle w:val="63"/>
            </w:pPr>
            <w:r>
              <w:t>验收指标</w:t>
            </w:r>
            <w:r>
              <w:rPr>
                <w:rFonts w:hint="eastAsia"/>
              </w:rPr>
              <w:t>及要求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restart"/>
            <w:tcBorders>
              <w:top w:val="nil"/>
              <w:left w:val="nil"/>
              <w:bottom w:val="single" w:color="auto" w:sz="4" w:space="0"/>
              <w:right w:val="single" w:color="auto" w:sz="4" w:space="0"/>
            </w:tcBorders>
            <w:vAlign w:val="center"/>
          </w:tcPr>
          <w:p>
            <w:pPr>
              <w:pStyle w:val="63"/>
            </w:pPr>
            <w:r>
              <w:t>环境管理</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pStyle w:val="63"/>
            </w:pPr>
            <w:r>
              <w:t>环境影响评价</w:t>
            </w:r>
          </w:p>
        </w:tc>
        <w:tc>
          <w:tcPr>
            <w:tcW w:w="3685" w:type="dxa"/>
            <w:tcBorders>
              <w:top w:val="single" w:color="auto" w:sz="4" w:space="0"/>
              <w:left w:val="single" w:color="auto" w:sz="4" w:space="0"/>
              <w:bottom w:val="single" w:color="auto" w:sz="4" w:space="0"/>
              <w:right w:val="nil"/>
            </w:tcBorders>
          </w:tcPr>
          <w:p>
            <w:pPr>
              <w:pStyle w:val="63"/>
            </w:pPr>
            <w:r>
              <w:t>经环保局审核批准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4253" w:type="dxa"/>
            <w:gridSpan w:val="2"/>
            <w:tcBorders>
              <w:top w:val="single" w:color="auto" w:sz="4" w:space="0"/>
              <w:left w:val="single" w:color="auto" w:sz="4" w:space="0"/>
              <w:bottom w:val="single" w:color="auto" w:sz="4" w:space="0"/>
              <w:right w:val="single" w:color="auto" w:sz="4" w:space="0"/>
            </w:tcBorders>
            <w:vAlign w:val="center"/>
          </w:tcPr>
          <w:p>
            <w:pPr>
              <w:pStyle w:val="63"/>
            </w:pPr>
            <w:r>
              <w:t>环境管理制度</w:t>
            </w:r>
          </w:p>
        </w:tc>
        <w:tc>
          <w:tcPr>
            <w:tcW w:w="3685" w:type="dxa"/>
            <w:tcBorders>
              <w:top w:val="single" w:color="auto" w:sz="4" w:space="0"/>
              <w:left w:val="single" w:color="auto" w:sz="4" w:space="0"/>
              <w:bottom w:val="single" w:color="auto" w:sz="4" w:space="0"/>
              <w:right w:val="nil"/>
            </w:tcBorders>
            <w:vAlign w:val="center"/>
          </w:tcPr>
          <w:p>
            <w:pPr>
              <w:pStyle w:val="63"/>
            </w:pPr>
            <w:r>
              <w:t>环保机构健全，环保资料和档案齐全，建立健全风险应急预案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restart"/>
            <w:tcBorders>
              <w:top w:val="nil"/>
              <w:left w:val="nil"/>
              <w:bottom w:val="single" w:color="auto" w:sz="4" w:space="0"/>
              <w:right w:val="single" w:color="auto" w:sz="4" w:space="0"/>
            </w:tcBorders>
            <w:vAlign w:val="center"/>
          </w:tcPr>
          <w:p>
            <w:pPr>
              <w:pStyle w:val="63"/>
            </w:pPr>
            <w:r>
              <w:t>污染治理</w:t>
            </w:r>
          </w:p>
        </w:tc>
        <w:tc>
          <w:tcPr>
            <w:tcW w:w="1276" w:type="dxa"/>
            <w:vMerge w:val="restart"/>
            <w:tcBorders>
              <w:top w:val="single" w:color="auto" w:sz="4" w:space="0"/>
              <w:left w:val="single" w:color="auto" w:sz="4" w:space="0"/>
              <w:right w:val="single" w:color="auto" w:sz="4" w:space="0"/>
            </w:tcBorders>
            <w:vAlign w:val="center"/>
          </w:tcPr>
          <w:p>
            <w:pPr>
              <w:pStyle w:val="63"/>
            </w:pPr>
            <w:r>
              <w:t>施工期</w:t>
            </w:r>
          </w:p>
          <w:p>
            <w:pPr>
              <w:pStyle w:val="63"/>
            </w:pPr>
            <w:r>
              <w:rPr>
                <w:rFonts w:hint="eastAsia"/>
              </w:rPr>
              <w:t>废气</w:t>
            </w:r>
          </w:p>
        </w:tc>
        <w:tc>
          <w:tcPr>
            <w:tcW w:w="2977" w:type="dxa"/>
            <w:tcBorders>
              <w:top w:val="single" w:color="auto" w:sz="6" w:space="0"/>
              <w:left w:val="single" w:color="auto" w:sz="4" w:space="0"/>
              <w:bottom w:val="single" w:color="auto" w:sz="6" w:space="0"/>
              <w:right w:val="single" w:color="auto" w:sz="4" w:space="0"/>
            </w:tcBorders>
            <w:vAlign w:val="center"/>
          </w:tcPr>
          <w:p>
            <w:pPr>
              <w:pStyle w:val="63"/>
            </w:pPr>
            <w:r>
              <w:rPr>
                <w:rFonts w:hint="eastAsia" w:ascii="宋体" w:hAnsi="宋体"/>
              </w:rPr>
              <w:t>施工</w:t>
            </w:r>
            <w:r>
              <w:rPr>
                <w:rFonts w:ascii="宋体" w:hAnsi="宋体"/>
              </w:rPr>
              <w:t>扬尘</w:t>
            </w:r>
            <w:r>
              <w:rPr>
                <w:rFonts w:hint="eastAsia"/>
              </w:rPr>
              <w:t xml:space="preserve"> </w:t>
            </w:r>
          </w:p>
        </w:tc>
        <w:tc>
          <w:tcPr>
            <w:tcW w:w="3685" w:type="dxa"/>
            <w:tcBorders>
              <w:top w:val="single" w:color="auto" w:sz="4" w:space="0"/>
              <w:left w:val="single" w:color="auto" w:sz="4" w:space="0"/>
              <w:bottom w:val="single" w:color="auto" w:sz="4" w:space="0"/>
              <w:right w:val="nil"/>
            </w:tcBorders>
            <w:vAlign w:val="center"/>
          </w:tcPr>
          <w:p>
            <w:pPr>
              <w:pStyle w:val="63"/>
            </w:pPr>
            <w:r>
              <w:rPr>
                <w:rFonts w:hint="eastAsia" w:ascii="宋体" w:hAnsi="宋体"/>
              </w:rPr>
              <w:t>设置围挡、洒水降尘；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0" w:hRule="atLeast"/>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continue"/>
            <w:tcBorders>
              <w:left w:val="single" w:color="auto" w:sz="4" w:space="0"/>
              <w:right w:val="single" w:color="auto" w:sz="4" w:space="0"/>
            </w:tcBorders>
            <w:vAlign w:val="center"/>
          </w:tcPr>
          <w:p>
            <w:pPr>
              <w:pStyle w:val="63"/>
            </w:pPr>
          </w:p>
        </w:tc>
        <w:tc>
          <w:tcPr>
            <w:tcW w:w="2977" w:type="dxa"/>
            <w:tcBorders>
              <w:top w:val="single" w:color="auto" w:sz="6" w:space="0"/>
              <w:left w:val="single" w:color="auto" w:sz="4" w:space="0"/>
              <w:bottom w:val="single" w:color="auto" w:sz="6" w:space="0"/>
              <w:right w:val="single" w:color="auto" w:sz="4" w:space="0"/>
            </w:tcBorders>
            <w:vAlign w:val="center"/>
          </w:tcPr>
          <w:p>
            <w:pPr>
              <w:pStyle w:val="63"/>
            </w:pPr>
            <w:r>
              <w:rPr>
                <w:rFonts w:hint="eastAsia" w:ascii="宋体" w:hAnsi="宋体"/>
                <w:szCs w:val="21"/>
              </w:rPr>
              <w:t>机械废气</w:t>
            </w:r>
          </w:p>
        </w:tc>
        <w:tc>
          <w:tcPr>
            <w:tcW w:w="3685" w:type="dxa"/>
            <w:tcBorders>
              <w:top w:val="single" w:color="auto" w:sz="4" w:space="0"/>
              <w:left w:val="single" w:color="auto" w:sz="4" w:space="0"/>
              <w:bottom w:val="single" w:color="auto" w:sz="4" w:space="0"/>
              <w:right w:val="nil"/>
            </w:tcBorders>
            <w:vAlign w:val="center"/>
          </w:tcPr>
          <w:p>
            <w:pPr>
              <w:pStyle w:val="63"/>
            </w:pPr>
            <w:r>
              <w:rPr>
                <w:rFonts w:hint="eastAsia" w:ascii="宋体" w:hAnsi="宋体"/>
              </w:rPr>
              <w:t>加强施工机械的保养维护等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9" w:hRule="atLeast"/>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continue"/>
            <w:tcBorders>
              <w:left w:val="single" w:color="auto" w:sz="4" w:space="0"/>
              <w:right w:val="single" w:color="auto" w:sz="4" w:space="0"/>
            </w:tcBorders>
            <w:vAlign w:val="center"/>
          </w:tcPr>
          <w:p>
            <w:pPr>
              <w:pStyle w:val="63"/>
            </w:pPr>
          </w:p>
        </w:tc>
        <w:tc>
          <w:tcPr>
            <w:tcW w:w="2977" w:type="dxa"/>
            <w:tcBorders>
              <w:top w:val="nil"/>
              <w:left w:val="single" w:color="auto" w:sz="4" w:space="0"/>
              <w:bottom w:val="single" w:color="auto" w:sz="4" w:space="0"/>
              <w:right w:val="single" w:color="auto" w:sz="4" w:space="0"/>
            </w:tcBorders>
            <w:vAlign w:val="center"/>
          </w:tcPr>
          <w:p>
            <w:pPr>
              <w:pStyle w:val="63"/>
            </w:pPr>
            <w:r>
              <w:rPr>
                <w:rFonts w:hint="eastAsia" w:ascii="宋体" w:hAnsi="宋体"/>
              </w:rPr>
              <w:t>焊接烟尘</w:t>
            </w:r>
          </w:p>
        </w:tc>
        <w:tc>
          <w:tcPr>
            <w:tcW w:w="3685" w:type="dxa"/>
            <w:tcBorders>
              <w:top w:val="nil"/>
              <w:left w:val="single" w:color="auto" w:sz="4" w:space="0"/>
              <w:bottom w:val="single" w:color="auto" w:sz="4" w:space="0"/>
              <w:right w:val="nil"/>
            </w:tcBorders>
            <w:vAlign w:val="center"/>
          </w:tcPr>
          <w:p>
            <w:pPr>
              <w:pStyle w:val="63"/>
            </w:pPr>
            <w:r>
              <w:rPr>
                <w:rFonts w:hint="eastAsia" w:ascii="宋体" w:hAnsi="宋体"/>
              </w:rPr>
              <w:t>加强施工场地通风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9" w:hRule="atLeast"/>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continue"/>
            <w:tcBorders>
              <w:left w:val="single" w:color="auto" w:sz="4" w:space="0"/>
              <w:right w:val="single" w:color="auto" w:sz="4" w:space="0"/>
            </w:tcBorders>
            <w:vAlign w:val="center"/>
          </w:tcPr>
          <w:p>
            <w:pPr>
              <w:pStyle w:val="63"/>
            </w:pPr>
          </w:p>
        </w:tc>
        <w:tc>
          <w:tcPr>
            <w:tcW w:w="2977" w:type="dxa"/>
            <w:tcBorders>
              <w:top w:val="nil"/>
              <w:left w:val="single" w:color="auto" w:sz="4" w:space="0"/>
              <w:bottom w:val="single" w:color="auto" w:sz="4" w:space="0"/>
              <w:right w:val="single" w:color="auto" w:sz="4" w:space="0"/>
            </w:tcBorders>
            <w:vAlign w:val="center"/>
          </w:tcPr>
          <w:p>
            <w:pPr>
              <w:pStyle w:val="63"/>
              <w:rPr>
                <w:rFonts w:ascii="宋体" w:hAnsi="宋体"/>
              </w:rPr>
            </w:pPr>
            <w:r>
              <w:rPr>
                <w:rFonts w:hint="eastAsia" w:ascii="宋体" w:hAnsi="宋体"/>
              </w:rPr>
              <w:t>放空</w:t>
            </w:r>
            <w:r>
              <w:rPr>
                <w:rFonts w:ascii="宋体" w:hAnsi="宋体"/>
              </w:rPr>
              <w:t>废气</w:t>
            </w:r>
          </w:p>
        </w:tc>
        <w:tc>
          <w:tcPr>
            <w:tcW w:w="3685" w:type="dxa"/>
            <w:tcBorders>
              <w:top w:val="nil"/>
              <w:left w:val="single" w:color="auto" w:sz="4" w:space="0"/>
              <w:bottom w:val="single" w:color="auto" w:sz="4" w:space="0"/>
              <w:right w:val="nil"/>
            </w:tcBorders>
            <w:vAlign w:val="center"/>
          </w:tcPr>
          <w:p>
            <w:pPr>
              <w:pStyle w:val="63"/>
              <w:rPr>
                <w:rFonts w:ascii="宋体" w:hAnsi="宋体"/>
              </w:rPr>
            </w:pPr>
            <w:r>
              <w:rPr>
                <w:rFonts w:cs="Times New Roman"/>
              </w:rPr>
              <w:t>依托</w:t>
            </w:r>
            <w:r>
              <w:rPr>
                <w:rFonts w:hint="eastAsia" w:cs="Times New Roman"/>
              </w:rPr>
              <w:t>草池增压站放空管进行点火燃烧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restart"/>
            <w:tcBorders>
              <w:top w:val="single" w:color="auto" w:sz="4" w:space="0"/>
              <w:left w:val="single" w:color="auto" w:sz="4" w:space="0"/>
              <w:right w:val="single" w:color="auto" w:sz="4" w:space="0"/>
            </w:tcBorders>
            <w:vAlign w:val="center"/>
          </w:tcPr>
          <w:p>
            <w:pPr>
              <w:pStyle w:val="63"/>
            </w:pPr>
            <w:r>
              <w:t>施工期</w:t>
            </w:r>
          </w:p>
          <w:p>
            <w:pPr>
              <w:pStyle w:val="63"/>
            </w:pPr>
            <w:r>
              <w:rPr>
                <w:rFonts w:hint="eastAsia"/>
              </w:rPr>
              <w:t>废水</w:t>
            </w:r>
          </w:p>
        </w:tc>
        <w:tc>
          <w:tcPr>
            <w:tcW w:w="2977"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生活污水</w:t>
            </w:r>
          </w:p>
        </w:tc>
        <w:tc>
          <w:tcPr>
            <w:tcW w:w="3685" w:type="dxa"/>
            <w:tcBorders>
              <w:top w:val="single" w:color="auto" w:sz="4" w:space="0"/>
              <w:left w:val="single" w:color="auto" w:sz="4" w:space="0"/>
              <w:bottom w:val="single" w:color="auto" w:sz="4" w:space="0"/>
              <w:right w:val="nil"/>
            </w:tcBorders>
            <w:vAlign w:val="center"/>
          </w:tcPr>
          <w:p>
            <w:pPr>
              <w:pStyle w:val="63"/>
            </w:pPr>
            <w:r>
              <w:rPr>
                <w:rFonts w:hint="eastAsia"/>
              </w:rPr>
              <w:t>依托当地农户化粪池收集后用于农田施肥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continue"/>
            <w:tcBorders>
              <w:left w:val="single" w:color="auto" w:sz="4" w:space="0"/>
              <w:bottom w:val="single" w:color="auto" w:sz="4" w:space="0"/>
              <w:right w:val="single" w:color="auto" w:sz="4" w:space="0"/>
            </w:tcBorders>
            <w:vAlign w:val="center"/>
          </w:tcPr>
          <w:p>
            <w:pPr>
              <w:pStyle w:val="63"/>
            </w:pPr>
          </w:p>
        </w:tc>
        <w:tc>
          <w:tcPr>
            <w:tcW w:w="2977"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管道试压废水</w:t>
            </w:r>
          </w:p>
        </w:tc>
        <w:tc>
          <w:tcPr>
            <w:tcW w:w="3685" w:type="dxa"/>
            <w:tcBorders>
              <w:top w:val="single" w:color="auto" w:sz="4" w:space="0"/>
              <w:left w:val="single" w:color="auto" w:sz="4" w:space="0"/>
              <w:bottom w:val="single" w:color="auto" w:sz="4" w:space="0"/>
              <w:right w:val="nil"/>
            </w:tcBorders>
            <w:vAlign w:val="center"/>
          </w:tcPr>
          <w:p>
            <w:pPr>
              <w:pStyle w:val="63"/>
            </w:pPr>
            <w:r>
              <w:rPr>
                <w:rFonts w:hint="eastAsia"/>
              </w:rPr>
              <w:t>沉淀后用于施工</w:t>
            </w:r>
            <w:r>
              <w:t>现场洒水抑尘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6" w:hRule="atLeast"/>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tcBorders>
              <w:top w:val="nil"/>
              <w:left w:val="single" w:color="auto" w:sz="4" w:space="0"/>
              <w:right w:val="single" w:color="auto" w:sz="4" w:space="0"/>
            </w:tcBorders>
            <w:vAlign w:val="center"/>
          </w:tcPr>
          <w:p>
            <w:pPr>
              <w:pStyle w:val="63"/>
            </w:pPr>
            <w:r>
              <w:rPr>
                <w:rFonts w:hint="eastAsia"/>
              </w:rPr>
              <w:t>施工期噪声</w:t>
            </w:r>
          </w:p>
        </w:tc>
        <w:tc>
          <w:tcPr>
            <w:tcW w:w="2977" w:type="dxa"/>
            <w:tcBorders>
              <w:top w:val="nil"/>
              <w:left w:val="single" w:color="auto" w:sz="4" w:space="0"/>
              <w:right w:val="single" w:color="auto" w:sz="4" w:space="0"/>
            </w:tcBorders>
            <w:vAlign w:val="center"/>
          </w:tcPr>
          <w:p>
            <w:pPr>
              <w:pStyle w:val="63"/>
            </w:pPr>
            <w:r>
              <w:rPr>
                <w:rFonts w:hint="eastAsia"/>
              </w:rPr>
              <w:t>施工噪声</w:t>
            </w:r>
          </w:p>
        </w:tc>
        <w:tc>
          <w:tcPr>
            <w:tcW w:w="3685" w:type="dxa"/>
            <w:tcBorders>
              <w:top w:val="single" w:color="auto" w:sz="4" w:space="0"/>
              <w:left w:val="single" w:color="auto" w:sz="4" w:space="0"/>
              <w:right w:val="nil"/>
            </w:tcBorders>
            <w:vAlign w:val="center"/>
          </w:tcPr>
          <w:p>
            <w:pPr>
              <w:pStyle w:val="63"/>
              <w:rPr>
                <w:highlight w:val="yellow"/>
              </w:rPr>
            </w:pPr>
            <w:r>
              <w:rPr>
                <w:rFonts w:hint="eastAsia"/>
              </w:rPr>
              <w:t>尽量选用低噪设备，设置围挡等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2" w:hRule="atLeast"/>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restart"/>
            <w:tcBorders>
              <w:top w:val="single" w:color="auto" w:sz="4" w:space="0"/>
              <w:left w:val="single" w:color="auto" w:sz="4" w:space="0"/>
              <w:right w:val="single" w:color="auto" w:sz="4" w:space="0"/>
            </w:tcBorders>
            <w:vAlign w:val="center"/>
          </w:tcPr>
          <w:p>
            <w:pPr>
              <w:pStyle w:val="63"/>
            </w:pPr>
            <w:r>
              <w:rPr>
                <w:rFonts w:hint="eastAsia"/>
              </w:rPr>
              <w:t>施工期</w:t>
            </w:r>
            <w:r>
              <w:t>固废</w:t>
            </w:r>
          </w:p>
        </w:tc>
        <w:tc>
          <w:tcPr>
            <w:tcW w:w="2977" w:type="dxa"/>
            <w:tcBorders>
              <w:top w:val="single" w:color="auto" w:sz="4" w:space="0"/>
              <w:left w:val="single" w:color="auto" w:sz="4" w:space="0"/>
              <w:right w:val="single" w:color="auto" w:sz="4" w:space="0"/>
            </w:tcBorders>
            <w:vAlign w:val="center"/>
          </w:tcPr>
          <w:p>
            <w:pPr>
              <w:pStyle w:val="63"/>
            </w:pPr>
            <w:r>
              <w:rPr>
                <w:rFonts w:hint="eastAsia"/>
              </w:rPr>
              <w:t>生活垃圾</w:t>
            </w:r>
          </w:p>
        </w:tc>
        <w:tc>
          <w:tcPr>
            <w:tcW w:w="3685" w:type="dxa"/>
            <w:tcBorders>
              <w:top w:val="single" w:color="auto" w:sz="4" w:space="0"/>
              <w:left w:val="single" w:color="auto" w:sz="4" w:space="0"/>
              <w:right w:val="nil"/>
            </w:tcBorders>
            <w:vAlign w:val="center"/>
          </w:tcPr>
          <w:p>
            <w:pPr>
              <w:pStyle w:val="63"/>
            </w:pPr>
            <w:r>
              <w:rPr>
                <w:rFonts w:hint="eastAsia"/>
              </w:rPr>
              <w:t>交当地环卫部门处理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continue"/>
            <w:tcBorders>
              <w:left w:val="single" w:color="auto" w:sz="4" w:space="0"/>
              <w:right w:val="single" w:color="auto" w:sz="4" w:space="0"/>
            </w:tcBorders>
            <w:vAlign w:val="center"/>
          </w:tcPr>
          <w:p>
            <w:pPr>
              <w:pStyle w:val="63"/>
            </w:pPr>
          </w:p>
        </w:tc>
        <w:tc>
          <w:tcPr>
            <w:tcW w:w="2977"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施工废料</w:t>
            </w:r>
          </w:p>
        </w:tc>
        <w:tc>
          <w:tcPr>
            <w:tcW w:w="3685" w:type="dxa"/>
            <w:tcBorders>
              <w:top w:val="single" w:color="auto" w:sz="4" w:space="0"/>
              <w:left w:val="single" w:color="auto" w:sz="4" w:space="0"/>
              <w:bottom w:val="single" w:color="auto" w:sz="4" w:space="0"/>
              <w:right w:val="nil"/>
            </w:tcBorders>
            <w:vAlign w:val="center"/>
          </w:tcPr>
          <w:p>
            <w:pPr>
              <w:pStyle w:val="63"/>
            </w:pPr>
            <w:r>
              <w:rPr>
                <w:rFonts w:hint="eastAsia"/>
              </w:rPr>
              <w:t>部分回收利用，其余作为建渣委托当地环卫部门有偿清运处置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vMerge w:val="continue"/>
            <w:tcBorders>
              <w:left w:val="single" w:color="auto" w:sz="4" w:space="0"/>
              <w:bottom w:val="single" w:color="auto" w:sz="4" w:space="0"/>
              <w:right w:val="single" w:color="auto" w:sz="4" w:space="0"/>
            </w:tcBorders>
            <w:vAlign w:val="center"/>
          </w:tcPr>
          <w:p>
            <w:pPr>
              <w:pStyle w:val="63"/>
            </w:pPr>
          </w:p>
        </w:tc>
        <w:tc>
          <w:tcPr>
            <w:tcW w:w="2977"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清管废渣</w:t>
            </w:r>
          </w:p>
        </w:tc>
        <w:tc>
          <w:tcPr>
            <w:tcW w:w="3685" w:type="dxa"/>
            <w:tcBorders>
              <w:top w:val="single" w:color="auto" w:sz="4" w:space="0"/>
              <w:left w:val="single" w:color="auto" w:sz="4" w:space="0"/>
              <w:bottom w:val="single" w:color="auto" w:sz="4" w:space="0"/>
              <w:right w:val="nil"/>
            </w:tcBorders>
            <w:vAlign w:val="center"/>
          </w:tcPr>
          <w:p>
            <w:pPr>
              <w:pStyle w:val="63"/>
            </w:pPr>
            <w:r>
              <w:rPr>
                <w:szCs w:val="21"/>
              </w:rPr>
              <w:t>统一收集清运至周边合法建筑渣场处置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vMerge w:val="continue"/>
            <w:tcBorders>
              <w:top w:val="nil"/>
              <w:left w:val="nil"/>
              <w:bottom w:val="single" w:color="auto" w:sz="4" w:space="0"/>
              <w:right w:val="single" w:color="auto" w:sz="4" w:space="0"/>
            </w:tcBorders>
            <w:vAlign w:val="center"/>
          </w:tcPr>
          <w:p>
            <w:pPr>
              <w:pStyle w:val="63"/>
            </w:pPr>
          </w:p>
        </w:tc>
        <w:tc>
          <w:tcPr>
            <w:tcW w:w="1276"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运营期</w:t>
            </w:r>
            <w:r>
              <w:t>固废</w:t>
            </w:r>
          </w:p>
        </w:tc>
        <w:tc>
          <w:tcPr>
            <w:tcW w:w="2977"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清管废渣</w:t>
            </w:r>
          </w:p>
        </w:tc>
        <w:tc>
          <w:tcPr>
            <w:tcW w:w="3685" w:type="dxa"/>
            <w:tcBorders>
              <w:top w:val="single" w:color="auto" w:sz="4" w:space="0"/>
              <w:left w:val="single" w:color="auto" w:sz="4" w:space="0"/>
              <w:bottom w:val="single" w:color="auto" w:sz="4" w:space="0"/>
              <w:right w:val="nil"/>
            </w:tcBorders>
            <w:vAlign w:val="center"/>
          </w:tcPr>
          <w:p>
            <w:pPr>
              <w:pStyle w:val="63"/>
            </w:pPr>
            <w:r>
              <w:rPr>
                <w:rFonts w:hint="eastAsia"/>
              </w:rPr>
              <w:t>污水缓冲罐暂存，随污水一同拉运至袁家气田水处理站处理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tcBorders>
              <w:top w:val="single" w:color="auto" w:sz="4" w:space="0"/>
              <w:left w:val="nil"/>
              <w:bottom w:val="single" w:color="auto" w:sz="4" w:space="0"/>
              <w:right w:val="single" w:color="auto" w:sz="4" w:space="0"/>
            </w:tcBorders>
            <w:vAlign w:val="center"/>
          </w:tcPr>
          <w:p>
            <w:pPr>
              <w:pStyle w:val="63"/>
            </w:pPr>
            <w:r>
              <w:t>风险防范</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pStyle w:val="63"/>
            </w:pPr>
            <w:r>
              <w:t>风险</w:t>
            </w:r>
            <w:r>
              <w:rPr>
                <w:rFonts w:hint="eastAsia"/>
              </w:rPr>
              <w:t>防范管理</w:t>
            </w:r>
            <w:r>
              <w:t>制度</w:t>
            </w:r>
            <w:r>
              <w:rPr>
                <w:rFonts w:hint="eastAsia"/>
              </w:rPr>
              <w:t>、</w:t>
            </w:r>
            <w:r>
              <w:t xml:space="preserve">应急预案 </w:t>
            </w:r>
          </w:p>
        </w:tc>
        <w:tc>
          <w:tcPr>
            <w:tcW w:w="3685" w:type="dxa"/>
            <w:tcBorders>
              <w:top w:val="single" w:color="auto" w:sz="4" w:space="0"/>
              <w:left w:val="single" w:color="auto" w:sz="4" w:space="0"/>
              <w:bottom w:val="single" w:color="auto" w:sz="4" w:space="0"/>
              <w:right w:val="nil"/>
            </w:tcBorders>
            <w:vAlign w:val="center"/>
          </w:tcPr>
          <w:p>
            <w:pPr>
              <w:pStyle w:val="63"/>
            </w:pPr>
            <w:r>
              <w:rPr>
                <w:rFonts w:hint="eastAsia"/>
              </w:rPr>
              <w:t>建立</w:t>
            </w:r>
            <w:r>
              <w:t>健全风险</w:t>
            </w:r>
            <w:r>
              <w:rPr>
                <w:rFonts w:hint="eastAsia"/>
              </w:rPr>
              <w:t>防范管理</w:t>
            </w:r>
            <w:r>
              <w:t>制度</w:t>
            </w:r>
            <w:r>
              <w:rPr>
                <w:rFonts w:hint="eastAsia"/>
              </w:rPr>
              <w:t>；</w:t>
            </w:r>
            <w:r>
              <w:t>编制应急预案及培训、演练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24" w:type="dxa"/>
            <w:tcBorders>
              <w:top w:val="single" w:color="auto" w:sz="4" w:space="0"/>
              <w:left w:val="nil"/>
              <w:bottom w:val="single" w:color="auto" w:sz="4" w:space="0"/>
              <w:right w:val="single" w:color="auto" w:sz="4" w:space="0"/>
            </w:tcBorders>
            <w:vAlign w:val="center"/>
          </w:tcPr>
          <w:p>
            <w:pPr>
              <w:pStyle w:val="63"/>
            </w:pPr>
            <w:r>
              <w:rPr>
                <w:rFonts w:hint="eastAsia" w:ascii="宋体" w:hAnsi="宋体"/>
              </w:rPr>
              <w:t>生态</w:t>
            </w:r>
            <w:r>
              <w:rPr>
                <w:rFonts w:ascii="宋体" w:hAnsi="宋体"/>
              </w:rPr>
              <w:t>保护措施</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pStyle w:val="63"/>
            </w:pPr>
            <w:r>
              <w:rPr>
                <w:rFonts w:ascii="宋体" w:hAnsi="宋体"/>
              </w:rPr>
              <w:t>临时占地恢复</w:t>
            </w:r>
          </w:p>
        </w:tc>
        <w:tc>
          <w:tcPr>
            <w:tcW w:w="3685" w:type="dxa"/>
            <w:tcBorders>
              <w:top w:val="single" w:color="auto" w:sz="4" w:space="0"/>
              <w:left w:val="single" w:color="auto" w:sz="4" w:space="0"/>
              <w:bottom w:val="single" w:color="auto" w:sz="4" w:space="0"/>
              <w:right w:val="nil"/>
            </w:tcBorders>
            <w:vAlign w:val="center"/>
          </w:tcPr>
          <w:p>
            <w:pPr>
              <w:pStyle w:val="63"/>
            </w:pPr>
            <w:r>
              <w:rPr>
                <w:rFonts w:ascii="宋体" w:hAnsi="宋体"/>
              </w:rPr>
              <w:t>线工程沿线</w:t>
            </w:r>
            <w:r>
              <w:rPr>
                <w:rFonts w:hint="eastAsia" w:ascii="宋体" w:hAnsi="宋体"/>
              </w:rPr>
              <w:t>、</w:t>
            </w:r>
            <w:r>
              <w:rPr>
                <w:rFonts w:ascii="宋体" w:hAnsi="宋体"/>
              </w:rPr>
              <w:t>堆管场等临时占地</w:t>
            </w:r>
            <w:r>
              <w:rPr>
                <w:rFonts w:hint="eastAsia" w:ascii="宋体" w:hAnsi="宋体"/>
              </w:rPr>
              <w:t>进行</w:t>
            </w:r>
            <w:r>
              <w:rPr>
                <w:rFonts w:ascii="宋体" w:hAnsi="宋体"/>
              </w:rPr>
              <w:t>植被恢复或复耕</w:t>
            </w:r>
            <w:r>
              <w:rPr>
                <w:rFonts w:hint="eastAsia" w:ascii="宋体" w:hAnsi="宋体"/>
              </w:rPr>
              <w:t>，</w:t>
            </w:r>
            <w:r>
              <w:rPr>
                <w:rFonts w:ascii="宋体" w:hAnsi="宋体"/>
              </w:rPr>
              <w:t>确保</w:t>
            </w:r>
            <w:r>
              <w:rPr>
                <w:rFonts w:hint="eastAsia" w:ascii="宋体" w:hAnsi="宋体"/>
              </w:rPr>
              <w:t>复耕面积不减少。</w:t>
            </w:r>
            <w:r>
              <w:rPr>
                <w:rFonts w:ascii="宋体" w:hAnsi="宋体"/>
              </w:rPr>
              <w:t>恢复为耕地的</w:t>
            </w:r>
            <w:r>
              <w:rPr>
                <w:rFonts w:hint="eastAsia" w:ascii="宋体" w:hAnsi="宋体"/>
              </w:rPr>
              <w:t>，</w:t>
            </w:r>
            <w:r>
              <w:rPr>
                <w:rFonts w:ascii="宋体" w:hAnsi="宋体"/>
              </w:rPr>
              <w:t>需进行土壤培育，满足居民正常耕种要求</w:t>
            </w:r>
            <w:r>
              <w:rPr>
                <w:rFonts w:hint="eastAsia" w:ascii="宋体" w:hAnsi="宋体"/>
              </w:rPr>
              <w:t>；</w:t>
            </w:r>
            <w:r>
              <w:rPr>
                <w:rFonts w:ascii="宋体" w:hAnsi="宋体"/>
              </w:rPr>
              <w:t>植被恢复选择乡土植物</w:t>
            </w:r>
            <w:r>
              <w:rPr>
                <w:rFonts w:hint="eastAsia" w:ascii="宋体" w:hAnsi="宋体"/>
              </w:rPr>
              <w:t>。确保</w:t>
            </w:r>
            <w:r>
              <w:rPr>
                <w:rFonts w:ascii="宋体" w:hAnsi="宋体"/>
              </w:rPr>
              <w:t>生态系统的完整性</w:t>
            </w:r>
            <w:r>
              <w:rPr>
                <w:rFonts w:hint="eastAsia" w:ascii="宋体" w:hAnsi="宋体"/>
              </w:rPr>
              <w:t>，</w:t>
            </w:r>
            <w:r>
              <w:rPr>
                <w:rFonts w:ascii="宋体" w:hAnsi="宋体"/>
              </w:rPr>
              <w:t>保持生态功能</w:t>
            </w:r>
            <w:r>
              <w:rPr>
                <w:rFonts w:hint="eastAsia" w:ascii="宋体" w:hAnsi="宋体"/>
              </w:rPr>
              <w:t>不降低。</w:t>
            </w:r>
          </w:p>
        </w:tc>
      </w:tr>
    </w:tbl>
    <w:p>
      <w:pPr>
        <w:pStyle w:val="4"/>
      </w:pPr>
      <w:r>
        <w:rPr>
          <w:rFonts w:hint="eastAsia"/>
        </w:rPr>
        <w:t xml:space="preserve"> </w:t>
      </w:r>
      <w:bookmarkStart w:id="374" w:name="_Toc96680795"/>
      <w:r>
        <w:rPr>
          <w:rFonts w:hint="eastAsia"/>
        </w:rPr>
        <w:t>碳排放</w:t>
      </w:r>
      <w:bookmarkEnd w:id="374"/>
    </w:p>
    <w:p>
      <w:pPr>
        <w:ind w:firstLine="480"/>
        <w:rPr>
          <w:rFonts w:cs="Times New Roman"/>
        </w:rPr>
      </w:pPr>
      <w:r>
        <w:rPr>
          <w:rFonts w:cs="Times New Roman"/>
        </w:rPr>
        <w:t>为进一步响应2021年重点任务“做好碳达峰、碳中和工作”，实现2030年前碳排放达峰、2035年碳排放达峰后稳中有降、2060年前碳中和为总体目标，以促进经济绿色低碳可持续发展、引导建设项目履行碳减排义务和建立碳管理机制为目的，结合碳强度考核、碳市场建设、气候投融资、碳汇类生态产品价值实现等政策措施和节能降碳工程技术发展状况，本项目采取了碳减排控制措施</w:t>
      </w:r>
      <w:r>
        <w:rPr>
          <w:rFonts w:hint="eastAsia" w:cs="Times New Roman"/>
        </w:rPr>
        <w:t>，采取的措施如下：</w:t>
      </w:r>
    </w:p>
    <w:p>
      <w:pPr>
        <w:ind w:firstLine="480"/>
        <w:rPr>
          <w:rFonts w:cs="Times New Roman"/>
        </w:rPr>
      </w:pPr>
      <w:r>
        <w:rPr>
          <w:rFonts w:cs="Times New Roman"/>
        </w:rPr>
        <w:t>（1）采用密封性好、质量好的阀门、设备以及管道，防止</w:t>
      </w:r>
      <w:r>
        <w:rPr>
          <w:rFonts w:hint="eastAsia" w:cs="Times New Roman"/>
        </w:rPr>
        <w:t>天然气</w:t>
      </w:r>
      <w:r>
        <w:rPr>
          <w:rFonts w:cs="Times New Roman"/>
        </w:rPr>
        <w:t>无组织泄漏；</w:t>
      </w:r>
    </w:p>
    <w:p>
      <w:pPr>
        <w:ind w:firstLine="480"/>
        <w:rPr>
          <w:rFonts w:cs="Times New Roman"/>
        </w:rPr>
      </w:pPr>
      <w:r>
        <w:rPr>
          <w:rFonts w:cs="Times New Roman"/>
        </w:rPr>
        <w:t>（2）清管、检修时采取平稳泄压措施，尽量减少</w:t>
      </w:r>
      <w:r>
        <w:rPr>
          <w:rFonts w:hint="eastAsia" w:cs="Times New Roman"/>
        </w:rPr>
        <w:t>天然气</w:t>
      </w:r>
      <w:r>
        <w:rPr>
          <w:rFonts w:cs="Times New Roman"/>
        </w:rPr>
        <w:t>排放量；</w:t>
      </w:r>
    </w:p>
    <w:p>
      <w:pPr>
        <w:ind w:firstLine="480"/>
        <w:rPr>
          <w:rFonts w:cs="Times New Roman"/>
        </w:rPr>
      </w:pPr>
      <w:r>
        <w:rPr>
          <w:rFonts w:cs="Times New Roman"/>
        </w:rPr>
        <w:t>（3）加强巡查、发现问题</w:t>
      </w:r>
      <w:r>
        <w:rPr>
          <w:rFonts w:hint="eastAsia" w:cs="Times New Roman"/>
        </w:rPr>
        <w:t>及时</w:t>
      </w:r>
      <w:r>
        <w:rPr>
          <w:rFonts w:cs="Times New Roman"/>
        </w:rPr>
        <w:t>检修减少和防止</w:t>
      </w:r>
      <w:r>
        <w:rPr>
          <w:rFonts w:hint="eastAsia" w:cs="Times New Roman"/>
        </w:rPr>
        <w:t>天然气</w:t>
      </w:r>
      <w:r>
        <w:rPr>
          <w:rFonts w:cs="Times New Roman"/>
        </w:rPr>
        <w:t>无组织泄露。</w:t>
      </w:r>
    </w:p>
    <w:p>
      <w:pPr>
        <w:ind w:firstLine="480"/>
      </w:pPr>
    </w:p>
    <w:p>
      <w:pPr>
        <w:ind w:firstLine="480"/>
        <w:rPr>
          <w:rFonts w:cs="Times New Roman"/>
        </w:rPr>
        <w:sectPr>
          <w:headerReference r:id="rId35" w:type="default"/>
          <w:pgSz w:w="11906" w:h="16838"/>
          <w:pgMar w:top="1440" w:right="1800" w:bottom="1440" w:left="1800" w:header="851" w:footer="794" w:gutter="0"/>
          <w:cols w:space="425" w:num="1"/>
          <w:docGrid w:type="lines" w:linePitch="326" w:charSpace="0"/>
        </w:sectPr>
      </w:pPr>
    </w:p>
    <w:p>
      <w:pPr>
        <w:pStyle w:val="3"/>
        <w:rPr>
          <w:rFonts w:cs="Times New Roman"/>
        </w:rPr>
      </w:pPr>
      <w:r>
        <w:rPr>
          <w:rFonts w:cs="Times New Roman"/>
        </w:rPr>
        <w:t xml:space="preserve"> </w:t>
      </w:r>
      <w:bookmarkStart w:id="375" w:name="_Toc96680796"/>
      <w:r>
        <w:rPr>
          <w:rFonts w:cs="Times New Roman"/>
        </w:rPr>
        <w:t>环境影响评价结论及建议</w:t>
      </w:r>
      <w:bookmarkEnd w:id="375"/>
    </w:p>
    <w:p>
      <w:pPr>
        <w:pStyle w:val="4"/>
        <w:rPr>
          <w:rFonts w:cs="Times New Roman"/>
        </w:rPr>
      </w:pPr>
      <w:bookmarkStart w:id="376" w:name="_Toc67596855"/>
      <w:r>
        <w:rPr>
          <w:rFonts w:cs="Times New Roman"/>
        </w:rPr>
        <w:t xml:space="preserve"> </w:t>
      </w:r>
      <w:bookmarkStart w:id="377" w:name="_Toc96680797"/>
      <w:r>
        <w:rPr>
          <w:rFonts w:cs="Times New Roman"/>
        </w:rPr>
        <w:t>环境影响评价结论</w:t>
      </w:r>
      <w:bookmarkEnd w:id="376"/>
      <w:bookmarkEnd w:id="377"/>
    </w:p>
    <w:p>
      <w:pPr>
        <w:pStyle w:val="5"/>
        <w:rPr>
          <w:rFonts w:cs="Times New Roman"/>
        </w:rPr>
      </w:pPr>
      <w:bookmarkStart w:id="378" w:name="_Toc67596856"/>
      <w:bookmarkStart w:id="379" w:name="_Toc66041959"/>
      <w:r>
        <w:rPr>
          <w:rFonts w:cs="Times New Roman"/>
        </w:rPr>
        <w:t xml:space="preserve"> </w:t>
      </w:r>
      <w:bookmarkStart w:id="380" w:name="_Toc96680798"/>
      <w:r>
        <w:rPr>
          <w:rFonts w:cs="Times New Roman"/>
        </w:rPr>
        <w:t>项目概况</w:t>
      </w:r>
      <w:bookmarkEnd w:id="378"/>
      <w:bookmarkEnd w:id="379"/>
      <w:bookmarkEnd w:id="380"/>
    </w:p>
    <w:p>
      <w:pPr>
        <w:ind w:firstLine="480"/>
        <w:rPr>
          <w:rFonts w:cs="Times New Roman"/>
        </w:rPr>
      </w:pPr>
      <w:r>
        <w:rPr>
          <w:rFonts w:hint="eastAsia" w:cs="Times New Roman"/>
          <w:kern w:val="0"/>
          <w:szCs w:val="24"/>
        </w:rPr>
        <w:t>本项目</w:t>
      </w:r>
      <w:r>
        <w:rPr>
          <w:rFonts w:cs="Times New Roman"/>
          <w:kern w:val="0"/>
          <w:szCs w:val="24"/>
        </w:rPr>
        <w:t>为</w:t>
      </w:r>
      <w:r>
        <w:rPr>
          <w:rFonts w:hint="eastAsia" w:cs="Times New Roman"/>
          <w:kern w:val="0"/>
          <w:szCs w:val="24"/>
        </w:rPr>
        <w:t>河巴线活水沟村</w:t>
      </w:r>
      <w:r>
        <w:rPr>
          <w:rFonts w:cs="Times New Roman"/>
          <w:kern w:val="0"/>
          <w:szCs w:val="24"/>
        </w:rPr>
        <w:t>管线改道工程，为河巴线</w:t>
      </w:r>
      <w:r>
        <w:rPr>
          <w:rFonts w:hint="eastAsia" w:cs="Times New Roman"/>
          <w:kern w:val="0"/>
          <w:szCs w:val="24"/>
        </w:rPr>
        <w:t>因</w:t>
      </w:r>
      <w:r>
        <w:t>滑坡、泥石流等地质灾害</w:t>
      </w:r>
      <w:r>
        <w:rPr>
          <w:rFonts w:hint="eastAsia"/>
        </w:rPr>
        <w:t>造成</w:t>
      </w:r>
      <w:r>
        <w:rPr>
          <w:rFonts w:hint="eastAsia" w:cs="Times New Roman"/>
          <w:kern w:val="0"/>
          <w:szCs w:val="24"/>
        </w:rPr>
        <w:t>活水沟</w:t>
      </w:r>
      <w:r>
        <w:rPr>
          <w:rFonts w:cs="Times New Roman"/>
          <w:kern w:val="0"/>
          <w:szCs w:val="24"/>
        </w:rPr>
        <w:t>村</w:t>
      </w:r>
      <w:r>
        <w:rPr>
          <w:rFonts w:hint="eastAsia" w:cs="Times New Roman"/>
          <w:kern w:val="0"/>
          <w:szCs w:val="24"/>
        </w:rPr>
        <w:t>管段</w:t>
      </w:r>
      <w:r>
        <w:rPr>
          <w:rFonts w:cs="Times New Roman"/>
          <w:kern w:val="0"/>
          <w:szCs w:val="24"/>
        </w:rPr>
        <w:t>断裂</w:t>
      </w:r>
      <w:r>
        <w:rPr>
          <w:rFonts w:hint="eastAsia" w:cs="Times New Roman"/>
          <w:kern w:val="0"/>
          <w:szCs w:val="24"/>
        </w:rPr>
        <w:t>拟进行</w:t>
      </w:r>
      <w:r>
        <w:rPr>
          <w:rFonts w:cs="Times New Roman"/>
          <w:kern w:val="0"/>
          <w:szCs w:val="24"/>
        </w:rPr>
        <w:t>的</w:t>
      </w:r>
      <w:r>
        <w:rPr>
          <w:rFonts w:hint="eastAsia" w:ascii="宋体" w:hAnsi="宋体"/>
        </w:rPr>
        <w:t>应急抢险治理项目</w:t>
      </w:r>
      <w:r>
        <w:rPr>
          <w:rFonts w:hint="eastAsia" w:cs="Times New Roman"/>
          <w:kern w:val="0"/>
          <w:szCs w:val="24"/>
        </w:rPr>
        <w:t>。本项目</w:t>
      </w:r>
      <w:r>
        <w:rPr>
          <w:rFonts w:cs="Times New Roman"/>
          <w:kern w:val="0"/>
          <w:szCs w:val="24"/>
        </w:rPr>
        <w:t>管道</w:t>
      </w:r>
      <w:r>
        <w:rPr>
          <w:rFonts w:hint="eastAsia" w:cs="Times New Roman"/>
          <w:szCs w:val="24"/>
        </w:rPr>
        <w:t>改迁长度</w:t>
      </w:r>
      <w:r>
        <w:rPr>
          <w:rFonts w:cs="Times New Roman"/>
        </w:rPr>
        <w:t>总计约</w:t>
      </w:r>
      <w:r>
        <w:rPr>
          <w:rFonts w:hint="eastAsia" w:cs="Times New Roman"/>
        </w:rPr>
        <w:t>2</w:t>
      </w:r>
      <w:r>
        <w:rPr>
          <w:rFonts w:cs="Times New Roman"/>
        </w:rPr>
        <w:t>km</w:t>
      </w:r>
      <w:r>
        <w:rPr>
          <w:rFonts w:hint="eastAsia" w:cs="Times New Roman"/>
        </w:rPr>
        <w:t>，</w:t>
      </w:r>
      <w:r>
        <w:rPr>
          <w:rFonts w:cs="Times New Roman"/>
          <w:kern w:val="0"/>
          <w:szCs w:val="24"/>
        </w:rPr>
        <w:t>不涉及场站和阀室建设</w:t>
      </w:r>
      <w:r>
        <w:rPr>
          <w:rFonts w:hint="eastAsia" w:cs="Times New Roman"/>
          <w:kern w:val="0"/>
          <w:szCs w:val="24"/>
        </w:rPr>
        <w:t>，</w:t>
      </w:r>
      <w:r>
        <w:rPr>
          <w:rFonts w:cs="Times New Roman"/>
        </w:rPr>
        <w:t>管道均采用埋地敷设方式</w:t>
      </w:r>
      <w:r>
        <w:rPr>
          <w:rFonts w:hint="eastAsia" w:cs="Times New Roman"/>
        </w:rPr>
        <w:t>。设计</w:t>
      </w:r>
      <w:r>
        <w:rPr>
          <w:rFonts w:cs="Times New Roman"/>
        </w:rPr>
        <w:t>输气量同原河巴线一致，为</w:t>
      </w:r>
      <w:r>
        <w:t>150×10</w:t>
      </w:r>
      <w:r>
        <w:rPr>
          <w:vertAlign w:val="superscript"/>
        </w:rPr>
        <w:t>4</w:t>
      </w:r>
      <w:r>
        <w:t>m</w:t>
      </w:r>
      <w:r>
        <w:rPr>
          <w:vertAlign w:val="superscript"/>
        </w:rPr>
        <w:t>3</w:t>
      </w:r>
      <w:r>
        <w:t>/d</w:t>
      </w:r>
      <w:r>
        <w:rPr>
          <w:rFonts w:hint="eastAsia" w:cs="Times New Roman"/>
          <w:kern w:val="0"/>
          <w:szCs w:val="24"/>
        </w:rPr>
        <w:t>，</w:t>
      </w:r>
      <w:r>
        <w:rPr>
          <w:rFonts w:cs="Times New Roman"/>
          <w:snapToGrid w:val="0"/>
        </w:rPr>
        <w:t>设计压力为</w:t>
      </w:r>
      <w:r>
        <w:rPr>
          <w:rFonts w:hint="eastAsia" w:cs="Times New Roman"/>
        </w:rPr>
        <w:t>8.0</w:t>
      </w:r>
      <w:r>
        <w:rPr>
          <w:rFonts w:cs="Times New Roman"/>
        </w:rPr>
        <w:t>M</w:t>
      </w:r>
      <w:r>
        <w:rPr>
          <w:rFonts w:hint="eastAsia" w:cs="Times New Roman"/>
        </w:rPr>
        <w:t>P</w:t>
      </w:r>
      <w:r>
        <w:rPr>
          <w:rFonts w:cs="Times New Roman"/>
        </w:rPr>
        <w:t>a。</w:t>
      </w:r>
    </w:p>
    <w:p>
      <w:pPr>
        <w:ind w:firstLine="480"/>
        <w:rPr>
          <w:rFonts w:cs="Times New Roman"/>
        </w:rPr>
      </w:pPr>
      <w:r>
        <w:rPr>
          <w:rFonts w:cs="Times New Roman"/>
        </w:rPr>
        <w:t>临时占地</w:t>
      </w:r>
      <w:r>
        <w:rPr>
          <w:rFonts w:hint="eastAsia" w:cs="Times New Roman"/>
        </w:rPr>
        <w:t>2.72h</w:t>
      </w:r>
      <w:r>
        <w:rPr>
          <w:rFonts w:cs="Times New Roman"/>
        </w:rPr>
        <w:t>m</w:t>
      </w:r>
      <w:r>
        <w:rPr>
          <w:rFonts w:cs="Times New Roman"/>
          <w:vertAlign w:val="superscript"/>
        </w:rPr>
        <w:t>2</w:t>
      </w:r>
      <w:r>
        <w:rPr>
          <w:rFonts w:cs="Times New Roman"/>
        </w:rPr>
        <w:t>，永久占地</w:t>
      </w:r>
      <w:r>
        <w:rPr>
          <w:rFonts w:hint="eastAsia" w:cs="Times New Roman"/>
        </w:rPr>
        <w:t>约</w:t>
      </w:r>
      <w:r>
        <w:rPr>
          <w:rFonts w:cs="Times New Roman"/>
        </w:rPr>
        <w:t>22</w:t>
      </w:r>
      <w:r>
        <w:rPr>
          <w:rFonts w:hint="eastAsia" w:cs="Times New Roman"/>
        </w:rPr>
        <w:t>m</w:t>
      </w:r>
      <w:r>
        <w:rPr>
          <w:rFonts w:cs="Times New Roman"/>
          <w:vertAlign w:val="superscript"/>
        </w:rPr>
        <w:t>2</w:t>
      </w:r>
      <w:r>
        <w:rPr>
          <w:rFonts w:cs="Times New Roman"/>
        </w:rPr>
        <w:t>。项目总投资857.88万元，其中环保投资约39.6万元，占总投资的4.62%。</w:t>
      </w:r>
    </w:p>
    <w:p>
      <w:pPr>
        <w:pStyle w:val="5"/>
        <w:rPr>
          <w:rFonts w:cs="Times New Roman"/>
        </w:rPr>
      </w:pPr>
      <w:bookmarkStart w:id="381" w:name="_Toc472270584"/>
      <w:r>
        <w:rPr>
          <w:rFonts w:cs="Times New Roman"/>
        </w:rPr>
        <w:t xml:space="preserve"> </w:t>
      </w:r>
      <w:bookmarkStart w:id="382" w:name="_Toc96680799"/>
      <w:r>
        <w:rPr>
          <w:rFonts w:cs="Times New Roman"/>
        </w:rPr>
        <w:t>产业政策符合性</w:t>
      </w:r>
      <w:bookmarkEnd w:id="381"/>
      <w:bookmarkEnd w:id="382"/>
    </w:p>
    <w:p>
      <w:pPr>
        <w:pStyle w:val="214"/>
        <w:ind w:firstLine="480"/>
      </w:pPr>
      <w:bookmarkStart w:id="383" w:name="_Toc472270585"/>
      <w:r>
        <w:t>本项目为天然气管线项目，根据《产业结构调整指导目录（2019年本）》</w:t>
      </w:r>
      <w:r>
        <w:rPr>
          <w:rFonts w:hint="eastAsia"/>
        </w:rPr>
        <w:t>（2021年</w:t>
      </w:r>
      <w:r>
        <w:t>修订</w:t>
      </w:r>
      <w:r>
        <w:rPr>
          <w:rFonts w:hint="eastAsia"/>
        </w:rPr>
        <w:t>）</w:t>
      </w:r>
      <w:r>
        <w:t>，本项目属于第一类“鼓励类”第七条“石油、天然气，第三款“原油、天然气、液化天然气、成品油的储运和管道输送设施、网络和液化天然气加注设施建设”，属于鼓励类行业，本项目符合产业政策。</w:t>
      </w:r>
    </w:p>
    <w:p>
      <w:pPr>
        <w:pStyle w:val="5"/>
        <w:rPr>
          <w:rFonts w:cs="Times New Roman"/>
        </w:rPr>
      </w:pPr>
      <w:r>
        <w:rPr>
          <w:rFonts w:cs="Times New Roman"/>
        </w:rPr>
        <w:t xml:space="preserve"> </w:t>
      </w:r>
      <w:bookmarkStart w:id="384" w:name="_Toc96680800"/>
      <w:r>
        <w:rPr>
          <w:rFonts w:cs="Times New Roman"/>
        </w:rPr>
        <w:t>规划符合性</w:t>
      </w:r>
      <w:bookmarkEnd w:id="383"/>
      <w:bookmarkEnd w:id="384"/>
    </w:p>
    <w:p>
      <w:pPr>
        <w:pStyle w:val="6"/>
      </w:pPr>
      <w:r>
        <w:rPr>
          <w:rFonts w:hint="eastAsia"/>
        </w:rPr>
        <w:t xml:space="preserve"> 与当地</w:t>
      </w:r>
      <w:r>
        <w:t>城镇总体规划符合性</w:t>
      </w:r>
    </w:p>
    <w:p>
      <w:pPr>
        <w:ind w:firstLine="480"/>
      </w:pPr>
      <w:r>
        <w:rPr>
          <w:rFonts w:hint="eastAsia"/>
        </w:rPr>
        <w:t>根据通江自然资源和规划局出具的《关于&lt;关于请求审核“河巴线涪阳镇活水沟村山体滑坡引发管道断裂应急抢险工程”管道改建路由的报告&gt;的复函》（通自然资规函</w:t>
      </w:r>
      <w:r>
        <w:rPr>
          <w:rFonts w:hint="eastAsia" w:ascii="宋体" w:hAnsi="宋体"/>
        </w:rPr>
        <w:t>〔</w:t>
      </w:r>
      <w:r>
        <w:rPr>
          <w:rFonts w:hint="eastAsia"/>
        </w:rPr>
        <w:t>2021</w:t>
      </w:r>
      <w:r>
        <w:rPr>
          <w:rFonts w:hint="eastAsia" w:ascii="宋体" w:hAnsi="宋体"/>
        </w:rPr>
        <w:t>〕</w:t>
      </w:r>
      <w:r>
        <w:rPr>
          <w:rFonts w:hint="eastAsia"/>
        </w:rPr>
        <w:t>383号），项目不影响城乡规划实施。因此本项目建设符合当地规划要求。</w:t>
      </w:r>
    </w:p>
    <w:p>
      <w:pPr>
        <w:pStyle w:val="6"/>
      </w:pPr>
      <w:r>
        <w:rPr>
          <w:rFonts w:hint="eastAsia"/>
        </w:rPr>
        <w:t xml:space="preserve"> </w:t>
      </w:r>
      <w:r>
        <w:t>与国家相关规划符合性</w:t>
      </w:r>
    </w:p>
    <w:p>
      <w:pPr>
        <w:ind w:firstLine="480"/>
        <w:rPr>
          <w:rFonts w:cs="Times New Roman"/>
          <w:kern w:val="0"/>
          <w:szCs w:val="24"/>
        </w:rPr>
      </w:pPr>
      <w:r>
        <w:rPr>
          <w:rFonts w:cs="Times New Roman"/>
          <w:kern w:val="0"/>
          <w:szCs w:val="24"/>
        </w:rPr>
        <w:t>项目的选址和建设符合国家及地方发布的各项规划、政策、生态环境保护规划、法律法规及行动计划。</w:t>
      </w:r>
    </w:p>
    <w:p>
      <w:pPr>
        <w:ind w:firstLine="480"/>
        <w:rPr>
          <w:rFonts w:cs="Times New Roman"/>
          <w:bCs/>
          <w:kern w:val="0"/>
          <w:szCs w:val="24"/>
        </w:rPr>
      </w:pPr>
      <w:r>
        <w:rPr>
          <w:rFonts w:cs="Times New Roman"/>
          <w:bCs/>
          <w:kern w:val="0"/>
          <w:szCs w:val="24"/>
        </w:rPr>
        <w:t>综上，本项目符合国家相关规划、符合项目所在地的城镇规划。</w:t>
      </w:r>
    </w:p>
    <w:p>
      <w:pPr>
        <w:pStyle w:val="5"/>
      </w:pPr>
      <w:r>
        <w:rPr>
          <w:rFonts w:hint="eastAsia"/>
        </w:rPr>
        <w:t xml:space="preserve"> </w:t>
      </w:r>
      <w:bookmarkStart w:id="385" w:name="_Toc96680801"/>
      <w:r>
        <w:rPr>
          <w:rFonts w:hint="eastAsia"/>
        </w:rPr>
        <w:t>“三线</w:t>
      </w:r>
      <w:r>
        <w:t>一单</w:t>
      </w:r>
      <w:r>
        <w:rPr>
          <w:rFonts w:hint="eastAsia"/>
        </w:rPr>
        <w:t>”</w:t>
      </w:r>
      <w:r>
        <w:t>的符合性</w:t>
      </w:r>
      <w:bookmarkEnd w:id="385"/>
    </w:p>
    <w:p>
      <w:pPr>
        <w:ind w:firstLine="480"/>
      </w:pPr>
      <w:r>
        <w:rPr>
          <w:rFonts w:hint="eastAsia"/>
        </w:rPr>
        <w:t>本项目位于一般管控单元，与《巴中市人民政府关于落实“三线一单”生态环境分区管控的通知》符合</w:t>
      </w:r>
      <w:r>
        <w:t>。</w:t>
      </w:r>
    </w:p>
    <w:p>
      <w:pPr>
        <w:pStyle w:val="5"/>
        <w:rPr>
          <w:rFonts w:cs="Times New Roman"/>
        </w:rPr>
      </w:pPr>
      <w:bookmarkStart w:id="386" w:name="_Toc472270587"/>
      <w:r>
        <w:rPr>
          <w:rFonts w:hint="eastAsia" w:cs="Times New Roman"/>
        </w:rPr>
        <w:t xml:space="preserve"> </w:t>
      </w:r>
      <w:bookmarkStart w:id="387" w:name="_Toc96680802"/>
      <w:r>
        <w:rPr>
          <w:rFonts w:cs="Times New Roman"/>
        </w:rPr>
        <w:t>总量控制</w:t>
      </w:r>
      <w:bookmarkEnd w:id="386"/>
      <w:bookmarkEnd w:id="387"/>
    </w:p>
    <w:p>
      <w:pPr>
        <w:ind w:firstLine="480"/>
      </w:pPr>
      <w:r>
        <w:rPr>
          <w:rFonts w:hint="eastAsia"/>
        </w:rPr>
        <w:t>该拟建工程为天然气输送工程，采取密闭输送方式，正常情况下没有废气、废水排放。因此本项目不设置总量控制指标。</w:t>
      </w:r>
    </w:p>
    <w:p>
      <w:pPr>
        <w:pStyle w:val="5"/>
        <w:rPr>
          <w:rFonts w:cs="Times New Roman"/>
        </w:rPr>
      </w:pPr>
      <w:r>
        <w:rPr>
          <w:rFonts w:cs="Times New Roman"/>
        </w:rPr>
        <w:t xml:space="preserve"> </w:t>
      </w:r>
      <w:bookmarkStart w:id="388" w:name="_Toc96680803"/>
      <w:r>
        <w:rPr>
          <w:rFonts w:cs="Times New Roman"/>
        </w:rPr>
        <w:t>环境现状评价结论</w:t>
      </w:r>
      <w:bookmarkEnd w:id="388"/>
    </w:p>
    <w:p>
      <w:pPr>
        <w:pStyle w:val="6"/>
      </w:pPr>
      <w:r>
        <w:rPr>
          <w:rFonts w:hint="eastAsia"/>
        </w:rPr>
        <w:t xml:space="preserve"> </w:t>
      </w:r>
      <w:r>
        <w:t>环境空气</w:t>
      </w:r>
      <w:r>
        <w:rPr>
          <w:rFonts w:hint="eastAsia"/>
        </w:rPr>
        <w:t>治理</w:t>
      </w:r>
      <w:r>
        <w:t>现状</w:t>
      </w:r>
    </w:p>
    <w:p>
      <w:pPr>
        <w:ind w:firstLine="480"/>
        <w:rPr>
          <w:rFonts w:cs="Times New Roman"/>
        </w:rPr>
      </w:pPr>
      <w:r>
        <w:rPr>
          <w:rFonts w:cs="Times New Roman"/>
        </w:rPr>
        <w:t>根据巴中市生态环境局网站公开发布的《2020年巴中市生态环境状况公报》，通江县为环境空气质量</w:t>
      </w:r>
      <w:r>
        <w:rPr>
          <w:rFonts w:cs="Times New Roman"/>
          <w:bCs/>
        </w:rPr>
        <w:t>达标区</w:t>
      </w:r>
      <w:r>
        <w:rPr>
          <w:rFonts w:cs="Times New Roman"/>
        </w:rPr>
        <w:t>。</w:t>
      </w:r>
    </w:p>
    <w:p>
      <w:pPr>
        <w:pStyle w:val="6"/>
      </w:pPr>
      <w:r>
        <w:rPr>
          <w:rFonts w:hint="eastAsia"/>
        </w:rPr>
        <w:t xml:space="preserve"> </w:t>
      </w:r>
      <w:r>
        <w:t>地表水</w:t>
      </w:r>
      <w:r>
        <w:rPr>
          <w:rFonts w:hint="eastAsia"/>
        </w:rPr>
        <w:t>环境</w:t>
      </w:r>
      <w:r>
        <w:t>质量现状</w:t>
      </w:r>
    </w:p>
    <w:p>
      <w:pPr>
        <w:ind w:firstLine="480"/>
        <w:rPr>
          <w:rFonts w:cs="Times New Roman"/>
        </w:rPr>
      </w:pPr>
      <w:r>
        <w:rPr>
          <w:rFonts w:cs="Times New Roman"/>
        </w:rPr>
        <w:t>项目拟建地</w:t>
      </w:r>
      <w:r>
        <w:rPr>
          <w:rFonts w:hint="eastAsia" w:cs="Times New Roman"/>
        </w:rPr>
        <w:t>东南</w:t>
      </w:r>
      <w:r>
        <w:rPr>
          <w:rFonts w:cs="Times New Roman"/>
        </w:rPr>
        <w:t>侧</w:t>
      </w:r>
      <w:r>
        <w:rPr>
          <w:rFonts w:hint="eastAsia" w:cs="Times New Roman"/>
        </w:rPr>
        <w:t>450</w:t>
      </w:r>
      <w:r>
        <w:rPr>
          <w:rFonts w:cs="Times New Roman"/>
        </w:rPr>
        <w:t>m的</w:t>
      </w:r>
      <w:r>
        <w:rPr>
          <w:rFonts w:hint="eastAsia" w:cs="Times New Roman"/>
        </w:rPr>
        <w:t>小通江</w:t>
      </w:r>
      <w:r>
        <w:rPr>
          <w:rFonts w:cs="Times New Roman"/>
        </w:rPr>
        <w:t>，评价期间各项指标均能满足《地表水环境质量标准》（GB3838-2002）中</w:t>
      </w:r>
      <w:r>
        <w:rPr>
          <w:rFonts w:ascii="宋体" w:hAnsi="宋体" w:cs="宋体"/>
        </w:rPr>
        <w:fldChar w:fldCharType="begin"/>
      </w:r>
      <w:r>
        <w:rPr>
          <w:rFonts w:ascii="宋体" w:hAnsi="宋体" w:cs="宋体"/>
        </w:rPr>
        <w:instrText xml:space="preserve"> </w:instrText>
      </w:r>
      <w:r>
        <w:rPr>
          <w:rFonts w:hint="eastAsia" w:ascii="宋体" w:hAnsi="宋体" w:cs="宋体"/>
        </w:rPr>
        <w:instrText xml:space="preserve">= 2 \* ROMAN</w:instrText>
      </w:r>
      <w:r>
        <w:rPr>
          <w:rFonts w:ascii="宋体" w:hAnsi="宋体" w:cs="宋体"/>
        </w:rPr>
        <w:instrText xml:space="preserve"> </w:instrText>
      </w:r>
      <w:r>
        <w:rPr>
          <w:rFonts w:ascii="宋体" w:hAnsi="宋体" w:cs="宋体"/>
        </w:rPr>
        <w:fldChar w:fldCharType="separate"/>
      </w:r>
      <w:r>
        <w:rPr>
          <w:rFonts w:ascii="宋体" w:hAnsi="宋体" w:cs="宋体"/>
        </w:rPr>
        <w:t>II</w:t>
      </w:r>
      <w:r>
        <w:rPr>
          <w:rFonts w:ascii="宋体" w:hAnsi="宋体" w:cs="宋体"/>
        </w:rPr>
        <w:fldChar w:fldCharType="end"/>
      </w:r>
      <w:r>
        <w:rPr>
          <w:rFonts w:cs="Times New Roman"/>
        </w:rPr>
        <w:t>类标准限值要求。</w:t>
      </w:r>
    </w:p>
    <w:p>
      <w:pPr>
        <w:pStyle w:val="6"/>
      </w:pPr>
      <w:r>
        <w:rPr>
          <w:rFonts w:hint="eastAsia"/>
        </w:rPr>
        <w:t xml:space="preserve"> </w:t>
      </w:r>
      <w:r>
        <w:t>地下水</w:t>
      </w:r>
    </w:p>
    <w:p>
      <w:pPr>
        <w:ind w:firstLine="480"/>
        <w:rPr>
          <w:rFonts w:cs="Times New Roman"/>
        </w:rPr>
      </w:pPr>
      <w:r>
        <w:rPr>
          <w:rFonts w:cs="Times New Roman"/>
        </w:rPr>
        <w:t>根据监测结果表明，</w:t>
      </w:r>
      <w:r>
        <w:rPr>
          <w:rFonts w:cs="Times New Roman"/>
          <w:bCs/>
        </w:rPr>
        <w:t>所在地地下水能满足《地下水质量标准》（GB/T14848-2017）中</w:t>
      </w:r>
      <w:r>
        <w:rPr>
          <w:rFonts w:cs="Times New Roman"/>
          <w:sz w:val="21"/>
        </w:rPr>
        <w:t>III</w:t>
      </w:r>
      <w:r>
        <w:rPr>
          <w:rFonts w:cs="Times New Roman"/>
          <w:bCs/>
        </w:rPr>
        <w:t>类标准要求。</w:t>
      </w:r>
    </w:p>
    <w:p>
      <w:pPr>
        <w:pStyle w:val="6"/>
      </w:pPr>
      <w:r>
        <w:t xml:space="preserve"> 声</w:t>
      </w:r>
      <w:r>
        <w:rPr>
          <w:rFonts w:hint="eastAsia"/>
        </w:rPr>
        <w:t>环境质量</w:t>
      </w:r>
      <w:r>
        <w:t>现状</w:t>
      </w:r>
    </w:p>
    <w:p>
      <w:pPr>
        <w:ind w:firstLine="480"/>
        <w:rPr>
          <w:rFonts w:cs="Times New Roman"/>
        </w:rPr>
      </w:pPr>
      <w:r>
        <w:rPr>
          <w:rFonts w:cs="Times New Roman"/>
        </w:rPr>
        <w:t>项目所在地昼间、夜间噪声均能达到《声环境质量标准》（GB3096-2008）2类标准要求，表明区域声环境质量较好。</w:t>
      </w:r>
    </w:p>
    <w:p>
      <w:pPr>
        <w:pStyle w:val="6"/>
      </w:pPr>
      <w:r>
        <w:rPr>
          <w:rFonts w:hint="eastAsia"/>
        </w:rPr>
        <w:t xml:space="preserve"> </w:t>
      </w:r>
      <w:r>
        <w:t>土壤</w:t>
      </w:r>
      <w:r>
        <w:rPr>
          <w:rFonts w:hint="eastAsia"/>
        </w:rPr>
        <w:t>环境</w:t>
      </w:r>
      <w:r>
        <w:t>质量现状</w:t>
      </w:r>
    </w:p>
    <w:p>
      <w:pPr>
        <w:ind w:firstLine="480"/>
        <w:rPr>
          <w:rFonts w:cs="Times New Roman"/>
        </w:rPr>
      </w:pPr>
      <w:r>
        <w:rPr>
          <w:rFonts w:cs="Times New Roman"/>
        </w:rPr>
        <w:t>根据巴中市生态环境局网站公开发布的《2020年巴中市生态环境状况公报》</w:t>
      </w:r>
      <w:r>
        <w:rPr>
          <w:rFonts w:hint="eastAsia" w:cs="Times New Roman"/>
        </w:rPr>
        <w:t>，</w:t>
      </w:r>
      <w:r>
        <w:rPr>
          <w:rFonts w:cs="Times New Roman"/>
        </w:rPr>
        <w:t>区域土壤质量良好。</w:t>
      </w:r>
    </w:p>
    <w:p>
      <w:pPr>
        <w:pStyle w:val="6"/>
      </w:pPr>
      <w:r>
        <w:t xml:space="preserve"> 生态环境现状</w:t>
      </w:r>
    </w:p>
    <w:p>
      <w:pPr>
        <w:ind w:firstLine="480"/>
      </w:pPr>
      <w:r>
        <w:rPr>
          <w:rFonts w:cs="Times New Roman"/>
        </w:rPr>
        <w:t>评价区内有森林生态系统、农业生态系统、聚落生态系统和湿地生态系统4类生态系统。森林生态系统的分布面积最大，农业生态系统次之；聚落生态系统和湿地生态系统面积相对较小。</w:t>
      </w:r>
      <w:r>
        <w:rPr>
          <w:rFonts w:hint="eastAsia" w:cs="Times New Roman"/>
        </w:rPr>
        <w:t>评价</w:t>
      </w:r>
      <w:r>
        <w:rPr>
          <w:rFonts w:cs="Times New Roman"/>
        </w:rPr>
        <w:t>范围内有</w:t>
      </w:r>
      <w:r>
        <w:rPr>
          <w:rFonts w:hint="eastAsia" w:cs="Times New Roman"/>
        </w:rPr>
        <w:t>1棵</w:t>
      </w:r>
      <w:r>
        <w:rPr>
          <w:rFonts w:cs="Times New Roman"/>
        </w:rPr>
        <w:t>三级古树，</w:t>
      </w:r>
      <w:r>
        <w:rPr>
          <w:rFonts w:hint="eastAsia"/>
        </w:rPr>
        <w:t>无珍稀野生动物出没。本项目占地不涉及风景名胜区、世界文化和自然遗产地、自然保护区等特殊保护区，不涉及珍稀濒危野生动植物天然集中分布区、重要水生生物的自然产卵场及索饵场、越冬场和洄游通道等生态敏感区，也不涉及文物保护单位，项目未在饮用水水源地保护范围内。</w:t>
      </w:r>
    </w:p>
    <w:p>
      <w:pPr>
        <w:pStyle w:val="5"/>
      </w:pPr>
      <w:bookmarkStart w:id="389" w:name="_Toc90396836"/>
      <w:bookmarkStart w:id="390" w:name="_Toc80003375"/>
      <w:r>
        <w:rPr>
          <w:rFonts w:hint="eastAsia"/>
        </w:rPr>
        <w:t xml:space="preserve"> </w:t>
      </w:r>
      <w:bookmarkStart w:id="391" w:name="_Toc96680804"/>
      <w:r>
        <w:rPr>
          <w:rFonts w:hint="eastAsia"/>
        </w:rPr>
        <w:t>污染防治措施及环境影响</w:t>
      </w:r>
      <w:bookmarkEnd w:id="389"/>
      <w:bookmarkEnd w:id="390"/>
      <w:bookmarkEnd w:id="391"/>
    </w:p>
    <w:p>
      <w:pPr>
        <w:pStyle w:val="6"/>
      </w:pPr>
      <w:r>
        <w:rPr>
          <w:rFonts w:hint="eastAsia"/>
        </w:rPr>
        <w:t xml:space="preserve"> 施工期污染防治措施及环境影响</w:t>
      </w:r>
    </w:p>
    <w:p>
      <w:pPr>
        <w:pStyle w:val="248"/>
        <w:ind w:firstLine="482"/>
        <w:rPr>
          <w:b/>
        </w:rPr>
      </w:pPr>
      <w:r>
        <w:rPr>
          <w:rFonts w:hint="eastAsia"/>
          <w:b/>
        </w:rPr>
        <w:t>（1）废气</w:t>
      </w:r>
    </w:p>
    <w:p>
      <w:pPr>
        <w:ind w:firstLine="480"/>
      </w:pPr>
      <w:r>
        <w:rPr>
          <w:rFonts w:cs="Times New Roman"/>
        </w:rPr>
        <w:t>施工废气主要来自地面开挖、运输车辆行驶产生的扬尘</w:t>
      </w:r>
      <w:r>
        <w:rPr>
          <w:rFonts w:hint="eastAsia" w:cs="Times New Roman"/>
        </w:rPr>
        <w:t>、</w:t>
      </w:r>
      <w:r>
        <w:rPr>
          <w:rFonts w:cs="Times New Roman"/>
        </w:rPr>
        <w:t>施工机械排放的烟气</w:t>
      </w:r>
      <w:r>
        <w:rPr>
          <w:rFonts w:hint="eastAsia" w:cs="Times New Roman"/>
        </w:rPr>
        <w:t>、焊接</w:t>
      </w:r>
      <w:r>
        <w:rPr>
          <w:rFonts w:cs="Times New Roman"/>
        </w:rPr>
        <w:t>烟尘及</w:t>
      </w:r>
      <w:r>
        <w:rPr>
          <w:rFonts w:hint="eastAsia" w:cs="Times New Roman"/>
        </w:rPr>
        <w:t>放空</w:t>
      </w:r>
      <w:r>
        <w:rPr>
          <w:rFonts w:cs="Times New Roman"/>
        </w:rPr>
        <w:t>废气等，烟气中的主要污染物为SO</w:t>
      </w:r>
      <w:r>
        <w:rPr>
          <w:rFonts w:cs="Times New Roman"/>
          <w:vertAlign w:val="subscript"/>
        </w:rPr>
        <w:t>2</w:t>
      </w:r>
      <w:r>
        <w:rPr>
          <w:rFonts w:cs="Times New Roman"/>
        </w:rPr>
        <w:t>、NO</w:t>
      </w:r>
      <w:r>
        <w:rPr>
          <w:rFonts w:cs="Times New Roman"/>
          <w:vertAlign w:val="subscript"/>
        </w:rPr>
        <w:t>2</w:t>
      </w:r>
      <w:r>
        <w:rPr>
          <w:rFonts w:cs="Times New Roman"/>
        </w:rPr>
        <w:t>、CmHn等。这些污染物会对环境空气造成一定程度的污染，但这种污染是暂时的，随着施工期的结束而消失。由于废气量较小，且施工现场均在野外，有利于空气的扩散，同时废气污染原具有间歇性和流动性，因此对局部地区的环境影响较轻。</w:t>
      </w:r>
    </w:p>
    <w:p>
      <w:pPr>
        <w:pStyle w:val="248"/>
        <w:ind w:firstLine="482"/>
        <w:rPr>
          <w:b/>
        </w:rPr>
      </w:pPr>
      <w:r>
        <w:rPr>
          <w:rFonts w:hint="eastAsia"/>
          <w:b/>
        </w:rPr>
        <w:t>（2）废水</w:t>
      </w:r>
    </w:p>
    <w:p>
      <w:pPr>
        <w:pStyle w:val="248"/>
        <w:ind w:firstLine="480"/>
      </w:pPr>
      <w:r>
        <w:t>本工程施工期对水环境的影响主要是施工人员在施工作业中产生的生活污水、管道安装完后清管试压的生产污水等排放对水环境的影响等。</w:t>
      </w:r>
      <w:r>
        <w:rPr>
          <w:rFonts w:cs="Times New Roman"/>
        </w:rPr>
        <w:t>施工期施工人员生活污水依托租用民房现有的污水处理设施进行处理；试压废水主要污染物质为SS、铁锈和泥砂等，不含有害物质，经沉淀处理后</w:t>
      </w:r>
      <w:r>
        <w:rPr>
          <w:rFonts w:hint="eastAsia" w:cs="Times New Roman"/>
        </w:rPr>
        <w:t>用于施工现场洒水除尘，因此施工期废水</w:t>
      </w:r>
      <w:r>
        <w:t>对地表水和地下水环境影响较小。</w:t>
      </w:r>
    </w:p>
    <w:p>
      <w:pPr>
        <w:pStyle w:val="248"/>
        <w:ind w:firstLine="482"/>
        <w:rPr>
          <w:b/>
        </w:rPr>
      </w:pPr>
      <w:r>
        <w:rPr>
          <w:rFonts w:hint="eastAsia"/>
          <w:b/>
        </w:rPr>
        <w:t>（3）噪声</w:t>
      </w:r>
    </w:p>
    <w:p>
      <w:pPr>
        <w:ind w:firstLine="480"/>
      </w:pPr>
      <w:r>
        <w:rPr>
          <w:rFonts w:hint="eastAsia"/>
        </w:rPr>
        <w:t>本工程施工期噪声源主要来自施工作业机械，如挖掘机、吊管机、电焊机、推土机、切割机、柴油发电机等。施工期加强噪声的监督管理，积极做好环境保护法规政策的宣传教育，加强与施工单位的协调，使施工单位做到文明施工，并采取以下措施：加大声源治理力度；合理布局施工现场；合理安排施工时间等。采取以上措施后，</w:t>
      </w:r>
      <w:r>
        <w:rPr>
          <w:rFonts w:hint="eastAsia"/>
          <w:lang w:bidi="ar"/>
        </w:rPr>
        <w:t>施工</w:t>
      </w:r>
      <w:r>
        <w:rPr>
          <w:lang w:bidi="ar"/>
        </w:rPr>
        <w:t>期机械噪声将对附近村民等声环境敏感点造成一定影响，但伴随着施工期结束，其影响将会消失</w:t>
      </w:r>
      <w:r>
        <w:rPr>
          <w:rFonts w:hint="eastAsia"/>
          <w:lang w:bidi="ar"/>
        </w:rPr>
        <w:t>，</w:t>
      </w:r>
      <w:r>
        <w:t>其环境影响可控制在</w:t>
      </w:r>
      <w:r>
        <w:rPr>
          <w:lang w:bidi="ar"/>
        </w:rPr>
        <w:t>当地环境可接受范围内。</w:t>
      </w:r>
    </w:p>
    <w:p>
      <w:pPr>
        <w:pStyle w:val="248"/>
        <w:ind w:firstLine="482"/>
        <w:rPr>
          <w:b/>
        </w:rPr>
      </w:pPr>
      <w:r>
        <w:rPr>
          <w:rFonts w:hint="eastAsia"/>
          <w:b/>
        </w:rPr>
        <w:t>（4）固体废物</w:t>
      </w:r>
    </w:p>
    <w:p>
      <w:pPr>
        <w:pStyle w:val="248"/>
        <w:ind w:firstLine="480"/>
      </w:pPr>
      <w:r>
        <w:t>施工期产生的固体废物主要是生活垃圾、施工废料以及清管试压废渣。生活垃圾拟采取定点收集，收集后定期交当地环卫部门处理的措施；施工废料部分由施工单位回收利用，不能利用的由施工队伍统一收集清运至周边合法建筑渣场处置；清管试压废渣统一收集清运至周边合法建筑渣场处置。本工程产生的固体废物量很少，采取上述措施可得到合理的处理与处置</w:t>
      </w:r>
      <w:r>
        <w:rPr>
          <w:rFonts w:hint="eastAsia"/>
        </w:rPr>
        <w:t>，</w:t>
      </w:r>
      <w:r>
        <w:t>不会对环境造成影响。</w:t>
      </w:r>
    </w:p>
    <w:p>
      <w:pPr>
        <w:pStyle w:val="6"/>
      </w:pPr>
      <w:r>
        <w:rPr>
          <w:rFonts w:hint="eastAsia"/>
        </w:rPr>
        <w:t xml:space="preserve"> 运营期污染防治措施及环境影响</w:t>
      </w:r>
    </w:p>
    <w:p>
      <w:pPr>
        <w:ind w:firstLine="480"/>
        <w:rPr>
          <w:rFonts w:cs="Times New Roman"/>
          <w:kern w:val="0"/>
          <w:szCs w:val="24"/>
        </w:rPr>
      </w:pPr>
      <w:r>
        <w:rPr>
          <w:rFonts w:ascii="宋体" w:hAnsi="宋体"/>
          <w:kern w:val="0"/>
        </w:rPr>
        <w:t>项目建成后由建设单位统一调配人员管理，不新增劳动定员，因此，本项目无新增生活废水、生活垃圾；管道采用埋地敷设，噪声可忽略不计。</w:t>
      </w:r>
    </w:p>
    <w:p>
      <w:pPr>
        <w:pStyle w:val="248"/>
        <w:ind w:firstLine="480"/>
        <w:rPr>
          <w:rFonts w:ascii="宋体" w:hAnsi="宋体"/>
          <w:kern w:val="0"/>
        </w:rPr>
      </w:pPr>
      <w:r>
        <w:rPr>
          <w:rFonts w:ascii="宋体" w:hAnsi="宋体"/>
          <w:kern w:val="0"/>
        </w:rPr>
        <w:t>项目输送的天然气为净化天然气，在正常情况下无废气产生，仅在清管、检修以及事故状况下会产生废气，此部分废气依托</w:t>
      </w:r>
      <w:r>
        <w:rPr>
          <w:rFonts w:hint="eastAsia" w:ascii="宋体" w:hAnsi="宋体"/>
          <w:kern w:val="0"/>
        </w:rPr>
        <w:t>草池增压站</w:t>
      </w:r>
      <w:r>
        <w:rPr>
          <w:rFonts w:ascii="宋体" w:hAnsi="宋体"/>
          <w:kern w:val="0"/>
        </w:rPr>
        <w:t>设置的放</w:t>
      </w:r>
      <w:r>
        <w:rPr>
          <w:rFonts w:hint="eastAsia" w:ascii="宋体" w:hAnsi="宋体"/>
          <w:kern w:val="0"/>
        </w:rPr>
        <w:t>孔</w:t>
      </w:r>
      <w:r>
        <w:rPr>
          <w:rFonts w:ascii="宋体" w:hAnsi="宋体"/>
          <w:kern w:val="0"/>
        </w:rPr>
        <w:t>管进行</w:t>
      </w:r>
      <w:r>
        <w:rPr>
          <w:rFonts w:hint="eastAsia" w:ascii="宋体" w:hAnsi="宋体"/>
          <w:kern w:val="0"/>
        </w:rPr>
        <w:t>燃烧放空</w:t>
      </w:r>
      <w:r>
        <w:rPr>
          <w:rFonts w:ascii="宋体" w:hAnsi="宋体"/>
          <w:kern w:val="0"/>
        </w:rPr>
        <w:t>。从以往同类管道站场的验收评价来看，以上环境空气污染防治措施可行，工程运行后，所在区域的环境空气质量不会低于现有功能。依托站场的放</w:t>
      </w:r>
      <w:r>
        <w:rPr>
          <w:rFonts w:hint="eastAsia" w:ascii="宋体" w:hAnsi="宋体"/>
          <w:kern w:val="0"/>
        </w:rPr>
        <w:t>空</w:t>
      </w:r>
      <w:r>
        <w:rPr>
          <w:rFonts w:ascii="宋体" w:hAnsi="宋体"/>
          <w:kern w:val="0"/>
        </w:rPr>
        <w:t>管高度设置为</w:t>
      </w:r>
      <w:r>
        <w:rPr>
          <w:kern w:val="0"/>
        </w:rPr>
        <w:t>15m</w:t>
      </w:r>
      <w:r>
        <w:rPr>
          <w:rFonts w:ascii="宋体" w:hAnsi="宋体"/>
          <w:kern w:val="0"/>
        </w:rPr>
        <w:t>是合理的，作为大气环境保护措施具有经济技术可行性。</w:t>
      </w:r>
    </w:p>
    <w:p>
      <w:pPr>
        <w:pStyle w:val="6"/>
      </w:pPr>
      <w:r>
        <w:rPr>
          <w:rFonts w:hint="eastAsia"/>
        </w:rPr>
        <w:t xml:space="preserve"> 生态环境影响</w:t>
      </w:r>
    </w:p>
    <w:p>
      <w:pPr>
        <w:pStyle w:val="248"/>
        <w:ind w:firstLine="480"/>
      </w:pPr>
      <w:r>
        <w:rPr>
          <w:rFonts w:hint="eastAsia"/>
        </w:rPr>
        <w:t>本工程的建设将改变了项目区部分土地的利用性质。造成生物量的减少；施工开挖土方引起土壤结构、土壤紧实度、土壤养分变化，同时，防腐材料和施工废弃物也会对土壤的理化性质产生影响。根据调查和查询评价范围内无珍稀野生动物分布，也没有涉及野生动物的通道、栖息地等敏感场所。工程建成后不会对整个评价区的生态完整性产生影响，生物多样性的影响也很小，属可接受范围；工程的建设不会造成物种缺失，项目涉及的生态系统的结构和功能没有影响较小，在干扰之后可以较好的恢复，不会造成显著的生态问题。</w:t>
      </w:r>
    </w:p>
    <w:p>
      <w:pPr>
        <w:pStyle w:val="248"/>
        <w:ind w:firstLine="480"/>
      </w:pPr>
      <w:r>
        <w:rPr>
          <w:rFonts w:hint="eastAsia"/>
        </w:rPr>
        <w:t xml:space="preserve">综合考虑，项目建设对周围生态环境影响较小。 </w:t>
      </w:r>
    </w:p>
    <w:p>
      <w:pPr>
        <w:pStyle w:val="6"/>
      </w:pPr>
      <w:r>
        <w:rPr>
          <w:rFonts w:hint="eastAsia"/>
        </w:rPr>
        <w:t xml:space="preserve"> 环境</w:t>
      </w:r>
      <w:r>
        <w:t>风险</w:t>
      </w:r>
      <w:r>
        <w:rPr>
          <w:rFonts w:hint="eastAsia"/>
        </w:rPr>
        <w:t>影响</w:t>
      </w:r>
    </w:p>
    <w:p>
      <w:pPr>
        <w:ind w:firstLine="480"/>
      </w:pPr>
      <w:r>
        <w:rPr>
          <w:rFonts w:hint="eastAsia"/>
        </w:rPr>
        <w:t>通过严格按照行业规设计、施工和作业，按照行业规范和环评要求完善相关风险防范和应急措施，制定详尽有效的环境风险应急预案。本项目环境风险是可防控的。</w:t>
      </w:r>
    </w:p>
    <w:p>
      <w:pPr>
        <w:pStyle w:val="5"/>
        <w:rPr>
          <w:rFonts w:cs="Times New Roman"/>
        </w:rPr>
      </w:pPr>
      <w:r>
        <w:rPr>
          <w:rFonts w:hint="eastAsia" w:cs="Times New Roman"/>
        </w:rPr>
        <w:t xml:space="preserve"> </w:t>
      </w:r>
      <w:bookmarkStart w:id="392" w:name="_Toc96680805"/>
      <w:r>
        <w:rPr>
          <w:rFonts w:cs="Times New Roman"/>
        </w:rPr>
        <w:t>污染防治措施的有效性</w:t>
      </w:r>
      <w:bookmarkEnd w:id="392"/>
    </w:p>
    <w:p>
      <w:pPr>
        <w:ind w:firstLine="480"/>
        <w:rPr>
          <w:rFonts w:cs="Times New Roman"/>
        </w:rPr>
      </w:pPr>
      <w:r>
        <w:rPr>
          <w:rFonts w:cs="Times New Roman"/>
        </w:rPr>
        <w:t>评价认为，工程采取的环境保护措施技术经济可行，措施有效。</w:t>
      </w:r>
    </w:p>
    <w:p>
      <w:pPr>
        <w:pStyle w:val="5"/>
        <w:rPr>
          <w:rFonts w:cs="Times New Roman"/>
        </w:rPr>
      </w:pPr>
      <w:r>
        <w:rPr>
          <w:rFonts w:cs="Times New Roman"/>
        </w:rPr>
        <w:t xml:space="preserve"> </w:t>
      </w:r>
      <w:bookmarkStart w:id="393" w:name="_Toc96680806"/>
      <w:r>
        <w:rPr>
          <w:rFonts w:cs="Times New Roman"/>
        </w:rPr>
        <w:t>公众参与</w:t>
      </w:r>
      <w:bookmarkEnd w:id="393"/>
    </w:p>
    <w:p>
      <w:pPr>
        <w:ind w:firstLine="480"/>
        <w:rPr>
          <w:rFonts w:cs="Times New Roman"/>
        </w:rPr>
      </w:pPr>
      <w:r>
        <w:rPr>
          <w:rFonts w:cs="Times New Roman"/>
          <w:kern w:val="0"/>
          <w:szCs w:val="24"/>
        </w:rPr>
        <w:t>根据建设单位提供的公众参与调查报告可知，本次环评公众参与采取网上和报纸公示相结合的方式进行，公示期间未收到任何单位和个人的反馈意见和建议。</w:t>
      </w:r>
    </w:p>
    <w:p>
      <w:pPr>
        <w:pStyle w:val="5"/>
        <w:rPr>
          <w:rFonts w:cs="Times New Roman"/>
        </w:rPr>
      </w:pPr>
      <w:r>
        <w:rPr>
          <w:rFonts w:cs="Times New Roman"/>
        </w:rPr>
        <w:t xml:space="preserve"> </w:t>
      </w:r>
      <w:bookmarkStart w:id="394" w:name="_Toc96680807"/>
      <w:r>
        <w:rPr>
          <w:rFonts w:cs="Times New Roman"/>
        </w:rPr>
        <w:t>评价结论</w:t>
      </w:r>
      <w:bookmarkEnd w:id="394"/>
    </w:p>
    <w:p>
      <w:pPr>
        <w:ind w:firstLine="480"/>
      </w:pPr>
      <w:r>
        <w:rPr>
          <w:rFonts w:cs="Times New Roman"/>
          <w:kern w:val="0"/>
          <w:szCs w:val="24"/>
        </w:rPr>
        <w:t>中国石油化工股份有限公司</w:t>
      </w:r>
      <w:r>
        <w:rPr>
          <w:rFonts w:hint="eastAsia" w:cs="Times New Roman"/>
          <w:szCs w:val="24"/>
        </w:rPr>
        <w:t>天然气分公司四川天然气销售中心</w:t>
      </w:r>
      <w:r>
        <w:rPr>
          <w:rFonts w:cs="Times New Roman"/>
          <w:kern w:val="0"/>
          <w:szCs w:val="24"/>
        </w:rPr>
        <w:t>“</w:t>
      </w:r>
      <w:r>
        <w:rPr>
          <w:rFonts w:hint="eastAsia" w:cs="Times New Roman"/>
          <w:szCs w:val="24"/>
        </w:rPr>
        <w:t>河巴线通江县涪阳镇活水沟村滑坡应急抢险治理项目</w:t>
      </w:r>
      <w:r>
        <w:rPr>
          <w:rFonts w:cs="Times New Roman"/>
          <w:kern w:val="0"/>
          <w:szCs w:val="24"/>
        </w:rPr>
        <w:t>” 属清洁能源输送工程，</w:t>
      </w:r>
      <w:r>
        <w:rPr>
          <w:rFonts w:cs="Times New Roman"/>
          <w:bCs/>
        </w:rPr>
        <w:t>符合国家产业政策，与当地规划相容。</w:t>
      </w:r>
      <w:r>
        <w:rPr>
          <w:rFonts w:hint="eastAsia"/>
        </w:rPr>
        <w:t>评价区域环境空气质量、声环境质量、地表水环境质量、地下水环境质量以及土壤环境质量现状总体较好；通过严格落实污染防治措施，项目建设产生的污染物能做到达标排放或妥善处置，对生态环境、地表水、地下水、土壤以及大气环境影响控制在当地环境可接受范围内，本项目的实施不会改变区域原有的环境功能；项目采用的环保措施可行，社会、经济效益十分显著；建设项目选线合理，环境可行。通过严格落实行业规范以及完善环境风险事故防范措施和制定较详尽有效的环境风险事故应急预案，项目环境风险可防可控，可将工程环境风险控制在当地环境可接受范围内。</w:t>
      </w:r>
    </w:p>
    <w:p>
      <w:pPr>
        <w:ind w:firstLine="480"/>
        <w:rPr>
          <w:rFonts w:cs="Times New Roman"/>
        </w:rPr>
      </w:pPr>
      <w:r>
        <w:rPr>
          <w:rFonts w:hint="eastAsia"/>
        </w:rPr>
        <w:t>综上，本项目从环境保护角度是可行的。</w:t>
      </w:r>
    </w:p>
    <w:p>
      <w:pPr>
        <w:pStyle w:val="4"/>
        <w:rPr>
          <w:rFonts w:cs="Times New Roman"/>
        </w:rPr>
      </w:pPr>
      <w:bookmarkStart w:id="395" w:name="_Toc66041966"/>
      <w:bookmarkStart w:id="396" w:name="_Toc67596863"/>
      <w:r>
        <w:rPr>
          <w:rFonts w:cs="Times New Roman"/>
        </w:rPr>
        <w:t xml:space="preserve"> </w:t>
      </w:r>
      <w:bookmarkStart w:id="397" w:name="_Toc96680808"/>
      <w:r>
        <w:rPr>
          <w:rFonts w:cs="Times New Roman"/>
        </w:rPr>
        <w:t>建议</w:t>
      </w:r>
      <w:bookmarkEnd w:id="395"/>
      <w:bookmarkEnd w:id="396"/>
      <w:bookmarkEnd w:id="397"/>
    </w:p>
    <w:p>
      <w:pPr>
        <w:pStyle w:val="248"/>
        <w:ind w:firstLine="480"/>
      </w:pPr>
      <w:r>
        <w:rPr>
          <w:rFonts w:cs="Times New Roman"/>
        </w:rPr>
        <w:t xml:space="preserve"> </w:t>
      </w:r>
      <w:r>
        <w:rPr>
          <w:rFonts w:hint="eastAsia"/>
        </w:rPr>
        <w:t>（1）加强施工队伍的管理，减少对生态环境的影响，施工结束后及时进行临时占地生态恢复。</w:t>
      </w:r>
    </w:p>
    <w:p>
      <w:pPr>
        <w:pStyle w:val="248"/>
        <w:ind w:firstLine="480"/>
      </w:pPr>
      <w:r>
        <w:rPr>
          <w:rFonts w:hint="eastAsia"/>
        </w:rPr>
        <w:t>（2）严格落实各项环保措施，尽量降低对周边环境的影响；做好周边居民沟通协商工作，避免噪声扰民。</w:t>
      </w:r>
    </w:p>
    <w:p>
      <w:pPr>
        <w:pStyle w:val="248"/>
        <w:ind w:firstLine="480"/>
      </w:pPr>
      <w:r>
        <w:rPr>
          <w:rFonts w:hint="eastAsia"/>
        </w:rPr>
        <w:t>（3）建设单位应随时与当地规划部门保持联系，确保管道安全。</w:t>
      </w:r>
    </w:p>
    <w:p>
      <w:pPr>
        <w:ind w:firstLine="480"/>
      </w:pPr>
      <w:r>
        <w:rPr>
          <w:rFonts w:hint="eastAsia"/>
        </w:rPr>
        <w:t>（</w:t>
      </w:r>
      <w:r>
        <w:t>4</w:t>
      </w:r>
      <w:r>
        <w:rPr>
          <w:rFonts w:hint="eastAsia"/>
        </w:rPr>
        <w:t>）严格执行各项操作规程，并根据当地情况及时完善突发事故应急预案，降低事故发生概率和在事故发生时能将危害控制在最低限度。</w:t>
      </w:r>
    </w:p>
    <w:p>
      <w:pPr>
        <w:ind w:firstLine="480"/>
      </w:pPr>
      <w:r>
        <w:rPr>
          <w:rFonts w:hint="eastAsia"/>
        </w:rPr>
        <w:t>（</w:t>
      </w:r>
      <w:r>
        <w:t>5</w:t>
      </w:r>
      <w:r>
        <w:rPr>
          <w:rFonts w:hint="eastAsia"/>
        </w:rPr>
        <w:t>）配合当地政府妥善解决好占用土地、毁坏道路、作物、植被等所造成的恢复赔偿问题。</w:t>
      </w:r>
    </w:p>
    <w:p>
      <w:pPr>
        <w:ind w:firstLine="480"/>
      </w:pPr>
      <w:r>
        <w:rPr>
          <w:rFonts w:hint="eastAsia"/>
        </w:rPr>
        <w:t>（</w:t>
      </w:r>
      <w:r>
        <w:t>6</w:t>
      </w:r>
      <w:r>
        <w:rPr>
          <w:rFonts w:hint="eastAsia"/>
        </w:rPr>
        <w:t>）对项目周围环境进行跟踪监测。</w:t>
      </w:r>
    </w:p>
    <w:sectPr>
      <w:headerReference r:id="rId36" w:type="default"/>
      <w:pgSz w:w="11906" w:h="16838"/>
      <w:pgMar w:top="1440" w:right="1800" w:bottom="1440" w:left="1800" w:header="851" w:footer="794"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TimesNewRomanPSMT">
    <w:altName w:val="Meiryo"/>
    <w:panose1 w:val="00000000000000000000"/>
    <w:charset w:val="00"/>
    <w:family w:val="roman"/>
    <w:pitch w:val="default"/>
    <w:sig w:usb0="00000000" w:usb1="00000000" w:usb2="00000000" w:usb3="00000000" w:csb0="00000001" w:csb1="00000000"/>
  </w:font>
  <w:font w:name="TimesNewRomanPS-BoldMT">
    <w:altName w:val="Times New Roman"/>
    <w:panose1 w:val="00000000000000000000"/>
    <w:charset w:val="00"/>
    <w:family w:val="roman"/>
    <w:pitch w:val="default"/>
    <w:sig w:usb0="00000000" w:usb1="00000000" w:usb2="00000000" w:usb3="00000000" w:csb0="00000000" w:csb1="00000000"/>
  </w:font>
  <w:font w:name="Century Gothic">
    <w:altName w:val="Segoe Print"/>
    <w:panose1 w:val="020B0502020202020204"/>
    <w:charset w:val="00"/>
    <w:family w:val="swiss"/>
    <w:pitch w:val="default"/>
    <w:sig w:usb0="00000000" w:usb1="00000000" w:usb2="00000000" w:usb3="00000000" w:csb0="0000009F" w:csb1="00000000"/>
  </w:font>
  <w:font w:name="Gulim">
    <w:panose1 w:val="020B0600000101010101"/>
    <w:charset w:val="81"/>
    <w:family w:val="swiss"/>
    <w:pitch w:val="default"/>
    <w:sig w:usb0="B00002AF" w:usb1="69D77CFB" w:usb2="00000030" w:usb3="00000000" w:csb0="4008009F" w:csb1="DFD70000"/>
  </w:font>
  <w:font w:name="TimesNewRoman">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Meiryo">
    <w:panose1 w:val="020B0604030504040204"/>
    <w:charset w:val="80"/>
    <w:family w:val="auto"/>
    <w:pitch w:val="default"/>
    <w:sig w:usb0="E10102FF" w:usb1="EAC7FFFF" w:usb2="00010012" w:usb3="00000000" w:csb0="6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4424978"/>
    </w:sdtPr>
    <w:sdtContent>
      <w:p>
        <w:pPr>
          <w:pStyle w:val="24"/>
          <w:ind w:firstLine="360"/>
          <w:jc w:val="center"/>
        </w:pPr>
        <w:r>
          <w:fldChar w:fldCharType="begin"/>
        </w:r>
        <w:r>
          <w:instrText xml:space="preserve">PAGE   \* MERGEFORMAT</w:instrText>
        </w:r>
        <w:r>
          <w:fldChar w:fldCharType="separate"/>
        </w:r>
        <w:r>
          <w:t>III</w:t>
        </w:r>
        <w:r>
          <w:fldChar w:fldCharType="end"/>
        </w:r>
      </w:p>
    </w:sdtContent>
  </w:sdt>
  <w:p>
    <w:pPr>
      <w:pStyle w:val="24"/>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6335576"/>
    </w:sdtPr>
    <w:sdtContent>
      <w:p>
        <w:pPr>
          <w:pStyle w:val="24"/>
          <w:ind w:firstLine="360"/>
          <w:jc w:val="center"/>
        </w:pPr>
        <w:r>
          <w:fldChar w:fldCharType="begin"/>
        </w:r>
        <w:r>
          <w:instrText xml:space="preserve">PAGE   \* MERGEFORMAT</w:instrText>
        </w:r>
        <w:r>
          <w:fldChar w:fldCharType="separate"/>
        </w:r>
        <w:r>
          <w:rPr>
            <w:lang w:val="zh-CN"/>
          </w:rPr>
          <w:t>13</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0" w:firstLineChars="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384"/>
      </w:tabs>
      <w:ind w:firstLine="0" w:firstLineChars="0"/>
      <w:jc w:val="left"/>
    </w:pPr>
    <w:r>
      <w:rPr>
        <w:rFonts w:hint="eastAsia" w:cs="Times New Roman"/>
        <w:sz w:val="16"/>
        <w:szCs w:val="24"/>
      </w:rPr>
      <w:t xml:space="preserve">河巴线通江县涪阳镇活水沟村滑坡应急抢险治理项目环境影响报告书                        </w:t>
    </w:r>
    <w:r>
      <w:rPr>
        <w:rFonts w:cs="Times New Roman"/>
        <w:sz w:val="16"/>
        <w:szCs w:val="24"/>
      </w:rPr>
      <w:t xml:space="preserve">                                                                        </w:t>
    </w:r>
    <w:r>
      <w:rPr>
        <w:rFonts w:hint="eastAsia" w:cs="Times New Roman"/>
        <w:sz w:val="16"/>
        <w:szCs w:val="24"/>
      </w:rPr>
      <w:t xml:space="preserve">         </w:t>
    </w:r>
    <w:r>
      <w:rPr>
        <w:rFonts w:hint="eastAsia" w:ascii="宋体" w:hAnsi="宋体"/>
        <w:bCs/>
        <w:sz w:val="16"/>
        <w:szCs w:val="16"/>
      </w:rPr>
      <w:t>1</w:t>
    </w:r>
    <w:r>
      <w:rPr>
        <w:rFonts w:ascii="宋体" w:hAnsi="宋体"/>
        <w:bCs/>
        <w:sz w:val="16"/>
        <w:szCs w:val="16"/>
      </w:rPr>
      <w:t xml:space="preserve"> </w:t>
    </w:r>
    <w:r>
      <w:rPr>
        <w:rFonts w:hint="eastAsia" w:ascii="宋体" w:hAnsi="宋体"/>
        <w:bCs/>
        <w:sz w:val="16"/>
        <w:szCs w:val="16"/>
      </w:rPr>
      <w:t>总则</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384"/>
      </w:tabs>
      <w:ind w:firstLine="0" w:firstLineChars="0"/>
      <w:jc w:val="left"/>
    </w:pPr>
    <w:r>
      <w:rPr>
        <w:rFonts w:hint="eastAsia" w:cs="Times New Roman"/>
        <w:sz w:val="16"/>
        <w:szCs w:val="24"/>
      </w:rPr>
      <w:t xml:space="preserve">河巴线通江县涪阳镇活水沟村滑坡应急抢险治理项目环境影响报告书                                 </w:t>
    </w:r>
    <w:r>
      <w:rPr>
        <w:rFonts w:hint="eastAsia" w:ascii="宋体" w:hAnsi="宋体"/>
        <w:bCs/>
        <w:sz w:val="16"/>
        <w:szCs w:val="16"/>
      </w:rPr>
      <w:t>1</w:t>
    </w:r>
    <w:r>
      <w:rPr>
        <w:rFonts w:ascii="宋体" w:hAnsi="宋体"/>
        <w:bCs/>
        <w:sz w:val="16"/>
        <w:szCs w:val="16"/>
      </w:rPr>
      <w:t xml:space="preserve"> </w:t>
    </w:r>
    <w:r>
      <w:rPr>
        <w:rFonts w:hint="eastAsia" w:ascii="宋体" w:hAnsi="宋体"/>
        <w:bCs/>
        <w:sz w:val="16"/>
        <w:szCs w:val="16"/>
      </w:rPr>
      <w:t>总则</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left"/>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w:t>
    </w:r>
    <w:r>
      <w:rPr>
        <w:rFonts w:hint="eastAsia" w:ascii="宋体" w:hAnsi="宋体"/>
        <w:bCs/>
        <w:sz w:val="16"/>
        <w:szCs w:val="16"/>
      </w:rPr>
      <w:t>1</w:t>
    </w:r>
    <w:r>
      <w:rPr>
        <w:rFonts w:ascii="宋体" w:hAnsi="宋体"/>
        <w:bCs/>
        <w:sz w:val="16"/>
        <w:szCs w:val="16"/>
      </w:rPr>
      <w:t xml:space="preserve"> </w:t>
    </w:r>
    <w:r>
      <w:rPr>
        <w:rFonts w:hint="eastAsia" w:ascii="宋体" w:hAnsi="宋体"/>
        <w:bCs/>
        <w:sz w:val="16"/>
        <w:szCs w:val="16"/>
      </w:rPr>
      <w:t>总则</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left"/>
    </w:pPr>
    <w:r>
      <w:rPr>
        <w:rFonts w:hint="eastAsia" w:cs="Times New Roman"/>
        <w:sz w:val="16"/>
        <w:szCs w:val="24"/>
      </w:rPr>
      <w:t>河巴线通江县涪阳镇活水沟村滑坡应急抢险治理项目环境影响报告书</w:t>
    </w:r>
    <w:r>
      <w:rPr>
        <w:rFonts w:ascii="宋体" w:hAnsi="宋体"/>
        <w:bCs/>
        <w:sz w:val="16"/>
        <w:szCs w:val="16"/>
      </w:rPr>
      <w:t xml:space="preserve">                              2 </w:t>
    </w:r>
    <w:r>
      <w:rPr>
        <w:rFonts w:hint="eastAsia" w:ascii="宋体" w:hAnsi="宋体"/>
        <w:bCs/>
        <w:sz w:val="16"/>
        <w:szCs w:val="16"/>
      </w:rPr>
      <w:t>工程</w:t>
    </w:r>
    <w:r>
      <w:rPr>
        <w:rFonts w:ascii="宋体" w:hAnsi="宋体"/>
        <w:bCs/>
        <w:sz w:val="16"/>
        <w:szCs w:val="16"/>
      </w:rPr>
      <w:t>概况</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left"/>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3 选址、选线的环境可行性</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left"/>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4 工程分析</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w:t>
    </w:r>
    <w:r>
      <w:rPr>
        <w:rFonts w:hint="eastAsia" w:ascii="宋体" w:hAnsi="宋体"/>
        <w:bCs/>
        <w:sz w:val="16"/>
        <w:szCs w:val="16"/>
      </w:rPr>
      <w:t xml:space="preserve">5 </w:t>
    </w:r>
    <w:r>
      <w:rPr>
        <w:rFonts w:ascii="宋体" w:hAnsi="宋体"/>
        <w:bCs/>
        <w:sz w:val="16"/>
        <w:szCs w:val="16"/>
      </w:rPr>
      <w:t xml:space="preserve">自然环境概况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left"/>
    </w:pP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w:t>
    </w:r>
    <w:r>
      <w:rPr>
        <w:rFonts w:hint="eastAsia" w:ascii="宋体" w:hAnsi="宋体"/>
        <w:bCs/>
        <w:sz w:val="16"/>
        <w:szCs w:val="16"/>
      </w:rPr>
      <w:t>3 工程分析</w:t>
    </w:r>
  </w:p>
  <w:p>
    <w:pPr>
      <w:ind w:firstLine="480"/>
    </w:pPr>
  </w:p>
  <w:p>
    <w:pPr>
      <w:ind w:firstLine="320"/>
    </w:pPr>
    <w:r>
      <w:rPr>
        <w:rFonts w:ascii="宋体" w:hAnsi="宋体"/>
        <w:bCs/>
        <w:sz w:val="16"/>
        <w:szCs w:val="16"/>
      </w:rPr>
      <w:t xml:space="preserve">环境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6</w:t>
    </w:r>
    <w:r>
      <w:rPr>
        <w:rFonts w:hint="eastAsia" w:ascii="宋体" w:hAnsi="宋体"/>
        <w:bCs/>
        <w:sz w:val="16"/>
        <w:szCs w:val="16"/>
      </w:rPr>
      <w:t xml:space="preserve"> 环境质量现状评价</w:t>
    </w:r>
    <w:r>
      <w:rPr>
        <w:rFonts w:ascii="宋体" w:hAnsi="宋体"/>
        <w:bCs/>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7 </w:t>
    </w:r>
    <w:r>
      <w:rPr>
        <w:rFonts w:hint="eastAsia" w:ascii="宋体" w:hAnsi="宋体"/>
        <w:bCs/>
        <w:sz w:val="16"/>
        <w:szCs w:val="16"/>
      </w:rPr>
      <w:t>环境</w:t>
    </w:r>
    <w:r>
      <w:rPr>
        <w:rFonts w:ascii="宋体" w:hAnsi="宋体"/>
        <w:bCs/>
        <w:sz w:val="16"/>
        <w:szCs w:val="16"/>
      </w:rPr>
      <w:t>影响预测及评价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8 </w:t>
    </w:r>
    <w:r>
      <w:rPr>
        <w:rFonts w:hint="eastAsia" w:ascii="宋体" w:hAnsi="宋体"/>
        <w:bCs/>
        <w:sz w:val="16"/>
        <w:szCs w:val="16"/>
      </w:rPr>
      <w:t>环境风险影响评价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9 </w:t>
    </w:r>
    <w:r>
      <w:rPr>
        <w:rFonts w:hint="eastAsia" w:ascii="宋体" w:hAnsi="宋体"/>
        <w:bCs/>
        <w:sz w:val="16"/>
        <w:szCs w:val="16"/>
      </w:rPr>
      <w:t>环境</w:t>
    </w:r>
    <w:r>
      <w:rPr>
        <w:rFonts w:ascii="宋体" w:hAnsi="宋体"/>
        <w:bCs/>
        <w:sz w:val="16"/>
        <w:szCs w:val="16"/>
      </w:rPr>
      <w:t>保护措施</w:t>
    </w:r>
    <w:r>
      <w:rPr>
        <w:rFonts w:hint="eastAsia" w:ascii="宋体" w:hAnsi="宋体"/>
        <w:bCs/>
        <w:sz w:val="16"/>
        <w:szCs w:val="16"/>
      </w:rPr>
      <w:t>及</w:t>
    </w:r>
    <w:r>
      <w:rPr>
        <w:rFonts w:ascii="宋体" w:hAnsi="宋体"/>
        <w:bCs/>
        <w:sz w:val="16"/>
        <w:szCs w:val="16"/>
      </w:rPr>
      <w:t>其可行性论证</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10 </w:t>
    </w:r>
    <w:r>
      <w:rPr>
        <w:rFonts w:hint="eastAsia" w:ascii="宋体" w:hAnsi="宋体"/>
        <w:bCs/>
        <w:sz w:val="16"/>
        <w:szCs w:val="16"/>
      </w:rPr>
      <w:t>环境影响经济</w:t>
    </w:r>
    <w:r>
      <w:rPr>
        <w:rFonts w:ascii="宋体" w:hAnsi="宋体"/>
        <w:bCs/>
        <w:sz w:val="16"/>
        <w:szCs w:val="16"/>
      </w:rPr>
      <w:t>损益分析</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11 </w:t>
    </w:r>
    <w:r>
      <w:rPr>
        <w:rFonts w:hint="eastAsia" w:ascii="宋体" w:hAnsi="宋体"/>
        <w:bCs/>
        <w:sz w:val="16"/>
        <w:szCs w:val="16"/>
      </w:rPr>
      <w:t>环境管理及</w:t>
    </w:r>
    <w:r>
      <w:rPr>
        <w:rFonts w:ascii="宋体" w:hAnsi="宋体"/>
        <w:bCs/>
        <w:sz w:val="16"/>
        <w:szCs w:val="16"/>
      </w:rPr>
      <w:t>监测计划</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0" w:firstLineChars="0"/>
    </w:pPr>
    <w:r>
      <w:rPr>
        <w:rFonts w:hint="eastAsia" w:cs="Times New Roman"/>
        <w:sz w:val="16"/>
        <w:szCs w:val="24"/>
      </w:rPr>
      <w:t>河巴线通江县涪阳镇活水沟村滑坡应急抢险治理项目环境影响报告书</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12 </w:t>
    </w:r>
    <w:r>
      <w:rPr>
        <w:rFonts w:hint="eastAsia" w:ascii="宋体" w:hAnsi="宋体"/>
        <w:bCs/>
        <w:sz w:val="16"/>
        <w:szCs w:val="16"/>
      </w:rPr>
      <w:t>环境影响评价结论及建议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0"/>
      </w:pBdr>
      <w:ind w:firstLine="0" w:firstLineChars="0"/>
      <w:jc w:val="left"/>
    </w:pPr>
    <w:r>
      <w:rPr>
        <w:rFonts w:hint="eastAsia" w:cs="Times New Roman"/>
        <w:sz w:val="16"/>
        <w:szCs w:val="24"/>
      </w:rPr>
      <w:t xml:space="preserve">河巴线通江县涪阳镇活水沟村滑坡应急抢险治理项目环境影响报告书 </w:t>
    </w:r>
    <w:r>
      <w:t xml:space="preserve"> </w:t>
    </w:r>
    <w:r>
      <w:rPr>
        <w:rFonts w:hint="eastAsia"/>
      </w:rPr>
      <w:t xml:space="preserve">                              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1"/>
      </w:pBdr>
      <w:spacing w:line="240" w:lineRule="auto"/>
      <w:ind w:firstLine="0" w:firstLineChars="0"/>
      <w:jc w:val="left"/>
      <w:rPr>
        <w:rFonts w:ascii="宋体" w:hAnsi="宋体"/>
        <w:bCs/>
        <w:sz w:val="16"/>
        <w:szCs w:val="16"/>
      </w:rPr>
    </w:pPr>
    <w:r>
      <w:rPr>
        <w:rFonts w:hint="eastAsia" w:cs="Times New Roman"/>
        <w:sz w:val="16"/>
        <w:szCs w:val="24"/>
      </w:rPr>
      <w:t xml:space="preserve">河巴线通江县涪阳镇活水沟村滑坡应急抢险治理项目环境影响报告书   </w:t>
    </w:r>
    <w:r>
      <w:rPr>
        <w:rFonts w:ascii="宋体" w:hAnsi="宋体"/>
        <w:bCs/>
        <w:sz w:val="16"/>
        <w:szCs w:val="16"/>
      </w:rPr>
      <w:t xml:space="preserve">   </w:t>
    </w:r>
    <w:r>
      <w:rPr>
        <w:rFonts w:hint="eastAsia" w:ascii="宋体" w:hAnsi="宋体"/>
        <w:bCs/>
        <w:sz w:val="16"/>
        <w:szCs w:val="16"/>
      </w:rPr>
      <w:t xml:space="preserve">    </w:t>
    </w:r>
    <w:r>
      <w:rPr>
        <w:rFonts w:ascii="宋体" w:hAnsi="宋体"/>
        <w:bCs/>
        <w:sz w:val="16"/>
        <w:szCs w:val="16"/>
      </w:rPr>
      <w:t xml:space="preserve">                          </w:t>
    </w:r>
    <w:r>
      <w:rPr>
        <w:rFonts w:hint="eastAsia" w:ascii="宋体" w:hAnsi="宋体"/>
        <w:bCs/>
        <w:sz w:val="16"/>
        <w:szCs w:val="16"/>
      </w:rPr>
      <w:t>前言</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384"/>
      </w:tabs>
      <w:ind w:firstLine="0" w:firstLineChars="0"/>
      <w:jc w:val="left"/>
    </w:pPr>
    <w:r>
      <w:rPr>
        <w:rFonts w:hint="eastAsia" w:cs="Times New Roman"/>
        <w:sz w:val="16"/>
        <w:szCs w:val="24"/>
      </w:rPr>
      <w:t xml:space="preserve">河巴线通江县涪阳镇活水沟村滑坡应急抢险治理项目环境影响报告书                                 </w:t>
    </w:r>
    <w:r>
      <w:rPr>
        <w:rFonts w:hint="eastAsia" w:ascii="宋体" w:hAnsi="宋体"/>
        <w:bCs/>
        <w:sz w:val="16"/>
        <w:szCs w:val="16"/>
      </w:rPr>
      <w:t>1</w:t>
    </w:r>
    <w:r>
      <w:rPr>
        <w:rFonts w:ascii="宋体" w:hAnsi="宋体"/>
        <w:bCs/>
        <w:sz w:val="16"/>
        <w:szCs w:val="16"/>
      </w:rPr>
      <w:t xml:space="preserve"> </w:t>
    </w:r>
    <w:r>
      <w:rPr>
        <w:rFonts w:hint="eastAsia" w:ascii="宋体" w:hAnsi="宋体"/>
        <w:bCs/>
        <w:sz w:val="16"/>
        <w:szCs w:val="16"/>
      </w:rPr>
      <w:t>总则</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384"/>
      </w:tabs>
      <w:ind w:firstLine="0" w:firstLineChars="0"/>
      <w:jc w:val="left"/>
    </w:pPr>
    <w:r>
      <w:rPr>
        <w:rFonts w:hint="eastAsia" w:cs="Times New Roman"/>
        <w:sz w:val="16"/>
        <w:szCs w:val="24"/>
      </w:rPr>
      <w:t xml:space="preserve">河巴线通江县涪阳镇活水沟村滑坡应急抢险治理项目环境影响报告书                                                                                                        </w:t>
    </w:r>
    <w:r>
      <w:rPr>
        <w:rFonts w:hint="eastAsia" w:ascii="宋体" w:hAnsi="宋体"/>
        <w:bCs/>
        <w:sz w:val="16"/>
        <w:szCs w:val="16"/>
      </w:rPr>
      <w:t>1</w:t>
    </w:r>
    <w:r>
      <w:rPr>
        <w:rFonts w:ascii="宋体" w:hAnsi="宋体"/>
        <w:bCs/>
        <w:sz w:val="16"/>
        <w:szCs w:val="16"/>
      </w:rPr>
      <w:t xml:space="preserve"> </w:t>
    </w:r>
    <w:r>
      <w:rPr>
        <w:rFonts w:hint="eastAsia" w:ascii="宋体" w:hAnsi="宋体"/>
        <w:bCs/>
        <w:sz w:val="16"/>
        <w:szCs w:val="16"/>
      </w:rPr>
      <w:t>总则</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384"/>
      </w:tabs>
      <w:ind w:firstLine="0" w:firstLineChars="0"/>
      <w:jc w:val="left"/>
    </w:pPr>
    <w:r>
      <w:rPr>
        <w:rFonts w:hint="eastAsia" w:cs="Times New Roman"/>
        <w:sz w:val="16"/>
        <w:szCs w:val="24"/>
      </w:rPr>
      <w:t xml:space="preserve">河巴线通江县涪阳镇活水沟村滑坡应急抢险治理项目环境影响报告书                                 </w:t>
    </w:r>
    <w:r>
      <w:rPr>
        <w:rFonts w:hint="eastAsia" w:ascii="宋体" w:hAnsi="宋体"/>
        <w:bCs/>
        <w:sz w:val="16"/>
        <w:szCs w:val="16"/>
      </w:rPr>
      <w:t>1</w:t>
    </w:r>
    <w:r>
      <w:rPr>
        <w:rFonts w:ascii="宋体" w:hAnsi="宋体"/>
        <w:bCs/>
        <w:sz w:val="16"/>
        <w:szCs w:val="16"/>
      </w:rPr>
      <w:t xml:space="preserve"> </w:t>
    </w:r>
    <w:r>
      <w:rPr>
        <w:rFonts w:hint="eastAsia" w:ascii="宋体" w:hAnsi="宋体"/>
        <w:bCs/>
        <w:sz w:val="16"/>
        <w:szCs w:val="16"/>
      </w:rPr>
      <w:t>总则</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36CCA7"/>
    <w:multiLevelType w:val="singleLevel"/>
    <w:tmpl w:val="F836CCA7"/>
    <w:lvl w:ilvl="0" w:tentative="0">
      <w:start w:val="2"/>
      <w:numFmt w:val="decimal"/>
      <w:suff w:val="nothing"/>
      <w:lvlText w:val="（%1）"/>
      <w:lvlJc w:val="left"/>
    </w:lvl>
  </w:abstractNum>
  <w:abstractNum w:abstractNumId="1">
    <w:nsid w:val="152F5B0A"/>
    <w:multiLevelType w:val="multilevel"/>
    <w:tmpl w:val="152F5B0A"/>
    <w:lvl w:ilvl="0" w:tentative="0">
      <w:start w:val="1"/>
      <w:numFmt w:val="decimal"/>
      <w:pStyle w:val="226"/>
      <w:suff w:val="nothing"/>
      <w:lvlText w:val="（%1）"/>
      <w:lvlJc w:val="left"/>
      <w:pPr>
        <w:ind w:left="420" w:hanging="420"/>
      </w:pPr>
      <w:rPr>
        <w:rFonts w:hint="default" w:ascii="Times New Roman" w:hAnsi="Times New Roman"/>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8CC2E41"/>
    <w:multiLevelType w:val="multilevel"/>
    <w:tmpl w:val="38CC2E41"/>
    <w:lvl w:ilvl="0" w:tentative="0">
      <w:start w:val="1"/>
      <w:numFmt w:val="decimalEnclosedCircle"/>
      <w:lvlText w:val="%1"/>
      <w:lvlJc w:val="left"/>
      <w:pPr>
        <w:ind w:left="842" w:hanging="360"/>
      </w:pPr>
      <w:rPr>
        <w:rFonts w:hint="default" w:ascii="宋体" w:hAnsi="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4F6D4F51"/>
    <w:multiLevelType w:val="multilevel"/>
    <w:tmpl w:val="4F6D4F51"/>
    <w:lvl w:ilvl="0" w:tentative="0">
      <w:start w:val="1"/>
      <w:numFmt w:val="decimal"/>
      <w:pStyle w:val="3"/>
      <w:isLgl/>
      <w:suff w:val="space"/>
      <w:lvlText w:val="%1"/>
      <w:lvlJc w:val="center"/>
      <w:pPr>
        <w:ind w:left="2268" w:firstLine="0"/>
      </w:pPr>
      <w:rPr>
        <w:rFonts w:hint="eastAsia"/>
      </w:rPr>
    </w:lvl>
    <w:lvl w:ilvl="1" w:tentative="0">
      <w:start w:val="1"/>
      <w:numFmt w:val="decimal"/>
      <w:pStyle w:val="4"/>
      <w:suff w:val="nothing"/>
      <w:lvlText w:val="%1.%2"/>
      <w:lvlJc w:val="left"/>
      <w:pPr>
        <w:ind w:left="142" w:firstLine="0"/>
      </w:pPr>
      <w:rPr>
        <w:rFonts w:ascii="Times New Roman"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suff w:val="nothing"/>
      <w:lvlText w:val="%1.%2.%3"/>
      <w:lvlJc w:val="left"/>
      <w:pPr>
        <w:ind w:left="0" w:firstLine="0"/>
      </w:pPr>
      <w:rPr>
        <w:rFonts w:ascii="Times New Roman"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
      <w:suff w:val="nothing"/>
      <w:lvlText w:val="%1.%2.%3.%4"/>
      <w:lvlJc w:val="left"/>
      <w:pPr>
        <w:ind w:left="2551" w:firstLine="0"/>
      </w:pPr>
      <w:rPr>
        <w:rFonts w:ascii="Times New Roman"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64E567F4"/>
    <w:multiLevelType w:val="multilevel"/>
    <w:tmpl w:val="64E567F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4"/>
  </w:num>
  <w:num w:numId="4">
    <w:abstractNumId w:val="1"/>
    <w:lvlOverride w:ilvl="0">
      <w:startOverride w:val="1"/>
    </w:lvlOverride>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1YjM3OTVhNDdiNDkzZDkyYTdiMjQzNmVhMGI4OWIifQ=="/>
  </w:docVars>
  <w:rsids>
    <w:rsidRoot w:val="00BE0771"/>
    <w:rsid w:val="00000313"/>
    <w:rsid w:val="000005C4"/>
    <w:rsid w:val="00001331"/>
    <w:rsid w:val="0000162B"/>
    <w:rsid w:val="00001F2A"/>
    <w:rsid w:val="00002CE1"/>
    <w:rsid w:val="0000393F"/>
    <w:rsid w:val="00003A1F"/>
    <w:rsid w:val="00003CCD"/>
    <w:rsid w:val="00004129"/>
    <w:rsid w:val="00005330"/>
    <w:rsid w:val="00006227"/>
    <w:rsid w:val="00007041"/>
    <w:rsid w:val="000075D4"/>
    <w:rsid w:val="000102FD"/>
    <w:rsid w:val="00010A56"/>
    <w:rsid w:val="00010EC4"/>
    <w:rsid w:val="000124DF"/>
    <w:rsid w:val="00012DA9"/>
    <w:rsid w:val="00013222"/>
    <w:rsid w:val="000136E3"/>
    <w:rsid w:val="0001419A"/>
    <w:rsid w:val="0001525A"/>
    <w:rsid w:val="000158B6"/>
    <w:rsid w:val="000169F9"/>
    <w:rsid w:val="00020ED0"/>
    <w:rsid w:val="00021132"/>
    <w:rsid w:val="00021258"/>
    <w:rsid w:val="00021272"/>
    <w:rsid w:val="000218F5"/>
    <w:rsid w:val="00021BF4"/>
    <w:rsid w:val="00021FB3"/>
    <w:rsid w:val="00022F95"/>
    <w:rsid w:val="00023A5C"/>
    <w:rsid w:val="00023C93"/>
    <w:rsid w:val="00023E63"/>
    <w:rsid w:val="00023E77"/>
    <w:rsid w:val="00024F2C"/>
    <w:rsid w:val="000252AD"/>
    <w:rsid w:val="0002636A"/>
    <w:rsid w:val="000268E1"/>
    <w:rsid w:val="00026EE0"/>
    <w:rsid w:val="000304AE"/>
    <w:rsid w:val="00030F81"/>
    <w:rsid w:val="00031A8D"/>
    <w:rsid w:val="00032652"/>
    <w:rsid w:val="000326B0"/>
    <w:rsid w:val="00032774"/>
    <w:rsid w:val="000328A7"/>
    <w:rsid w:val="00032B1B"/>
    <w:rsid w:val="00033207"/>
    <w:rsid w:val="0003405E"/>
    <w:rsid w:val="000341CA"/>
    <w:rsid w:val="00034499"/>
    <w:rsid w:val="00036232"/>
    <w:rsid w:val="00036AD2"/>
    <w:rsid w:val="00037C91"/>
    <w:rsid w:val="00037F69"/>
    <w:rsid w:val="0004096E"/>
    <w:rsid w:val="00040FDB"/>
    <w:rsid w:val="0004129A"/>
    <w:rsid w:val="000428E5"/>
    <w:rsid w:val="000428E6"/>
    <w:rsid w:val="00042CFA"/>
    <w:rsid w:val="00042FFA"/>
    <w:rsid w:val="00045A16"/>
    <w:rsid w:val="00047163"/>
    <w:rsid w:val="00050420"/>
    <w:rsid w:val="0005044D"/>
    <w:rsid w:val="00050BD8"/>
    <w:rsid w:val="000517D1"/>
    <w:rsid w:val="00051AB0"/>
    <w:rsid w:val="00052C19"/>
    <w:rsid w:val="00052ED6"/>
    <w:rsid w:val="00053C41"/>
    <w:rsid w:val="00054332"/>
    <w:rsid w:val="000543D2"/>
    <w:rsid w:val="0005610C"/>
    <w:rsid w:val="00060E1C"/>
    <w:rsid w:val="000610B2"/>
    <w:rsid w:val="000613EC"/>
    <w:rsid w:val="000619FE"/>
    <w:rsid w:val="00062627"/>
    <w:rsid w:val="00063BD7"/>
    <w:rsid w:val="00064743"/>
    <w:rsid w:val="00065A5D"/>
    <w:rsid w:val="00066014"/>
    <w:rsid w:val="00066160"/>
    <w:rsid w:val="000665FF"/>
    <w:rsid w:val="00066AA4"/>
    <w:rsid w:val="00066B02"/>
    <w:rsid w:val="000678D6"/>
    <w:rsid w:val="00070424"/>
    <w:rsid w:val="000759EB"/>
    <w:rsid w:val="00075C43"/>
    <w:rsid w:val="00077BC4"/>
    <w:rsid w:val="00080299"/>
    <w:rsid w:val="00080889"/>
    <w:rsid w:val="00081A87"/>
    <w:rsid w:val="00081CC1"/>
    <w:rsid w:val="0008235C"/>
    <w:rsid w:val="00082780"/>
    <w:rsid w:val="000831C3"/>
    <w:rsid w:val="00084A31"/>
    <w:rsid w:val="00084E6E"/>
    <w:rsid w:val="00084F3B"/>
    <w:rsid w:val="00085746"/>
    <w:rsid w:val="00085D38"/>
    <w:rsid w:val="0008669E"/>
    <w:rsid w:val="00086815"/>
    <w:rsid w:val="0008694E"/>
    <w:rsid w:val="00087387"/>
    <w:rsid w:val="000875D2"/>
    <w:rsid w:val="00087C38"/>
    <w:rsid w:val="00090128"/>
    <w:rsid w:val="00090EBE"/>
    <w:rsid w:val="00091694"/>
    <w:rsid w:val="00091912"/>
    <w:rsid w:val="00091E10"/>
    <w:rsid w:val="00092E60"/>
    <w:rsid w:val="000939A5"/>
    <w:rsid w:val="00094902"/>
    <w:rsid w:val="00095C63"/>
    <w:rsid w:val="00097348"/>
    <w:rsid w:val="000A011D"/>
    <w:rsid w:val="000A045E"/>
    <w:rsid w:val="000A091A"/>
    <w:rsid w:val="000A0B5E"/>
    <w:rsid w:val="000A1A09"/>
    <w:rsid w:val="000A2E93"/>
    <w:rsid w:val="000A300F"/>
    <w:rsid w:val="000A3BD8"/>
    <w:rsid w:val="000A3D74"/>
    <w:rsid w:val="000A4855"/>
    <w:rsid w:val="000A5389"/>
    <w:rsid w:val="000A57B9"/>
    <w:rsid w:val="000A5CC0"/>
    <w:rsid w:val="000A6FD8"/>
    <w:rsid w:val="000B03D7"/>
    <w:rsid w:val="000B1A8D"/>
    <w:rsid w:val="000B1ED0"/>
    <w:rsid w:val="000B393D"/>
    <w:rsid w:val="000B5BF1"/>
    <w:rsid w:val="000B60C9"/>
    <w:rsid w:val="000B7E1C"/>
    <w:rsid w:val="000C1627"/>
    <w:rsid w:val="000C1E17"/>
    <w:rsid w:val="000C1F7A"/>
    <w:rsid w:val="000C41E9"/>
    <w:rsid w:val="000C58A0"/>
    <w:rsid w:val="000C5E6E"/>
    <w:rsid w:val="000C6616"/>
    <w:rsid w:val="000C6F93"/>
    <w:rsid w:val="000C7280"/>
    <w:rsid w:val="000C7BEA"/>
    <w:rsid w:val="000C7FF0"/>
    <w:rsid w:val="000D104D"/>
    <w:rsid w:val="000D1561"/>
    <w:rsid w:val="000D1ECD"/>
    <w:rsid w:val="000D1F49"/>
    <w:rsid w:val="000D2710"/>
    <w:rsid w:val="000D36F8"/>
    <w:rsid w:val="000D3CD2"/>
    <w:rsid w:val="000D6E15"/>
    <w:rsid w:val="000D764F"/>
    <w:rsid w:val="000D77FE"/>
    <w:rsid w:val="000D7C87"/>
    <w:rsid w:val="000E01C5"/>
    <w:rsid w:val="000E04A1"/>
    <w:rsid w:val="000E058C"/>
    <w:rsid w:val="000E18F0"/>
    <w:rsid w:val="000E1F96"/>
    <w:rsid w:val="000E2B18"/>
    <w:rsid w:val="000E421E"/>
    <w:rsid w:val="000E6D78"/>
    <w:rsid w:val="000F129F"/>
    <w:rsid w:val="000F1571"/>
    <w:rsid w:val="000F1A19"/>
    <w:rsid w:val="000F2A0A"/>
    <w:rsid w:val="000F2C5D"/>
    <w:rsid w:val="000F320A"/>
    <w:rsid w:val="000F6641"/>
    <w:rsid w:val="000F76C0"/>
    <w:rsid w:val="00100B70"/>
    <w:rsid w:val="00100E9C"/>
    <w:rsid w:val="00101125"/>
    <w:rsid w:val="00101467"/>
    <w:rsid w:val="00101D55"/>
    <w:rsid w:val="00103C3D"/>
    <w:rsid w:val="00103EF9"/>
    <w:rsid w:val="00105BEC"/>
    <w:rsid w:val="0010692D"/>
    <w:rsid w:val="00107959"/>
    <w:rsid w:val="001118A4"/>
    <w:rsid w:val="00111E6B"/>
    <w:rsid w:val="00113E6D"/>
    <w:rsid w:val="00114215"/>
    <w:rsid w:val="001149B7"/>
    <w:rsid w:val="001151A4"/>
    <w:rsid w:val="00115FBD"/>
    <w:rsid w:val="001166A0"/>
    <w:rsid w:val="0011787A"/>
    <w:rsid w:val="00121EC1"/>
    <w:rsid w:val="001235C7"/>
    <w:rsid w:val="001240D9"/>
    <w:rsid w:val="0012504F"/>
    <w:rsid w:val="00125820"/>
    <w:rsid w:val="00125D66"/>
    <w:rsid w:val="00127732"/>
    <w:rsid w:val="00127A10"/>
    <w:rsid w:val="00127E6B"/>
    <w:rsid w:val="00130969"/>
    <w:rsid w:val="00131071"/>
    <w:rsid w:val="00131449"/>
    <w:rsid w:val="0013186C"/>
    <w:rsid w:val="00132C91"/>
    <w:rsid w:val="00134310"/>
    <w:rsid w:val="001357E9"/>
    <w:rsid w:val="00136EFE"/>
    <w:rsid w:val="00137097"/>
    <w:rsid w:val="00137CE1"/>
    <w:rsid w:val="00140048"/>
    <w:rsid w:val="001406C7"/>
    <w:rsid w:val="001418C7"/>
    <w:rsid w:val="00141911"/>
    <w:rsid w:val="00141F55"/>
    <w:rsid w:val="00142072"/>
    <w:rsid w:val="00142C5E"/>
    <w:rsid w:val="00142F2B"/>
    <w:rsid w:val="0014387B"/>
    <w:rsid w:val="001451C3"/>
    <w:rsid w:val="00145A15"/>
    <w:rsid w:val="00145A9D"/>
    <w:rsid w:val="00145AC1"/>
    <w:rsid w:val="00146CA9"/>
    <w:rsid w:val="00146F86"/>
    <w:rsid w:val="001476D1"/>
    <w:rsid w:val="00150D3F"/>
    <w:rsid w:val="00151C96"/>
    <w:rsid w:val="00152577"/>
    <w:rsid w:val="001526D2"/>
    <w:rsid w:val="001545D8"/>
    <w:rsid w:val="00154BD8"/>
    <w:rsid w:val="001552AF"/>
    <w:rsid w:val="001567A3"/>
    <w:rsid w:val="00157135"/>
    <w:rsid w:val="00161109"/>
    <w:rsid w:val="001614D9"/>
    <w:rsid w:val="00161DBC"/>
    <w:rsid w:val="00162740"/>
    <w:rsid w:val="0016396E"/>
    <w:rsid w:val="001646AD"/>
    <w:rsid w:val="00164E06"/>
    <w:rsid w:val="0016640E"/>
    <w:rsid w:val="001679BB"/>
    <w:rsid w:val="0017035C"/>
    <w:rsid w:val="001708FA"/>
    <w:rsid w:val="00171058"/>
    <w:rsid w:val="0017159A"/>
    <w:rsid w:val="00171CEB"/>
    <w:rsid w:val="001727BA"/>
    <w:rsid w:val="00173799"/>
    <w:rsid w:val="00174514"/>
    <w:rsid w:val="00174D08"/>
    <w:rsid w:val="0017580B"/>
    <w:rsid w:val="00175CE3"/>
    <w:rsid w:val="0017778D"/>
    <w:rsid w:val="00180EE3"/>
    <w:rsid w:val="001823DF"/>
    <w:rsid w:val="00182BF8"/>
    <w:rsid w:val="00182F27"/>
    <w:rsid w:val="00183159"/>
    <w:rsid w:val="001839CB"/>
    <w:rsid w:val="00184719"/>
    <w:rsid w:val="00185E40"/>
    <w:rsid w:val="0018681E"/>
    <w:rsid w:val="0018696B"/>
    <w:rsid w:val="001878FF"/>
    <w:rsid w:val="00187A0A"/>
    <w:rsid w:val="00187E1F"/>
    <w:rsid w:val="001902E5"/>
    <w:rsid w:val="00191ACD"/>
    <w:rsid w:val="00192BA7"/>
    <w:rsid w:val="001931C8"/>
    <w:rsid w:val="001942E0"/>
    <w:rsid w:val="001949AA"/>
    <w:rsid w:val="00195632"/>
    <w:rsid w:val="00195907"/>
    <w:rsid w:val="00195961"/>
    <w:rsid w:val="00196721"/>
    <w:rsid w:val="00196729"/>
    <w:rsid w:val="00196AFE"/>
    <w:rsid w:val="0019711B"/>
    <w:rsid w:val="001A05DE"/>
    <w:rsid w:val="001A0C5C"/>
    <w:rsid w:val="001A0EC8"/>
    <w:rsid w:val="001A1604"/>
    <w:rsid w:val="001A317A"/>
    <w:rsid w:val="001A33E2"/>
    <w:rsid w:val="001A3D08"/>
    <w:rsid w:val="001A3FFE"/>
    <w:rsid w:val="001A44C4"/>
    <w:rsid w:val="001A4CF3"/>
    <w:rsid w:val="001A5FAD"/>
    <w:rsid w:val="001A64E2"/>
    <w:rsid w:val="001A6634"/>
    <w:rsid w:val="001A6BAC"/>
    <w:rsid w:val="001A752A"/>
    <w:rsid w:val="001A771F"/>
    <w:rsid w:val="001B0064"/>
    <w:rsid w:val="001B3367"/>
    <w:rsid w:val="001B4ACA"/>
    <w:rsid w:val="001B5013"/>
    <w:rsid w:val="001B5A05"/>
    <w:rsid w:val="001B650E"/>
    <w:rsid w:val="001B72C3"/>
    <w:rsid w:val="001B7B56"/>
    <w:rsid w:val="001B7C64"/>
    <w:rsid w:val="001C0544"/>
    <w:rsid w:val="001C060A"/>
    <w:rsid w:val="001C0D2F"/>
    <w:rsid w:val="001C21E5"/>
    <w:rsid w:val="001C359F"/>
    <w:rsid w:val="001C3840"/>
    <w:rsid w:val="001C476B"/>
    <w:rsid w:val="001C50FD"/>
    <w:rsid w:val="001C6501"/>
    <w:rsid w:val="001C723D"/>
    <w:rsid w:val="001C7840"/>
    <w:rsid w:val="001C7C82"/>
    <w:rsid w:val="001D00EA"/>
    <w:rsid w:val="001D094C"/>
    <w:rsid w:val="001D0D73"/>
    <w:rsid w:val="001D0D8E"/>
    <w:rsid w:val="001D3BA4"/>
    <w:rsid w:val="001D3CA7"/>
    <w:rsid w:val="001D4515"/>
    <w:rsid w:val="001D4C9D"/>
    <w:rsid w:val="001D4FDA"/>
    <w:rsid w:val="001D6BCC"/>
    <w:rsid w:val="001D6EF9"/>
    <w:rsid w:val="001D70B6"/>
    <w:rsid w:val="001D7795"/>
    <w:rsid w:val="001E01AC"/>
    <w:rsid w:val="001E0C7B"/>
    <w:rsid w:val="001E1448"/>
    <w:rsid w:val="001E22C3"/>
    <w:rsid w:val="001E28D3"/>
    <w:rsid w:val="001E325E"/>
    <w:rsid w:val="001E476B"/>
    <w:rsid w:val="001E53A9"/>
    <w:rsid w:val="001E5485"/>
    <w:rsid w:val="001E5ED1"/>
    <w:rsid w:val="001E7520"/>
    <w:rsid w:val="001E7B8F"/>
    <w:rsid w:val="001F0D17"/>
    <w:rsid w:val="001F2C84"/>
    <w:rsid w:val="001F2E7C"/>
    <w:rsid w:val="001F3B3A"/>
    <w:rsid w:val="001F3DF4"/>
    <w:rsid w:val="001F5813"/>
    <w:rsid w:val="001F6328"/>
    <w:rsid w:val="001F718C"/>
    <w:rsid w:val="001F751E"/>
    <w:rsid w:val="001F77D8"/>
    <w:rsid w:val="00200101"/>
    <w:rsid w:val="002008A8"/>
    <w:rsid w:val="00201FF9"/>
    <w:rsid w:val="0020222E"/>
    <w:rsid w:val="00202715"/>
    <w:rsid w:val="00202AB8"/>
    <w:rsid w:val="00205671"/>
    <w:rsid w:val="00205C2E"/>
    <w:rsid w:val="00206C26"/>
    <w:rsid w:val="00207D85"/>
    <w:rsid w:val="00210552"/>
    <w:rsid w:val="00210B69"/>
    <w:rsid w:val="0021199A"/>
    <w:rsid w:val="00211BD1"/>
    <w:rsid w:val="00214942"/>
    <w:rsid w:val="0021494E"/>
    <w:rsid w:val="00214D60"/>
    <w:rsid w:val="00216343"/>
    <w:rsid w:val="0021634B"/>
    <w:rsid w:val="00216D55"/>
    <w:rsid w:val="0021710E"/>
    <w:rsid w:val="00221820"/>
    <w:rsid w:val="0022276B"/>
    <w:rsid w:val="00223D8E"/>
    <w:rsid w:val="00225297"/>
    <w:rsid w:val="0022633B"/>
    <w:rsid w:val="00227259"/>
    <w:rsid w:val="002277CD"/>
    <w:rsid w:val="0022783A"/>
    <w:rsid w:val="00230167"/>
    <w:rsid w:val="00230921"/>
    <w:rsid w:val="002318B8"/>
    <w:rsid w:val="00231C2E"/>
    <w:rsid w:val="00232705"/>
    <w:rsid w:val="002328C4"/>
    <w:rsid w:val="00233360"/>
    <w:rsid w:val="00233633"/>
    <w:rsid w:val="002342BC"/>
    <w:rsid w:val="00234889"/>
    <w:rsid w:val="0023491B"/>
    <w:rsid w:val="00235453"/>
    <w:rsid w:val="00236490"/>
    <w:rsid w:val="00236794"/>
    <w:rsid w:val="002378AC"/>
    <w:rsid w:val="00240AF2"/>
    <w:rsid w:val="002412C8"/>
    <w:rsid w:val="00242872"/>
    <w:rsid w:val="0024348B"/>
    <w:rsid w:val="00243957"/>
    <w:rsid w:val="00245405"/>
    <w:rsid w:val="002467D4"/>
    <w:rsid w:val="00246BF6"/>
    <w:rsid w:val="00247003"/>
    <w:rsid w:val="00247B6D"/>
    <w:rsid w:val="00247EE1"/>
    <w:rsid w:val="00250021"/>
    <w:rsid w:val="00251ECA"/>
    <w:rsid w:val="00253DAC"/>
    <w:rsid w:val="00255885"/>
    <w:rsid w:val="00256CE0"/>
    <w:rsid w:val="002575D4"/>
    <w:rsid w:val="00262104"/>
    <w:rsid w:val="002628B7"/>
    <w:rsid w:val="00264417"/>
    <w:rsid w:val="00264E2A"/>
    <w:rsid w:val="002650A4"/>
    <w:rsid w:val="0026518E"/>
    <w:rsid w:val="0026601F"/>
    <w:rsid w:val="002676E6"/>
    <w:rsid w:val="0027144B"/>
    <w:rsid w:val="00271A3F"/>
    <w:rsid w:val="00274914"/>
    <w:rsid w:val="00275039"/>
    <w:rsid w:val="002760C3"/>
    <w:rsid w:val="002777EF"/>
    <w:rsid w:val="00277B17"/>
    <w:rsid w:val="00280541"/>
    <w:rsid w:val="00281499"/>
    <w:rsid w:val="00282391"/>
    <w:rsid w:val="00282EB0"/>
    <w:rsid w:val="002843C9"/>
    <w:rsid w:val="002855C7"/>
    <w:rsid w:val="0028732B"/>
    <w:rsid w:val="0028784C"/>
    <w:rsid w:val="002900C6"/>
    <w:rsid w:val="00290DC0"/>
    <w:rsid w:val="00291156"/>
    <w:rsid w:val="00292AB6"/>
    <w:rsid w:val="002939B5"/>
    <w:rsid w:val="00293A75"/>
    <w:rsid w:val="00293CA6"/>
    <w:rsid w:val="002940DE"/>
    <w:rsid w:val="00294E65"/>
    <w:rsid w:val="00295F06"/>
    <w:rsid w:val="00296B5E"/>
    <w:rsid w:val="00296BBA"/>
    <w:rsid w:val="00296C11"/>
    <w:rsid w:val="00296D73"/>
    <w:rsid w:val="0029734A"/>
    <w:rsid w:val="002A1EC8"/>
    <w:rsid w:val="002A27CF"/>
    <w:rsid w:val="002A2BCE"/>
    <w:rsid w:val="002A376E"/>
    <w:rsid w:val="002A5384"/>
    <w:rsid w:val="002A682D"/>
    <w:rsid w:val="002B0D04"/>
    <w:rsid w:val="002B0E8B"/>
    <w:rsid w:val="002B1C4D"/>
    <w:rsid w:val="002B1CE8"/>
    <w:rsid w:val="002B2000"/>
    <w:rsid w:val="002B30B7"/>
    <w:rsid w:val="002B3676"/>
    <w:rsid w:val="002B4592"/>
    <w:rsid w:val="002B504E"/>
    <w:rsid w:val="002B556C"/>
    <w:rsid w:val="002C00CC"/>
    <w:rsid w:val="002C0956"/>
    <w:rsid w:val="002C0BF4"/>
    <w:rsid w:val="002C288D"/>
    <w:rsid w:val="002C2F81"/>
    <w:rsid w:val="002C4C48"/>
    <w:rsid w:val="002C574E"/>
    <w:rsid w:val="002C6B90"/>
    <w:rsid w:val="002C70A7"/>
    <w:rsid w:val="002D0581"/>
    <w:rsid w:val="002D0B17"/>
    <w:rsid w:val="002D1981"/>
    <w:rsid w:val="002D1F4F"/>
    <w:rsid w:val="002D4E7A"/>
    <w:rsid w:val="002D587F"/>
    <w:rsid w:val="002D5C06"/>
    <w:rsid w:val="002D5C94"/>
    <w:rsid w:val="002D7112"/>
    <w:rsid w:val="002E0197"/>
    <w:rsid w:val="002E0417"/>
    <w:rsid w:val="002E1C69"/>
    <w:rsid w:val="002E2EE4"/>
    <w:rsid w:val="002E2FB9"/>
    <w:rsid w:val="002E4286"/>
    <w:rsid w:val="002E44E2"/>
    <w:rsid w:val="002E50C2"/>
    <w:rsid w:val="002E5BBE"/>
    <w:rsid w:val="002E5F83"/>
    <w:rsid w:val="002E6F9C"/>
    <w:rsid w:val="002E7026"/>
    <w:rsid w:val="002E757B"/>
    <w:rsid w:val="002E7A4A"/>
    <w:rsid w:val="002F0262"/>
    <w:rsid w:val="002F24E4"/>
    <w:rsid w:val="002F2608"/>
    <w:rsid w:val="002F420B"/>
    <w:rsid w:val="002F42A4"/>
    <w:rsid w:val="002F492F"/>
    <w:rsid w:val="002F5347"/>
    <w:rsid w:val="002F5F03"/>
    <w:rsid w:val="002F735F"/>
    <w:rsid w:val="00301C6C"/>
    <w:rsid w:val="00301CDF"/>
    <w:rsid w:val="00301E65"/>
    <w:rsid w:val="00302BBE"/>
    <w:rsid w:val="00303215"/>
    <w:rsid w:val="003045F5"/>
    <w:rsid w:val="00304644"/>
    <w:rsid w:val="00304C6F"/>
    <w:rsid w:val="00306413"/>
    <w:rsid w:val="003065B1"/>
    <w:rsid w:val="0031160A"/>
    <w:rsid w:val="00311CB1"/>
    <w:rsid w:val="00312ED8"/>
    <w:rsid w:val="003133B4"/>
    <w:rsid w:val="00313ED0"/>
    <w:rsid w:val="003141E7"/>
    <w:rsid w:val="003146E1"/>
    <w:rsid w:val="00314720"/>
    <w:rsid w:val="00315419"/>
    <w:rsid w:val="0031574B"/>
    <w:rsid w:val="00315A3C"/>
    <w:rsid w:val="00315E88"/>
    <w:rsid w:val="00317C52"/>
    <w:rsid w:val="00320B34"/>
    <w:rsid w:val="00321FE3"/>
    <w:rsid w:val="00324B36"/>
    <w:rsid w:val="003256C8"/>
    <w:rsid w:val="00326804"/>
    <w:rsid w:val="00326F67"/>
    <w:rsid w:val="00327BD9"/>
    <w:rsid w:val="00327E07"/>
    <w:rsid w:val="0033028C"/>
    <w:rsid w:val="00330932"/>
    <w:rsid w:val="0033124A"/>
    <w:rsid w:val="00331806"/>
    <w:rsid w:val="00331BB9"/>
    <w:rsid w:val="003323AD"/>
    <w:rsid w:val="00332F61"/>
    <w:rsid w:val="0033399A"/>
    <w:rsid w:val="00334483"/>
    <w:rsid w:val="003362EB"/>
    <w:rsid w:val="00336BB0"/>
    <w:rsid w:val="0033703B"/>
    <w:rsid w:val="0033729C"/>
    <w:rsid w:val="00337B9E"/>
    <w:rsid w:val="00337E8B"/>
    <w:rsid w:val="0034081F"/>
    <w:rsid w:val="0034107F"/>
    <w:rsid w:val="00341AF9"/>
    <w:rsid w:val="00342718"/>
    <w:rsid w:val="00344236"/>
    <w:rsid w:val="00344303"/>
    <w:rsid w:val="003451B8"/>
    <w:rsid w:val="003457C4"/>
    <w:rsid w:val="00345F7F"/>
    <w:rsid w:val="003462FA"/>
    <w:rsid w:val="003469C0"/>
    <w:rsid w:val="00346DF7"/>
    <w:rsid w:val="00347DA2"/>
    <w:rsid w:val="00351780"/>
    <w:rsid w:val="00351820"/>
    <w:rsid w:val="00352D0A"/>
    <w:rsid w:val="0035396A"/>
    <w:rsid w:val="00354F0D"/>
    <w:rsid w:val="00355418"/>
    <w:rsid w:val="00355948"/>
    <w:rsid w:val="00355CED"/>
    <w:rsid w:val="00357089"/>
    <w:rsid w:val="00357449"/>
    <w:rsid w:val="00360DDB"/>
    <w:rsid w:val="00361304"/>
    <w:rsid w:val="00361794"/>
    <w:rsid w:val="00361E93"/>
    <w:rsid w:val="003626C9"/>
    <w:rsid w:val="00363968"/>
    <w:rsid w:val="00363F8A"/>
    <w:rsid w:val="00364411"/>
    <w:rsid w:val="003646D1"/>
    <w:rsid w:val="00364E0D"/>
    <w:rsid w:val="003654CB"/>
    <w:rsid w:val="00365AAB"/>
    <w:rsid w:val="00365B96"/>
    <w:rsid w:val="00366211"/>
    <w:rsid w:val="00366503"/>
    <w:rsid w:val="00366F2F"/>
    <w:rsid w:val="00370C6E"/>
    <w:rsid w:val="00372006"/>
    <w:rsid w:val="00372C87"/>
    <w:rsid w:val="00372DDB"/>
    <w:rsid w:val="00373BB0"/>
    <w:rsid w:val="003755A3"/>
    <w:rsid w:val="0037767A"/>
    <w:rsid w:val="00382193"/>
    <w:rsid w:val="00382500"/>
    <w:rsid w:val="0038261D"/>
    <w:rsid w:val="00383855"/>
    <w:rsid w:val="00384F1D"/>
    <w:rsid w:val="0038508B"/>
    <w:rsid w:val="003856BF"/>
    <w:rsid w:val="00385E5A"/>
    <w:rsid w:val="003867B7"/>
    <w:rsid w:val="00386D98"/>
    <w:rsid w:val="003870DA"/>
    <w:rsid w:val="003875AA"/>
    <w:rsid w:val="00390280"/>
    <w:rsid w:val="00390655"/>
    <w:rsid w:val="00390877"/>
    <w:rsid w:val="00390A67"/>
    <w:rsid w:val="00391257"/>
    <w:rsid w:val="00391444"/>
    <w:rsid w:val="003919D5"/>
    <w:rsid w:val="0039209A"/>
    <w:rsid w:val="003925B5"/>
    <w:rsid w:val="00392D61"/>
    <w:rsid w:val="00394AEC"/>
    <w:rsid w:val="00394DD8"/>
    <w:rsid w:val="00394F1D"/>
    <w:rsid w:val="00397AC8"/>
    <w:rsid w:val="003A195F"/>
    <w:rsid w:val="003A2E64"/>
    <w:rsid w:val="003A33C8"/>
    <w:rsid w:val="003A33CC"/>
    <w:rsid w:val="003A5022"/>
    <w:rsid w:val="003A53AE"/>
    <w:rsid w:val="003A6238"/>
    <w:rsid w:val="003A756D"/>
    <w:rsid w:val="003B0044"/>
    <w:rsid w:val="003B0146"/>
    <w:rsid w:val="003B01D5"/>
    <w:rsid w:val="003B088E"/>
    <w:rsid w:val="003B2B15"/>
    <w:rsid w:val="003B30EC"/>
    <w:rsid w:val="003B319E"/>
    <w:rsid w:val="003B3DB9"/>
    <w:rsid w:val="003B4651"/>
    <w:rsid w:val="003B5966"/>
    <w:rsid w:val="003B6530"/>
    <w:rsid w:val="003B78E8"/>
    <w:rsid w:val="003B7E06"/>
    <w:rsid w:val="003C0798"/>
    <w:rsid w:val="003C0DB8"/>
    <w:rsid w:val="003C1036"/>
    <w:rsid w:val="003C1CEB"/>
    <w:rsid w:val="003C1DEB"/>
    <w:rsid w:val="003C243C"/>
    <w:rsid w:val="003C2D3B"/>
    <w:rsid w:val="003C2DD8"/>
    <w:rsid w:val="003C30CE"/>
    <w:rsid w:val="003C3545"/>
    <w:rsid w:val="003C38D4"/>
    <w:rsid w:val="003C3DE4"/>
    <w:rsid w:val="003C4344"/>
    <w:rsid w:val="003C47ED"/>
    <w:rsid w:val="003C5528"/>
    <w:rsid w:val="003C5EEC"/>
    <w:rsid w:val="003D16F0"/>
    <w:rsid w:val="003D2206"/>
    <w:rsid w:val="003D2AB7"/>
    <w:rsid w:val="003D3EBB"/>
    <w:rsid w:val="003D3FAF"/>
    <w:rsid w:val="003D407C"/>
    <w:rsid w:val="003D451E"/>
    <w:rsid w:val="003D526E"/>
    <w:rsid w:val="003D56FE"/>
    <w:rsid w:val="003D6782"/>
    <w:rsid w:val="003D6D3A"/>
    <w:rsid w:val="003D78D6"/>
    <w:rsid w:val="003E068D"/>
    <w:rsid w:val="003E10A0"/>
    <w:rsid w:val="003E1FFE"/>
    <w:rsid w:val="003E310E"/>
    <w:rsid w:val="003E4F77"/>
    <w:rsid w:val="003E5E69"/>
    <w:rsid w:val="003E658C"/>
    <w:rsid w:val="003E67AE"/>
    <w:rsid w:val="003E7869"/>
    <w:rsid w:val="003E7AFA"/>
    <w:rsid w:val="003F190F"/>
    <w:rsid w:val="003F1B4A"/>
    <w:rsid w:val="003F1D01"/>
    <w:rsid w:val="003F1FE2"/>
    <w:rsid w:val="003F2112"/>
    <w:rsid w:val="003F22C6"/>
    <w:rsid w:val="003F3BE2"/>
    <w:rsid w:val="003F492B"/>
    <w:rsid w:val="003F4AA2"/>
    <w:rsid w:val="003F4B2A"/>
    <w:rsid w:val="003F5372"/>
    <w:rsid w:val="003F6380"/>
    <w:rsid w:val="003F696F"/>
    <w:rsid w:val="003F6E6E"/>
    <w:rsid w:val="003F73B8"/>
    <w:rsid w:val="003F7E01"/>
    <w:rsid w:val="00400619"/>
    <w:rsid w:val="004011FB"/>
    <w:rsid w:val="00401C42"/>
    <w:rsid w:val="00402872"/>
    <w:rsid w:val="00402A6B"/>
    <w:rsid w:val="00405577"/>
    <w:rsid w:val="00405912"/>
    <w:rsid w:val="00406960"/>
    <w:rsid w:val="004076D1"/>
    <w:rsid w:val="00407A5F"/>
    <w:rsid w:val="00407A8D"/>
    <w:rsid w:val="00407E68"/>
    <w:rsid w:val="00407FD0"/>
    <w:rsid w:val="0041023B"/>
    <w:rsid w:val="0041089C"/>
    <w:rsid w:val="004131BA"/>
    <w:rsid w:val="00413721"/>
    <w:rsid w:val="004151D5"/>
    <w:rsid w:val="004154D0"/>
    <w:rsid w:val="00415CE0"/>
    <w:rsid w:val="00416A9E"/>
    <w:rsid w:val="00417113"/>
    <w:rsid w:val="004209A1"/>
    <w:rsid w:val="00422AB5"/>
    <w:rsid w:val="004231C6"/>
    <w:rsid w:val="004243B5"/>
    <w:rsid w:val="004243EB"/>
    <w:rsid w:val="00424A79"/>
    <w:rsid w:val="0042598F"/>
    <w:rsid w:val="004259AE"/>
    <w:rsid w:val="0042612F"/>
    <w:rsid w:val="00426E89"/>
    <w:rsid w:val="00426F81"/>
    <w:rsid w:val="0042733E"/>
    <w:rsid w:val="00427CAE"/>
    <w:rsid w:val="00430706"/>
    <w:rsid w:val="00430F7D"/>
    <w:rsid w:val="00432A19"/>
    <w:rsid w:val="00432D18"/>
    <w:rsid w:val="00432F6F"/>
    <w:rsid w:val="00433B75"/>
    <w:rsid w:val="00433CA1"/>
    <w:rsid w:val="00433FC7"/>
    <w:rsid w:val="0043477D"/>
    <w:rsid w:val="00437B85"/>
    <w:rsid w:val="00440117"/>
    <w:rsid w:val="00441684"/>
    <w:rsid w:val="00441D6B"/>
    <w:rsid w:val="00442D12"/>
    <w:rsid w:val="00442F07"/>
    <w:rsid w:val="0044360C"/>
    <w:rsid w:val="004438B5"/>
    <w:rsid w:val="00445B05"/>
    <w:rsid w:val="00445B53"/>
    <w:rsid w:val="0044634F"/>
    <w:rsid w:val="004466DB"/>
    <w:rsid w:val="00446CDB"/>
    <w:rsid w:val="00447522"/>
    <w:rsid w:val="00447F65"/>
    <w:rsid w:val="00450BF9"/>
    <w:rsid w:val="00450FAE"/>
    <w:rsid w:val="00450FC9"/>
    <w:rsid w:val="00451C9A"/>
    <w:rsid w:val="0045518D"/>
    <w:rsid w:val="00455D0E"/>
    <w:rsid w:val="00456050"/>
    <w:rsid w:val="0045619F"/>
    <w:rsid w:val="00456B87"/>
    <w:rsid w:val="00457795"/>
    <w:rsid w:val="00461221"/>
    <w:rsid w:val="00462529"/>
    <w:rsid w:val="00462CF1"/>
    <w:rsid w:val="00463D2B"/>
    <w:rsid w:val="0046451D"/>
    <w:rsid w:val="00465533"/>
    <w:rsid w:val="00465964"/>
    <w:rsid w:val="00465D45"/>
    <w:rsid w:val="00465E10"/>
    <w:rsid w:val="004669D7"/>
    <w:rsid w:val="00466C67"/>
    <w:rsid w:val="00467394"/>
    <w:rsid w:val="0046772E"/>
    <w:rsid w:val="00470AD3"/>
    <w:rsid w:val="00470CA3"/>
    <w:rsid w:val="00471F0B"/>
    <w:rsid w:val="004720BF"/>
    <w:rsid w:val="00473520"/>
    <w:rsid w:val="00474670"/>
    <w:rsid w:val="00475A97"/>
    <w:rsid w:val="004763C5"/>
    <w:rsid w:val="0047649F"/>
    <w:rsid w:val="004767BF"/>
    <w:rsid w:val="00476C4B"/>
    <w:rsid w:val="00476EFF"/>
    <w:rsid w:val="0047749A"/>
    <w:rsid w:val="004775C5"/>
    <w:rsid w:val="00480384"/>
    <w:rsid w:val="004806DC"/>
    <w:rsid w:val="00480B26"/>
    <w:rsid w:val="004813FC"/>
    <w:rsid w:val="00481F88"/>
    <w:rsid w:val="004831A0"/>
    <w:rsid w:val="00484A22"/>
    <w:rsid w:val="00484D66"/>
    <w:rsid w:val="00484F55"/>
    <w:rsid w:val="00486B99"/>
    <w:rsid w:val="00490212"/>
    <w:rsid w:val="0049126A"/>
    <w:rsid w:val="00491449"/>
    <w:rsid w:val="004924CE"/>
    <w:rsid w:val="004933F5"/>
    <w:rsid w:val="0049431F"/>
    <w:rsid w:val="00494774"/>
    <w:rsid w:val="00494C5B"/>
    <w:rsid w:val="004962A9"/>
    <w:rsid w:val="004A0F0D"/>
    <w:rsid w:val="004A0F44"/>
    <w:rsid w:val="004A19C6"/>
    <w:rsid w:val="004A2316"/>
    <w:rsid w:val="004A2F81"/>
    <w:rsid w:val="004A3459"/>
    <w:rsid w:val="004A5A9F"/>
    <w:rsid w:val="004A6A2B"/>
    <w:rsid w:val="004A6E7E"/>
    <w:rsid w:val="004A7130"/>
    <w:rsid w:val="004B07FF"/>
    <w:rsid w:val="004B091A"/>
    <w:rsid w:val="004B0FCE"/>
    <w:rsid w:val="004B234F"/>
    <w:rsid w:val="004B39B9"/>
    <w:rsid w:val="004B3A0F"/>
    <w:rsid w:val="004B4678"/>
    <w:rsid w:val="004B47A3"/>
    <w:rsid w:val="004B4B8F"/>
    <w:rsid w:val="004B4C67"/>
    <w:rsid w:val="004B4CE4"/>
    <w:rsid w:val="004B6ED4"/>
    <w:rsid w:val="004C10FA"/>
    <w:rsid w:val="004C16B6"/>
    <w:rsid w:val="004C27F5"/>
    <w:rsid w:val="004C2F2F"/>
    <w:rsid w:val="004C367B"/>
    <w:rsid w:val="004C3B2A"/>
    <w:rsid w:val="004C4742"/>
    <w:rsid w:val="004C4EA8"/>
    <w:rsid w:val="004C50BD"/>
    <w:rsid w:val="004C5CD7"/>
    <w:rsid w:val="004C61B2"/>
    <w:rsid w:val="004C62C5"/>
    <w:rsid w:val="004C6737"/>
    <w:rsid w:val="004C6AB4"/>
    <w:rsid w:val="004C704A"/>
    <w:rsid w:val="004C7623"/>
    <w:rsid w:val="004C780F"/>
    <w:rsid w:val="004D025F"/>
    <w:rsid w:val="004D0D17"/>
    <w:rsid w:val="004D29AD"/>
    <w:rsid w:val="004D2F3C"/>
    <w:rsid w:val="004D4CF0"/>
    <w:rsid w:val="004D5DCA"/>
    <w:rsid w:val="004D61B1"/>
    <w:rsid w:val="004D667D"/>
    <w:rsid w:val="004D6A3B"/>
    <w:rsid w:val="004D7644"/>
    <w:rsid w:val="004E1BC9"/>
    <w:rsid w:val="004E3767"/>
    <w:rsid w:val="004E3D84"/>
    <w:rsid w:val="004E3DE8"/>
    <w:rsid w:val="004E46C8"/>
    <w:rsid w:val="004E4D7D"/>
    <w:rsid w:val="004E562D"/>
    <w:rsid w:val="004E59E9"/>
    <w:rsid w:val="004E5B1A"/>
    <w:rsid w:val="004E6552"/>
    <w:rsid w:val="004E6B08"/>
    <w:rsid w:val="004E74FA"/>
    <w:rsid w:val="004E7A3E"/>
    <w:rsid w:val="004E7EF4"/>
    <w:rsid w:val="004F1BF3"/>
    <w:rsid w:val="004F1C0B"/>
    <w:rsid w:val="004F3AC8"/>
    <w:rsid w:val="004F48CA"/>
    <w:rsid w:val="004F540E"/>
    <w:rsid w:val="004F6620"/>
    <w:rsid w:val="004F667B"/>
    <w:rsid w:val="00502132"/>
    <w:rsid w:val="005022C6"/>
    <w:rsid w:val="00502CD8"/>
    <w:rsid w:val="00504483"/>
    <w:rsid w:val="005046A4"/>
    <w:rsid w:val="005046B7"/>
    <w:rsid w:val="00504FC5"/>
    <w:rsid w:val="0050552F"/>
    <w:rsid w:val="00507C5F"/>
    <w:rsid w:val="0051144F"/>
    <w:rsid w:val="005115EC"/>
    <w:rsid w:val="00511D5D"/>
    <w:rsid w:val="00513774"/>
    <w:rsid w:val="005138C8"/>
    <w:rsid w:val="00513EB2"/>
    <w:rsid w:val="00514122"/>
    <w:rsid w:val="00514EEB"/>
    <w:rsid w:val="00515BAB"/>
    <w:rsid w:val="005165E0"/>
    <w:rsid w:val="005167FF"/>
    <w:rsid w:val="0051743D"/>
    <w:rsid w:val="00520DC0"/>
    <w:rsid w:val="00521364"/>
    <w:rsid w:val="005213B4"/>
    <w:rsid w:val="00522A00"/>
    <w:rsid w:val="00523FD8"/>
    <w:rsid w:val="00525825"/>
    <w:rsid w:val="00526707"/>
    <w:rsid w:val="00527230"/>
    <w:rsid w:val="0052769A"/>
    <w:rsid w:val="00530F58"/>
    <w:rsid w:val="00531132"/>
    <w:rsid w:val="005313AD"/>
    <w:rsid w:val="00532228"/>
    <w:rsid w:val="0053449A"/>
    <w:rsid w:val="00534D19"/>
    <w:rsid w:val="00535DB2"/>
    <w:rsid w:val="00536348"/>
    <w:rsid w:val="0053719D"/>
    <w:rsid w:val="0054109B"/>
    <w:rsid w:val="00541370"/>
    <w:rsid w:val="00541E2B"/>
    <w:rsid w:val="005427A2"/>
    <w:rsid w:val="00542977"/>
    <w:rsid w:val="00544163"/>
    <w:rsid w:val="00544F8A"/>
    <w:rsid w:val="005455B8"/>
    <w:rsid w:val="005472F8"/>
    <w:rsid w:val="0054730A"/>
    <w:rsid w:val="005475BB"/>
    <w:rsid w:val="00553717"/>
    <w:rsid w:val="00553CA8"/>
    <w:rsid w:val="00553CD5"/>
    <w:rsid w:val="005548A0"/>
    <w:rsid w:val="005564D5"/>
    <w:rsid w:val="00556DEB"/>
    <w:rsid w:val="005570A3"/>
    <w:rsid w:val="005573B3"/>
    <w:rsid w:val="00557912"/>
    <w:rsid w:val="00560AD6"/>
    <w:rsid w:val="00560C51"/>
    <w:rsid w:val="00563484"/>
    <w:rsid w:val="00564706"/>
    <w:rsid w:val="00564B1A"/>
    <w:rsid w:val="00565012"/>
    <w:rsid w:val="005654F4"/>
    <w:rsid w:val="0056637B"/>
    <w:rsid w:val="00567C2F"/>
    <w:rsid w:val="00570248"/>
    <w:rsid w:val="005704BC"/>
    <w:rsid w:val="00570667"/>
    <w:rsid w:val="00571945"/>
    <w:rsid w:val="005726BC"/>
    <w:rsid w:val="00572D6C"/>
    <w:rsid w:val="00572E16"/>
    <w:rsid w:val="00572F24"/>
    <w:rsid w:val="00573871"/>
    <w:rsid w:val="0057420E"/>
    <w:rsid w:val="00574C51"/>
    <w:rsid w:val="0057556B"/>
    <w:rsid w:val="00575963"/>
    <w:rsid w:val="00577782"/>
    <w:rsid w:val="0057785B"/>
    <w:rsid w:val="0058000E"/>
    <w:rsid w:val="00581BC6"/>
    <w:rsid w:val="00581DE4"/>
    <w:rsid w:val="00581E5A"/>
    <w:rsid w:val="00581F44"/>
    <w:rsid w:val="00582303"/>
    <w:rsid w:val="0058270E"/>
    <w:rsid w:val="005827C9"/>
    <w:rsid w:val="00582EEB"/>
    <w:rsid w:val="005847FA"/>
    <w:rsid w:val="00585CEA"/>
    <w:rsid w:val="0058648E"/>
    <w:rsid w:val="0058658E"/>
    <w:rsid w:val="00587A56"/>
    <w:rsid w:val="00587F0E"/>
    <w:rsid w:val="00590642"/>
    <w:rsid w:val="00590C98"/>
    <w:rsid w:val="00592429"/>
    <w:rsid w:val="00594316"/>
    <w:rsid w:val="005963D1"/>
    <w:rsid w:val="0059695F"/>
    <w:rsid w:val="005977DF"/>
    <w:rsid w:val="005A054F"/>
    <w:rsid w:val="005A0C96"/>
    <w:rsid w:val="005A270C"/>
    <w:rsid w:val="005A2C79"/>
    <w:rsid w:val="005A329F"/>
    <w:rsid w:val="005A3D49"/>
    <w:rsid w:val="005A5A1D"/>
    <w:rsid w:val="005A6150"/>
    <w:rsid w:val="005A6DD1"/>
    <w:rsid w:val="005A7541"/>
    <w:rsid w:val="005A76B1"/>
    <w:rsid w:val="005B0650"/>
    <w:rsid w:val="005B0FBC"/>
    <w:rsid w:val="005B1287"/>
    <w:rsid w:val="005B1531"/>
    <w:rsid w:val="005B22D3"/>
    <w:rsid w:val="005B3793"/>
    <w:rsid w:val="005B5496"/>
    <w:rsid w:val="005C07F7"/>
    <w:rsid w:val="005C1EB0"/>
    <w:rsid w:val="005C22C3"/>
    <w:rsid w:val="005C27C9"/>
    <w:rsid w:val="005C3067"/>
    <w:rsid w:val="005C4E07"/>
    <w:rsid w:val="005C5890"/>
    <w:rsid w:val="005C62F9"/>
    <w:rsid w:val="005C6891"/>
    <w:rsid w:val="005C6DB5"/>
    <w:rsid w:val="005C6FFE"/>
    <w:rsid w:val="005C703D"/>
    <w:rsid w:val="005C778C"/>
    <w:rsid w:val="005C795C"/>
    <w:rsid w:val="005C7DDB"/>
    <w:rsid w:val="005D05AF"/>
    <w:rsid w:val="005D2CA4"/>
    <w:rsid w:val="005D3AAE"/>
    <w:rsid w:val="005D5248"/>
    <w:rsid w:val="005D54E1"/>
    <w:rsid w:val="005D5EA2"/>
    <w:rsid w:val="005E0BB3"/>
    <w:rsid w:val="005E194F"/>
    <w:rsid w:val="005E2584"/>
    <w:rsid w:val="005E3719"/>
    <w:rsid w:val="005E40E3"/>
    <w:rsid w:val="005E547D"/>
    <w:rsid w:val="005E575D"/>
    <w:rsid w:val="005E5F25"/>
    <w:rsid w:val="005F0406"/>
    <w:rsid w:val="005F157A"/>
    <w:rsid w:val="005F1BF3"/>
    <w:rsid w:val="005F1CCC"/>
    <w:rsid w:val="005F3918"/>
    <w:rsid w:val="005F435C"/>
    <w:rsid w:val="005F44EF"/>
    <w:rsid w:val="005F48D0"/>
    <w:rsid w:val="005F4D9D"/>
    <w:rsid w:val="005F5811"/>
    <w:rsid w:val="005F5877"/>
    <w:rsid w:val="005F5B07"/>
    <w:rsid w:val="005F5B89"/>
    <w:rsid w:val="005F6ECF"/>
    <w:rsid w:val="005F7677"/>
    <w:rsid w:val="00600258"/>
    <w:rsid w:val="00600970"/>
    <w:rsid w:val="00600DC9"/>
    <w:rsid w:val="00603D23"/>
    <w:rsid w:val="0060554C"/>
    <w:rsid w:val="00605B2B"/>
    <w:rsid w:val="006077A3"/>
    <w:rsid w:val="00607D26"/>
    <w:rsid w:val="00607F74"/>
    <w:rsid w:val="006100E3"/>
    <w:rsid w:val="00610AFD"/>
    <w:rsid w:val="00610CAB"/>
    <w:rsid w:val="00611FEC"/>
    <w:rsid w:val="00612F28"/>
    <w:rsid w:val="006130CC"/>
    <w:rsid w:val="006153E4"/>
    <w:rsid w:val="0061543F"/>
    <w:rsid w:val="0061545F"/>
    <w:rsid w:val="0061630A"/>
    <w:rsid w:val="00616CE2"/>
    <w:rsid w:val="00616F57"/>
    <w:rsid w:val="0061725A"/>
    <w:rsid w:val="00617483"/>
    <w:rsid w:val="00620296"/>
    <w:rsid w:val="006207EF"/>
    <w:rsid w:val="006208A3"/>
    <w:rsid w:val="00620C3D"/>
    <w:rsid w:val="00623512"/>
    <w:rsid w:val="006236A6"/>
    <w:rsid w:val="00623A9A"/>
    <w:rsid w:val="00623E95"/>
    <w:rsid w:val="006244BE"/>
    <w:rsid w:val="00624B9C"/>
    <w:rsid w:val="00624DD5"/>
    <w:rsid w:val="00624F4A"/>
    <w:rsid w:val="0062534A"/>
    <w:rsid w:val="00625365"/>
    <w:rsid w:val="00625597"/>
    <w:rsid w:val="00625CC4"/>
    <w:rsid w:val="00626233"/>
    <w:rsid w:val="0062637F"/>
    <w:rsid w:val="0062752E"/>
    <w:rsid w:val="006303EF"/>
    <w:rsid w:val="00630C10"/>
    <w:rsid w:val="006341FD"/>
    <w:rsid w:val="006346A1"/>
    <w:rsid w:val="006357C1"/>
    <w:rsid w:val="00636884"/>
    <w:rsid w:val="00636977"/>
    <w:rsid w:val="00636D9A"/>
    <w:rsid w:val="00636DDF"/>
    <w:rsid w:val="00637492"/>
    <w:rsid w:val="00637892"/>
    <w:rsid w:val="0064355C"/>
    <w:rsid w:val="0064457E"/>
    <w:rsid w:val="00645DBF"/>
    <w:rsid w:val="00645FE7"/>
    <w:rsid w:val="006460DB"/>
    <w:rsid w:val="00646859"/>
    <w:rsid w:val="00646C7F"/>
    <w:rsid w:val="00647179"/>
    <w:rsid w:val="00647EF3"/>
    <w:rsid w:val="00650216"/>
    <w:rsid w:val="00650B04"/>
    <w:rsid w:val="00650DAC"/>
    <w:rsid w:val="00650FA1"/>
    <w:rsid w:val="00651760"/>
    <w:rsid w:val="00652511"/>
    <w:rsid w:val="006525B7"/>
    <w:rsid w:val="00652A26"/>
    <w:rsid w:val="00656D04"/>
    <w:rsid w:val="0066043C"/>
    <w:rsid w:val="00660DDF"/>
    <w:rsid w:val="00661039"/>
    <w:rsid w:val="0066141B"/>
    <w:rsid w:val="00661F05"/>
    <w:rsid w:val="006642C3"/>
    <w:rsid w:val="0066544F"/>
    <w:rsid w:val="00665A9C"/>
    <w:rsid w:val="00665DB6"/>
    <w:rsid w:val="006662E0"/>
    <w:rsid w:val="00666DF1"/>
    <w:rsid w:val="00667F11"/>
    <w:rsid w:val="006704A7"/>
    <w:rsid w:val="00670891"/>
    <w:rsid w:val="00672AA5"/>
    <w:rsid w:val="00673971"/>
    <w:rsid w:val="00673DDD"/>
    <w:rsid w:val="006743B8"/>
    <w:rsid w:val="00674B93"/>
    <w:rsid w:val="0067526E"/>
    <w:rsid w:val="006754A7"/>
    <w:rsid w:val="00676FE1"/>
    <w:rsid w:val="006777BD"/>
    <w:rsid w:val="00677DA1"/>
    <w:rsid w:val="0068071E"/>
    <w:rsid w:val="0068162D"/>
    <w:rsid w:val="006817EE"/>
    <w:rsid w:val="006826CB"/>
    <w:rsid w:val="00682EEC"/>
    <w:rsid w:val="00683CEF"/>
    <w:rsid w:val="00686124"/>
    <w:rsid w:val="00686418"/>
    <w:rsid w:val="00687A81"/>
    <w:rsid w:val="00690969"/>
    <w:rsid w:val="00691413"/>
    <w:rsid w:val="00692963"/>
    <w:rsid w:val="0069441F"/>
    <w:rsid w:val="00695697"/>
    <w:rsid w:val="00695AA5"/>
    <w:rsid w:val="00697F73"/>
    <w:rsid w:val="006A1281"/>
    <w:rsid w:val="006A131D"/>
    <w:rsid w:val="006A2821"/>
    <w:rsid w:val="006A282C"/>
    <w:rsid w:val="006A2BF7"/>
    <w:rsid w:val="006A32C4"/>
    <w:rsid w:val="006A608D"/>
    <w:rsid w:val="006A61E7"/>
    <w:rsid w:val="006A68E8"/>
    <w:rsid w:val="006A6C65"/>
    <w:rsid w:val="006A7E2C"/>
    <w:rsid w:val="006B09A7"/>
    <w:rsid w:val="006B0A1B"/>
    <w:rsid w:val="006B0A34"/>
    <w:rsid w:val="006B10C1"/>
    <w:rsid w:val="006B184A"/>
    <w:rsid w:val="006B242D"/>
    <w:rsid w:val="006B25EB"/>
    <w:rsid w:val="006B2D72"/>
    <w:rsid w:val="006B2DCA"/>
    <w:rsid w:val="006B3F91"/>
    <w:rsid w:val="006B40B2"/>
    <w:rsid w:val="006B434D"/>
    <w:rsid w:val="006B5A7E"/>
    <w:rsid w:val="006B72E5"/>
    <w:rsid w:val="006B7331"/>
    <w:rsid w:val="006B7D2B"/>
    <w:rsid w:val="006B7EF8"/>
    <w:rsid w:val="006C2471"/>
    <w:rsid w:val="006C32EC"/>
    <w:rsid w:val="006C4748"/>
    <w:rsid w:val="006C4B22"/>
    <w:rsid w:val="006C4D9D"/>
    <w:rsid w:val="006C5F4B"/>
    <w:rsid w:val="006C7D03"/>
    <w:rsid w:val="006D1051"/>
    <w:rsid w:val="006D12BB"/>
    <w:rsid w:val="006D34C1"/>
    <w:rsid w:val="006D384E"/>
    <w:rsid w:val="006D47A1"/>
    <w:rsid w:val="006D4CF9"/>
    <w:rsid w:val="006D63B4"/>
    <w:rsid w:val="006D6808"/>
    <w:rsid w:val="006D7DC2"/>
    <w:rsid w:val="006E12AD"/>
    <w:rsid w:val="006E296F"/>
    <w:rsid w:val="006E35E9"/>
    <w:rsid w:val="006E369D"/>
    <w:rsid w:val="006E3FC8"/>
    <w:rsid w:val="006E637E"/>
    <w:rsid w:val="006E6CF4"/>
    <w:rsid w:val="006E6F98"/>
    <w:rsid w:val="006E74A8"/>
    <w:rsid w:val="006E7DCB"/>
    <w:rsid w:val="006F000F"/>
    <w:rsid w:val="006F0E82"/>
    <w:rsid w:val="006F12E5"/>
    <w:rsid w:val="006F1456"/>
    <w:rsid w:val="006F1483"/>
    <w:rsid w:val="006F1979"/>
    <w:rsid w:val="006F21BF"/>
    <w:rsid w:val="006F2D03"/>
    <w:rsid w:val="006F31ED"/>
    <w:rsid w:val="006F32A1"/>
    <w:rsid w:val="006F3C3A"/>
    <w:rsid w:val="006F5018"/>
    <w:rsid w:val="006F52CB"/>
    <w:rsid w:val="006F5C20"/>
    <w:rsid w:val="006F64DF"/>
    <w:rsid w:val="006F7392"/>
    <w:rsid w:val="006F73CF"/>
    <w:rsid w:val="006F7830"/>
    <w:rsid w:val="00701273"/>
    <w:rsid w:val="00701BB4"/>
    <w:rsid w:val="00702065"/>
    <w:rsid w:val="00703B9A"/>
    <w:rsid w:val="00703C9F"/>
    <w:rsid w:val="007057B0"/>
    <w:rsid w:val="00705DBC"/>
    <w:rsid w:val="007074F9"/>
    <w:rsid w:val="0071034F"/>
    <w:rsid w:val="00710520"/>
    <w:rsid w:val="00710728"/>
    <w:rsid w:val="007112A7"/>
    <w:rsid w:val="00711692"/>
    <w:rsid w:val="00711EF8"/>
    <w:rsid w:val="00712C53"/>
    <w:rsid w:val="00712F2A"/>
    <w:rsid w:val="0071569B"/>
    <w:rsid w:val="00715ADE"/>
    <w:rsid w:val="00716B95"/>
    <w:rsid w:val="00716F9B"/>
    <w:rsid w:val="00717699"/>
    <w:rsid w:val="007219B3"/>
    <w:rsid w:val="007220BB"/>
    <w:rsid w:val="00724F47"/>
    <w:rsid w:val="00725F85"/>
    <w:rsid w:val="007272F0"/>
    <w:rsid w:val="007272FB"/>
    <w:rsid w:val="00730A0E"/>
    <w:rsid w:val="00733575"/>
    <w:rsid w:val="00734016"/>
    <w:rsid w:val="00734C26"/>
    <w:rsid w:val="00734DA5"/>
    <w:rsid w:val="0073538B"/>
    <w:rsid w:val="00735496"/>
    <w:rsid w:val="00736832"/>
    <w:rsid w:val="00737327"/>
    <w:rsid w:val="00737F3B"/>
    <w:rsid w:val="00740905"/>
    <w:rsid w:val="00740CEA"/>
    <w:rsid w:val="00740D5E"/>
    <w:rsid w:val="00742BFC"/>
    <w:rsid w:val="00743C9F"/>
    <w:rsid w:val="007450FA"/>
    <w:rsid w:val="00745AFB"/>
    <w:rsid w:val="007464BF"/>
    <w:rsid w:val="00746671"/>
    <w:rsid w:val="007467F4"/>
    <w:rsid w:val="007477A5"/>
    <w:rsid w:val="00747CD7"/>
    <w:rsid w:val="007507E3"/>
    <w:rsid w:val="00750AD2"/>
    <w:rsid w:val="00751851"/>
    <w:rsid w:val="00751B54"/>
    <w:rsid w:val="00751F19"/>
    <w:rsid w:val="007521A8"/>
    <w:rsid w:val="00753507"/>
    <w:rsid w:val="00754358"/>
    <w:rsid w:val="00754501"/>
    <w:rsid w:val="007547B2"/>
    <w:rsid w:val="00754EF9"/>
    <w:rsid w:val="00757015"/>
    <w:rsid w:val="00757188"/>
    <w:rsid w:val="00757A26"/>
    <w:rsid w:val="00757B8A"/>
    <w:rsid w:val="007625F7"/>
    <w:rsid w:val="00763625"/>
    <w:rsid w:val="00764A7B"/>
    <w:rsid w:val="007652EE"/>
    <w:rsid w:val="00765D99"/>
    <w:rsid w:val="00766063"/>
    <w:rsid w:val="0076617F"/>
    <w:rsid w:val="00767573"/>
    <w:rsid w:val="007678F9"/>
    <w:rsid w:val="00770642"/>
    <w:rsid w:val="007710BD"/>
    <w:rsid w:val="00771989"/>
    <w:rsid w:val="00774D73"/>
    <w:rsid w:val="0077540C"/>
    <w:rsid w:val="00775478"/>
    <w:rsid w:val="00775E8C"/>
    <w:rsid w:val="0077640E"/>
    <w:rsid w:val="0077656F"/>
    <w:rsid w:val="0077675F"/>
    <w:rsid w:val="00776D14"/>
    <w:rsid w:val="00776D8F"/>
    <w:rsid w:val="00777376"/>
    <w:rsid w:val="007776D3"/>
    <w:rsid w:val="00780A75"/>
    <w:rsid w:val="00781381"/>
    <w:rsid w:val="007818A0"/>
    <w:rsid w:val="00781E33"/>
    <w:rsid w:val="00784251"/>
    <w:rsid w:val="007855A9"/>
    <w:rsid w:val="0078721A"/>
    <w:rsid w:val="007903C8"/>
    <w:rsid w:val="00790849"/>
    <w:rsid w:val="00790EE4"/>
    <w:rsid w:val="007927DA"/>
    <w:rsid w:val="00793305"/>
    <w:rsid w:val="00793529"/>
    <w:rsid w:val="00793828"/>
    <w:rsid w:val="00795006"/>
    <w:rsid w:val="007971C8"/>
    <w:rsid w:val="007A0D9D"/>
    <w:rsid w:val="007A0FD7"/>
    <w:rsid w:val="007A1487"/>
    <w:rsid w:val="007A1530"/>
    <w:rsid w:val="007A1602"/>
    <w:rsid w:val="007A30D0"/>
    <w:rsid w:val="007A3165"/>
    <w:rsid w:val="007A55E8"/>
    <w:rsid w:val="007A751C"/>
    <w:rsid w:val="007B09C7"/>
    <w:rsid w:val="007B122A"/>
    <w:rsid w:val="007B1727"/>
    <w:rsid w:val="007B2223"/>
    <w:rsid w:val="007B2471"/>
    <w:rsid w:val="007B24B9"/>
    <w:rsid w:val="007B26E8"/>
    <w:rsid w:val="007B2C4B"/>
    <w:rsid w:val="007B427A"/>
    <w:rsid w:val="007B4769"/>
    <w:rsid w:val="007B65F2"/>
    <w:rsid w:val="007B6A52"/>
    <w:rsid w:val="007B7F64"/>
    <w:rsid w:val="007C0133"/>
    <w:rsid w:val="007C097C"/>
    <w:rsid w:val="007C1562"/>
    <w:rsid w:val="007C24BC"/>
    <w:rsid w:val="007C2DEE"/>
    <w:rsid w:val="007C3215"/>
    <w:rsid w:val="007C3473"/>
    <w:rsid w:val="007C4689"/>
    <w:rsid w:val="007C50AC"/>
    <w:rsid w:val="007C69F8"/>
    <w:rsid w:val="007C6D89"/>
    <w:rsid w:val="007C6DFE"/>
    <w:rsid w:val="007C7435"/>
    <w:rsid w:val="007D01ED"/>
    <w:rsid w:val="007D0272"/>
    <w:rsid w:val="007D0B72"/>
    <w:rsid w:val="007D2965"/>
    <w:rsid w:val="007D36B1"/>
    <w:rsid w:val="007D3AD8"/>
    <w:rsid w:val="007D45DE"/>
    <w:rsid w:val="007D4FD5"/>
    <w:rsid w:val="007D5004"/>
    <w:rsid w:val="007D664F"/>
    <w:rsid w:val="007D6D3F"/>
    <w:rsid w:val="007E0D80"/>
    <w:rsid w:val="007E0F6A"/>
    <w:rsid w:val="007E1037"/>
    <w:rsid w:val="007E1568"/>
    <w:rsid w:val="007E1E30"/>
    <w:rsid w:val="007E1ED1"/>
    <w:rsid w:val="007E1F81"/>
    <w:rsid w:val="007E2619"/>
    <w:rsid w:val="007E39CD"/>
    <w:rsid w:val="007E3F11"/>
    <w:rsid w:val="007E3F26"/>
    <w:rsid w:val="007E4599"/>
    <w:rsid w:val="007E4E11"/>
    <w:rsid w:val="007E5D14"/>
    <w:rsid w:val="007E65C4"/>
    <w:rsid w:val="007E737D"/>
    <w:rsid w:val="007E751E"/>
    <w:rsid w:val="007E7904"/>
    <w:rsid w:val="007E798F"/>
    <w:rsid w:val="007E79C6"/>
    <w:rsid w:val="007E79C9"/>
    <w:rsid w:val="007F0335"/>
    <w:rsid w:val="007F0582"/>
    <w:rsid w:val="007F1150"/>
    <w:rsid w:val="007F20F8"/>
    <w:rsid w:val="007F24B9"/>
    <w:rsid w:val="007F3747"/>
    <w:rsid w:val="007F4EDB"/>
    <w:rsid w:val="007F65C5"/>
    <w:rsid w:val="007F68F2"/>
    <w:rsid w:val="007F6947"/>
    <w:rsid w:val="008003DA"/>
    <w:rsid w:val="0080052B"/>
    <w:rsid w:val="00800B15"/>
    <w:rsid w:val="00801B3A"/>
    <w:rsid w:val="00802407"/>
    <w:rsid w:val="0080346C"/>
    <w:rsid w:val="0080439E"/>
    <w:rsid w:val="0080442E"/>
    <w:rsid w:val="0080484F"/>
    <w:rsid w:val="00804EB3"/>
    <w:rsid w:val="00805113"/>
    <w:rsid w:val="008055E5"/>
    <w:rsid w:val="00805A70"/>
    <w:rsid w:val="00805E4D"/>
    <w:rsid w:val="008062E4"/>
    <w:rsid w:val="0080654B"/>
    <w:rsid w:val="00806AE3"/>
    <w:rsid w:val="00811289"/>
    <w:rsid w:val="0081138F"/>
    <w:rsid w:val="00812032"/>
    <w:rsid w:val="0081311E"/>
    <w:rsid w:val="0081328A"/>
    <w:rsid w:val="008136FB"/>
    <w:rsid w:val="008140AB"/>
    <w:rsid w:val="008147F3"/>
    <w:rsid w:val="00814CC1"/>
    <w:rsid w:val="008152C8"/>
    <w:rsid w:val="0081667B"/>
    <w:rsid w:val="00816966"/>
    <w:rsid w:val="00816FB8"/>
    <w:rsid w:val="008173A6"/>
    <w:rsid w:val="0082089D"/>
    <w:rsid w:val="008214C7"/>
    <w:rsid w:val="008215AC"/>
    <w:rsid w:val="00821793"/>
    <w:rsid w:val="008218A3"/>
    <w:rsid w:val="00821C5F"/>
    <w:rsid w:val="00821E77"/>
    <w:rsid w:val="0082203B"/>
    <w:rsid w:val="00822437"/>
    <w:rsid w:val="00822C21"/>
    <w:rsid w:val="00822EA5"/>
    <w:rsid w:val="00825542"/>
    <w:rsid w:val="00825B86"/>
    <w:rsid w:val="008266B2"/>
    <w:rsid w:val="00827A4F"/>
    <w:rsid w:val="00830609"/>
    <w:rsid w:val="008316C2"/>
    <w:rsid w:val="00831758"/>
    <w:rsid w:val="00831855"/>
    <w:rsid w:val="00833406"/>
    <w:rsid w:val="008346C0"/>
    <w:rsid w:val="008361B8"/>
    <w:rsid w:val="00837309"/>
    <w:rsid w:val="00837EE9"/>
    <w:rsid w:val="00840DF5"/>
    <w:rsid w:val="00841B68"/>
    <w:rsid w:val="0084227F"/>
    <w:rsid w:val="008427D1"/>
    <w:rsid w:val="00844451"/>
    <w:rsid w:val="00844BF9"/>
    <w:rsid w:val="0084523C"/>
    <w:rsid w:val="008452B9"/>
    <w:rsid w:val="0084561F"/>
    <w:rsid w:val="00845799"/>
    <w:rsid w:val="00845AA9"/>
    <w:rsid w:val="00846EAC"/>
    <w:rsid w:val="00847E33"/>
    <w:rsid w:val="00850338"/>
    <w:rsid w:val="00850C06"/>
    <w:rsid w:val="00851133"/>
    <w:rsid w:val="0085181A"/>
    <w:rsid w:val="00851919"/>
    <w:rsid w:val="008536D8"/>
    <w:rsid w:val="00853846"/>
    <w:rsid w:val="00855880"/>
    <w:rsid w:val="00856895"/>
    <w:rsid w:val="00856FFA"/>
    <w:rsid w:val="008578A8"/>
    <w:rsid w:val="00860814"/>
    <w:rsid w:val="00861AAC"/>
    <w:rsid w:val="00862306"/>
    <w:rsid w:val="008625BC"/>
    <w:rsid w:val="0086321A"/>
    <w:rsid w:val="00864685"/>
    <w:rsid w:val="008653CF"/>
    <w:rsid w:val="008660B7"/>
    <w:rsid w:val="00866208"/>
    <w:rsid w:val="00867B4D"/>
    <w:rsid w:val="008708C6"/>
    <w:rsid w:val="00871A63"/>
    <w:rsid w:val="00872235"/>
    <w:rsid w:val="0087283F"/>
    <w:rsid w:val="0087366C"/>
    <w:rsid w:val="00873957"/>
    <w:rsid w:val="00873E33"/>
    <w:rsid w:val="0087430D"/>
    <w:rsid w:val="0087580D"/>
    <w:rsid w:val="00876994"/>
    <w:rsid w:val="00876E0E"/>
    <w:rsid w:val="008770F1"/>
    <w:rsid w:val="00877336"/>
    <w:rsid w:val="00877F7D"/>
    <w:rsid w:val="00880BF6"/>
    <w:rsid w:val="00881979"/>
    <w:rsid w:val="00885918"/>
    <w:rsid w:val="00886203"/>
    <w:rsid w:val="008862CA"/>
    <w:rsid w:val="00886D97"/>
    <w:rsid w:val="0088712F"/>
    <w:rsid w:val="008901FA"/>
    <w:rsid w:val="00890386"/>
    <w:rsid w:val="008915C2"/>
    <w:rsid w:val="00892776"/>
    <w:rsid w:val="008927E9"/>
    <w:rsid w:val="00892CB9"/>
    <w:rsid w:val="00893E41"/>
    <w:rsid w:val="00893FA4"/>
    <w:rsid w:val="00894A50"/>
    <w:rsid w:val="0089564A"/>
    <w:rsid w:val="008958B4"/>
    <w:rsid w:val="0089624A"/>
    <w:rsid w:val="00896C4C"/>
    <w:rsid w:val="008971D7"/>
    <w:rsid w:val="00897907"/>
    <w:rsid w:val="00897922"/>
    <w:rsid w:val="008A00D9"/>
    <w:rsid w:val="008A0804"/>
    <w:rsid w:val="008A0F22"/>
    <w:rsid w:val="008A15EA"/>
    <w:rsid w:val="008A1BC7"/>
    <w:rsid w:val="008A21F9"/>
    <w:rsid w:val="008A224B"/>
    <w:rsid w:val="008A28CD"/>
    <w:rsid w:val="008A2A9D"/>
    <w:rsid w:val="008A2B9B"/>
    <w:rsid w:val="008A2F91"/>
    <w:rsid w:val="008A3E0D"/>
    <w:rsid w:val="008A5999"/>
    <w:rsid w:val="008A6077"/>
    <w:rsid w:val="008A6A95"/>
    <w:rsid w:val="008A7219"/>
    <w:rsid w:val="008A766A"/>
    <w:rsid w:val="008B0146"/>
    <w:rsid w:val="008B03E1"/>
    <w:rsid w:val="008B0D60"/>
    <w:rsid w:val="008B1236"/>
    <w:rsid w:val="008B16CB"/>
    <w:rsid w:val="008B22F1"/>
    <w:rsid w:val="008B4318"/>
    <w:rsid w:val="008B5855"/>
    <w:rsid w:val="008B5992"/>
    <w:rsid w:val="008B7FF0"/>
    <w:rsid w:val="008C0B24"/>
    <w:rsid w:val="008C2F09"/>
    <w:rsid w:val="008C2F6E"/>
    <w:rsid w:val="008C34E7"/>
    <w:rsid w:val="008C3B35"/>
    <w:rsid w:val="008C4002"/>
    <w:rsid w:val="008D0BCC"/>
    <w:rsid w:val="008D1B93"/>
    <w:rsid w:val="008D1C82"/>
    <w:rsid w:val="008D2068"/>
    <w:rsid w:val="008D258F"/>
    <w:rsid w:val="008D5621"/>
    <w:rsid w:val="008D6001"/>
    <w:rsid w:val="008D6D07"/>
    <w:rsid w:val="008D6D65"/>
    <w:rsid w:val="008D7AFB"/>
    <w:rsid w:val="008E005D"/>
    <w:rsid w:val="008E03B2"/>
    <w:rsid w:val="008E3358"/>
    <w:rsid w:val="008E33D1"/>
    <w:rsid w:val="008E3657"/>
    <w:rsid w:val="008E451C"/>
    <w:rsid w:val="008E4597"/>
    <w:rsid w:val="008E4F11"/>
    <w:rsid w:val="008E707E"/>
    <w:rsid w:val="008E73BA"/>
    <w:rsid w:val="008E7A2E"/>
    <w:rsid w:val="008F0464"/>
    <w:rsid w:val="008F141B"/>
    <w:rsid w:val="008F1F79"/>
    <w:rsid w:val="008F22CA"/>
    <w:rsid w:val="008F2410"/>
    <w:rsid w:val="008F2706"/>
    <w:rsid w:val="008F2EA9"/>
    <w:rsid w:val="008F3C4C"/>
    <w:rsid w:val="008F4557"/>
    <w:rsid w:val="008F4C48"/>
    <w:rsid w:val="008F54E1"/>
    <w:rsid w:val="00901E46"/>
    <w:rsid w:val="00902340"/>
    <w:rsid w:val="0090239E"/>
    <w:rsid w:val="00902D99"/>
    <w:rsid w:val="00903696"/>
    <w:rsid w:val="009039AA"/>
    <w:rsid w:val="009039DD"/>
    <w:rsid w:val="009044D2"/>
    <w:rsid w:val="00904902"/>
    <w:rsid w:val="00904CFF"/>
    <w:rsid w:val="00907F01"/>
    <w:rsid w:val="00911170"/>
    <w:rsid w:val="00911F88"/>
    <w:rsid w:val="009137AA"/>
    <w:rsid w:val="00913B3C"/>
    <w:rsid w:val="00915054"/>
    <w:rsid w:val="00915C27"/>
    <w:rsid w:val="00916146"/>
    <w:rsid w:val="00916806"/>
    <w:rsid w:val="00916D17"/>
    <w:rsid w:val="00917744"/>
    <w:rsid w:val="0092005D"/>
    <w:rsid w:val="00921130"/>
    <w:rsid w:val="0092212F"/>
    <w:rsid w:val="009225AA"/>
    <w:rsid w:val="009230CF"/>
    <w:rsid w:val="009237A6"/>
    <w:rsid w:val="009244E2"/>
    <w:rsid w:val="00924675"/>
    <w:rsid w:val="00924B49"/>
    <w:rsid w:val="00924E72"/>
    <w:rsid w:val="00925752"/>
    <w:rsid w:val="00927053"/>
    <w:rsid w:val="00927633"/>
    <w:rsid w:val="00927D5D"/>
    <w:rsid w:val="00930665"/>
    <w:rsid w:val="009313B7"/>
    <w:rsid w:val="00931BA1"/>
    <w:rsid w:val="009320E9"/>
    <w:rsid w:val="009321D0"/>
    <w:rsid w:val="00932496"/>
    <w:rsid w:val="00933C63"/>
    <w:rsid w:val="00936352"/>
    <w:rsid w:val="00937A9B"/>
    <w:rsid w:val="00937D9A"/>
    <w:rsid w:val="00940932"/>
    <w:rsid w:val="00940A26"/>
    <w:rsid w:val="00941E4F"/>
    <w:rsid w:val="00942B70"/>
    <w:rsid w:val="00943610"/>
    <w:rsid w:val="00944EF1"/>
    <w:rsid w:val="00945E97"/>
    <w:rsid w:val="00947106"/>
    <w:rsid w:val="00947E45"/>
    <w:rsid w:val="00951794"/>
    <w:rsid w:val="00951F14"/>
    <w:rsid w:val="00952013"/>
    <w:rsid w:val="009526E3"/>
    <w:rsid w:val="00953463"/>
    <w:rsid w:val="00953621"/>
    <w:rsid w:val="009538E9"/>
    <w:rsid w:val="00953949"/>
    <w:rsid w:val="00956141"/>
    <w:rsid w:val="0095675D"/>
    <w:rsid w:val="0095692B"/>
    <w:rsid w:val="00956C5E"/>
    <w:rsid w:val="00956D8E"/>
    <w:rsid w:val="00960AC0"/>
    <w:rsid w:val="009617F1"/>
    <w:rsid w:val="00961F16"/>
    <w:rsid w:val="0096251B"/>
    <w:rsid w:val="009626DF"/>
    <w:rsid w:val="00962EC0"/>
    <w:rsid w:val="00963BA0"/>
    <w:rsid w:val="0096469B"/>
    <w:rsid w:val="009650B1"/>
    <w:rsid w:val="0096572B"/>
    <w:rsid w:val="00967B08"/>
    <w:rsid w:val="00967C07"/>
    <w:rsid w:val="009711F3"/>
    <w:rsid w:val="00972179"/>
    <w:rsid w:val="00973720"/>
    <w:rsid w:val="00977800"/>
    <w:rsid w:val="0098022A"/>
    <w:rsid w:val="00981463"/>
    <w:rsid w:val="009818FE"/>
    <w:rsid w:val="00983239"/>
    <w:rsid w:val="009832B2"/>
    <w:rsid w:val="009872B7"/>
    <w:rsid w:val="009873CF"/>
    <w:rsid w:val="009876FF"/>
    <w:rsid w:val="009902F0"/>
    <w:rsid w:val="0099065C"/>
    <w:rsid w:val="00992214"/>
    <w:rsid w:val="0099249B"/>
    <w:rsid w:val="00992C8A"/>
    <w:rsid w:val="009933CB"/>
    <w:rsid w:val="00994315"/>
    <w:rsid w:val="00994B19"/>
    <w:rsid w:val="00994ECF"/>
    <w:rsid w:val="009951D0"/>
    <w:rsid w:val="00995289"/>
    <w:rsid w:val="009959F4"/>
    <w:rsid w:val="00996450"/>
    <w:rsid w:val="009968DB"/>
    <w:rsid w:val="00996C47"/>
    <w:rsid w:val="00997515"/>
    <w:rsid w:val="009A0D47"/>
    <w:rsid w:val="009A0EC7"/>
    <w:rsid w:val="009A12DC"/>
    <w:rsid w:val="009A1E9B"/>
    <w:rsid w:val="009A2107"/>
    <w:rsid w:val="009A25F2"/>
    <w:rsid w:val="009A36A9"/>
    <w:rsid w:val="009A3F17"/>
    <w:rsid w:val="009A695B"/>
    <w:rsid w:val="009A6C73"/>
    <w:rsid w:val="009A77F7"/>
    <w:rsid w:val="009B0860"/>
    <w:rsid w:val="009B08EB"/>
    <w:rsid w:val="009B0944"/>
    <w:rsid w:val="009B2C29"/>
    <w:rsid w:val="009B3979"/>
    <w:rsid w:val="009B455C"/>
    <w:rsid w:val="009B5299"/>
    <w:rsid w:val="009B59C5"/>
    <w:rsid w:val="009B59FD"/>
    <w:rsid w:val="009B613F"/>
    <w:rsid w:val="009C16B8"/>
    <w:rsid w:val="009C244E"/>
    <w:rsid w:val="009C2543"/>
    <w:rsid w:val="009C2646"/>
    <w:rsid w:val="009C266C"/>
    <w:rsid w:val="009C3E75"/>
    <w:rsid w:val="009C4295"/>
    <w:rsid w:val="009C5909"/>
    <w:rsid w:val="009C5AA6"/>
    <w:rsid w:val="009C6264"/>
    <w:rsid w:val="009C6F90"/>
    <w:rsid w:val="009C7550"/>
    <w:rsid w:val="009C7781"/>
    <w:rsid w:val="009D16AC"/>
    <w:rsid w:val="009D18BA"/>
    <w:rsid w:val="009D27BC"/>
    <w:rsid w:val="009D2A6F"/>
    <w:rsid w:val="009D305B"/>
    <w:rsid w:val="009D3712"/>
    <w:rsid w:val="009D468B"/>
    <w:rsid w:val="009D57B7"/>
    <w:rsid w:val="009D6666"/>
    <w:rsid w:val="009D68CA"/>
    <w:rsid w:val="009E0F6A"/>
    <w:rsid w:val="009E20AC"/>
    <w:rsid w:val="009E2BDD"/>
    <w:rsid w:val="009E3135"/>
    <w:rsid w:val="009E42F8"/>
    <w:rsid w:val="009E5141"/>
    <w:rsid w:val="009E59B0"/>
    <w:rsid w:val="009E5ABD"/>
    <w:rsid w:val="009E6245"/>
    <w:rsid w:val="009E66F8"/>
    <w:rsid w:val="009E7EDB"/>
    <w:rsid w:val="009F0671"/>
    <w:rsid w:val="009F1FCA"/>
    <w:rsid w:val="009F2BCB"/>
    <w:rsid w:val="009F2DDA"/>
    <w:rsid w:val="009F3D06"/>
    <w:rsid w:val="009F4902"/>
    <w:rsid w:val="009F4E52"/>
    <w:rsid w:val="009F5E0D"/>
    <w:rsid w:val="009F6092"/>
    <w:rsid w:val="009F72BE"/>
    <w:rsid w:val="00A007ED"/>
    <w:rsid w:val="00A00D8F"/>
    <w:rsid w:val="00A01E02"/>
    <w:rsid w:val="00A024D9"/>
    <w:rsid w:val="00A02C27"/>
    <w:rsid w:val="00A03B16"/>
    <w:rsid w:val="00A0438F"/>
    <w:rsid w:val="00A04969"/>
    <w:rsid w:val="00A04B14"/>
    <w:rsid w:val="00A0506F"/>
    <w:rsid w:val="00A05356"/>
    <w:rsid w:val="00A060DE"/>
    <w:rsid w:val="00A0669C"/>
    <w:rsid w:val="00A07371"/>
    <w:rsid w:val="00A07C0A"/>
    <w:rsid w:val="00A07D7D"/>
    <w:rsid w:val="00A10185"/>
    <w:rsid w:val="00A110C3"/>
    <w:rsid w:val="00A110CB"/>
    <w:rsid w:val="00A11967"/>
    <w:rsid w:val="00A1290B"/>
    <w:rsid w:val="00A12EFE"/>
    <w:rsid w:val="00A13082"/>
    <w:rsid w:val="00A179EC"/>
    <w:rsid w:val="00A17A0C"/>
    <w:rsid w:val="00A20593"/>
    <w:rsid w:val="00A2241F"/>
    <w:rsid w:val="00A224E8"/>
    <w:rsid w:val="00A234E0"/>
    <w:rsid w:val="00A2357C"/>
    <w:rsid w:val="00A23CE7"/>
    <w:rsid w:val="00A2523C"/>
    <w:rsid w:val="00A25371"/>
    <w:rsid w:val="00A2554B"/>
    <w:rsid w:val="00A25885"/>
    <w:rsid w:val="00A26007"/>
    <w:rsid w:val="00A26FD9"/>
    <w:rsid w:val="00A27BF2"/>
    <w:rsid w:val="00A27C4F"/>
    <w:rsid w:val="00A30E06"/>
    <w:rsid w:val="00A313A9"/>
    <w:rsid w:val="00A318CE"/>
    <w:rsid w:val="00A31B77"/>
    <w:rsid w:val="00A31BCA"/>
    <w:rsid w:val="00A321C9"/>
    <w:rsid w:val="00A32598"/>
    <w:rsid w:val="00A328F3"/>
    <w:rsid w:val="00A339F0"/>
    <w:rsid w:val="00A33E2D"/>
    <w:rsid w:val="00A360C6"/>
    <w:rsid w:val="00A36BF8"/>
    <w:rsid w:val="00A36EAF"/>
    <w:rsid w:val="00A4134E"/>
    <w:rsid w:val="00A41703"/>
    <w:rsid w:val="00A4277E"/>
    <w:rsid w:val="00A4401A"/>
    <w:rsid w:val="00A4438C"/>
    <w:rsid w:val="00A44F1E"/>
    <w:rsid w:val="00A45796"/>
    <w:rsid w:val="00A45B26"/>
    <w:rsid w:val="00A465A3"/>
    <w:rsid w:val="00A47986"/>
    <w:rsid w:val="00A47A64"/>
    <w:rsid w:val="00A50527"/>
    <w:rsid w:val="00A514CD"/>
    <w:rsid w:val="00A515A8"/>
    <w:rsid w:val="00A523A6"/>
    <w:rsid w:val="00A52CCB"/>
    <w:rsid w:val="00A5308D"/>
    <w:rsid w:val="00A53A46"/>
    <w:rsid w:val="00A53B40"/>
    <w:rsid w:val="00A54816"/>
    <w:rsid w:val="00A54A7D"/>
    <w:rsid w:val="00A54AF0"/>
    <w:rsid w:val="00A54C3E"/>
    <w:rsid w:val="00A54F97"/>
    <w:rsid w:val="00A55396"/>
    <w:rsid w:val="00A557A8"/>
    <w:rsid w:val="00A60F53"/>
    <w:rsid w:val="00A61CB3"/>
    <w:rsid w:val="00A625EA"/>
    <w:rsid w:val="00A62AE4"/>
    <w:rsid w:val="00A62F7D"/>
    <w:rsid w:val="00A63002"/>
    <w:rsid w:val="00A631CC"/>
    <w:rsid w:val="00A64E9B"/>
    <w:rsid w:val="00A65F46"/>
    <w:rsid w:val="00A66B17"/>
    <w:rsid w:val="00A66FD1"/>
    <w:rsid w:val="00A7036F"/>
    <w:rsid w:val="00A70CA8"/>
    <w:rsid w:val="00A71357"/>
    <w:rsid w:val="00A7140C"/>
    <w:rsid w:val="00A7172D"/>
    <w:rsid w:val="00A72096"/>
    <w:rsid w:val="00A7294B"/>
    <w:rsid w:val="00A72B6D"/>
    <w:rsid w:val="00A72CE9"/>
    <w:rsid w:val="00A74CFC"/>
    <w:rsid w:val="00A74F74"/>
    <w:rsid w:val="00A761A0"/>
    <w:rsid w:val="00A76485"/>
    <w:rsid w:val="00A766FB"/>
    <w:rsid w:val="00A77741"/>
    <w:rsid w:val="00A779EC"/>
    <w:rsid w:val="00A77C09"/>
    <w:rsid w:val="00A77D14"/>
    <w:rsid w:val="00A80731"/>
    <w:rsid w:val="00A80DA8"/>
    <w:rsid w:val="00A814AE"/>
    <w:rsid w:val="00A815E4"/>
    <w:rsid w:val="00A824CD"/>
    <w:rsid w:val="00A8303B"/>
    <w:rsid w:val="00A841F0"/>
    <w:rsid w:val="00A864C6"/>
    <w:rsid w:val="00A86EE2"/>
    <w:rsid w:val="00A87B83"/>
    <w:rsid w:val="00A90308"/>
    <w:rsid w:val="00A908E8"/>
    <w:rsid w:val="00A9179D"/>
    <w:rsid w:val="00A92678"/>
    <w:rsid w:val="00A9364F"/>
    <w:rsid w:val="00A94671"/>
    <w:rsid w:val="00A9546B"/>
    <w:rsid w:val="00A959B4"/>
    <w:rsid w:val="00A95A58"/>
    <w:rsid w:val="00AA02D1"/>
    <w:rsid w:val="00AA0D29"/>
    <w:rsid w:val="00AA10C4"/>
    <w:rsid w:val="00AA3AA3"/>
    <w:rsid w:val="00AA44B1"/>
    <w:rsid w:val="00AA4879"/>
    <w:rsid w:val="00AA51D2"/>
    <w:rsid w:val="00AA5454"/>
    <w:rsid w:val="00AA5E23"/>
    <w:rsid w:val="00AA6D50"/>
    <w:rsid w:val="00AA6EB5"/>
    <w:rsid w:val="00AA7607"/>
    <w:rsid w:val="00AB04DD"/>
    <w:rsid w:val="00AB1BA4"/>
    <w:rsid w:val="00AB2F9C"/>
    <w:rsid w:val="00AB3A55"/>
    <w:rsid w:val="00AB415D"/>
    <w:rsid w:val="00AB47F5"/>
    <w:rsid w:val="00AB4B76"/>
    <w:rsid w:val="00AB4E6E"/>
    <w:rsid w:val="00AB5BE9"/>
    <w:rsid w:val="00AB60C9"/>
    <w:rsid w:val="00AB61B0"/>
    <w:rsid w:val="00AB6365"/>
    <w:rsid w:val="00AB6F9A"/>
    <w:rsid w:val="00AB7355"/>
    <w:rsid w:val="00AC0D3F"/>
    <w:rsid w:val="00AC1940"/>
    <w:rsid w:val="00AC2023"/>
    <w:rsid w:val="00AC21B2"/>
    <w:rsid w:val="00AC25A8"/>
    <w:rsid w:val="00AC2D20"/>
    <w:rsid w:val="00AC35BB"/>
    <w:rsid w:val="00AC3C3D"/>
    <w:rsid w:val="00AC4CA2"/>
    <w:rsid w:val="00AC534F"/>
    <w:rsid w:val="00AC58C4"/>
    <w:rsid w:val="00AC698B"/>
    <w:rsid w:val="00AC6A83"/>
    <w:rsid w:val="00AC70C9"/>
    <w:rsid w:val="00AC790E"/>
    <w:rsid w:val="00AC7BA3"/>
    <w:rsid w:val="00AC7DD5"/>
    <w:rsid w:val="00AC7F4E"/>
    <w:rsid w:val="00AD06C3"/>
    <w:rsid w:val="00AD17EE"/>
    <w:rsid w:val="00AD270B"/>
    <w:rsid w:val="00AD281E"/>
    <w:rsid w:val="00AD2C07"/>
    <w:rsid w:val="00AD2DD1"/>
    <w:rsid w:val="00AD3C8A"/>
    <w:rsid w:val="00AD3F2E"/>
    <w:rsid w:val="00AD4D94"/>
    <w:rsid w:val="00AD67FD"/>
    <w:rsid w:val="00AD6B9E"/>
    <w:rsid w:val="00AD6EE3"/>
    <w:rsid w:val="00AD7397"/>
    <w:rsid w:val="00AD7BFB"/>
    <w:rsid w:val="00AE09BC"/>
    <w:rsid w:val="00AE1644"/>
    <w:rsid w:val="00AE32A7"/>
    <w:rsid w:val="00AE4BF2"/>
    <w:rsid w:val="00AE69B7"/>
    <w:rsid w:val="00AE6D15"/>
    <w:rsid w:val="00AE71DC"/>
    <w:rsid w:val="00AE785A"/>
    <w:rsid w:val="00AF01AF"/>
    <w:rsid w:val="00AF15D8"/>
    <w:rsid w:val="00AF17A4"/>
    <w:rsid w:val="00AF1A1E"/>
    <w:rsid w:val="00AF1EBE"/>
    <w:rsid w:val="00AF1F0A"/>
    <w:rsid w:val="00AF27A0"/>
    <w:rsid w:val="00AF65AE"/>
    <w:rsid w:val="00AF7721"/>
    <w:rsid w:val="00AF778C"/>
    <w:rsid w:val="00B02399"/>
    <w:rsid w:val="00B0345E"/>
    <w:rsid w:val="00B050A0"/>
    <w:rsid w:val="00B05134"/>
    <w:rsid w:val="00B06D28"/>
    <w:rsid w:val="00B07A74"/>
    <w:rsid w:val="00B11E1F"/>
    <w:rsid w:val="00B120FE"/>
    <w:rsid w:val="00B131BD"/>
    <w:rsid w:val="00B13479"/>
    <w:rsid w:val="00B13822"/>
    <w:rsid w:val="00B1395F"/>
    <w:rsid w:val="00B13AF7"/>
    <w:rsid w:val="00B13C78"/>
    <w:rsid w:val="00B147E1"/>
    <w:rsid w:val="00B15CF2"/>
    <w:rsid w:val="00B162AF"/>
    <w:rsid w:val="00B20CDA"/>
    <w:rsid w:val="00B21129"/>
    <w:rsid w:val="00B22E2A"/>
    <w:rsid w:val="00B239B2"/>
    <w:rsid w:val="00B25558"/>
    <w:rsid w:val="00B25911"/>
    <w:rsid w:val="00B25C06"/>
    <w:rsid w:val="00B2661F"/>
    <w:rsid w:val="00B26879"/>
    <w:rsid w:val="00B269B4"/>
    <w:rsid w:val="00B27DFB"/>
    <w:rsid w:val="00B27F15"/>
    <w:rsid w:val="00B30281"/>
    <w:rsid w:val="00B305A4"/>
    <w:rsid w:val="00B32BD2"/>
    <w:rsid w:val="00B33E69"/>
    <w:rsid w:val="00B343D5"/>
    <w:rsid w:val="00B34404"/>
    <w:rsid w:val="00B34632"/>
    <w:rsid w:val="00B359FD"/>
    <w:rsid w:val="00B36583"/>
    <w:rsid w:val="00B37B14"/>
    <w:rsid w:val="00B40A24"/>
    <w:rsid w:val="00B40D11"/>
    <w:rsid w:val="00B412B4"/>
    <w:rsid w:val="00B42F37"/>
    <w:rsid w:val="00B43D26"/>
    <w:rsid w:val="00B44EA1"/>
    <w:rsid w:val="00B45326"/>
    <w:rsid w:val="00B456F7"/>
    <w:rsid w:val="00B45AD7"/>
    <w:rsid w:val="00B469C8"/>
    <w:rsid w:val="00B46B1B"/>
    <w:rsid w:val="00B47CF7"/>
    <w:rsid w:val="00B508BF"/>
    <w:rsid w:val="00B51EF6"/>
    <w:rsid w:val="00B52011"/>
    <w:rsid w:val="00B52BE4"/>
    <w:rsid w:val="00B52E1A"/>
    <w:rsid w:val="00B5456D"/>
    <w:rsid w:val="00B5499F"/>
    <w:rsid w:val="00B54AF2"/>
    <w:rsid w:val="00B54E74"/>
    <w:rsid w:val="00B560DF"/>
    <w:rsid w:val="00B577EA"/>
    <w:rsid w:val="00B60C91"/>
    <w:rsid w:val="00B61E97"/>
    <w:rsid w:val="00B61F71"/>
    <w:rsid w:val="00B623C5"/>
    <w:rsid w:val="00B62D14"/>
    <w:rsid w:val="00B64EE1"/>
    <w:rsid w:val="00B658ED"/>
    <w:rsid w:val="00B6594E"/>
    <w:rsid w:val="00B65C75"/>
    <w:rsid w:val="00B66518"/>
    <w:rsid w:val="00B67051"/>
    <w:rsid w:val="00B67CB3"/>
    <w:rsid w:val="00B710C2"/>
    <w:rsid w:val="00B71DA7"/>
    <w:rsid w:val="00B722C8"/>
    <w:rsid w:val="00B7241C"/>
    <w:rsid w:val="00B7339E"/>
    <w:rsid w:val="00B73BC6"/>
    <w:rsid w:val="00B740BB"/>
    <w:rsid w:val="00B740F5"/>
    <w:rsid w:val="00B742B0"/>
    <w:rsid w:val="00B742FD"/>
    <w:rsid w:val="00B7516A"/>
    <w:rsid w:val="00B7517A"/>
    <w:rsid w:val="00B7753B"/>
    <w:rsid w:val="00B802F6"/>
    <w:rsid w:val="00B806D7"/>
    <w:rsid w:val="00B80C38"/>
    <w:rsid w:val="00B80E12"/>
    <w:rsid w:val="00B814AB"/>
    <w:rsid w:val="00B82914"/>
    <w:rsid w:val="00B8300A"/>
    <w:rsid w:val="00B836D6"/>
    <w:rsid w:val="00B84BF2"/>
    <w:rsid w:val="00B86C25"/>
    <w:rsid w:val="00B87913"/>
    <w:rsid w:val="00B87C24"/>
    <w:rsid w:val="00B9387C"/>
    <w:rsid w:val="00B96C80"/>
    <w:rsid w:val="00BA00E6"/>
    <w:rsid w:val="00BA1216"/>
    <w:rsid w:val="00BA143B"/>
    <w:rsid w:val="00BA2F60"/>
    <w:rsid w:val="00BA3349"/>
    <w:rsid w:val="00BA34F2"/>
    <w:rsid w:val="00BA34FE"/>
    <w:rsid w:val="00BA39B2"/>
    <w:rsid w:val="00BA4B48"/>
    <w:rsid w:val="00BA5112"/>
    <w:rsid w:val="00BA57E2"/>
    <w:rsid w:val="00BA582E"/>
    <w:rsid w:val="00BA5EDA"/>
    <w:rsid w:val="00BA6E3E"/>
    <w:rsid w:val="00BA7390"/>
    <w:rsid w:val="00BA78D6"/>
    <w:rsid w:val="00BA7A52"/>
    <w:rsid w:val="00BA7B42"/>
    <w:rsid w:val="00BB0584"/>
    <w:rsid w:val="00BB18D2"/>
    <w:rsid w:val="00BB23D3"/>
    <w:rsid w:val="00BB2748"/>
    <w:rsid w:val="00BB3215"/>
    <w:rsid w:val="00BB43A3"/>
    <w:rsid w:val="00BB4E22"/>
    <w:rsid w:val="00BB5369"/>
    <w:rsid w:val="00BB597E"/>
    <w:rsid w:val="00BB5FD3"/>
    <w:rsid w:val="00BB63E9"/>
    <w:rsid w:val="00BB68A5"/>
    <w:rsid w:val="00BB6A66"/>
    <w:rsid w:val="00BB7923"/>
    <w:rsid w:val="00BB7B2B"/>
    <w:rsid w:val="00BB7CB3"/>
    <w:rsid w:val="00BB7E8C"/>
    <w:rsid w:val="00BC0413"/>
    <w:rsid w:val="00BC081C"/>
    <w:rsid w:val="00BC14EC"/>
    <w:rsid w:val="00BC21A2"/>
    <w:rsid w:val="00BC2B99"/>
    <w:rsid w:val="00BC2BE6"/>
    <w:rsid w:val="00BC35FE"/>
    <w:rsid w:val="00BC4469"/>
    <w:rsid w:val="00BC495D"/>
    <w:rsid w:val="00BC5127"/>
    <w:rsid w:val="00BC5487"/>
    <w:rsid w:val="00BC55E8"/>
    <w:rsid w:val="00BC6537"/>
    <w:rsid w:val="00BC72A5"/>
    <w:rsid w:val="00BC781C"/>
    <w:rsid w:val="00BC7BEC"/>
    <w:rsid w:val="00BC7D10"/>
    <w:rsid w:val="00BC7D9A"/>
    <w:rsid w:val="00BD035F"/>
    <w:rsid w:val="00BD1157"/>
    <w:rsid w:val="00BD26F7"/>
    <w:rsid w:val="00BD332B"/>
    <w:rsid w:val="00BD346F"/>
    <w:rsid w:val="00BD3F9B"/>
    <w:rsid w:val="00BD4B24"/>
    <w:rsid w:val="00BD558B"/>
    <w:rsid w:val="00BD5B3A"/>
    <w:rsid w:val="00BD5CC8"/>
    <w:rsid w:val="00BD5E13"/>
    <w:rsid w:val="00BD6D27"/>
    <w:rsid w:val="00BD71F6"/>
    <w:rsid w:val="00BE06AC"/>
    <w:rsid w:val="00BE0756"/>
    <w:rsid w:val="00BE0771"/>
    <w:rsid w:val="00BE1094"/>
    <w:rsid w:val="00BE15CE"/>
    <w:rsid w:val="00BE17E4"/>
    <w:rsid w:val="00BE1A81"/>
    <w:rsid w:val="00BE1ACC"/>
    <w:rsid w:val="00BE38FA"/>
    <w:rsid w:val="00BE3B3C"/>
    <w:rsid w:val="00BE3BCF"/>
    <w:rsid w:val="00BE573B"/>
    <w:rsid w:val="00BE5969"/>
    <w:rsid w:val="00BE5E18"/>
    <w:rsid w:val="00BE5FDB"/>
    <w:rsid w:val="00BE6414"/>
    <w:rsid w:val="00BE7EFA"/>
    <w:rsid w:val="00BF104B"/>
    <w:rsid w:val="00BF19F7"/>
    <w:rsid w:val="00BF1F54"/>
    <w:rsid w:val="00BF456D"/>
    <w:rsid w:val="00BF5893"/>
    <w:rsid w:val="00BF72BA"/>
    <w:rsid w:val="00C0074D"/>
    <w:rsid w:val="00C01410"/>
    <w:rsid w:val="00C02677"/>
    <w:rsid w:val="00C039A7"/>
    <w:rsid w:val="00C04361"/>
    <w:rsid w:val="00C04F4A"/>
    <w:rsid w:val="00C04F4B"/>
    <w:rsid w:val="00C06939"/>
    <w:rsid w:val="00C06E93"/>
    <w:rsid w:val="00C076A2"/>
    <w:rsid w:val="00C07E4B"/>
    <w:rsid w:val="00C111E6"/>
    <w:rsid w:val="00C11E7B"/>
    <w:rsid w:val="00C1368C"/>
    <w:rsid w:val="00C150A7"/>
    <w:rsid w:val="00C15144"/>
    <w:rsid w:val="00C151C9"/>
    <w:rsid w:val="00C15E08"/>
    <w:rsid w:val="00C161A3"/>
    <w:rsid w:val="00C1649F"/>
    <w:rsid w:val="00C164A3"/>
    <w:rsid w:val="00C16C75"/>
    <w:rsid w:val="00C177FB"/>
    <w:rsid w:val="00C20BB7"/>
    <w:rsid w:val="00C20EB9"/>
    <w:rsid w:val="00C21BAE"/>
    <w:rsid w:val="00C21C6A"/>
    <w:rsid w:val="00C22988"/>
    <w:rsid w:val="00C22D5C"/>
    <w:rsid w:val="00C23FB7"/>
    <w:rsid w:val="00C250B6"/>
    <w:rsid w:val="00C25ADF"/>
    <w:rsid w:val="00C266CA"/>
    <w:rsid w:val="00C269C3"/>
    <w:rsid w:val="00C274E0"/>
    <w:rsid w:val="00C27E3F"/>
    <w:rsid w:val="00C3035A"/>
    <w:rsid w:val="00C313FB"/>
    <w:rsid w:val="00C3182E"/>
    <w:rsid w:val="00C31F81"/>
    <w:rsid w:val="00C32BBB"/>
    <w:rsid w:val="00C33039"/>
    <w:rsid w:val="00C34712"/>
    <w:rsid w:val="00C34F7B"/>
    <w:rsid w:val="00C35DEB"/>
    <w:rsid w:val="00C35EBC"/>
    <w:rsid w:val="00C371F5"/>
    <w:rsid w:val="00C376C3"/>
    <w:rsid w:val="00C37ECB"/>
    <w:rsid w:val="00C4120D"/>
    <w:rsid w:val="00C42825"/>
    <w:rsid w:val="00C43437"/>
    <w:rsid w:val="00C4377F"/>
    <w:rsid w:val="00C44044"/>
    <w:rsid w:val="00C443FC"/>
    <w:rsid w:val="00C464A7"/>
    <w:rsid w:val="00C47C0E"/>
    <w:rsid w:val="00C50A9D"/>
    <w:rsid w:val="00C52652"/>
    <w:rsid w:val="00C52BBF"/>
    <w:rsid w:val="00C52F3E"/>
    <w:rsid w:val="00C53906"/>
    <w:rsid w:val="00C53E66"/>
    <w:rsid w:val="00C546F4"/>
    <w:rsid w:val="00C56650"/>
    <w:rsid w:val="00C56AE5"/>
    <w:rsid w:val="00C57482"/>
    <w:rsid w:val="00C6048B"/>
    <w:rsid w:val="00C616BD"/>
    <w:rsid w:val="00C61F75"/>
    <w:rsid w:val="00C6275F"/>
    <w:rsid w:val="00C63C93"/>
    <w:rsid w:val="00C642B7"/>
    <w:rsid w:val="00C64ABF"/>
    <w:rsid w:val="00C64DA5"/>
    <w:rsid w:val="00C650A5"/>
    <w:rsid w:val="00C70453"/>
    <w:rsid w:val="00C70862"/>
    <w:rsid w:val="00C71B87"/>
    <w:rsid w:val="00C73183"/>
    <w:rsid w:val="00C73EE6"/>
    <w:rsid w:val="00C746EB"/>
    <w:rsid w:val="00C747D7"/>
    <w:rsid w:val="00C7591F"/>
    <w:rsid w:val="00C7734E"/>
    <w:rsid w:val="00C77511"/>
    <w:rsid w:val="00C77702"/>
    <w:rsid w:val="00C77F69"/>
    <w:rsid w:val="00C81141"/>
    <w:rsid w:val="00C8147D"/>
    <w:rsid w:val="00C81BD5"/>
    <w:rsid w:val="00C82F54"/>
    <w:rsid w:val="00C8387F"/>
    <w:rsid w:val="00C860F1"/>
    <w:rsid w:val="00C86E1A"/>
    <w:rsid w:val="00C8704C"/>
    <w:rsid w:val="00C8740D"/>
    <w:rsid w:val="00C874C9"/>
    <w:rsid w:val="00C902C3"/>
    <w:rsid w:val="00C90457"/>
    <w:rsid w:val="00C9086E"/>
    <w:rsid w:val="00C909BF"/>
    <w:rsid w:val="00C90E4A"/>
    <w:rsid w:val="00C91346"/>
    <w:rsid w:val="00C9363B"/>
    <w:rsid w:val="00C940B8"/>
    <w:rsid w:val="00C952F6"/>
    <w:rsid w:val="00C9539B"/>
    <w:rsid w:val="00C95D54"/>
    <w:rsid w:val="00C97EA4"/>
    <w:rsid w:val="00CA0172"/>
    <w:rsid w:val="00CA306E"/>
    <w:rsid w:val="00CA3D42"/>
    <w:rsid w:val="00CA3DA6"/>
    <w:rsid w:val="00CA48A3"/>
    <w:rsid w:val="00CA4A83"/>
    <w:rsid w:val="00CA5B41"/>
    <w:rsid w:val="00CA5F2C"/>
    <w:rsid w:val="00CA63F3"/>
    <w:rsid w:val="00CA655A"/>
    <w:rsid w:val="00CA6914"/>
    <w:rsid w:val="00CA6FB6"/>
    <w:rsid w:val="00CA709A"/>
    <w:rsid w:val="00CB1857"/>
    <w:rsid w:val="00CB2AA1"/>
    <w:rsid w:val="00CB3FFF"/>
    <w:rsid w:val="00CB4497"/>
    <w:rsid w:val="00CB49B8"/>
    <w:rsid w:val="00CB6089"/>
    <w:rsid w:val="00CB6196"/>
    <w:rsid w:val="00CB7280"/>
    <w:rsid w:val="00CB7770"/>
    <w:rsid w:val="00CB7B13"/>
    <w:rsid w:val="00CB7B93"/>
    <w:rsid w:val="00CB7F78"/>
    <w:rsid w:val="00CC0400"/>
    <w:rsid w:val="00CC06B0"/>
    <w:rsid w:val="00CC0D5B"/>
    <w:rsid w:val="00CC13DC"/>
    <w:rsid w:val="00CC19A4"/>
    <w:rsid w:val="00CC235D"/>
    <w:rsid w:val="00CC2486"/>
    <w:rsid w:val="00CC397E"/>
    <w:rsid w:val="00CC5128"/>
    <w:rsid w:val="00CC523B"/>
    <w:rsid w:val="00CD0318"/>
    <w:rsid w:val="00CD0D93"/>
    <w:rsid w:val="00CD1382"/>
    <w:rsid w:val="00CD1F10"/>
    <w:rsid w:val="00CD2FED"/>
    <w:rsid w:val="00CD3DC4"/>
    <w:rsid w:val="00CD3DFE"/>
    <w:rsid w:val="00CD4616"/>
    <w:rsid w:val="00CD5534"/>
    <w:rsid w:val="00CD557F"/>
    <w:rsid w:val="00CD56EB"/>
    <w:rsid w:val="00CD5948"/>
    <w:rsid w:val="00CD64DB"/>
    <w:rsid w:val="00CD6778"/>
    <w:rsid w:val="00CD6C27"/>
    <w:rsid w:val="00CD6C45"/>
    <w:rsid w:val="00CD6F26"/>
    <w:rsid w:val="00CE02B7"/>
    <w:rsid w:val="00CE0FCB"/>
    <w:rsid w:val="00CE2B85"/>
    <w:rsid w:val="00CE3542"/>
    <w:rsid w:val="00CE3BEA"/>
    <w:rsid w:val="00CE3FFB"/>
    <w:rsid w:val="00CE4519"/>
    <w:rsid w:val="00CE58EC"/>
    <w:rsid w:val="00CE6740"/>
    <w:rsid w:val="00CE6E32"/>
    <w:rsid w:val="00CE7CB8"/>
    <w:rsid w:val="00CF0295"/>
    <w:rsid w:val="00CF071C"/>
    <w:rsid w:val="00CF12AC"/>
    <w:rsid w:val="00CF44FD"/>
    <w:rsid w:val="00CF4622"/>
    <w:rsid w:val="00CF5076"/>
    <w:rsid w:val="00CF5717"/>
    <w:rsid w:val="00CF5852"/>
    <w:rsid w:val="00CF5F8E"/>
    <w:rsid w:val="00CF6274"/>
    <w:rsid w:val="00CF64B3"/>
    <w:rsid w:val="00CF6A30"/>
    <w:rsid w:val="00CF7E4D"/>
    <w:rsid w:val="00D00F84"/>
    <w:rsid w:val="00D01077"/>
    <w:rsid w:val="00D032B1"/>
    <w:rsid w:val="00D03844"/>
    <w:rsid w:val="00D04F5E"/>
    <w:rsid w:val="00D053FC"/>
    <w:rsid w:val="00D0566A"/>
    <w:rsid w:val="00D06C74"/>
    <w:rsid w:val="00D06E2D"/>
    <w:rsid w:val="00D07809"/>
    <w:rsid w:val="00D07B1B"/>
    <w:rsid w:val="00D07CC8"/>
    <w:rsid w:val="00D10815"/>
    <w:rsid w:val="00D12259"/>
    <w:rsid w:val="00D13A14"/>
    <w:rsid w:val="00D1442D"/>
    <w:rsid w:val="00D155F1"/>
    <w:rsid w:val="00D15F5F"/>
    <w:rsid w:val="00D16F24"/>
    <w:rsid w:val="00D16FD9"/>
    <w:rsid w:val="00D1732A"/>
    <w:rsid w:val="00D178AB"/>
    <w:rsid w:val="00D22D2D"/>
    <w:rsid w:val="00D23B84"/>
    <w:rsid w:val="00D23C14"/>
    <w:rsid w:val="00D23C35"/>
    <w:rsid w:val="00D25148"/>
    <w:rsid w:val="00D25D04"/>
    <w:rsid w:val="00D25E06"/>
    <w:rsid w:val="00D265B8"/>
    <w:rsid w:val="00D26FED"/>
    <w:rsid w:val="00D27E02"/>
    <w:rsid w:val="00D305C0"/>
    <w:rsid w:val="00D30E0B"/>
    <w:rsid w:val="00D31475"/>
    <w:rsid w:val="00D3199F"/>
    <w:rsid w:val="00D32CD9"/>
    <w:rsid w:val="00D32CE2"/>
    <w:rsid w:val="00D3426F"/>
    <w:rsid w:val="00D34608"/>
    <w:rsid w:val="00D34D36"/>
    <w:rsid w:val="00D34E6D"/>
    <w:rsid w:val="00D3507F"/>
    <w:rsid w:val="00D35D24"/>
    <w:rsid w:val="00D35E96"/>
    <w:rsid w:val="00D40856"/>
    <w:rsid w:val="00D4117A"/>
    <w:rsid w:val="00D413EE"/>
    <w:rsid w:val="00D41774"/>
    <w:rsid w:val="00D417F5"/>
    <w:rsid w:val="00D42A94"/>
    <w:rsid w:val="00D4312D"/>
    <w:rsid w:val="00D43A72"/>
    <w:rsid w:val="00D43C1B"/>
    <w:rsid w:val="00D43D0B"/>
    <w:rsid w:val="00D450A2"/>
    <w:rsid w:val="00D450D2"/>
    <w:rsid w:val="00D450ED"/>
    <w:rsid w:val="00D46E98"/>
    <w:rsid w:val="00D478BD"/>
    <w:rsid w:val="00D5026B"/>
    <w:rsid w:val="00D504D2"/>
    <w:rsid w:val="00D506A4"/>
    <w:rsid w:val="00D50B85"/>
    <w:rsid w:val="00D51050"/>
    <w:rsid w:val="00D51383"/>
    <w:rsid w:val="00D53436"/>
    <w:rsid w:val="00D54800"/>
    <w:rsid w:val="00D54BCC"/>
    <w:rsid w:val="00D552CC"/>
    <w:rsid w:val="00D55B63"/>
    <w:rsid w:val="00D566B9"/>
    <w:rsid w:val="00D612F2"/>
    <w:rsid w:val="00D61665"/>
    <w:rsid w:val="00D623EC"/>
    <w:rsid w:val="00D6250B"/>
    <w:rsid w:val="00D6292B"/>
    <w:rsid w:val="00D62CD0"/>
    <w:rsid w:val="00D63B08"/>
    <w:rsid w:val="00D642F7"/>
    <w:rsid w:val="00D64812"/>
    <w:rsid w:val="00D670BC"/>
    <w:rsid w:val="00D67CE9"/>
    <w:rsid w:val="00D67F3E"/>
    <w:rsid w:val="00D710C7"/>
    <w:rsid w:val="00D727A1"/>
    <w:rsid w:val="00D73645"/>
    <w:rsid w:val="00D7390B"/>
    <w:rsid w:val="00D744DF"/>
    <w:rsid w:val="00D750CD"/>
    <w:rsid w:val="00D758DA"/>
    <w:rsid w:val="00D779E3"/>
    <w:rsid w:val="00D8054A"/>
    <w:rsid w:val="00D807E1"/>
    <w:rsid w:val="00D81CFA"/>
    <w:rsid w:val="00D82495"/>
    <w:rsid w:val="00D82886"/>
    <w:rsid w:val="00D82A2F"/>
    <w:rsid w:val="00D82F44"/>
    <w:rsid w:val="00D848A6"/>
    <w:rsid w:val="00D84A32"/>
    <w:rsid w:val="00D85284"/>
    <w:rsid w:val="00D85EEF"/>
    <w:rsid w:val="00D86074"/>
    <w:rsid w:val="00D86721"/>
    <w:rsid w:val="00D87936"/>
    <w:rsid w:val="00D87BB1"/>
    <w:rsid w:val="00D87F0A"/>
    <w:rsid w:val="00D91583"/>
    <w:rsid w:val="00D9223A"/>
    <w:rsid w:val="00D9255A"/>
    <w:rsid w:val="00D934C6"/>
    <w:rsid w:val="00D9370F"/>
    <w:rsid w:val="00D93F52"/>
    <w:rsid w:val="00D93F5C"/>
    <w:rsid w:val="00D94637"/>
    <w:rsid w:val="00D947DC"/>
    <w:rsid w:val="00D95540"/>
    <w:rsid w:val="00D96CA3"/>
    <w:rsid w:val="00D97294"/>
    <w:rsid w:val="00D9768F"/>
    <w:rsid w:val="00DA0A2A"/>
    <w:rsid w:val="00DA1404"/>
    <w:rsid w:val="00DA19FF"/>
    <w:rsid w:val="00DA1B27"/>
    <w:rsid w:val="00DA1E4E"/>
    <w:rsid w:val="00DA36CA"/>
    <w:rsid w:val="00DA456F"/>
    <w:rsid w:val="00DA4A56"/>
    <w:rsid w:val="00DA5AC4"/>
    <w:rsid w:val="00DA6357"/>
    <w:rsid w:val="00DA7393"/>
    <w:rsid w:val="00DB0442"/>
    <w:rsid w:val="00DB04B5"/>
    <w:rsid w:val="00DB0A97"/>
    <w:rsid w:val="00DB0E31"/>
    <w:rsid w:val="00DB1034"/>
    <w:rsid w:val="00DB1B63"/>
    <w:rsid w:val="00DB3B26"/>
    <w:rsid w:val="00DB408B"/>
    <w:rsid w:val="00DB5499"/>
    <w:rsid w:val="00DB5DA5"/>
    <w:rsid w:val="00DB75CC"/>
    <w:rsid w:val="00DC0C2E"/>
    <w:rsid w:val="00DC0CE8"/>
    <w:rsid w:val="00DC1242"/>
    <w:rsid w:val="00DC14E3"/>
    <w:rsid w:val="00DC4D45"/>
    <w:rsid w:val="00DC5858"/>
    <w:rsid w:val="00DC5AD7"/>
    <w:rsid w:val="00DC60BB"/>
    <w:rsid w:val="00DD0111"/>
    <w:rsid w:val="00DD035C"/>
    <w:rsid w:val="00DD065A"/>
    <w:rsid w:val="00DD06FC"/>
    <w:rsid w:val="00DD0A71"/>
    <w:rsid w:val="00DD197F"/>
    <w:rsid w:val="00DD1BEB"/>
    <w:rsid w:val="00DD1E9D"/>
    <w:rsid w:val="00DD25A4"/>
    <w:rsid w:val="00DD2FBD"/>
    <w:rsid w:val="00DD489F"/>
    <w:rsid w:val="00DD4FEC"/>
    <w:rsid w:val="00DD5A8C"/>
    <w:rsid w:val="00DD6633"/>
    <w:rsid w:val="00DD7596"/>
    <w:rsid w:val="00DD7764"/>
    <w:rsid w:val="00DE16E2"/>
    <w:rsid w:val="00DE1FDB"/>
    <w:rsid w:val="00DE2489"/>
    <w:rsid w:val="00DE2B33"/>
    <w:rsid w:val="00DE40E1"/>
    <w:rsid w:val="00DE4E3A"/>
    <w:rsid w:val="00DE5059"/>
    <w:rsid w:val="00DE5BDD"/>
    <w:rsid w:val="00DE5D65"/>
    <w:rsid w:val="00DE6949"/>
    <w:rsid w:val="00DE7DD6"/>
    <w:rsid w:val="00DF051A"/>
    <w:rsid w:val="00DF09ED"/>
    <w:rsid w:val="00DF0D8D"/>
    <w:rsid w:val="00DF0DF9"/>
    <w:rsid w:val="00DF1211"/>
    <w:rsid w:val="00DF1B99"/>
    <w:rsid w:val="00DF1C06"/>
    <w:rsid w:val="00DF216B"/>
    <w:rsid w:val="00DF44C4"/>
    <w:rsid w:val="00DF46C2"/>
    <w:rsid w:val="00DF4F1B"/>
    <w:rsid w:val="00DF52C1"/>
    <w:rsid w:val="00DF54F6"/>
    <w:rsid w:val="00DF5BAD"/>
    <w:rsid w:val="00DF5D89"/>
    <w:rsid w:val="00DF6966"/>
    <w:rsid w:val="00DF7412"/>
    <w:rsid w:val="00E0041B"/>
    <w:rsid w:val="00E00764"/>
    <w:rsid w:val="00E009E0"/>
    <w:rsid w:val="00E012D6"/>
    <w:rsid w:val="00E01BF1"/>
    <w:rsid w:val="00E03C9C"/>
    <w:rsid w:val="00E04A1B"/>
    <w:rsid w:val="00E069C6"/>
    <w:rsid w:val="00E06F91"/>
    <w:rsid w:val="00E151E5"/>
    <w:rsid w:val="00E166CF"/>
    <w:rsid w:val="00E1692B"/>
    <w:rsid w:val="00E20E68"/>
    <w:rsid w:val="00E2115F"/>
    <w:rsid w:val="00E21177"/>
    <w:rsid w:val="00E212A6"/>
    <w:rsid w:val="00E215BF"/>
    <w:rsid w:val="00E22D93"/>
    <w:rsid w:val="00E22F27"/>
    <w:rsid w:val="00E23184"/>
    <w:rsid w:val="00E23373"/>
    <w:rsid w:val="00E23FCB"/>
    <w:rsid w:val="00E258F7"/>
    <w:rsid w:val="00E27CCE"/>
    <w:rsid w:val="00E30F2D"/>
    <w:rsid w:val="00E31445"/>
    <w:rsid w:val="00E34211"/>
    <w:rsid w:val="00E34EC2"/>
    <w:rsid w:val="00E35921"/>
    <w:rsid w:val="00E364E7"/>
    <w:rsid w:val="00E369F3"/>
    <w:rsid w:val="00E36ABD"/>
    <w:rsid w:val="00E3793B"/>
    <w:rsid w:val="00E37C46"/>
    <w:rsid w:val="00E401BA"/>
    <w:rsid w:val="00E41977"/>
    <w:rsid w:val="00E442E4"/>
    <w:rsid w:val="00E4439D"/>
    <w:rsid w:val="00E4500C"/>
    <w:rsid w:val="00E4581A"/>
    <w:rsid w:val="00E46626"/>
    <w:rsid w:val="00E477DB"/>
    <w:rsid w:val="00E508EA"/>
    <w:rsid w:val="00E51C21"/>
    <w:rsid w:val="00E51C33"/>
    <w:rsid w:val="00E52048"/>
    <w:rsid w:val="00E5269A"/>
    <w:rsid w:val="00E5286C"/>
    <w:rsid w:val="00E52941"/>
    <w:rsid w:val="00E52B19"/>
    <w:rsid w:val="00E53977"/>
    <w:rsid w:val="00E54949"/>
    <w:rsid w:val="00E54AB3"/>
    <w:rsid w:val="00E54C6B"/>
    <w:rsid w:val="00E55651"/>
    <w:rsid w:val="00E55A8F"/>
    <w:rsid w:val="00E56031"/>
    <w:rsid w:val="00E57D44"/>
    <w:rsid w:val="00E6100A"/>
    <w:rsid w:val="00E61564"/>
    <w:rsid w:val="00E65094"/>
    <w:rsid w:val="00E67304"/>
    <w:rsid w:val="00E6769C"/>
    <w:rsid w:val="00E67BCA"/>
    <w:rsid w:val="00E72331"/>
    <w:rsid w:val="00E72536"/>
    <w:rsid w:val="00E72D21"/>
    <w:rsid w:val="00E745E6"/>
    <w:rsid w:val="00E75FF9"/>
    <w:rsid w:val="00E76B58"/>
    <w:rsid w:val="00E77ED5"/>
    <w:rsid w:val="00E80179"/>
    <w:rsid w:val="00E8255B"/>
    <w:rsid w:val="00E83328"/>
    <w:rsid w:val="00E83760"/>
    <w:rsid w:val="00E83EAE"/>
    <w:rsid w:val="00E86609"/>
    <w:rsid w:val="00E86FB2"/>
    <w:rsid w:val="00E87655"/>
    <w:rsid w:val="00E90F41"/>
    <w:rsid w:val="00E93059"/>
    <w:rsid w:val="00E941D5"/>
    <w:rsid w:val="00E94372"/>
    <w:rsid w:val="00E948A5"/>
    <w:rsid w:val="00E94D34"/>
    <w:rsid w:val="00E94FD3"/>
    <w:rsid w:val="00E9630B"/>
    <w:rsid w:val="00E96C7D"/>
    <w:rsid w:val="00E96D00"/>
    <w:rsid w:val="00E96DE1"/>
    <w:rsid w:val="00E9741D"/>
    <w:rsid w:val="00EA0E9D"/>
    <w:rsid w:val="00EA15BE"/>
    <w:rsid w:val="00EA33D4"/>
    <w:rsid w:val="00EA3948"/>
    <w:rsid w:val="00EA4343"/>
    <w:rsid w:val="00EA4594"/>
    <w:rsid w:val="00EA5EE2"/>
    <w:rsid w:val="00EA6506"/>
    <w:rsid w:val="00EA74A0"/>
    <w:rsid w:val="00EB0F5E"/>
    <w:rsid w:val="00EB15D3"/>
    <w:rsid w:val="00EB1BF1"/>
    <w:rsid w:val="00EB1E65"/>
    <w:rsid w:val="00EB394E"/>
    <w:rsid w:val="00EB5EAD"/>
    <w:rsid w:val="00EB6E34"/>
    <w:rsid w:val="00EB71C3"/>
    <w:rsid w:val="00EB729F"/>
    <w:rsid w:val="00EC1419"/>
    <w:rsid w:val="00EC1F46"/>
    <w:rsid w:val="00EC3871"/>
    <w:rsid w:val="00EC405B"/>
    <w:rsid w:val="00EC4629"/>
    <w:rsid w:val="00EC4E19"/>
    <w:rsid w:val="00EC60CC"/>
    <w:rsid w:val="00EC64F7"/>
    <w:rsid w:val="00EC6D63"/>
    <w:rsid w:val="00ED0277"/>
    <w:rsid w:val="00ED04B8"/>
    <w:rsid w:val="00ED0777"/>
    <w:rsid w:val="00ED1192"/>
    <w:rsid w:val="00ED1E55"/>
    <w:rsid w:val="00ED2484"/>
    <w:rsid w:val="00ED3576"/>
    <w:rsid w:val="00ED3604"/>
    <w:rsid w:val="00ED50BB"/>
    <w:rsid w:val="00ED6AFF"/>
    <w:rsid w:val="00ED6C09"/>
    <w:rsid w:val="00EE11C0"/>
    <w:rsid w:val="00EE213B"/>
    <w:rsid w:val="00EE2E4E"/>
    <w:rsid w:val="00EE30FD"/>
    <w:rsid w:val="00EE38CA"/>
    <w:rsid w:val="00EE46C7"/>
    <w:rsid w:val="00EE4A16"/>
    <w:rsid w:val="00EE6365"/>
    <w:rsid w:val="00EF02F6"/>
    <w:rsid w:val="00EF266D"/>
    <w:rsid w:val="00EF2FA0"/>
    <w:rsid w:val="00EF316F"/>
    <w:rsid w:val="00EF3441"/>
    <w:rsid w:val="00EF3BC2"/>
    <w:rsid w:val="00EF3CD8"/>
    <w:rsid w:val="00EF3D99"/>
    <w:rsid w:val="00EF4F01"/>
    <w:rsid w:val="00EF7558"/>
    <w:rsid w:val="00EF7669"/>
    <w:rsid w:val="00F008C5"/>
    <w:rsid w:val="00F00AD3"/>
    <w:rsid w:val="00F00BC4"/>
    <w:rsid w:val="00F01CB5"/>
    <w:rsid w:val="00F01D25"/>
    <w:rsid w:val="00F025EA"/>
    <w:rsid w:val="00F0297E"/>
    <w:rsid w:val="00F02CFB"/>
    <w:rsid w:val="00F03765"/>
    <w:rsid w:val="00F0382B"/>
    <w:rsid w:val="00F04081"/>
    <w:rsid w:val="00F04205"/>
    <w:rsid w:val="00F060A7"/>
    <w:rsid w:val="00F079D8"/>
    <w:rsid w:val="00F07C8E"/>
    <w:rsid w:val="00F103BD"/>
    <w:rsid w:val="00F10AF6"/>
    <w:rsid w:val="00F10F43"/>
    <w:rsid w:val="00F10F5A"/>
    <w:rsid w:val="00F117BE"/>
    <w:rsid w:val="00F11C24"/>
    <w:rsid w:val="00F124EF"/>
    <w:rsid w:val="00F12754"/>
    <w:rsid w:val="00F127C1"/>
    <w:rsid w:val="00F12E90"/>
    <w:rsid w:val="00F13984"/>
    <w:rsid w:val="00F14830"/>
    <w:rsid w:val="00F156BE"/>
    <w:rsid w:val="00F170A1"/>
    <w:rsid w:val="00F1718D"/>
    <w:rsid w:val="00F17732"/>
    <w:rsid w:val="00F17E9D"/>
    <w:rsid w:val="00F202EF"/>
    <w:rsid w:val="00F20BF4"/>
    <w:rsid w:val="00F21BFD"/>
    <w:rsid w:val="00F21D19"/>
    <w:rsid w:val="00F21E69"/>
    <w:rsid w:val="00F2252A"/>
    <w:rsid w:val="00F22779"/>
    <w:rsid w:val="00F22FCF"/>
    <w:rsid w:val="00F239B1"/>
    <w:rsid w:val="00F23DCC"/>
    <w:rsid w:val="00F250B8"/>
    <w:rsid w:val="00F25B77"/>
    <w:rsid w:val="00F2618B"/>
    <w:rsid w:val="00F26459"/>
    <w:rsid w:val="00F31639"/>
    <w:rsid w:val="00F347D1"/>
    <w:rsid w:val="00F3491A"/>
    <w:rsid w:val="00F36464"/>
    <w:rsid w:val="00F40EB4"/>
    <w:rsid w:val="00F41C72"/>
    <w:rsid w:val="00F425FE"/>
    <w:rsid w:val="00F4319A"/>
    <w:rsid w:val="00F433AB"/>
    <w:rsid w:val="00F44E12"/>
    <w:rsid w:val="00F45ED4"/>
    <w:rsid w:val="00F478B6"/>
    <w:rsid w:val="00F47E0E"/>
    <w:rsid w:val="00F47E3D"/>
    <w:rsid w:val="00F500A2"/>
    <w:rsid w:val="00F51D33"/>
    <w:rsid w:val="00F52E60"/>
    <w:rsid w:val="00F531C8"/>
    <w:rsid w:val="00F5501E"/>
    <w:rsid w:val="00F553B4"/>
    <w:rsid w:val="00F56F45"/>
    <w:rsid w:val="00F602D4"/>
    <w:rsid w:val="00F611F5"/>
    <w:rsid w:val="00F6281D"/>
    <w:rsid w:val="00F629E8"/>
    <w:rsid w:val="00F62C83"/>
    <w:rsid w:val="00F63D83"/>
    <w:rsid w:val="00F63EEB"/>
    <w:rsid w:val="00F64306"/>
    <w:rsid w:val="00F6565B"/>
    <w:rsid w:val="00F6607B"/>
    <w:rsid w:val="00F66762"/>
    <w:rsid w:val="00F67F78"/>
    <w:rsid w:val="00F71ED1"/>
    <w:rsid w:val="00F73280"/>
    <w:rsid w:val="00F73F3E"/>
    <w:rsid w:val="00F749C1"/>
    <w:rsid w:val="00F75B6F"/>
    <w:rsid w:val="00F760E3"/>
    <w:rsid w:val="00F77942"/>
    <w:rsid w:val="00F77BA2"/>
    <w:rsid w:val="00F802A5"/>
    <w:rsid w:val="00F802D8"/>
    <w:rsid w:val="00F82867"/>
    <w:rsid w:val="00F82A05"/>
    <w:rsid w:val="00F82B95"/>
    <w:rsid w:val="00F82E7B"/>
    <w:rsid w:val="00F84E07"/>
    <w:rsid w:val="00F84EDB"/>
    <w:rsid w:val="00F84F69"/>
    <w:rsid w:val="00F85849"/>
    <w:rsid w:val="00F86698"/>
    <w:rsid w:val="00F8686E"/>
    <w:rsid w:val="00F90927"/>
    <w:rsid w:val="00F90D59"/>
    <w:rsid w:val="00F9157F"/>
    <w:rsid w:val="00F926DD"/>
    <w:rsid w:val="00F932E2"/>
    <w:rsid w:val="00F93EC5"/>
    <w:rsid w:val="00F94496"/>
    <w:rsid w:val="00F94965"/>
    <w:rsid w:val="00F94A23"/>
    <w:rsid w:val="00F94E5E"/>
    <w:rsid w:val="00F95477"/>
    <w:rsid w:val="00F95885"/>
    <w:rsid w:val="00F966FC"/>
    <w:rsid w:val="00F97054"/>
    <w:rsid w:val="00F9783E"/>
    <w:rsid w:val="00F97C2A"/>
    <w:rsid w:val="00FA0041"/>
    <w:rsid w:val="00FA02E0"/>
    <w:rsid w:val="00FA11A9"/>
    <w:rsid w:val="00FA1F85"/>
    <w:rsid w:val="00FA2C64"/>
    <w:rsid w:val="00FA2F44"/>
    <w:rsid w:val="00FA30A9"/>
    <w:rsid w:val="00FA3316"/>
    <w:rsid w:val="00FA3B70"/>
    <w:rsid w:val="00FA40F6"/>
    <w:rsid w:val="00FA4E12"/>
    <w:rsid w:val="00FA535C"/>
    <w:rsid w:val="00FA57BD"/>
    <w:rsid w:val="00FA58E7"/>
    <w:rsid w:val="00FA6108"/>
    <w:rsid w:val="00FA69D7"/>
    <w:rsid w:val="00FA74E1"/>
    <w:rsid w:val="00FA7E4F"/>
    <w:rsid w:val="00FB0955"/>
    <w:rsid w:val="00FB13D9"/>
    <w:rsid w:val="00FB160D"/>
    <w:rsid w:val="00FB1DDF"/>
    <w:rsid w:val="00FB2249"/>
    <w:rsid w:val="00FB2716"/>
    <w:rsid w:val="00FB2F04"/>
    <w:rsid w:val="00FB3029"/>
    <w:rsid w:val="00FB3951"/>
    <w:rsid w:val="00FB3AD4"/>
    <w:rsid w:val="00FB5779"/>
    <w:rsid w:val="00FB6404"/>
    <w:rsid w:val="00FB6D04"/>
    <w:rsid w:val="00FB7B27"/>
    <w:rsid w:val="00FB7BDE"/>
    <w:rsid w:val="00FC03A5"/>
    <w:rsid w:val="00FC117F"/>
    <w:rsid w:val="00FC120B"/>
    <w:rsid w:val="00FC26CC"/>
    <w:rsid w:val="00FC326C"/>
    <w:rsid w:val="00FC3438"/>
    <w:rsid w:val="00FC34B3"/>
    <w:rsid w:val="00FC5272"/>
    <w:rsid w:val="00FC5E61"/>
    <w:rsid w:val="00FC735D"/>
    <w:rsid w:val="00FC77D4"/>
    <w:rsid w:val="00FC7F48"/>
    <w:rsid w:val="00FD0302"/>
    <w:rsid w:val="00FD0D71"/>
    <w:rsid w:val="00FD155D"/>
    <w:rsid w:val="00FD1B35"/>
    <w:rsid w:val="00FD1E4E"/>
    <w:rsid w:val="00FD37F9"/>
    <w:rsid w:val="00FD3BCA"/>
    <w:rsid w:val="00FD4193"/>
    <w:rsid w:val="00FD5E32"/>
    <w:rsid w:val="00FD67FC"/>
    <w:rsid w:val="00FD693B"/>
    <w:rsid w:val="00FD704A"/>
    <w:rsid w:val="00FD7398"/>
    <w:rsid w:val="00FD7DA3"/>
    <w:rsid w:val="00FE0175"/>
    <w:rsid w:val="00FE0D24"/>
    <w:rsid w:val="00FE1144"/>
    <w:rsid w:val="00FE1168"/>
    <w:rsid w:val="00FE123E"/>
    <w:rsid w:val="00FE1ADE"/>
    <w:rsid w:val="00FE1ED3"/>
    <w:rsid w:val="00FE2880"/>
    <w:rsid w:val="00FE39A3"/>
    <w:rsid w:val="00FE45B1"/>
    <w:rsid w:val="00FE5506"/>
    <w:rsid w:val="00FE5B45"/>
    <w:rsid w:val="00FE5FCD"/>
    <w:rsid w:val="00FE668D"/>
    <w:rsid w:val="00FE6912"/>
    <w:rsid w:val="00FE72F5"/>
    <w:rsid w:val="00FE7E39"/>
    <w:rsid w:val="00FF0C80"/>
    <w:rsid w:val="00FF118F"/>
    <w:rsid w:val="00FF127C"/>
    <w:rsid w:val="00FF1507"/>
    <w:rsid w:val="00FF1D5A"/>
    <w:rsid w:val="00FF22BD"/>
    <w:rsid w:val="00FF263E"/>
    <w:rsid w:val="00FF43AC"/>
    <w:rsid w:val="00FF4996"/>
    <w:rsid w:val="00FF4AF7"/>
    <w:rsid w:val="00FF502D"/>
    <w:rsid w:val="00FF5B17"/>
    <w:rsid w:val="00FF6B3E"/>
    <w:rsid w:val="00FF6C77"/>
    <w:rsid w:val="00FF6EEE"/>
    <w:rsid w:val="01561935"/>
    <w:rsid w:val="02FE21AB"/>
    <w:rsid w:val="056B32B7"/>
    <w:rsid w:val="06E1682D"/>
    <w:rsid w:val="07201CA4"/>
    <w:rsid w:val="0A7E6273"/>
    <w:rsid w:val="0FC81AB2"/>
    <w:rsid w:val="165349B9"/>
    <w:rsid w:val="23AB213E"/>
    <w:rsid w:val="26555CAE"/>
    <w:rsid w:val="26831303"/>
    <w:rsid w:val="274B5E95"/>
    <w:rsid w:val="279E25DD"/>
    <w:rsid w:val="28802975"/>
    <w:rsid w:val="28B8703C"/>
    <w:rsid w:val="2C6D6650"/>
    <w:rsid w:val="2F105E84"/>
    <w:rsid w:val="2F1A13F0"/>
    <w:rsid w:val="32AC0031"/>
    <w:rsid w:val="3B930B8E"/>
    <w:rsid w:val="470055EA"/>
    <w:rsid w:val="47D9517B"/>
    <w:rsid w:val="4AD91F0E"/>
    <w:rsid w:val="4C9F0FF2"/>
    <w:rsid w:val="503355A9"/>
    <w:rsid w:val="50766DFA"/>
    <w:rsid w:val="52AB4326"/>
    <w:rsid w:val="572A1009"/>
    <w:rsid w:val="586308CA"/>
    <w:rsid w:val="5981379D"/>
    <w:rsid w:val="5A5D3F33"/>
    <w:rsid w:val="6DA030C0"/>
    <w:rsid w:val="72DA58EA"/>
    <w:rsid w:val="77447DC2"/>
    <w:rsid w:val="79691B74"/>
    <w:rsid w:val="7CBF3C1E"/>
    <w:rsid w:val="7FA36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9" w:semiHidden="0" w:name="caption"/>
    <w:lsdException w:qFormat="1" w:uiPriority="0" w:semiHidden="0"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qFormat="1" w:unhideWhenUsed="0" w:uiPriority="99" w:semiHidden="0" w:name="Note Heading"/>
    <w:lsdException w:uiPriority="99" w:name="Body Text 2"/>
    <w:lsdException w:qFormat="1" w:uiPriority="99" w:name="Body Text 3"/>
    <w:lsdException w:qFormat="1"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styleId="3">
    <w:name w:val="heading 1"/>
    <w:basedOn w:val="1"/>
    <w:next w:val="1"/>
    <w:link w:val="48"/>
    <w:qFormat/>
    <w:uiPriority w:val="9"/>
    <w:pPr>
      <w:keepNext/>
      <w:keepLines/>
      <w:pageBreakBefore/>
      <w:numPr>
        <w:ilvl w:val="0"/>
        <w:numId w:val="1"/>
      </w:numPr>
      <w:spacing w:before="260" w:after="260"/>
      <w:ind w:left="0" w:firstLineChars="0"/>
      <w:jc w:val="center"/>
      <w:outlineLvl w:val="0"/>
    </w:pPr>
    <w:rPr>
      <w:rFonts w:eastAsia="黑体"/>
      <w:bCs/>
      <w:kern w:val="44"/>
      <w:sz w:val="36"/>
      <w:szCs w:val="44"/>
    </w:rPr>
  </w:style>
  <w:style w:type="paragraph" w:styleId="4">
    <w:name w:val="heading 2"/>
    <w:basedOn w:val="1"/>
    <w:next w:val="1"/>
    <w:link w:val="44"/>
    <w:unhideWhenUsed/>
    <w:qFormat/>
    <w:uiPriority w:val="9"/>
    <w:pPr>
      <w:keepNext/>
      <w:keepLines/>
      <w:numPr>
        <w:ilvl w:val="1"/>
        <w:numId w:val="1"/>
      </w:numPr>
      <w:spacing w:before="120" w:after="120"/>
      <w:ind w:left="0" w:firstLineChars="0"/>
      <w:jc w:val="left"/>
      <w:outlineLvl w:val="1"/>
    </w:pPr>
    <w:rPr>
      <w:rFonts w:cstheme="majorBidi"/>
      <w:b/>
      <w:bCs/>
      <w:sz w:val="32"/>
      <w:szCs w:val="32"/>
    </w:rPr>
  </w:style>
  <w:style w:type="paragraph" w:styleId="5">
    <w:name w:val="heading 3"/>
    <w:basedOn w:val="1"/>
    <w:next w:val="1"/>
    <w:link w:val="49"/>
    <w:unhideWhenUsed/>
    <w:qFormat/>
    <w:uiPriority w:val="9"/>
    <w:pPr>
      <w:keepNext/>
      <w:keepLines/>
      <w:numPr>
        <w:ilvl w:val="2"/>
        <w:numId w:val="1"/>
      </w:numPr>
      <w:spacing w:before="60" w:after="60"/>
      <w:ind w:firstLineChars="0"/>
      <w:jc w:val="left"/>
      <w:outlineLvl w:val="2"/>
    </w:pPr>
    <w:rPr>
      <w:rFonts w:eastAsia="仿宋"/>
      <w:b/>
      <w:bCs/>
      <w:sz w:val="30"/>
      <w:szCs w:val="32"/>
    </w:rPr>
  </w:style>
  <w:style w:type="paragraph" w:styleId="6">
    <w:name w:val="heading 4"/>
    <w:basedOn w:val="1"/>
    <w:next w:val="1"/>
    <w:link w:val="50"/>
    <w:unhideWhenUsed/>
    <w:qFormat/>
    <w:uiPriority w:val="9"/>
    <w:pPr>
      <w:keepNext/>
      <w:keepLines/>
      <w:numPr>
        <w:ilvl w:val="3"/>
        <w:numId w:val="1"/>
      </w:numPr>
      <w:ind w:left="0" w:firstLineChars="0"/>
      <w:jc w:val="left"/>
      <w:outlineLvl w:val="3"/>
    </w:pPr>
    <w:rPr>
      <w:rFonts w:eastAsia="楷体" w:cstheme="majorBidi"/>
      <w:b/>
      <w:bCs/>
      <w:sz w:val="28"/>
      <w:szCs w:val="28"/>
    </w:rPr>
  </w:style>
  <w:style w:type="paragraph" w:styleId="7">
    <w:name w:val="heading 5"/>
    <w:basedOn w:val="1"/>
    <w:next w:val="1"/>
    <w:link w:val="189"/>
    <w:unhideWhenUsed/>
    <w:qFormat/>
    <w:uiPriority w:val="9"/>
    <w:pPr>
      <w:keepNext/>
      <w:keepLines/>
      <w:outlineLvl w:val="4"/>
    </w:pPr>
    <w:rPr>
      <w:b/>
      <w:bCs/>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0"/>
    <w:pPr>
      <w:spacing w:line="240" w:lineRule="auto"/>
      <w:ind w:left="200" w:leftChars="200" w:hanging="200" w:hangingChars="200"/>
    </w:pPr>
    <w:rPr>
      <w:rFonts w:cs="Times New Roman"/>
      <w:sz w:val="21"/>
      <w:szCs w:val="24"/>
    </w:rPr>
  </w:style>
  <w:style w:type="paragraph" w:styleId="8">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szCs w:val="22"/>
    </w:rPr>
  </w:style>
  <w:style w:type="paragraph" w:styleId="9">
    <w:name w:val="Note Heading"/>
    <w:basedOn w:val="1"/>
    <w:next w:val="1"/>
    <w:link w:val="152"/>
    <w:qFormat/>
    <w:uiPriority w:val="99"/>
    <w:pPr>
      <w:spacing w:line="240" w:lineRule="auto"/>
      <w:ind w:firstLine="0" w:firstLineChars="0"/>
      <w:jc w:val="center"/>
    </w:pPr>
    <w:rPr>
      <w:rFonts w:ascii="仿宋_GB2312" w:hAnsi="仿宋_GB2312" w:cs="宋体"/>
      <w:kern w:val="0"/>
      <w:sz w:val="20"/>
      <w:szCs w:val="20"/>
    </w:rPr>
  </w:style>
  <w:style w:type="paragraph" w:styleId="10">
    <w:name w:val="Normal Indent"/>
    <w:basedOn w:val="1"/>
    <w:link w:val="65"/>
    <w:qFormat/>
    <w:uiPriority w:val="99"/>
    <w:pPr>
      <w:ind w:firstLine="0" w:firstLineChars="0"/>
      <w:jc w:val="center"/>
    </w:pPr>
    <w:rPr>
      <w:rFonts w:eastAsia="仿宋_GB2312"/>
      <w:b/>
      <w:sz w:val="21"/>
    </w:rPr>
  </w:style>
  <w:style w:type="paragraph" w:styleId="11">
    <w:name w:val="caption"/>
    <w:basedOn w:val="1"/>
    <w:next w:val="1"/>
    <w:link w:val="60"/>
    <w:unhideWhenUsed/>
    <w:qFormat/>
    <w:uiPriority w:val="9"/>
    <w:rPr>
      <w:rFonts w:eastAsia="黑体" w:asciiTheme="majorHAnsi" w:hAnsiTheme="majorHAnsi" w:cstheme="majorBidi"/>
      <w:sz w:val="20"/>
      <w:szCs w:val="20"/>
    </w:rPr>
  </w:style>
  <w:style w:type="paragraph" w:styleId="12">
    <w:name w:val="Document Map"/>
    <w:basedOn w:val="1"/>
    <w:link w:val="134"/>
    <w:semiHidden/>
    <w:unhideWhenUsed/>
    <w:qFormat/>
    <w:uiPriority w:val="99"/>
    <w:rPr>
      <w:rFonts w:ascii="宋体"/>
      <w:sz w:val="18"/>
      <w:szCs w:val="18"/>
    </w:rPr>
  </w:style>
  <w:style w:type="paragraph" w:styleId="13">
    <w:name w:val="annotation text"/>
    <w:basedOn w:val="1"/>
    <w:link w:val="127"/>
    <w:semiHidden/>
    <w:unhideWhenUsed/>
    <w:qFormat/>
    <w:uiPriority w:val="0"/>
    <w:pPr>
      <w:jc w:val="left"/>
    </w:pPr>
  </w:style>
  <w:style w:type="paragraph" w:styleId="14">
    <w:name w:val="Body Text 3"/>
    <w:basedOn w:val="1"/>
    <w:link w:val="80"/>
    <w:semiHidden/>
    <w:unhideWhenUsed/>
    <w:qFormat/>
    <w:uiPriority w:val="99"/>
    <w:pPr>
      <w:spacing w:after="120"/>
    </w:pPr>
    <w:rPr>
      <w:sz w:val="16"/>
      <w:szCs w:val="16"/>
    </w:rPr>
  </w:style>
  <w:style w:type="paragraph" w:styleId="15">
    <w:name w:val="Body Text"/>
    <w:basedOn w:val="1"/>
    <w:link w:val="79"/>
    <w:semiHidden/>
    <w:unhideWhenUsed/>
    <w:qFormat/>
    <w:uiPriority w:val="99"/>
    <w:pPr>
      <w:spacing w:after="120"/>
    </w:pPr>
  </w:style>
  <w:style w:type="paragraph" w:styleId="16">
    <w:name w:val="Body Text Indent"/>
    <w:basedOn w:val="1"/>
    <w:link w:val="137"/>
    <w:unhideWhenUsed/>
    <w:qFormat/>
    <w:uiPriority w:val="99"/>
    <w:pPr>
      <w:spacing w:after="120"/>
      <w:ind w:left="420" w:leftChars="200"/>
    </w:pPr>
  </w:style>
  <w:style w:type="paragraph" w:styleId="17">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szCs w:val="22"/>
    </w:rPr>
  </w:style>
  <w:style w:type="paragraph" w:styleId="18">
    <w:name w:val="toc 3"/>
    <w:basedOn w:val="1"/>
    <w:next w:val="1"/>
    <w:unhideWhenUsed/>
    <w:qFormat/>
    <w:uiPriority w:val="39"/>
    <w:pPr>
      <w:spacing w:line="240" w:lineRule="auto"/>
      <w:ind w:left="300" w:leftChars="300" w:firstLine="0" w:firstLineChars="0"/>
    </w:pPr>
    <w:rPr>
      <w:sz w:val="21"/>
      <w:szCs w:val="22"/>
    </w:rPr>
  </w:style>
  <w:style w:type="paragraph" w:styleId="19">
    <w:name w:val="Plain Text"/>
    <w:basedOn w:val="1"/>
    <w:link w:val="169"/>
    <w:qFormat/>
    <w:uiPriority w:val="99"/>
    <w:pPr>
      <w:spacing w:line="240" w:lineRule="auto"/>
      <w:ind w:firstLine="0" w:firstLineChars="0"/>
    </w:pPr>
    <w:rPr>
      <w:rFonts w:ascii="宋体" w:hAnsi="Courier New" w:cs="宋体"/>
      <w:kern w:val="0"/>
      <w:sz w:val="20"/>
      <w:szCs w:val="20"/>
    </w:rPr>
  </w:style>
  <w:style w:type="paragraph" w:styleId="20">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szCs w:val="22"/>
    </w:rPr>
  </w:style>
  <w:style w:type="paragraph" w:styleId="21">
    <w:name w:val="Date"/>
    <w:basedOn w:val="1"/>
    <w:next w:val="1"/>
    <w:link w:val="55"/>
    <w:unhideWhenUsed/>
    <w:qFormat/>
    <w:uiPriority w:val="99"/>
    <w:pPr>
      <w:ind w:left="100" w:leftChars="2500"/>
    </w:pPr>
  </w:style>
  <w:style w:type="paragraph" w:styleId="22">
    <w:name w:val="Body Text Indent 2"/>
    <w:basedOn w:val="1"/>
    <w:link w:val="168"/>
    <w:semiHidden/>
    <w:unhideWhenUsed/>
    <w:qFormat/>
    <w:uiPriority w:val="99"/>
    <w:pPr>
      <w:spacing w:after="120" w:line="480" w:lineRule="auto"/>
      <w:ind w:left="420" w:leftChars="200"/>
    </w:pPr>
    <w:rPr>
      <w:rFonts w:cs="宋体"/>
      <w:kern w:val="0"/>
      <w:szCs w:val="24"/>
    </w:rPr>
  </w:style>
  <w:style w:type="paragraph" w:styleId="23">
    <w:name w:val="Balloon Text"/>
    <w:basedOn w:val="1"/>
    <w:link w:val="75"/>
    <w:semiHidden/>
    <w:unhideWhenUsed/>
    <w:qFormat/>
    <w:uiPriority w:val="99"/>
    <w:pPr>
      <w:spacing w:line="240" w:lineRule="auto"/>
    </w:pPr>
    <w:rPr>
      <w:sz w:val="18"/>
      <w:szCs w:val="18"/>
    </w:rPr>
  </w:style>
  <w:style w:type="paragraph" w:styleId="24">
    <w:name w:val="footer"/>
    <w:basedOn w:val="1"/>
    <w:link w:val="46"/>
    <w:unhideWhenUsed/>
    <w:qFormat/>
    <w:uiPriority w:val="99"/>
    <w:pPr>
      <w:tabs>
        <w:tab w:val="center" w:pos="4153"/>
        <w:tab w:val="right" w:pos="8306"/>
      </w:tabs>
      <w:snapToGrid w:val="0"/>
      <w:jc w:val="left"/>
    </w:pPr>
    <w:rPr>
      <w:sz w:val="18"/>
      <w:szCs w:val="18"/>
    </w:rPr>
  </w:style>
  <w:style w:type="paragraph" w:styleId="25">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ind w:firstLine="0" w:firstLineChars="0"/>
    </w:pPr>
    <w:rPr>
      <w:b/>
    </w:rPr>
  </w:style>
  <w:style w:type="paragraph" w:styleId="27">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szCs w:val="22"/>
    </w:rPr>
  </w:style>
  <w:style w:type="paragraph" w:styleId="28">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szCs w:val="22"/>
    </w:rPr>
  </w:style>
  <w:style w:type="paragraph" w:styleId="29">
    <w:name w:val="toc 2"/>
    <w:basedOn w:val="1"/>
    <w:next w:val="1"/>
    <w:unhideWhenUsed/>
    <w:qFormat/>
    <w:uiPriority w:val="39"/>
    <w:pPr>
      <w:spacing w:line="240" w:lineRule="auto"/>
      <w:ind w:left="150" w:leftChars="150" w:firstLine="0" w:firstLineChars="0"/>
    </w:pPr>
    <w:rPr>
      <w:sz w:val="21"/>
    </w:rPr>
  </w:style>
  <w:style w:type="paragraph" w:styleId="30">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szCs w:val="22"/>
    </w:rPr>
  </w:style>
  <w:style w:type="paragraph" w:styleId="31">
    <w:name w:val="Normal (Web)"/>
    <w:basedOn w:val="1"/>
    <w:link w:val="179"/>
    <w:unhideWhenUsed/>
    <w:qFormat/>
    <w:uiPriority w:val="99"/>
    <w:pPr>
      <w:spacing w:before="100" w:beforeAutospacing="1" w:after="100" w:afterAutospacing="1" w:line="240" w:lineRule="auto"/>
      <w:ind w:firstLine="0" w:firstLineChars="0"/>
    </w:pPr>
    <w:rPr>
      <w:rFonts w:ascii="宋体" w:hAnsi="宋体" w:cs="宋体"/>
      <w:kern w:val="0"/>
      <w:szCs w:val="24"/>
    </w:rPr>
  </w:style>
  <w:style w:type="paragraph" w:styleId="32">
    <w:name w:val="Title"/>
    <w:basedOn w:val="1"/>
    <w:next w:val="1"/>
    <w:link w:val="188"/>
    <w:qFormat/>
    <w:uiPriority w:val="10"/>
    <w:pPr>
      <w:spacing w:before="240" w:after="60"/>
      <w:jc w:val="center"/>
      <w:outlineLvl w:val="0"/>
    </w:pPr>
    <w:rPr>
      <w:rFonts w:asciiTheme="majorHAnsi" w:hAnsiTheme="majorHAnsi" w:eastAsiaTheme="majorEastAsia" w:cstheme="majorBidi"/>
      <w:b/>
      <w:bCs/>
      <w:sz w:val="32"/>
      <w:szCs w:val="32"/>
    </w:rPr>
  </w:style>
  <w:style w:type="paragraph" w:styleId="33">
    <w:name w:val="annotation subject"/>
    <w:basedOn w:val="13"/>
    <w:next w:val="13"/>
    <w:link w:val="128"/>
    <w:semiHidden/>
    <w:unhideWhenUsed/>
    <w:qFormat/>
    <w:uiPriority w:val="99"/>
    <w:rPr>
      <w:b/>
      <w:bCs/>
    </w:rPr>
  </w:style>
  <w:style w:type="paragraph" w:styleId="34">
    <w:name w:val="Body Text First Indent 2"/>
    <w:basedOn w:val="16"/>
    <w:link w:val="138"/>
    <w:unhideWhenUsed/>
    <w:qFormat/>
    <w:uiPriority w:val="99"/>
    <w:pPr>
      <w:ind w:firstLine="420"/>
    </w:pPr>
    <w:rPr>
      <w:szCs w:val="22"/>
    </w:rPr>
  </w:style>
  <w:style w:type="table" w:styleId="36">
    <w:name w:val="Table Grid"/>
    <w:basedOn w:val="35"/>
    <w:qFormat/>
    <w:uiPriority w:val="59"/>
    <w:tblPr>
      <w:tblBorders>
        <w:top w:val="single" w:color="auto" w:sz="12" w:space="0"/>
        <w:bottom w:val="single" w:color="auto" w:sz="12" w:space="0"/>
        <w:insideH w:val="single" w:color="auto" w:sz="4" w:space="0"/>
        <w:insideV w:val="single" w:color="auto" w:sz="4" w:space="0"/>
      </w:tblBorders>
    </w:tblPr>
    <w:tblStylePr w:type="firstRow">
      <w:tcPr>
        <w:tcBorders>
          <w:top w:val="single" w:color="auto" w:sz="12" w:space="0"/>
        </w:tcBorders>
      </w:tcPr>
    </w:tblStylePr>
    <w:tblStylePr w:type="lastRow">
      <w:tcPr>
        <w:tcBorders>
          <w:bottom w:val="single" w:color="auto" w:sz="12" w:space="0"/>
        </w:tcBorders>
      </w:tcPr>
    </w:tblStylePr>
    <w:tblStylePr w:type="firstCol">
      <w:tcPr>
        <w:tcBorders>
          <w:left w:val="nil"/>
        </w:tcBorders>
      </w:tcPr>
    </w:tblStylePr>
    <w:tblStylePr w:type="lastCol">
      <w:tcPr>
        <w:tcBorders>
          <w:right w:val="nil"/>
        </w:tcBorders>
      </w:tcPr>
    </w:tblStylePr>
  </w:style>
  <w:style w:type="character" w:styleId="38">
    <w:name w:val="Strong"/>
    <w:basedOn w:val="37"/>
    <w:qFormat/>
    <w:uiPriority w:val="22"/>
    <w:rPr>
      <w:b/>
      <w:bCs/>
    </w:rPr>
  </w:style>
  <w:style w:type="character" w:styleId="39">
    <w:name w:val="FollowedHyperlink"/>
    <w:basedOn w:val="37"/>
    <w:semiHidden/>
    <w:unhideWhenUsed/>
    <w:qFormat/>
    <w:uiPriority w:val="99"/>
    <w:rPr>
      <w:color w:val="954F72"/>
      <w:u w:val="single"/>
    </w:rPr>
  </w:style>
  <w:style w:type="character" w:styleId="40">
    <w:name w:val="Emphasis"/>
    <w:basedOn w:val="37"/>
    <w:uiPriority w:val="20"/>
    <w:rPr>
      <w:rFonts w:eastAsia="宋体"/>
      <w:iCs/>
      <w:sz w:val="24"/>
      <w:u w:val="single"/>
    </w:rPr>
  </w:style>
  <w:style w:type="character" w:styleId="41">
    <w:name w:val="Hyperlink"/>
    <w:basedOn w:val="37"/>
    <w:unhideWhenUsed/>
    <w:uiPriority w:val="99"/>
    <w:rPr>
      <w:color w:val="0563C1"/>
      <w:u w:val="single"/>
    </w:rPr>
  </w:style>
  <w:style w:type="character" w:styleId="42">
    <w:name w:val="HTML Code"/>
    <w:basedOn w:val="37"/>
    <w:semiHidden/>
    <w:unhideWhenUsed/>
    <w:uiPriority w:val="99"/>
    <w:rPr>
      <w:rFonts w:ascii="Courier New" w:hAnsi="Courier New"/>
      <w:sz w:val="20"/>
    </w:rPr>
  </w:style>
  <w:style w:type="character" w:styleId="43">
    <w:name w:val="annotation reference"/>
    <w:basedOn w:val="37"/>
    <w:semiHidden/>
    <w:unhideWhenUsed/>
    <w:qFormat/>
    <w:uiPriority w:val="0"/>
    <w:rPr>
      <w:sz w:val="21"/>
      <w:szCs w:val="21"/>
    </w:rPr>
  </w:style>
  <w:style w:type="character" w:customStyle="1" w:styleId="44">
    <w:name w:val="标题 2 字符"/>
    <w:basedOn w:val="37"/>
    <w:link w:val="4"/>
    <w:qFormat/>
    <w:uiPriority w:val="9"/>
    <w:rPr>
      <w:rFonts w:cstheme="majorBidi"/>
      <w:b/>
      <w:bCs/>
      <w:kern w:val="2"/>
      <w:sz w:val="32"/>
      <w:szCs w:val="32"/>
    </w:rPr>
  </w:style>
  <w:style w:type="character" w:customStyle="1" w:styleId="45">
    <w:name w:val="页眉 字符"/>
    <w:basedOn w:val="37"/>
    <w:link w:val="25"/>
    <w:qFormat/>
    <w:uiPriority w:val="0"/>
    <w:rPr>
      <w:sz w:val="18"/>
      <w:szCs w:val="18"/>
    </w:rPr>
  </w:style>
  <w:style w:type="character" w:customStyle="1" w:styleId="46">
    <w:name w:val="页脚 字符"/>
    <w:basedOn w:val="37"/>
    <w:link w:val="24"/>
    <w:qFormat/>
    <w:uiPriority w:val="99"/>
    <w:rPr>
      <w:sz w:val="18"/>
      <w:szCs w:val="18"/>
    </w:rPr>
  </w:style>
  <w:style w:type="paragraph" w:styleId="47">
    <w:name w:val="List Paragraph"/>
    <w:basedOn w:val="1"/>
    <w:qFormat/>
    <w:uiPriority w:val="1"/>
    <w:pPr>
      <w:ind w:firstLine="420"/>
    </w:pPr>
  </w:style>
  <w:style w:type="character" w:customStyle="1" w:styleId="48">
    <w:name w:val="标题 1 字符"/>
    <w:basedOn w:val="37"/>
    <w:link w:val="3"/>
    <w:qFormat/>
    <w:uiPriority w:val="9"/>
    <w:rPr>
      <w:rFonts w:eastAsia="黑体" w:cstheme="minorBidi"/>
      <w:bCs/>
      <w:kern w:val="44"/>
      <w:sz w:val="36"/>
      <w:szCs w:val="44"/>
    </w:rPr>
  </w:style>
  <w:style w:type="character" w:customStyle="1" w:styleId="49">
    <w:name w:val="标题 3 字符"/>
    <w:basedOn w:val="37"/>
    <w:link w:val="5"/>
    <w:qFormat/>
    <w:uiPriority w:val="0"/>
    <w:rPr>
      <w:rFonts w:eastAsia="仿宋" w:cstheme="minorBidi"/>
      <w:b/>
      <w:bCs/>
      <w:kern w:val="2"/>
      <w:sz w:val="30"/>
      <w:szCs w:val="32"/>
    </w:rPr>
  </w:style>
  <w:style w:type="character" w:customStyle="1" w:styleId="50">
    <w:name w:val="标题 4 字符"/>
    <w:basedOn w:val="37"/>
    <w:link w:val="6"/>
    <w:qFormat/>
    <w:uiPriority w:val="9"/>
    <w:rPr>
      <w:rFonts w:eastAsia="楷体" w:cstheme="majorBidi"/>
      <w:b/>
      <w:bCs/>
      <w:kern w:val="2"/>
      <w:sz w:val="28"/>
      <w:szCs w:val="28"/>
    </w:rPr>
  </w:style>
  <w:style w:type="paragraph" w:customStyle="1" w:styleId="51">
    <w:name w:val="封皮"/>
    <w:basedOn w:val="1"/>
    <w:link w:val="52"/>
    <w:qFormat/>
    <w:uiPriority w:val="0"/>
    <w:pPr>
      <w:adjustRightInd w:val="0"/>
      <w:snapToGrid w:val="0"/>
      <w:spacing w:beforeLines="100" w:afterLines="100"/>
      <w:jc w:val="center"/>
    </w:pPr>
    <w:rPr>
      <w:rFonts w:cs="Times New Roman"/>
      <w:b/>
      <w:color w:val="000000" w:themeColor="text1"/>
      <w:kern w:val="0"/>
      <w:sz w:val="48"/>
      <w:szCs w:val="24"/>
      <w14:textFill>
        <w14:solidFill>
          <w14:schemeClr w14:val="tx1"/>
        </w14:solidFill>
      </w14:textFill>
    </w:rPr>
  </w:style>
  <w:style w:type="character" w:customStyle="1" w:styleId="52">
    <w:name w:val="封皮 字符"/>
    <w:basedOn w:val="37"/>
    <w:link w:val="51"/>
    <w:qFormat/>
    <w:uiPriority w:val="0"/>
    <w:rPr>
      <w:rFonts w:ascii="Times New Roman" w:hAnsi="Times New Roman" w:eastAsia="宋体" w:cs="Times New Roman"/>
      <w:b/>
      <w:color w:val="000000" w:themeColor="text1"/>
      <w:kern w:val="0"/>
      <w:sz w:val="48"/>
      <w:szCs w:val="24"/>
      <w14:textFill>
        <w14:solidFill>
          <w14:schemeClr w14:val="tx1"/>
        </w14:solidFill>
      </w14:textFill>
    </w:rPr>
  </w:style>
  <w:style w:type="paragraph" w:customStyle="1" w:styleId="53">
    <w:name w:val="正文（粗）"/>
    <w:basedOn w:val="1"/>
    <w:link w:val="54"/>
    <w:qFormat/>
    <w:uiPriority w:val="0"/>
    <w:pPr>
      <w:jc w:val="left"/>
    </w:pPr>
    <w:rPr>
      <w:rFonts w:cs="宋体"/>
      <w:b/>
      <w:kern w:val="0"/>
      <w:szCs w:val="24"/>
      <w:lang w:val="zh-CN"/>
    </w:rPr>
  </w:style>
  <w:style w:type="character" w:customStyle="1" w:styleId="54">
    <w:name w:val="正文（粗） 字符"/>
    <w:basedOn w:val="37"/>
    <w:link w:val="53"/>
    <w:qFormat/>
    <w:uiPriority w:val="0"/>
    <w:rPr>
      <w:rFonts w:cs="宋体"/>
      <w:b/>
      <w:sz w:val="24"/>
      <w:szCs w:val="24"/>
      <w:lang w:val="zh-CN"/>
    </w:rPr>
  </w:style>
  <w:style w:type="character" w:customStyle="1" w:styleId="55">
    <w:name w:val="日期 字符"/>
    <w:basedOn w:val="37"/>
    <w:link w:val="21"/>
    <w:qFormat/>
    <w:uiPriority w:val="99"/>
    <w:rPr>
      <w:rFonts w:ascii="Times New Roman" w:hAnsi="Times New Roman" w:eastAsia="宋体"/>
      <w:sz w:val="24"/>
    </w:rPr>
  </w:style>
  <w:style w:type="paragraph" w:customStyle="1" w:styleId="56">
    <w:name w:val="图片"/>
    <w:basedOn w:val="1"/>
    <w:link w:val="58"/>
    <w:qFormat/>
    <w:uiPriority w:val="0"/>
    <w:pPr>
      <w:spacing w:line="240" w:lineRule="auto"/>
      <w:ind w:firstLine="0" w:firstLineChars="0"/>
      <w:jc w:val="center"/>
    </w:pPr>
    <w:rPr>
      <w:sz w:val="18"/>
    </w:rPr>
  </w:style>
  <w:style w:type="paragraph" w:customStyle="1" w:styleId="57">
    <w:name w:val="图标题（123）"/>
    <w:basedOn w:val="11"/>
    <w:link w:val="61"/>
    <w:uiPriority w:val="0"/>
    <w:pPr>
      <w:ind w:firstLine="0" w:firstLineChars="0"/>
      <w:jc w:val="center"/>
      <w:outlineLvl w:val="4"/>
    </w:pPr>
    <w:rPr>
      <w:rFonts w:ascii="Times New Roman" w:hAnsi="Times New Roman" w:eastAsia="楷体" w:cs="Times New Roman"/>
      <w:b/>
      <w:sz w:val="22"/>
    </w:rPr>
  </w:style>
  <w:style w:type="character" w:customStyle="1" w:styleId="58">
    <w:name w:val="图片 字符"/>
    <w:basedOn w:val="37"/>
    <w:link w:val="56"/>
    <w:qFormat/>
    <w:uiPriority w:val="0"/>
    <w:rPr>
      <w:rFonts w:ascii="Times New Roman" w:hAnsi="Times New Roman" w:eastAsia="宋体"/>
      <w:sz w:val="18"/>
    </w:rPr>
  </w:style>
  <w:style w:type="paragraph" w:customStyle="1" w:styleId="59">
    <w:name w:val="表格标题"/>
    <w:basedOn w:val="11"/>
    <w:link w:val="62"/>
    <w:uiPriority w:val="0"/>
    <w:pPr>
      <w:ind w:firstLine="0" w:firstLineChars="0"/>
      <w:jc w:val="center"/>
    </w:pPr>
    <w:rPr>
      <w:rFonts w:ascii="Times New Roman" w:hAnsi="Times New Roman" w:eastAsia="宋体"/>
      <w:b/>
      <w:sz w:val="21"/>
    </w:rPr>
  </w:style>
  <w:style w:type="character" w:customStyle="1" w:styleId="60">
    <w:name w:val="题注 字符"/>
    <w:basedOn w:val="37"/>
    <w:link w:val="11"/>
    <w:qFormat/>
    <w:uiPriority w:val="9"/>
    <w:rPr>
      <w:rFonts w:eastAsia="黑体" w:asciiTheme="majorHAnsi" w:hAnsiTheme="majorHAnsi" w:cstheme="majorBidi"/>
      <w:sz w:val="20"/>
      <w:szCs w:val="20"/>
    </w:rPr>
  </w:style>
  <w:style w:type="character" w:customStyle="1" w:styleId="61">
    <w:name w:val="图标题（123） Char"/>
    <w:basedOn w:val="60"/>
    <w:link w:val="57"/>
    <w:qFormat/>
    <w:uiPriority w:val="0"/>
    <w:rPr>
      <w:rFonts w:eastAsia="楷体" w:asciiTheme="majorHAnsi" w:hAnsiTheme="majorHAnsi" w:cstheme="majorBidi"/>
      <w:b/>
      <w:kern w:val="2"/>
      <w:sz w:val="22"/>
      <w:szCs w:val="20"/>
    </w:rPr>
  </w:style>
  <w:style w:type="character" w:customStyle="1" w:styleId="62">
    <w:name w:val="表格标题 字符"/>
    <w:basedOn w:val="60"/>
    <w:link w:val="59"/>
    <w:qFormat/>
    <w:uiPriority w:val="0"/>
    <w:rPr>
      <w:rFonts w:ascii="Times New Roman" w:hAnsi="Times New Roman" w:eastAsia="宋体" w:cstheme="majorBidi"/>
      <w:b/>
      <w:sz w:val="20"/>
      <w:szCs w:val="20"/>
    </w:rPr>
  </w:style>
  <w:style w:type="paragraph" w:customStyle="1" w:styleId="63">
    <w:name w:val="表格内容"/>
    <w:basedOn w:val="59"/>
    <w:link w:val="64"/>
    <w:qFormat/>
    <w:uiPriority w:val="0"/>
    <w:pPr>
      <w:spacing w:line="240" w:lineRule="auto"/>
    </w:pPr>
    <w:rPr>
      <w:b w:val="0"/>
    </w:rPr>
  </w:style>
  <w:style w:type="character" w:customStyle="1" w:styleId="64">
    <w:name w:val="表格内容 字符"/>
    <w:basedOn w:val="62"/>
    <w:link w:val="63"/>
    <w:qFormat/>
    <w:uiPriority w:val="0"/>
    <w:rPr>
      <w:rFonts w:ascii="Times New Roman" w:hAnsi="Times New Roman" w:eastAsia="宋体" w:cstheme="majorBidi"/>
      <w:b w:val="0"/>
      <w:sz w:val="20"/>
      <w:szCs w:val="20"/>
    </w:rPr>
  </w:style>
  <w:style w:type="character" w:customStyle="1" w:styleId="65">
    <w:name w:val="正文缩进 字符"/>
    <w:link w:val="10"/>
    <w:qFormat/>
    <w:uiPriority w:val="99"/>
    <w:rPr>
      <w:rFonts w:ascii="Times New Roman" w:hAnsi="Times New Roman" w:eastAsia="仿宋_GB2312"/>
      <w:b/>
    </w:rPr>
  </w:style>
  <w:style w:type="character" w:customStyle="1" w:styleId="66">
    <w:name w:val="表格内容 Char"/>
    <w:locked/>
    <w:uiPriority w:val="0"/>
    <w:rPr>
      <w:rFonts w:ascii="Times New Roman" w:hAnsi="Times New Roman"/>
      <w:kern w:val="2"/>
      <w:sz w:val="21"/>
      <w:szCs w:val="21"/>
    </w:rPr>
  </w:style>
  <w:style w:type="character" w:customStyle="1" w:styleId="67">
    <w:name w:val="正  文 Char"/>
    <w:basedOn w:val="37"/>
    <w:link w:val="68"/>
    <w:qFormat/>
    <w:uiPriority w:val="0"/>
    <w:rPr>
      <w:rFonts w:ascii="宋体" w:hAnsi="宋体" w:eastAsia="宋体" w:cs="宋体"/>
      <w:sz w:val="24"/>
      <w:szCs w:val="24"/>
    </w:rPr>
  </w:style>
  <w:style w:type="paragraph" w:customStyle="1" w:styleId="68">
    <w:name w:val="正  文"/>
    <w:basedOn w:val="1"/>
    <w:next w:val="1"/>
    <w:link w:val="67"/>
    <w:uiPriority w:val="0"/>
    <w:pPr>
      <w:spacing w:line="400" w:lineRule="exact"/>
    </w:pPr>
    <w:rPr>
      <w:rFonts w:ascii="宋体" w:hAnsi="宋体" w:cs="宋体"/>
      <w:szCs w:val="24"/>
    </w:rPr>
  </w:style>
  <w:style w:type="paragraph" w:customStyle="1" w:styleId="69">
    <w:name w:val="图表名"/>
    <w:basedOn w:val="1"/>
    <w:link w:val="72"/>
    <w:uiPriority w:val="0"/>
    <w:pPr>
      <w:spacing w:line="400" w:lineRule="exact"/>
      <w:ind w:firstLine="0" w:firstLineChars="0"/>
      <w:jc w:val="center"/>
    </w:pPr>
    <w:rPr>
      <w:rFonts w:ascii="黑体" w:eastAsia="黑体" w:cs="Times New Roman"/>
      <w:smallCaps/>
      <w:spacing w:val="5"/>
      <w:sz w:val="21"/>
      <w:szCs w:val="24"/>
    </w:rPr>
  </w:style>
  <w:style w:type="paragraph" w:customStyle="1" w:styleId="70">
    <w:name w:val="内容"/>
    <w:basedOn w:val="1"/>
    <w:link w:val="71"/>
    <w:uiPriority w:val="0"/>
    <w:pPr>
      <w:spacing w:line="400" w:lineRule="exact"/>
    </w:pPr>
    <w:rPr>
      <w:rFonts w:ascii="宋体" w:cs="宋体"/>
      <w:szCs w:val="20"/>
    </w:rPr>
  </w:style>
  <w:style w:type="character" w:customStyle="1" w:styleId="71">
    <w:name w:val="内容 Char"/>
    <w:basedOn w:val="37"/>
    <w:link w:val="70"/>
    <w:qFormat/>
    <w:uiPriority w:val="0"/>
    <w:rPr>
      <w:rFonts w:ascii="宋体" w:hAnsi="Times New Roman" w:eastAsia="宋体" w:cs="宋体"/>
      <w:sz w:val="24"/>
      <w:szCs w:val="20"/>
    </w:rPr>
  </w:style>
  <w:style w:type="character" w:customStyle="1" w:styleId="72">
    <w:name w:val="图表名 Char"/>
    <w:link w:val="69"/>
    <w:qFormat/>
    <w:uiPriority w:val="0"/>
    <w:rPr>
      <w:rFonts w:ascii="黑体" w:hAnsi="Times New Roman" w:eastAsia="黑体" w:cs="Times New Roman"/>
      <w:smallCaps/>
      <w:spacing w:val="5"/>
      <w:szCs w:val="24"/>
    </w:rPr>
  </w:style>
  <w:style w:type="paragraph" w:customStyle="1" w:styleId="73">
    <w:name w:val="图表标题"/>
    <w:basedOn w:val="56"/>
    <w:link w:val="74"/>
    <w:qFormat/>
    <w:uiPriority w:val="0"/>
    <w:pPr>
      <w:spacing w:line="360" w:lineRule="auto"/>
      <w:outlineLvl w:val="5"/>
    </w:pPr>
    <w:rPr>
      <w:rFonts w:eastAsia="楷体" w:cs="宋体"/>
      <w:b/>
      <w:kern w:val="0"/>
      <w:sz w:val="22"/>
      <w:szCs w:val="24"/>
    </w:rPr>
  </w:style>
  <w:style w:type="character" w:customStyle="1" w:styleId="74">
    <w:name w:val="图表标题 字符"/>
    <w:basedOn w:val="58"/>
    <w:link w:val="73"/>
    <w:qFormat/>
    <w:uiPriority w:val="0"/>
    <w:rPr>
      <w:rFonts w:ascii="Times New Roman" w:hAnsi="Times New Roman" w:eastAsia="楷体" w:cs="宋体"/>
      <w:b/>
      <w:kern w:val="0"/>
      <w:sz w:val="22"/>
      <w:szCs w:val="24"/>
    </w:rPr>
  </w:style>
  <w:style w:type="character" w:customStyle="1" w:styleId="75">
    <w:name w:val="批注框文本 字符"/>
    <w:basedOn w:val="37"/>
    <w:link w:val="23"/>
    <w:semiHidden/>
    <w:qFormat/>
    <w:uiPriority w:val="99"/>
    <w:rPr>
      <w:rFonts w:ascii="Times New Roman" w:hAnsi="Times New Roman" w:eastAsia="宋体"/>
      <w:sz w:val="18"/>
      <w:szCs w:val="18"/>
    </w:rPr>
  </w:style>
  <w:style w:type="paragraph" w:styleId="76">
    <w:name w:val="No Spacing"/>
    <w:qFormat/>
    <w:uiPriority w:val="1"/>
    <w:pPr>
      <w:widowControl w:val="0"/>
      <w:spacing w:before="50" w:beforeLines="50" w:line="360" w:lineRule="auto"/>
      <w:jc w:val="center"/>
    </w:pPr>
    <w:rPr>
      <w:rFonts w:ascii="Times New Roman" w:hAnsi="Times New Roman" w:eastAsia="宋体" w:cs="Times New Roman"/>
      <w:kern w:val="2"/>
      <w:sz w:val="24"/>
      <w:szCs w:val="22"/>
      <w:lang w:val="en-US" w:eastAsia="zh-CN" w:bidi="ar-SA"/>
    </w:rPr>
  </w:style>
  <w:style w:type="paragraph" w:customStyle="1" w:styleId="77">
    <w:name w:val="正文文字1"/>
    <w:basedOn w:val="15"/>
    <w:uiPriority w:val="0"/>
    <w:pPr>
      <w:adjustRightInd w:val="0"/>
      <w:snapToGrid w:val="0"/>
      <w:spacing w:after="0" w:line="240" w:lineRule="auto"/>
      <w:ind w:left="-57" w:right="-57" w:firstLine="0" w:firstLineChars="0"/>
      <w:jc w:val="center"/>
    </w:pPr>
    <w:rPr>
      <w:rFonts w:cs="Times New Roman"/>
      <w:snapToGrid w:val="0"/>
      <w:sz w:val="18"/>
      <w:szCs w:val="18"/>
    </w:rPr>
  </w:style>
  <w:style w:type="paragraph" w:customStyle="1" w:styleId="78">
    <w:name w:val="正文文字3"/>
    <w:basedOn w:val="14"/>
    <w:qFormat/>
    <w:uiPriority w:val="0"/>
    <w:pPr>
      <w:adjustRightInd w:val="0"/>
      <w:snapToGrid w:val="0"/>
      <w:spacing w:after="0" w:line="240" w:lineRule="auto"/>
      <w:ind w:left="-57" w:right="-57" w:firstLine="0" w:firstLineChars="0"/>
      <w:jc w:val="center"/>
    </w:pPr>
    <w:rPr>
      <w:rFonts w:eastAsia="黑体" w:cs="Times New Roman"/>
      <w:snapToGrid w:val="0"/>
      <w:sz w:val="18"/>
      <w:szCs w:val="18"/>
    </w:rPr>
  </w:style>
  <w:style w:type="character" w:customStyle="1" w:styleId="79">
    <w:name w:val="正文文本 字符"/>
    <w:basedOn w:val="37"/>
    <w:link w:val="15"/>
    <w:semiHidden/>
    <w:qFormat/>
    <w:uiPriority w:val="99"/>
    <w:rPr>
      <w:rFonts w:ascii="Times New Roman" w:hAnsi="Times New Roman" w:eastAsia="宋体"/>
      <w:sz w:val="24"/>
    </w:rPr>
  </w:style>
  <w:style w:type="character" w:customStyle="1" w:styleId="80">
    <w:name w:val="正文文本 3 字符"/>
    <w:basedOn w:val="37"/>
    <w:link w:val="14"/>
    <w:semiHidden/>
    <w:qFormat/>
    <w:uiPriority w:val="99"/>
    <w:rPr>
      <w:rFonts w:ascii="Times New Roman" w:hAnsi="Times New Roman" w:eastAsia="宋体"/>
      <w:sz w:val="16"/>
      <w:szCs w:val="16"/>
    </w:rPr>
  </w:style>
  <w:style w:type="paragraph" w:customStyle="1" w:styleId="81">
    <w:name w:val="msonormal"/>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82">
    <w:name w:val="font5"/>
    <w:basedOn w:val="1"/>
    <w:uiPriority w:val="0"/>
    <w:pPr>
      <w:widowControl/>
      <w:spacing w:before="100" w:beforeAutospacing="1" w:after="100" w:afterAutospacing="1" w:line="240" w:lineRule="auto"/>
      <w:ind w:firstLine="0" w:firstLineChars="0"/>
      <w:jc w:val="left"/>
    </w:pPr>
    <w:rPr>
      <w:rFonts w:cs="Times New Roman"/>
      <w:color w:val="000000"/>
      <w:kern w:val="0"/>
      <w:sz w:val="21"/>
    </w:rPr>
  </w:style>
  <w:style w:type="paragraph" w:customStyle="1" w:styleId="83">
    <w:name w:val="font6"/>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84">
    <w:name w:val="font7"/>
    <w:basedOn w:val="1"/>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85">
    <w:name w:val="font8"/>
    <w:basedOn w:val="1"/>
    <w:uiPriority w:val="0"/>
    <w:pPr>
      <w:widowControl/>
      <w:spacing w:before="100" w:beforeAutospacing="1" w:after="100" w:afterAutospacing="1" w:line="240" w:lineRule="auto"/>
      <w:ind w:firstLine="0" w:firstLineChars="0"/>
      <w:jc w:val="left"/>
    </w:pPr>
    <w:rPr>
      <w:rFonts w:ascii="宋体" w:hAnsi="宋体" w:cs="宋体"/>
      <w:color w:val="FF0000"/>
      <w:kern w:val="0"/>
      <w:sz w:val="21"/>
    </w:rPr>
  </w:style>
  <w:style w:type="paragraph" w:customStyle="1" w:styleId="86">
    <w:name w:val="font9"/>
    <w:basedOn w:val="1"/>
    <w:uiPriority w:val="0"/>
    <w:pPr>
      <w:widowControl/>
      <w:spacing w:before="100" w:beforeAutospacing="1" w:after="100" w:afterAutospacing="1" w:line="240" w:lineRule="auto"/>
      <w:ind w:firstLine="0" w:firstLineChars="0"/>
      <w:jc w:val="left"/>
    </w:pPr>
    <w:rPr>
      <w:rFonts w:cs="Times New Roman"/>
      <w:color w:val="FF0000"/>
      <w:kern w:val="0"/>
      <w:sz w:val="21"/>
    </w:rPr>
  </w:style>
  <w:style w:type="paragraph" w:customStyle="1" w:styleId="87">
    <w:name w:val="xl65"/>
    <w:basedOn w:val="1"/>
    <w:uiPriority w:val="0"/>
    <w:pPr>
      <w:widowControl/>
      <w:spacing w:before="100" w:beforeAutospacing="1" w:after="100" w:afterAutospacing="1" w:line="240" w:lineRule="auto"/>
      <w:ind w:firstLine="0" w:firstLineChars="0"/>
      <w:jc w:val="left"/>
    </w:pPr>
    <w:rPr>
      <w:rFonts w:ascii="宋体" w:hAnsi="宋体" w:cs="宋体"/>
      <w:color w:val="FF0000"/>
      <w:kern w:val="0"/>
      <w:szCs w:val="24"/>
    </w:rPr>
  </w:style>
  <w:style w:type="paragraph" w:customStyle="1" w:styleId="88">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89">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90">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91">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Times New Roman"/>
      <w:kern w:val="0"/>
      <w:sz w:val="21"/>
    </w:rPr>
  </w:style>
  <w:style w:type="paragraph" w:customStyle="1" w:styleId="92">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Cs w:val="24"/>
    </w:rPr>
  </w:style>
  <w:style w:type="paragraph" w:customStyle="1" w:styleId="93">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1"/>
    </w:rPr>
  </w:style>
  <w:style w:type="paragraph" w:customStyle="1" w:styleId="94">
    <w:name w:val="xl72"/>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95">
    <w:name w:val="xl73"/>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1"/>
    </w:rPr>
  </w:style>
  <w:style w:type="paragraph" w:customStyle="1" w:styleId="96">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97">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98">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Times New Roman"/>
      <w:kern w:val="0"/>
      <w:sz w:val="21"/>
    </w:rPr>
  </w:style>
  <w:style w:type="paragraph" w:customStyle="1" w:styleId="99">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00">
    <w:name w:val="xl7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cs="Times New Roman"/>
      <w:kern w:val="0"/>
      <w:sz w:val="21"/>
    </w:rPr>
  </w:style>
  <w:style w:type="paragraph" w:customStyle="1" w:styleId="101">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Times New Roman"/>
      <w:kern w:val="0"/>
      <w:sz w:val="21"/>
    </w:rPr>
  </w:style>
  <w:style w:type="paragraph" w:customStyle="1" w:styleId="102">
    <w:name w:val="1   正文   2字符  首行缩进"/>
    <w:link w:val="103"/>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character" w:customStyle="1" w:styleId="103">
    <w:name w:val="1   正文   2字符  首行缩进 Char"/>
    <w:link w:val="102"/>
    <w:qFormat/>
    <w:uiPriority w:val="0"/>
    <w:rPr>
      <w:rFonts w:ascii="Times New Roman" w:hAnsi="Times New Roman" w:eastAsia="宋体"/>
      <w:sz w:val="24"/>
      <w:szCs w:val="22"/>
    </w:rPr>
  </w:style>
  <w:style w:type="paragraph" w:customStyle="1" w:styleId="104">
    <w:name w:val="内容正文"/>
    <w:basedOn w:val="1"/>
    <w:link w:val="105"/>
    <w:uiPriority w:val="0"/>
    <w:pPr>
      <w:spacing w:line="400" w:lineRule="exact"/>
      <w:ind w:firstLine="480"/>
    </w:pPr>
    <w:rPr>
      <w:rFonts w:cs="Times New Roman" w:asciiTheme="minorEastAsia" w:hAnsiTheme="minorEastAsia"/>
      <w:szCs w:val="24"/>
    </w:rPr>
  </w:style>
  <w:style w:type="character" w:customStyle="1" w:styleId="105">
    <w:name w:val="内容正文 Char"/>
    <w:basedOn w:val="37"/>
    <w:link w:val="104"/>
    <w:qFormat/>
    <w:uiPriority w:val="0"/>
    <w:rPr>
      <w:rFonts w:eastAsia="宋体" w:cs="Times New Roman" w:asciiTheme="minorEastAsia" w:hAnsiTheme="minorEastAsia"/>
      <w:sz w:val="24"/>
      <w:szCs w:val="24"/>
    </w:rPr>
  </w:style>
  <w:style w:type="character" w:customStyle="1" w:styleId="106">
    <w:name w:val="font41"/>
    <w:basedOn w:val="37"/>
    <w:uiPriority w:val="0"/>
    <w:rPr>
      <w:rFonts w:hint="eastAsia" w:ascii="宋体" w:hAnsi="宋体" w:eastAsia="宋体" w:cs="宋体"/>
      <w:b/>
      <w:color w:val="000000"/>
      <w:sz w:val="22"/>
      <w:szCs w:val="22"/>
      <w:u w:val="none"/>
    </w:rPr>
  </w:style>
  <w:style w:type="character" w:customStyle="1" w:styleId="107">
    <w:name w:val="font101"/>
    <w:basedOn w:val="37"/>
    <w:uiPriority w:val="0"/>
    <w:rPr>
      <w:rFonts w:hint="default" w:ascii="Times New Roman" w:hAnsi="Times New Roman" w:cs="Times New Roman"/>
      <w:color w:val="000000"/>
      <w:sz w:val="20"/>
      <w:szCs w:val="20"/>
      <w:u w:val="none"/>
    </w:rPr>
  </w:style>
  <w:style w:type="paragraph" w:customStyle="1" w:styleId="108">
    <w:name w:val="xl80"/>
    <w:basedOn w:val="1"/>
    <w:uiPriority w:val="0"/>
    <w:pPr>
      <w:widowControl/>
      <w:pBdr>
        <w:top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109">
    <w:name w:val="xl81"/>
    <w:basedOn w:val="1"/>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110">
    <w:name w:val="font10"/>
    <w:basedOn w:val="1"/>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111">
    <w:name w:val="font11"/>
    <w:basedOn w:val="1"/>
    <w:uiPriority w:val="0"/>
    <w:pPr>
      <w:widowControl/>
      <w:spacing w:before="100" w:beforeAutospacing="1" w:after="100" w:afterAutospacing="1" w:line="240" w:lineRule="auto"/>
      <w:ind w:firstLine="0" w:firstLineChars="0"/>
      <w:jc w:val="left"/>
    </w:pPr>
    <w:rPr>
      <w:rFonts w:cs="Times New Roman"/>
      <w:b/>
      <w:bCs/>
      <w:kern w:val="0"/>
      <w:sz w:val="21"/>
    </w:rPr>
  </w:style>
  <w:style w:type="paragraph" w:customStyle="1" w:styleId="112">
    <w:name w:val="font12"/>
    <w:basedOn w:val="1"/>
    <w:uiPriority w:val="0"/>
    <w:pPr>
      <w:widowControl/>
      <w:spacing w:before="100" w:beforeAutospacing="1" w:after="100" w:afterAutospacing="1" w:line="240" w:lineRule="auto"/>
      <w:ind w:firstLine="0" w:firstLineChars="0"/>
      <w:jc w:val="left"/>
    </w:pPr>
    <w:rPr>
      <w:rFonts w:cs="Times New Roman"/>
      <w:b/>
      <w:bCs/>
      <w:kern w:val="0"/>
      <w:sz w:val="21"/>
    </w:rPr>
  </w:style>
  <w:style w:type="paragraph" w:customStyle="1" w:styleId="113">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114">
    <w:name w:val="xl83"/>
    <w:basedOn w:val="1"/>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table" w:customStyle="1" w:styleId="115">
    <w:name w:val="外框"/>
    <w:basedOn w:val="35"/>
    <w:qFormat/>
    <w:uiPriority w:val="0"/>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blStylePr w:type="firstRow">
      <w:tcPr>
        <w:tcBorders>
          <w:top w:val="single" w:color="auto" w:sz="12" w:space="0"/>
        </w:tcBorders>
      </w:tcPr>
    </w:tblStylePr>
    <w:tblStylePr w:type="lastRow">
      <w:tcPr>
        <w:tcBorders>
          <w:bottom w:val="single" w:color="auto" w:sz="18" w:space="0"/>
        </w:tcBorders>
      </w:tcPr>
    </w:tblStylePr>
    <w:tblStylePr w:type="firstCol">
      <w:tcPr>
        <w:tcBorders>
          <w:left w:val="single" w:color="auto" w:sz="12" w:space="0"/>
        </w:tcBorders>
      </w:tcPr>
    </w:tblStylePr>
    <w:tblStylePr w:type="lastCol">
      <w:tcPr>
        <w:tcBorders>
          <w:right w:val="single" w:color="auto" w:sz="18" w:space="0"/>
        </w:tcBorders>
      </w:tcPr>
    </w:tblStylePr>
  </w:style>
  <w:style w:type="character" w:customStyle="1" w:styleId="116">
    <w:name w:val="标题4 字符"/>
    <w:basedOn w:val="37"/>
    <w:link w:val="117"/>
    <w:qFormat/>
    <w:locked/>
    <w:uiPriority w:val="0"/>
    <w:rPr>
      <w:rFonts w:asciiTheme="majorHAnsi" w:hAnsiTheme="majorHAnsi" w:eastAsiaTheme="majorEastAsia" w:cstheme="majorBidi"/>
      <w:b/>
      <w:bCs/>
      <w:sz w:val="24"/>
      <w:szCs w:val="28"/>
    </w:rPr>
  </w:style>
  <w:style w:type="paragraph" w:customStyle="1" w:styleId="117">
    <w:name w:val="标题4"/>
    <w:basedOn w:val="6"/>
    <w:link w:val="116"/>
    <w:uiPriority w:val="0"/>
    <w:pPr>
      <w:numPr>
        <w:ilvl w:val="0"/>
        <w:numId w:val="0"/>
      </w:numPr>
      <w:ind w:firstLine="200" w:firstLineChars="200"/>
    </w:pPr>
    <w:rPr>
      <w:rFonts w:asciiTheme="majorHAnsi" w:hAnsiTheme="majorHAnsi" w:eastAsiaTheme="majorEastAsia"/>
    </w:rPr>
  </w:style>
  <w:style w:type="character" w:customStyle="1" w:styleId="118">
    <w:name w:val="图表标题 Char"/>
    <w:locked/>
    <w:uiPriority w:val="0"/>
    <w:rPr>
      <w:rFonts w:eastAsia="楷体"/>
      <w:b/>
      <w:bCs/>
      <w:sz w:val="24"/>
    </w:rPr>
  </w:style>
  <w:style w:type="character" w:customStyle="1" w:styleId="119">
    <w:name w:val="fontstyle01"/>
    <w:basedOn w:val="37"/>
    <w:uiPriority w:val="0"/>
    <w:rPr>
      <w:rFonts w:hint="eastAsia" w:ascii="宋体" w:hAnsi="宋体" w:eastAsia="宋体"/>
      <w:color w:val="000000"/>
      <w:sz w:val="24"/>
      <w:szCs w:val="24"/>
    </w:rPr>
  </w:style>
  <w:style w:type="character" w:customStyle="1" w:styleId="120">
    <w:name w:val="fontstyle21"/>
    <w:basedOn w:val="37"/>
    <w:uiPriority w:val="0"/>
    <w:rPr>
      <w:rFonts w:hint="default" w:ascii="TimesNewRomanPSMT" w:hAnsi="TimesNewRomanPSMT"/>
      <w:color w:val="000000"/>
      <w:sz w:val="24"/>
      <w:szCs w:val="24"/>
    </w:rPr>
  </w:style>
  <w:style w:type="character" w:customStyle="1" w:styleId="121">
    <w:name w:val="fontstyle11"/>
    <w:basedOn w:val="37"/>
    <w:uiPriority w:val="0"/>
    <w:rPr>
      <w:rFonts w:hint="default" w:ascii="TimesNewRomanPSMT" w:hAnsi="TimesNewRomanPSMT"/>
      <w:color w:val="000000"/>
      <w:sz w:val="24"/>
      <w:szCs w:val="24"/>
    </w:rPr>
  </w:style>
  <w:style w:type="paragraph" w:customStyle="1" w:styleId="122">
    <w:name w:val="前言"/>
    <w:basedOn w:val="1"/>
    <w:link w:val="124"/>
    <w:uiPriority w:val="0"/>
    <w:pPr>
      <w:ind w:firstLine="480"/>
    </w:pPr>
  </w:style>
  <w:style w:type="paragraph" w:customStyle="1" w:styleId="123">
    <w:name w:val="1   正文   表头"/>
    <w:uiPriority w:val="0"/>
    <w:pPr>
      <w:spacing w:line="500" w:lineRule="exact"/>
      <w:jc w:val="center"/>
    </w:pPr>
    <w:rPr>
      <w:rFonts w:ascii="Times New Roman" w:hAnsi="Times New Roman" w:eastAsiaTheme="minorEastAsia" w:cstheme="minorBidi"/>
      <w:b/>
      <w:kern w:val="2"/>
      <w:sz w:val="21"/>
      <w:szCs w:val="21"/>
      <w:lang w:val="en-US" w:eastAsia="zh-CN" w:bidi="ar-SA"/>
    </w:rPr>
  </w:style>
  <w:style w:type="character" w:customStyle="1" w:styleId="124">
    <w:name w:val="前言 字符"/>
    <w:basedOn w:val="37"/>
    <w:link w:val="122"/>
    <w:qFormat/>
    <w:uiPriority w:val="0"/>
    <w:rPr>
      <w:rFonts w:ascii="Times New Roman" w:hAnsi="Times New Roman" w:eastAsia="宋体"/>
      <w:sz w:val="24"/>
    </w:rPr>
  </w:style>
  <w:style w:type="paragraph" w:customStyle="1" w:styleId="125">
    <w:name w:val="1   正文   表"/>
    <w:basedOn w:val="1"/>
    <w:link w:val="126"/>
    <w:uiPriority w:val="0"/>
    <w:pPr>
      <w:spacing w:line="240" w:lineRule="auto"/>
      <w:ind w:firstLine="0" w:firstLineChars="0"/>
    </w:pPr>
    <w:rPr>
      <w:rFonts w:eastAsiaTheme="minorEastAsia"/>
      <w:sz w:val="21"/>
    </w:rPr>
  </w:style>
  <w:style w:type="character" w:customStyle="1" w:styleId="126">
    <w:name w:val="1   正文   表 Char"/>
    <w:link w:val="125"/>
    <w:qFormat/>
    <w:uiPriority w:val="0"/>
    <w:rPr>
      <w:rFonts w:ascii="Times New Roman" w:hAnsi="Times New Roman"/>
    </w:rPr>
  </w:style>
  <w:style w:type="character" w:customStyle="1" w:styleId="127">
    <w:name w:val="批注文字 字符1"/>
    <w:basedOn w:val="37"/>
    <w:link w:val="13"/>
    <w:semiHidden/>
    <w:qFormat/>
    <w:uiPriority w:val="99"/>
    <w:rPr>
      <w:rFonts w:ascii="Times New Roman" w:hAnsi="Times New Roman" w:eastAsia="宋体"/>
      <w:sz w:val="24"/>
    </w:rPr>
  </w:style>
  <w:style w:type="character" w:customStyle="1" w:styleId="128">
    <w:name w:val="批注主题 字符"/>
    <w:basedOn w:val="127"/>
    <w:link w:val="33"/>
    <w:semiHidden/>
    <w:qFormat/>
    <w:uiPriority w:val="99"/>
    <w:rPr>
      <w:rFonts w:ascii="Times New Roman" w:hAnsi="Times New Roman" w:eastAsia="宋体"/>
      <w:b/>
      <w:bCs/>
      <w:sz w:val="24"/>
    </w:rPr>
  </w:style>
  <w:style w:type="character" w:styleId="129">
    <w:name w:val="Placeholder Text"/>
    <w:basedOn w:val="37"/>
    <w:semiHidden/>
    <w:qFormat/>
    <w:uiPriority w:val="99"/>
    <w:rPr>
      <w:color w:val="808080"/>
    </w:rPr>
  </w:style>
  <w:style w:type="paragraph" w:customStyle="1" w:styleId="130">
    <w:name w:val="1   正文   2字符加粗首行缩进"/>
    <w:uiPriority w:val="0"/>
    <w:pPr>
      <w:autoSpaceDE w:val="0"/>
      <w:autoSpaceDN w:val="0"/>
      <w:adjustRightInd w:val="0"/>
      <w:spacing w:line="500" w:lineRule="exact"/>
      <w:ind w:firstLine="200" w:firstLineChars="200"/>
      <w:jc w:val="both"/>
    </w:pPr>
    <w:rPr>
      <w:rFonts w:ascii="Times New Roman" w:hAnsi="Times New Roman" w:eastAsiaTheme="minorEastAsia" w:cstheme="minorBidi"/>
      <w:b/>
      <w:kern w:val="2"/>
      <w:sz w:val="24"/>
      <w:szCs w:val="22"/>
      <w:lang w:val="en-US" w:eastAsia="zh-CN" w:bidi="ar-SA"/>
    </w:rPr>
  </w:style>
  <w:style w:type="character" w:customStyle="1" w:styleId="131">
    <w:name w:val="fontstyle31"/>
    <w:basedOn w:val="37"/>
    <w:uiPriority w:val="0"/>
    <w:rPr>
      <w:rFonts w:hint="default" w:ascii="TimesNewRomanPS-BoldMT" w:hAnsi="TimesNewRomanPS-BoldMT"/>
      <w:b/>
      <w:bCs/>
      <w:color w:val="000000"/>
      <w:sz w:val="32"/>
      <w:szCs w:val="32"/>
    </w:rPr>
  </w:style>
  <w:style w:type="character" w:customStyle="1" w:styleId="132">
    <w:name w:val="fontstyle41"/>
    <w:basedOn w:val="37"/>
    <w:uiPriority w:val="0"/>
    <w:rPr>
      <w:rFonts w:hint="eastAsia" w:ascii="黑体" w:hAnsi="黑体" w:eastAsia="黑体"/>
      <w:color w:val="000000"/>
      <w:sz w:val="32"/>
      <w:szCs w:val="32"/>
    </w:rPr>
  </w:style>
  <w:style w:type="table" w:customStyle="1" w:styleId="133">
    <w:name w:val="网格型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4">
    <w:name w:val="文档结构图 字符"/>
    <w:basedOn w:val="37"/>
    <w:link w:val="12"/>
    <w:semiHidden/>
    <w:qFormat/>
    <w:uiPriority w:val="99"/>
    <w:rPr>
      <w:rFonts w:ascii="宋体" w:hAnsi="Times New Roman" w:eastAsia="宋体"/>
      <w:sz w:val="18"/>
      <w:szCs w:val="18"/>
    </w:rPr>
  </w:style>
  <w:style w:type="table" w:customStyle="1" w:styleId="135">
    <w:name w:val="网格型2"/>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6">
    <w:name w:val="正文缩进（自定义）"/>
    <w:basedOn w:val="1"/>
    <w:uiPriority w:val="0"/>
    <w:pPr>
      <w:spacing w:before="120" w:after="120"/>
      <w:ind w:firstLine="480"/>
    </w:pPr>
    <w:rPr>
      <w:rFonts w:ascii="Century Gothic" w:hAnsi="Century Gothic" w:cs="Times New Roman"/>
      <w:kern w:val="0"/>
      <w:szCs w:val="24"/>
    </w:rPr>
  </w:style>
  <w:style w:type="character" w:customStyle="1" w:styleId="137">
    <w:name w:val="正文文本缩进 字符"/>
    <w:basedOn w:val="37"/>
    <w:link w:val="16"/>
    <w:qFormat/>
    <w:uiPriority w:val="99"/>
    <w:rPr>
      <w:rFonts w:ascii="Times New Roman" w:hAnsi="Times New Roman" w:eastAsia="宋体"/>
      <w:sz w:val="24"/>
    </w:rPr>
  </w:style>
  <w:style w:type="character" w:customStyle="1" w:styleId="138">
    <w:name w:val="正文首行缩进 2 字符"/>
    <w:basedOn w:val="137"/>
    <w:link w:val="34"/>
    <w:qFormat/>
    <w:uiPriority w:val="99"/>
    <w:rPr>
      <w:rFonts w:ascii="Times New Roman" w:hAnsi="Times New Roman" w:eastAsia="宋体"/>
      <w:sz w:val="24"/>
      <w:szCs w:val="22"/>
    </w:rPr>
  </w:style>
  <w:style w:type="character" w:customStyle="1" w:styleId="139">
    <w:name w:val="st1"/>
    <w:basedOn w:val="37"/>
    <w:uiPriority w:val="0"/>
  </w:style>
  <w:style w:type="paragraph" w:customStyle="1" w:styleId="140">
    <w:name w:val="文本"/>
    <w:basedOn w:val="1"/>
    <w:next w:val="10"/>
    <w:uiPriority w:val="0"/>
    <w:pPr>
      <w:ind w:firstLine="480"/>
    </w:pPr>
    <w:rPr>
      <w:szCs w:val="24"/>
    </w:rPr>
  </w:style>
  <w:style w:type="paragraph" w:customStyle="1" w:styleId="141">
    <w:name w:val="font13"/>
    <w:basedOn w:val="1"/>
    <w:uiPriority w:val="0"/>
    <w:pPr>
      <w:widowControl/>
      <w:spacing w:before="100" w:beforeAutospacing="1" w:after="100" w:afterAutospacing="1" w:line="240" w:lineRule="auto"/>
      <w:ind w:firstLine="0" w:firstLineChars="0"/>
      <w:jc w:val="left"/>
    </w:pPr>
    <w:rPr>
      <w:rFonts w:ascii="等线" w:hAnsi="等线" w:eastAsia="等线" w:cs="宋体"/>
      <w:color w:val="0563C1"/>
      <w:kern w:val="0"/>
      <w:sz w:val="22"/>
      <w:szCs w:val="22"/>
      <w:u w:val="single"/>
    </w:rPr>
  </w:style>
  <w:style w:type="paragraph" w:customStyle="1" w:styleId="142">
    <w:name w:val="font14"/>
    <w:basedOn w:val="1"/>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143">
    <w:name w:val="xl84"/>
    <w:basedOn w:val="1"/>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144">
    <w:name w:val="xl85"/>
    <w:basedOn w:val="1"/>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firstLineChars="0"/>
      <w:jc w:val="left"/>
    </w:pPr>
    <w:rPr>
      <w:rFonts w:cs="Times New Roman"/>
      <w:i/>
      <w:iCs/>
      <w:color w:val="000000"/>
      <w:kern w:val="0"/>
      <w:sz w:val="21"/>
    </w:rPr>
  </w:style>
  <w:style w:type="paragraph" w:customStyle="1" w:styleId="145">
    <w:name w:val="xl86"/>
    <w:basedOn w:val="1"/>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firstLineChars="0"/>
      <w:jc w:val="left"/>
    </w:pPr>
    <w:rPr>
      <w:rFonts w:cs="Times New Roman"/>
      <w:i/>
      <w:iCs/>
      <w:color w:val="000000"/>
      <w:kern w:val="0"/>
      <w:szCs w:val="24"/>
    </w:rPr>
  </w:style>
  <w:style w:type="paragraph" w:customStyle="1" w:styleId="146">
    <w:name w:val="xl87"/>
    <w:basedOn w:val="1"/>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147">
    <w:name w:val="xl88"/>
    <w:basedOn w:val="1"/>
    <w:uiPriority w:val="0"/>
    <w:pPr>
      <w:widowControl/>
      <w:pBdr>
        <w:bottom w:val="single" w:color="auto" w:sz="8" w:space="0"/>
        <w:right w:val="single" w:color="auto" w:sz="8" w:space="0"/>
      </w:pBdr>
      <w:shd w:val="clear" w:color="000000" w:fill="FFFFFF"/>
      <w:spacing w:before="100" w:beforeAutospacing="1" w:after="100" w:afterAutospacing="1" w:line="240" w:lineRule="auto"/>
      <w:ind w:firstLine="0" w:firstLineChars="0"/>
      <w:jc w:val="left"/>
    </w:pPr>
    <w:rPr>
      <w:rFonts w:ascii="宋体" w:hAnsi="宋体" w:cs="宋体"/>
      <w:color w:val="0563C1"/>
      <w:kern w:val="0"/>
      <w:szCs w:val="24"/>
      <w:u w:val="single"/>
    </w:rPr>
  </w:style>
  <w:style w:type="paragraph" w:customStyle="1" w:styleId="148">
    <w:name w:val="xl89"/>
    <w:basedOn w:val="1"/>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149">
    <w:name w:val="xl90"/>
    <w:basedOn w:val="1"/>
    <w:uiPriority w:val="0"/>
    <w:pPr>
      <w:widowControl/>
      <w:pBdr>
        <w:top w:val="single" w:color="auto" w:sz="8" w:space="0"/>
        <w:bottom w:val="single" w:color="auto" w:sz="8"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150">
    <w:name w:val="xl91"/>
    <w:basedOn w:val="1"/>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151">
    <w:name w:val="xl92"/>
    <w:basedOn w:val="1"/>
    <w:uiPriority w:val="0"/>
    <w:pPr>
      <w:widowControl/>
      <w:pBdr>
        <w:top w:val="single" w:color="auto" w:sz="8" w:space="0"/>
        <w:bottom w:val="single" w:color="auto" w:sz="8" w:space="0"/>
        <w:right w:val="single" w:color="000000" w:sz="8"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sz w:val="21"/>
    </w:rPr>
  </w:style>
  <w:style w:type="character" w:customStyle="1" w:styleId="152">
    <w:name w:val="注释标题 字符"/>
    <w:basedOn w:val="37"/>
    <w:link w:val="9"/>
    <w:qFormat/>
    <w:uiPriority w:val="99"/>
    <w:rPr>
      <w:rFonts w:ascii="仿宋_GB2312" w:hAnsi="仿宋_GB2312" w:eastAsia="宋体" w:cs="宋体"/>
      <w:kern w:val="0"/>
      <w:sz w:val="20"/>
      <w:szCs w:val="20"/>
    </w:rPr>
  </w:style>
  <w:style w:type="character" w:customStyle="1" w:styleId="153">
    <w:name w:val="样式 正文 首行缩进:  2 字符 SL CON + 首行缩进:  2 字符 Char"/>
    <w:link w:val="154"/>
    <w:qFormat/>
    <w:locked/>
    <w:uiPriority w:val="0"/>
    <w:rPr>
      <w:sz w:val="24"/>
    </w:rPr>
  </w:style>
  <w:style w:type="paragraph" w:customStyle="1" w:styleId="154">
    <w:name w:val="样式 正文 首行缩进:  2 字符 SL CON + 首行缩进:  2 字符"/>
    <w:basedOn w:val="1"/>
    <w:link w:val="153"/>
    <w:uiPriority w:val="0"/>
    <w:pPr>
      <w:tabs>
        <w:tab w:val="left" w:pos="377"/>
      </w:tabs>
      <w:ind w:firstLine="480"/>
    </w:pPr>
    <w:rPr>
      <w:rFonts w:asciiTheme="minorHAnsi" w:hAnsiTheme="minorHAnsi" w:eastAsiaTheme="minorEastAsia"/>
    </w:rPr>
  </w:style>
  <w:style w:type="paragraph" w:customStyle="1" w:styleId="155">
    <w:name w:val="一级标题样式"/>
    <w:basedOn w:val="1"/>
    <w:uiPriority w:val="0"/>
    <w:pPr>
      <w:widowControl/>
      <w:adjustRightInd w:val="0"/>
      <w:snapToGrid w:val="0"/>
      <w:spacing w:line="240" w:lineRule="auto"/>
      <w:ind w:firstLine="0" w:firstLineChars="0"/>
      <w:jc w:val="center"/>
    </w:pPr>
    <w:rPr>
      <w:rFonts w:ascii="宋体" w:hAnsi="宋体" w:eastAsia="黑体" w:cs="宋体"/>
      <w:b/>
      <w:kern w:val="0"/>
      <w:sz w:val="36"/>
      <w:szCs w:val="36"/>
    </w:rPr>
  </w:style>
  <w:style w:type="paragraph" w:customStyle="1" w:styleId="156">
    <w:name w:val="表格"/>
    <w:basedOn w:val="1"/>
    <w:link w:val="157"/>
    <w:qFormat/>
    <w:uiPriority w:val="0"/>
    <w:pPr>
      <w:adjustRightInd w:val="0"/>
      <w:spacing w:line="240" w:lineRule="auto"/>
      <w:ind w:firstLine="0" w:firstLineChars="0"/>
      <w:jc w:val="center"/>
      <w:textAlignment w:val="baseline"/>
    </w:pPr>
    <w:rPr>
      <w:rFonts w:ascii="宋体" w:cs="Times New Roman"/>
      <w:kern w:val="0"/>
      <w:sz w:val="21"/>
      <w:szCs w:val="20"/>
    </w:rPr>
  </w:style>
  <w:style w:type="character" w:customStyle="1" w:styleId="157">
    <w:name w:val="表格 Char Char"/>
    <w:link w:val="156"/>
    <w:qFormat/>
    <w:uiPriority w:val="0"/>
    <w:rPr>
      <w:rFonts w:ascii="宋体" w:hAnsi="Times New Roman" w:eastAsia="宋体" w:cs="Times New Roman"/>
      <w:kern w:val="0"/>
      <w:szCs w:val="20"/>
    </w:rPr>
  </w:style>
  <w:style w:type="paragraph" w:customStyle="1" w:styleId="158">
    <w:name w:val="样式 居中"/>
    <w:basedOn w:val="1"/>
    <w:uiPriority w:val="0"/>
    <w:pPr>
      <w:adjustRightInd w:val="0"/>
      <w:snapToGrid w:val="0"/>
      <w:spacing w:before="100" w:beforeAutospacing="1" w:after="100" w:afterAutospacing="1" w:line="240" w:lineRule="auto"/>
      <w:ind w:left="-9" w:leftChars="-12" w:hanging="16" w:firstLineChars="0"/>
      <w:jc w:val="center"/>
    </w:pPr>
    <w:rPr>
      <w:rFonts w:ascii="宋体" w:hAnsi="宋体" w:cs="宋体"/>
      <w:sz w:val="21"/>
    </w:rPr>
  </w:style>
  <w:style w:type="paragraph" w:customStyle="1" w:styleId="159">
    <w:name w:val="WordSection1_table_td_p"/>
    <w:basedOn w:val="1"/>
    <w:uiPriority w:val="0"/>
    <w:pPr>
      <w:widowControl/>
      <w:spacing w:line="240" w:lineRule="auto"/>
      <w:ind w:firstLine="0" w:firstLineChars="0"/>
      <w:jc w:val="left"/>
    </w:pPr>
    <w:rPr>
      <w:rFonts w:ascii="宋体" w:hAnsi="宋体" w:cs="宋体"/>
      <w:kern w:val="0"/>
      <w:sz w:val="21"/>
    </w:rPr>
  </w:style>
  <w:style w:type="character" w:customStyle="1" w:styleId="160">
    <w:name w:val="WordSection1_table_td_p_span"/>
    <w:uiPriority w:val="0"/>
    <w:rPr>
      <w:rFonts w:ascii="宋体" w:hAnsi="宋体" w:eastAsia="宋体" w:cs="宋体"/>
      <w:sz w:val="21"/>
      <w:szCs w:val="21"/>
    </w:rPr>
  </w:style>
  <w:style w:type="paragraph" w:customStyle="1" w:styleId="161">
    <w:name w:val="报告表格"/>
    <w:basedOn w:val="1"/>
    <w:uiPriority w:val="0"/>
    <w:pPr>
      <w:widowControl/>
      <w:autoSpaceDE w:val="0"/>
      <w:autoSpaceDN w:val="0"/>
      <w:adjustRightInd w:val="0"/>
      <w:spacing w:before="40" w:after="40" w:line="240" w:lineRule="auto"/>
      <w:ind w:firstLine="0" w:firstLineChars="0"/>
      <w:jc w:val="center"/>
      <w:textAlignment w:val="bottom"/>
    </w:pPr>
    <w:rPr>
      <w:rFonts w:ascii="宋体" w:hAnsi="宋体" w:cs="宋体"/>
      <w:kern w:val="0"/>
      <w:sz w:val="21"/>
      <w:szCs w:val="24"/>
    </w:rPr>
  </w:style>
  <w:style w:type="character" w:customStyle="1" w:styleId="162">
    <w:name w:val="preview-text_p &gt; span"/>
    <w:uiPriority w:val="0"/>
    <w:rPr>
      <w:rFonts w:ascii="宋体" w:hAnsi="宋体" w:eastAsia="宋体" w:cs="宋体"/>
      <w:color w:val="000000"/>
      <w:sz w:val="24"/>
      <w:szCs w:val="24"/>
    </w:rPr>
  </w:style>
  <w:style w:type="paragraph" w:customStyle="1" w:styleId="163">
    <w:name w:val="p_MsoNormal"/>
    <w:basedOn w:val="1"/>
    <w:uiPriority w:val="0"/>
    <w:pPr>
      <w:widowControl/>
      <w:spacing w:line="400" w:lineRule="atLeast"/>
      <w:ind w:firstLine="0" w:firstLineChars="0"/>
      <w:jc w:val="left"/>
    </w:pPr>
    <w:rPr>
      <w:rFonts w:ascii="宋体" w:hAnsi="宋体" w:cs="宋体"/>
      <w:kern w:val="0"/>
      <w:szCs w:val="24"/>
    </w:rPr>
  </w:style>
  <w:style w:type="character" w:customStyle="1" w:styleId="164">
    <w:name w:val="正文格式 Char"/>
    <w:link w:val="165"/>
    <w:qFormat/>
    <w:uiPriority w:val="0"/>
    <w:rPr>
      <w:sz w:val="24"/>
      <w:szCs w:val="22"/>
    </w:rPr>
  </w:style>
  <w:style w:type="paragraph" w:customStyle="1" w:styleId="165">
    <w:name w:val="正文格式"/>
    <w:basedOn w:val="1"/>
    <w:link w:val="164"/>
    <w:uiPriority w:val="0"/>
    <w:pPr>
      <w:ind w:firstLine="480"/>
    </w:pPr>
    <w:rPr>
      <w:rFonts w:asciiTheme="minorHAnsi" w:hAnsiTheme="minorHAnsi" w:eastAsiaTheme="minorEastAsia"/>
      <w:szCs w:val="22"/>
    </w:rPr>
  </w:style>
  <w:style w:type="character" w:customStyle="1" w:styleId="166">
    <w:name w:val="font01"/>
    <w:basedOn w:val="37"/>
    <w:uiPriority w:val="0"/>
    <w:rPr>
      <w:rFonts w:hint="eastAsia" w:ascii="宋体" w:hAnsi="宋体" w:eastAsia="宋体" w:cs="宋体"/>
      <w:b/>
      <w:color w:val="000000"/>
      <w:sz w:val="21"/>
      <w:szCs w:val="21"/>
      <w:u w:val="none"/>
    </w:rPr>
  </w:style>
  <w:style w:type="character" w:customStyle="1" w:styleId="167">
    <w:name w:val="font61"/>
    <w:basedOn w:val="37"/>
    <w:uiPriority w:val="0"/>
    <w:rPr>
      <w:rFonts w:hint="default" w:ascii="Times New Roman" w:hAnsi="Times New Roman" w:cs="Times New Roman"/>
      <w:color w:val="000000"/>
      <w:sz w:val="21"/>
      <w:szCs w:val="21"/>
      <w:u w:val="none"/>
    </w:rPr>
  </w:style>
  <w:style w:type="character" w:customStyle="1" w:styleId="168">
    <w:name w:val="正文文本缩进 2 字符"/>
    <w:basedOn w:val="37"/>
    <w:link w:val="22"/>
    <w:semiHidden/>
    <w:qFormat/>
    <w:uiPriority w:val="99"/>
    <w:rPr>
      <w:rFonts w:ascii="Times New Roman" w:hAnsi="Times New Roman" w:eastAsia="宋体" w:cs="宋体"/>
      <w:kern w:val="0"/>
      <w:sz w:val="24"/>
      <w:szCs w:val="24"/>
    </w:rPr>
  </w:style>
  <w:style w:type="character" w:customStyle="1" w:styleId="169">
    <w:name w:val="纯文本 字符"/>
    <w:basedOn w:val="37"/>
    <w:link w:val="19"/>
    <w:qFormat/>
    <w:uiPriority w:val="99"/>
    <w:rPr>
      <w:rFonts w:ascii="宋体" w:hAnsi="Courier New" w:eastAsia="宋体" w:cs="宋体"/>
      <w:kern w:val="0"/>
      <w:sz w:val="20"/>
      <w:szCs w:val="20"/>
    </w:rPr>
  </w:style>
  <w:style w:type="paragraph" w:customStyle="1" w:styleId="170">
    <w:name w:val="1   正文   小标题3级  首行缩进"/>
    <w:link w:val="171"/>
    <w:uiPriority w:val="0"/>
    <w:pPr>
      <w:spacing w:line="500" w:lineRule="exact"/>
      <w:ind w:firstLine="200" w:firstLineChars="200"/>
      <w:outlineLvl w:val="2"/>
    </w:pPr>
    <w:rPr>
      <w:rFonts w:ascii="Times New Roman" w:hAnsi="Times New Roman" w:eastAsia="仿宋" w:cstheme="minorBidi"/>
      <w:b/>
      <w:kern w:val="2"/>
      <w:sz w:val="24"/>
      <w:szCs w:val="22"/>
      <w:lang w:val="en-US" w:eastAsia="zh-CN" w:bidi="ar-SA"/>
    </w:rPr>
  </w:style>
  <w:style w:type="character" w:customStyle="1" w:styleId="171">
    <w:name w:val="1   正文   小标题3级  首行缩进 Char"/>
    <w:link w:val="170"/>
    <w:qFormat/>
    <w:locked/>
    <w:uiPriority w:val="0"/>
    <w:rPr>
      <w:rFonts w:ascii="Times New Roman" w:hAnsi="Times New Roman" w:eastAsia="仿宋"/>
      <w:b/>
      <w:sz w:val="24"/>
      <w:szCs w:val="22"/>
    </w:rPr>
  </w:style>
  <w:style w:type="table" w:customStyle="1" w:styleId="172">
    <w:name w:val="网格表 1 浅色1"/>
    <w:basedOn w:val="35"/>
    <w:qFormat/>
    <w:uiPriority w:val="46"/>
    <w:rPr>
      <w:rFonts w:eastAsia="Times New Roma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73">
    <w:name w:val="1   正文   小标题4"/>
    <w:basedOn w:val="1"/>
    <w:next w:val="1"/>
    <w:uiPriority w:val="0"/>
    <w:pPr>
      <w:widowControl/>
      <w:spacing w:line="500" w:lineRule="exact"/>
      <w:jc w:val="left"/>
      <w:outlineLvl w:val="3"/>
    </w:pPr>
    <w:rPr>
      <w:rFonts w:eastAsia="仿宋"/>
      <w:b/>
      <w:szCs w:val="22"/>
    </w:rPr>
  </w:style>
  <w:style w:type="character" w:customStyle="1" w:styleId="174">
    <w:name w:val="环评表头 Char"/>
    <w:link w:val="175"/>
    <w:qFormat/>
    <w:uiPriority w:val="0"/>
    <w:rPr>
      <w:b/>
    </w:rPr>
  </w:style>
  <w:style w:type="paragraph" w:customStyle="1" w:styleId="175">
    <w:name w:val="环评表头"/>
    <w:basedOn w:val="1"/>
    <w:next w:val="1"/>
    <w:link w:val="174"/>
    <w:uiPriority w:val="0"/>
    <w:pPr>
      <w:ind w:firstLine="0" w:firstLineChars="0"/>
      <w:jc w:val="center"/>
    </w:pPr>
    <w:rPr>
      <w:rFonts w:asciiTheme="minorHAnsi" w:hAnsiTheme="minorHAnsi" w:eastAsiaTheme="minorEastAsia"/>
      <w:b/>
      <w:sz w:val="21"/>
    </w:rPr>
  </w:style>
  <w:style w:type="character" w:customStyle="1" w:styleId="176">
    <w:name w:val="日期 字符1"/>
    <w:basedOn w:val="37"/>
    <w:uiPriority w:val="99"/>
    <w:rPr>
      <w:b/>
      <w:kern w:val="2"/>
      <w:sz w:val="28"/>
    </w:rPr>
  </w:style>
  <w:style w:type="paragraph" w:customStyle="1" w:styleId="177">
    <w:name w:val="1   正文   小标题2级   首行缩进"/>
    <w:link w:val="178"/>
    <w:uiPriority w:val="0"/>
    <w:pPr>
      <w:spacing w:line="500" w:lineRule="exact"/>
      <w:ind w:firstLine="200" w:firstLineChars="200"/>
      <w:outlineLvl w:val="1"/>
    </w:pPr>
    <w:rPr>
      <w:rFonts w:ascii="Times New Roman" w:hAnsi="Times New Roman" w:eastAsia="仿宋" w:cstheme="minorBidi"/>
      <w:b/>
      <w:kern w:val="2"/>
      <w:sz w:val="24"/>
      <w:szCs w:val="22"/>
      <w:lang w:val="en-US" w:eastAsia="zh-CN" w:bidi="ar-SA"/>
    </w:rPr>
  </w:style>
  <w:style w:type="character" w:customStyle="1" w:styleId="178">
    <w:name w:val="1   正文   小标题2级   首行缩进 Char"/>
    <w:link w:val="177"/>
    <w:qFormat/>
    <w:locked/>
    <w:uiPriority w:val="0"/>
    <w:rPr>
      <w:rFonts w:ascii="Times New Roman" w:hAnsi="Times New Roman" w:eastAsia="仿宋"/>
      <w:b/>
      <w:sz w:val="24"/>
      <w:szCs w:val="22"/>
    </w:rPr>
  </w:style>
  <w:style w:type="character" w:customStyle="1" w:styleId="179">
    <w:name w:val="普通(网站) 字符"/>
    <w:basedOn w:val="37"/>
    <w:link w:val="31"/>
    <w:qFormat/>
    <w:uiPriority w:val="0"/>
    <w:rPr>
      <w:rFonts w:ascii="宋体" w:hAnsi="宋体" w:eastAsia="宋体" w:cs="宋体"/>
      <w:kern w:val="0"/>
      <w:sz w:val="24"/>
      <w:szCs w:val="24"/>
    </w:rPr>
  </w:style>
  <w:style w:type="paragraph" w:customStyle="1" w:styleId="180">
    <w:name w:val="CJ 文本111"/>
    <w:basedOn w:val="16"/>
    <w:uiPriority w:val="0"/>
    <w:pPr>
      <w:spacing w:after="0"/>
      <w:ind w:left="0" w:leftChars="0"/>
      <w:jc w:val="left"/>
    </w:pPr>
    <w:rPr>
      <w:rFonts w:eastAsia="黑体" w:cs="宋体"/>
      <w:kern w:val="0"/>
      <w:szCs w:val="24"/>
    </w:rPr>
  </w:style>
  <w:style w:type="paragraph" w:customStyle="1" w:styleId="181">
    <w:name w:val="0-24.5磅"/>
    <w:basedOn w:val="1"/>
    <w:uiPriority w:val="0"/>
    <w:pPr>
      <w:spacing w:line="490" w:lineRule="atLeast"/>
      <w:ind w:left="20" w:leftChars="20" w:right="20" w:rightChars="20" w:firstLine="220" w:firstLineChars="220"/>
      <w:jc w:val="left"/>
    </w:pPr>
    <w:rPr>
      <w:rFonts w:cs="宋体"/>
      <w:kern w:val="0"/>
      <w:shd w:val="clear" w:color="auto" w:fill="FFFFFF"/>
    </w:rPr>
  </w:style>
  <w:style w:type="paragraph" w:customStyle="1" w:styleId="182">
    <w:name w:val="1、表内字"/>
    <w:basedOn w:val="1"/>
    <w:uiPriority w:val="0"/>
    <w:pPr>
      <w:spacing w:line="320" w:lineRule="atLeast"/>
      <w:jc w:val="center"/>
    </w:pPr>
    <w:rPr>
      <w:rFonts w:cs="宋体"/>
      <w:kern w:val="0"/>
    </w:rPr>
  </w:style>
  <w:style w:type="paragraph" w:customStyle="1" w:styleId="183">
    <w:name w:val="0 -25.5磅"/>
    <w:basedOn w:val="1"/>
    <w:uiPriority w:val="0"/>
    <w:pPr>
      <w:widowControl/>
      <w:spacing w:line="510" w:lineRule="exact"/>
      <w:ind w:left="20" w:leftChars="20" w:right="20" w:rightChars="20" w:firstLine="220" w:firstLineChars="220"/>
      <w:jc w:val="left"/>
    </w:pPr>
    <w:rPr>
      <w:rFonts w:cs="宋体"/>
      <w:kern w:val="0"/>
      <w:szCs w:val="24"/>
      <w:lang w:bidi="zh-CN"/>
    </w:rPr>
  </w:style>
  <w:style w:type="paragraph" w:customStyle="1" w:styleId="184">
    <w:name w:val="1、图表名"/>
    <w:basedOn w:val="10"/>
    <w:link w:val="212"/>
    <w:uiPriority w:val="0"/>
    <w:pPr>
      <w:widowControl/>
      <w:spacing w:line="510" w:lineRule="atLeast"/>
    </w:pPr>
    <w:rPr>
      <w:rFonts w:eastAsia="宋体" w:cs="Times New Roman"/>
      <w:sz w:val="26"/>
    </w:rPr>
  </w:style>
  <w:style w:type="paragraph" w:customStyle="1" w:styleId="185">
    <w:name w:val="Default"/>
    <w:uiPriority w:val="0"/>
    <w:pPr>
      <w:widowControl w:val="0"/>
      <w:autoSpaceDE w:val="0"/>
      <w:autoSpaceDN w:val="0"/>
      <w:adjustRightInd w:val="0"/>
    </w:pPr>
    <w:rPr>
      <w:rFonts w:ascii="Gulim" w:hAnsi="仿宋_GB2312" w:eastAsia="Gulim" w:cs="仿宋_GB2312"/>
      <w:lang w:val="en-US" w:eastAsia="zh-CN" w:bidi="ar-SA"/>
    </w:rPr>
  </w:style>
  <w:style w:type="paragraph" w:customStyle="1" w:styleId="186">
    <w:name w:val="样式7"/>
    <w:basedOn w:val="1"/>
    <w:uiPriority w:val="0"/>
    <w:pPr>
      <w:spacing w:line="480" w:lineRule="exact"/>
    </w:pPr>
    <w:rPr>
      <w:rFonts w:cs="Times New Roman"/>
      <w:kern w:val="0"/>
      <w:sz w:val="26"/>
      <w:szCs w:val="26"/>
    </w:rPr>
  </w:style>
  <w:style w:type="paragraph" w:customStyle="1" w:styleId="187">
    <w:name w:val="标题头"/>
    <w:basedOn w:val="32"/>
    <w:uiPriority w:val="0"/>
    <w:pPr>
      <w:spacing w:before="0" w:after="0" w:line="480" w:lineRule="atLeast"/>
      <w:jc w:val="left"/>
    </w:pPr>
    <w:rPr>
      <w:rFonts w:ascii="Times New Roman" w:hAnsi="Times New Roman" w:eastAsia="宋体" w:cs="宋体"/>
      <w:kern w:val="0"/>
      <w:sz w:val="24"/>
    </w:rPr>
  </w:style>
  <w:style w:type="character" w:customStyle="1" w:styleId="188">
    <w:name w:val="标题 字符"/>
    <w:basedOn w:val="37"/>
    <w:link w:val="32"/>
    <w:qFormat/>
    <w:uiPriority w:val="10"/>
    <w:rPr>
      <w:rFonts w:asciiTheme="majorHAnsi" w:hAnsiTheme="majorHAnsi" w:eastAsiaTheme="majorEastAsia" w:cstheme="majorBidi"/>
      <w:b/>
      <w:bCs/>
      <w:sz w:val="32"/>
      <w:szCs w:val="32"/>
    </w:rPr>
  </w:style>
  <w:style w:type="character" w:customStyle="1" w:styleId="189">
    <w:name w:val="标题 5 字符"/>
    <w:basedOn w:val="37"/>
    <w:link w:val="7"/>
    <w:qFormat/>
    <w:uiPriority w:val="9"/>
    <w:rPr>
      <w:rFonts w:cstheme="minorBidi"/>
      <w:b/>
      <w:bCs/>
      <w:kern w:val="2"/>
      <w:sz w:val="24"/>
      <w:szCs w:val="28"/>
    </w:rPr>
  </w:style>
  <w:style w:type="paragraph" w:customStyle="1" w:styleId="190">
    <w:name w:val="0环评正文"/>
    <w:basedOn w:val="1"/>
    <w:uiPriority w:val="0"/>
    <w:pPr>
      <w:spacing w:line="480" w:lineRule="exact"/>
    </w:pPr>
    <w:rPr>
      <w:rFonts w:ascii="Calibri" w:hAnsi="Calibri" w:cs="宋体"/>
      <w:kern w:val="0"/>
      <w:sz w:val="26"/>
      <w:szCs w:val="22"/>
    </w:rPr>
  </w:style>
  <w:style w:type="character" w:customStyle="1" w:styleId="191">
    <w:name w:val="未处理的提及1"/>
    <w:basedOn w:val="37"/>
    <w:semiHidden/>
    <w:unhideWhenUsed/>
    <w:qFormat/>
    <w:uiPriority w:val="99"/>
    <w:rPr>
      <w:color w:val="605E5C"/>
      <w:shd w:val="clear" w:color="auto" w:fill="E1DFDD"/>
    </w:rPr>
  </w:style>
  <w:style w:type="character" w:customStyle="1" w:styleId="192">
    <w:name w:val="sub"/>
    <w:basedOn w:val="37"/>
    <w:uiPriority w:val="0"/>
    <w:rPr>
      <w:rFonts w:ascii="宋体" w:hAnsi="宋体" w:eastAsia="宋体" w:cs="宋体"/>
      <w:color w:val="000000"/>
      <w:sz w:val="18"/>
      <w:szCs w:val="18"/>
    </w:rPr>
  </w:style>
  <w:style w:type="table" w:customStyle="1" w:styleId="193">
    <w:name w:val="Table Normal"/>
    <w:unhideWhenUsed/>
    <w:qFormat/>
    <w:uiPriority w:val="2"/>
    <w:rPr>
      <w:rFonts w:ascii="Calibri" w:hAnsi="Calibri"/>
    </w:rPr>
    <w:tblPr>
      <w:tblCellMar>
        <w:top w:w="0" w:type="dxa"/>
        <w:left w:w="0" w:type="dxa"/>
        <w:bottom w:w="0" w:type="dxa"/>
        <w:right w:w="0" w:type="dxa"/>
      </w:tblCellMar>
    </w:tblPr>
  </w:style>
  <w:style w:type="paragraph" w:customStyle="1" w:styleId="194">
    <w:name w:val="Table Paragraph"/>
    <w:basedOn w:val="1"/>
    <w:uiPriority w:val="1"/>
    <w:pPr>
      <w:autoSpaceDE w:val="0"/>
      <w:autoSpaceDN w:val="0"/>
      <w:spacing w:before="1" w:line="259" w:lineRule="exact"/>
      <w:ind w:left="579" w:firstLine="0" w:firstLineChars="0"/>
      <w:jc w:val="center"/>
    </w:pPr>
    <w:rPr>
      <w:rFonts w:eastAsia="Times New Roman" w:cs="Times New Roman"/>
      <w:kern w:val="0"/>
      <w:sz w:val="22"/>
      <w:szCs w:val="22"/>
      <w:lang w:eastAsia="en-US"/>
    </w:rPr>
  </w:style>
  <w:style w:type="character" w:customStyle="1" w:styleId="195">
    <w:name w:val="sup"/>
    <w:basedOn w:val="37"/>
    <w:uiPriority w:val="0"/>
    <w:rPr>
      <w:rFonts w:ascii="宋体" w:hAnsi="宋体" w:eastAsia="宋体" w:cs="宋体"/>
      <w:color w:val="000000"/>
      <w:sz w:val="18"/>
      <w:szCs w:val="18"/>
    </w:rPr>
  </w:style>
  <w:style w:type="paragraph" w:customStyle="1" w:styleId="196">
    <w:name w:val="tableHeader"/>
    <w:basedOn w:val="1"/>
    <w:uiPriority w:val="0"/>
    <w:pPr>
      <w:widowControl/>
      <w:spacing w:line="240" w:lineRule="auto"/>
      <w:ind w:firstLine="0" w:firstLineChars="0"/>
      <w:jc w:val="center"/>
    </w:pPr>
    <w:rPr>
      <w:rFonts w:ascii="黑体" w:hAnsi="黑体" w:eastAsia="黑体" w:cs="黑体"/>
      <w:kern w:val="0"/>
      <w:sz w:val="21"/>
    </w:rPr>
  </w:style>
  <w:style w:type="character" w:customStyle="1" w:styleId="197">
    <w:name w:val="未处理的提及11"/>
    <w:basedOn w:val="37"/>
    <w:semiHidden/>
    <w:unhideWhenUsed/>
    <w:qFormat/>
    <w:uiPriority w:val="99"/>
    <w:rPr>
      <w:color w:val="605E5C"/>
      <w:shd w:val="clear" w:color="auto" w:fill="E1DFDD"/>
    </w:rPr>
  </w:style>
  <w:style w:type="paragraph" w:customStyle="1" w:styleId="198">
    <w:name w:val="xl63"/>
    <w:basedOn w:val="1"/>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199">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00">
    <w:name w:val="Default1"/>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1">
    <w:name w:val="0正文"/>
    <w:basedOn w:val="1"/>
    <w:uiPriority w:val="0"/>
    <w:pPr>
      <w:ind w:firstLine="480"/>
    </w:pPr>
    <w:rPr>
      <w:rFonts w:cs="Times New Roman"/>
      <w:kern w:val="0"/>
      <w:szCs w:val="24"/>
    </w:rPr>
  </w:style>
  <w:style w:type="paragraph" w:customStyle="1" w:styleId="202">
    <w:name w:val="content"/>
    <w:basedOn w:val="1"/>
    <w:uiPriority w:val="0"/>
    <w:pPr>
      <w:widowControl/>
      <w:spacing w:before="100" w:beforeAutospacing="1" w:after="100" w:afterAutospacing="1"/>
      <w:ind w:firstLine="0" w:firstLineChars="0"/>
    </w:pPr>
    <w:rPr>
      <w:rFonts w:ascii="宋体" w:hAnsi="宋体" w:cs="Times New Roman"/>
      <w:kern w:val="0"/>
      <w:sz w:val="18"/>
      <w:szCs w:val="18"/>
    </w:rPr>
  </w:style>
  <w:style w:type="paragraph" w:customStyle="1" w:styleId="203">
    <w:name w:val="二级标题"/>
    <w:basedOn w:val="1"/>
    <w:uiPriority w:val="0"/>
    <w:pPr>
      <w:tabs>
        <w:tab w:val="left" w:pos="425"/>
      </w:tabs>
      <w:spacing w:line="240" w:lineRule="auto"/>
      <w:ind w:left="425" w:hanging="425" w:firstLineChars="0"/>
    </w:pPr>
    <w:rPr>
      <w:rFonts w:cs="Times New Roman"/>
      <w:b/>
      <w:sz w:val="30"/>
      <w:szCs w:val="20"/>
    </w:rPr>
  </w:style>
  <w:style w:type="paragraph" w:customStyle="1" w:styleId="204">
    <w:name w:val="正文表标题"/>
    <w:basedOn w:val="1"/>
    <w:next w:val="1"/>
    <w:uiPriority w:val="0"/>
    <w:pPr>
      <w:widowControl/>
      <w:spacing w:before="100" w:beforeAutospacing="1" w:after="100" w:afterAutospacing="1" w:line="240" w:lineRule="auto"/>
      <w:ind w:left="425" w:hanging="425" w:firstLineChars="0"/>
      <w:jc w:val="center"/>
    </w:pPr>
    <w:rPr>
      <w:rFonts w:ascii="黑体" w:eastAsia="黑体" w:cs="Times New Roman"/>
      <w:kern w:val="0"/>
      <w:sz w:val="21"/>
    </w:rPr>
  </w:style>
  <w:style w:type="paragraph" w:customStyle="1" w:styleId="205">
    <w:name w:val="二级标题样式"/>
    <w:basedOn w:val="1"/>
    <w:link w:val="206"/>
    <w:uiPriority w:val="0"/>
    <w:pPr>
      <w:adjustRightInd w:val="0"/>
      <w:snapToGrid w:val="0"/>
      <w:ind w:firstLine="0" w:firstLineChars="0"/>
      <w:jc w:val="left"/>
    </w:pPr>
    <w:rPr>
      <w:rFonts w:eastAsia="黑体" w:cs="Times New Roman"/>
      <w:sz w:val="32"/>
      <w:szCs w:val="32"/>
    </w:rPr>
  </w:style>
  <w:style w:type="character" w:customStyle="1" w:styleId="206">
    <w:name w:val="二级标题样式 Char"/>
    <w:basedOn w:val="37"/>
    <w:link w:val="205"/>
    <w:qFormat/>
    <w:uiPriority w:val="0"/>
    <w:rPr>
      <w:rFonts w:ascii="Times New Roman" w:hAnsi="Times New Roman" w:eastAsia="黑体" w:cs="Times New Roman"/>
      <w:sz w:val="32"/>
      <w:szCs w:val="32"/>
    </w:rPr>
  </w:style>
  <w:style w:type="paragraph" w:customStyle="1" w:styleId="207">
    <w:name w:val="图表"/>
    <w:basedOn w:val="1"/>
    <w:uiPriority w:val="0"/>
    <w:pPr>
      <w:widowControl/>
      <w:spacing w:beforeLines="10" w:afterLines="10" w:line="240" w:lineRule="auto"/>
      <w:ind w:firstLine="0" w:firstLineChars="0"/>
      <w:jc w:val="center"/>
    </w:pPr>
    <w:rPr>
      <w:rFonts w:ascii="黑体" w:hAnsi="宋体" w:eastAsia="黑体" w:cs="Times New Roman"/>
      <w:color w:val="000000"/>
      <w:kern w:val="0"/>
      <w:sz w:val="21"/>
    </w:rPr>
  </w:style>
  <w:style w:type="paragraph" w:customStyle="1" w:styleId="208">
    <w:name w:val="表中文字"/>
    <w:basedOn w:val="1"/>
    <w:uiPriority w:val="0"/>
    <w:pPr>
      <w:widowControl/>
      <w:spacing w:line="240" w:lineRule="auto"/>
      <w:ind w:firstLine="0" w:firstLineChars="0"/>
      <w:jc w:val="center"/>
    </w:pPr>
    <w:rPr>
      <w:rFonts w:cs="Times New Roman"/>
      <w:sz w:val="21"/>
    </w:rPr>
  </w:style>
  <w:style w:type="paragraph" w:customStyle="1" w:styleId="209">
    <w:name w:val="报告表正文"/>
    <w:basedOn w:val="1"/>
    <w:link w:val="213"/>
    <w:uiPriority w:val="0"/>
    <w:pPr>
      <w:adjustRightInd w:val="0"/>
      <w:spacing w:before="100" w:beforeAutospacing="1" w:line="312" w:lineRule="auto"/>
      <w:ind w:left="113" w:right="113" w:firstLine="482" w:firstLineChars="0"/>
      <w:jc w:val="left"/>
      <w:textAlignment w:val="baseline"/>
    </w:pPr>
    <w:rPr>
      <w:rFonts w:cs="Times New Roman"/>
      <w:kern w:val="0"/>
      <w:szCs w:val="24"/>
    </w:rPr>
  </w:style>
  <w:style w:type="paragraph" w:customStyle="1" w:styleId="210">
    <w:name w:val="列出段落1"/>
    <w:basedOn w:val="1"/>
    <w:uiPriority w:val="34"/>
    <w:pPr>
      <w:spacing w:before="100" w:beforeAutospacing="1" w:line="240" w:lineRule="auto"/>
      <w:ind w:firstLine="420"/>
    </w:pPr>
    <w:rPr>
      <w:rFonts w:cs="Times New Roman"/>
      <w:sz w:val="21"/>
    </w:rPr>
  </w:style>
  <w:style w:type="paragraph" w:customStyle="1" w:styleId="211">
    <w:name w:val="1"/>
    <w:basedOn w:val="1"/>
    <w:next w:val="1"/>
    <w:uiPriority w:val="39"/>
    <w:pPr>
      <w:ind w:left="210" w:firstLine="1446"/>
      <w:jc w:val="left"/>
    </w:pPr>
    <w:rPr>
      <w:rFonts w:cs="Times New Roman"/>
      <w:smallCaps/>
      <w:sz w:val="20"/>
      <w:szCs w:val="22"/>
    </w:rPr>
  </w:style>
  <w:style w:type="character" w:customStyle="1" w:styleId="212">
    <w:name w:val="1、图表名 Char"/>
    <w:link w:val="184"/>
    <w:qFormat/>
    <w:uiPriority w:val="0"/>
    <w:rPr>
      <w:b/>
      <w:kern w:val="2"/>
      <w:sz w:val="26"/>
      <w:szCs w:val="21"/>
    </w:rPr>
  </w:style>
  <w:style w:type="character" w:customStyle="1" w:styleId="213">
    <w:name w:val="报告表正文 Char"/>
    <w:link w:val="209"/>
    <w:qFormat/>
    <w:uiPriority w:val="0"/>
    <w:rPr>
      <w:sz w:val="24"/>
      <w:szCs w:val="24"/>
    </w:rPr>
  </w:style>
  <w:style w:type="paragraph" w:customStyle="1" w:styleId="214">
    <w:name w:val="报告书"/>
    <w:basedOn w:val="1"/>
    <w:qFormat/>
    <w:uiPriority w:val="0"/>
    <w:pPr>
      <w:autoSpaceDE w:val="0"/>
      <w:autoSpaceDN w:val="0"/>
      <w:adjustRightInd w:val="0"/>
      <w:textAlignment w:val="bottom"/>
    </w:pPr>
    <w:rPr>
      <w:rFonts w:cs="Times New Roman"/>
      <w:kern w:val="0"/>
      <w:szCs w:val="24"/>
    </w:rPr>
  </w:style>
  <w:style w:type="character" w:customStyle="1" w:styleId="215">
    <w:name w:val="15"/>
    <w:basedOn w:val="37"/>
    <w:uiPriority w:val="0"/>
    <w:rPr>
      <w:rFonts w:hint="default" w:ascii="Times New Roman" w:hAnsi="Times New Roman" w:cs="Times New Roman"/>
      <w:b/>
      <w:bCs/>
    </w:rPr>
  </w:style>
  <w:style w:type="paragraph" w:customStyle="1" w:styleId="216">
    <w:name w:val="reader-word-layer"/>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7">
    <w:name w:val="正文1"/>
    <w:uiPriority w:val="0"/>
    <w:pPr>
      <w:jc w:val="both"/>
    </w:pPr>
    <w:rPr>
      <w:rFonts w:ascii="Calibri" w:hAnsi="Calibri" w:eastAsia="宋体" w:cs="宋体"/>
      <w:kern w:val="2"/>
      <w:sz w:val="21"/>
      <w:szCs w:val="21"/>
      <w:lang w:val="en-US" w:eastAsia="zh-CN" w:bidi="ar-SA"/>
    </w:rPr>
  </w:style>
  <w:style w:type="paragraph" w:customStyle="1" w:styleId="218">
    <w:name w:val="图标题"/>
    <w:basedOn w:val="11"/>
    <w:link w:val="219"/>
    <w:uiPriority w:val="0"/>
    <w:pPr>
      <w:spacing w:line="240" w:lineRule="auto"/>
      <w:ind w:firstLine="0" w:firstLineChars="0"/>
      <w:jc w:val="center"/>
      <w:outlineLvl w:val="4"/>
    </w:pPr>
    <w:rPr>
      <w:rFonts w:ascii="Times New Roman" w:hAnsi="Times New Roman" w:eastAsia="宋体" w:cs="Times New Roman"/>
      <w:b/>
      <w:sz w:val="24"/>
    </w:rPr>
  </w:style>
  <w:style w:type="character" w:customStyle="1" w:styleId="219">
    <w:name w:val="图标题 字符"/>
    <w:basedOn w:val="37"/>
    <w:link w:val="218"/>
    <w:qFormat/>
    <w:uiPriority w:val="0"/>
    <w:rPr>
      <w:b/>
      <w:kern w:val="2"/>
      <w:sz w:val="24"/>
    </w:rPr>
  </w:style>
  <w:style w:type="paragraph" w:customStyle="1" w:styleId="220">
    <w:name w:val="标题 41"/>
    <w:basedOn w:val="1"/>
    <w:uiPriority w:val="1"/>
    <w:pPr>
      <w:autoSpaceDE w:val="0"/>
      <w:autoSpaceDN w:val="0"/>
      <w:spacing w:before="61"/>
      <w:ind w:left="1262"/>
      <w:outlineLvl w:val="4"/>
    </w:pPr>
    <w:rPr>
      <w:rFonts w:ascii="宋体" w:hAnsi="宋体" w:cs="宋体"/>
      <w:b/>
      <w:bCs/>
      <w:kern w:val="0"/>
      <w:szCs w:val="24"/>
      <w:lang w:val="zh-CN" w:bidi="zh-CN"/>
    </w:rPr>
  </w:style>
  <w:style w:type="paragraph" w:customStyle="1" w:styleId="221">
    <w:name w:val="样式 小四 首行缩进:  2 字符 行距: 固定值 20 磅"/>
    <w:basedOn w:val="1"/>
    <w:uiPriority w:val="0"/>
    <w:pPr>
      <w:widowControl/>
      <w:spacing w:line="400" w:lineRule="exact"/>
      <w:jc w:val="left"/>
    </w:pPr>
    <w:rPr>
      <w:rFonts w:eastAsia="仿宋" w:cs="宋体"/>
      <w:kern w:val="0"/>
      <w:szCs w:val="20"/>
    </w:rPr>
  </w:style>
  <w:style w:type="paragraph" w:customStyle="1" w:styleId="222">
    <w:name w:val="图   标题"/>
    <w:basedOn w:val="56"/>
    <w:link w:val="223"/>
    <w:qFormat/>
    <w:uiPriority w:val="0"/>
    <w:pPr>
      <w:spacing w:line="360" w:lineRule="auto"/>
      <w:outlineLvl w:val="5"/>
    </w:pPr>
    <w:rPr>
      <w:rFonts w:eastAsia="楷体" w:cs="宋体"/>
      <w:b/>
      <w:sz w:val="22"/>
      <w:szCs w:val="24"/>
    </w:rPr>
  </w:style>
  <w:style w:type="character" w:customStyle="1" w:styleId="223">
    <w:name w:val="图   标题 字符"/>
    <w:basedOn w:val="58"/>
    <w:link w:val="222"/>
    <w:qFormat/>
    <w:uiPriority w:val="0"/>
    <w:rPr>
      <w:rFonts w:ascii="Times New Roman" w:hAnsi="Times New Roman" w:eastAsia="楷体" w:cs="宋体"/>
      <w:b/>
      <w:kern w:val="2"/>
      <w:sz w:val="22"/>
      <w:szCs w:val="24"/>
    </w:rPr>
  </w:style>
  <w:style w:type="paragraph" w:customStyle="1" w:styleId="224">
    <w:name w:val="font0"/>
    <w:basedOn w:val="1"/>
    <w:semiHidden/>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225">
    <w:name w:val="修订1"/>
    <w:hidden/>
    <w:semiHidden/>
    <w:qFormat/>
    <w:uiPriority w:val="99"/>
    <w:rPr>
      <w:rFonts w:ascii="Times New Roman" w:hAnsi="Times New Roman" w:eastAsia="宋体" w:cstheme="minorBidi"/>
      <w:kern w:val="2"/>
      <w:sz w:val="24"/>
      <w:szCs w:val="21"/>
      <w:lang w:val="en-US" w:eastAsia="zh-CN" w:bidi="ar-SA"/>
    </w:rPr>
  </w:style>
  <w:style w:type="paragraph" w:customStyle="1" w:styleId="226">
    <w:name w:val="正法律法规0"/>
    <w:basedOn w:val="1"/>
    <w:qFormat/>
    <w:uiPriority w:val="0"/>
    <w:pPr>
      <w:numPr>
        <w:ilvl w:val="0"/>
        <w:numId w:val="2"/>
      </w:numPr>
      <w:ind w:firstLine="0" w:firstLineChars="0"/>
    </w:pPr>
    <w:rPr>
      <w:rFonts w:cs="Times New Roman"/>
      <w:color w:val="000000" w:themeColor="text1"/>
      <w14:textFill>
        <w14:solidFill>
          <w14:schemeClr w14:val="tx1"/>
        </w14:solidFill>
      </w14:textFill>
    </w:rPr>
  </w:style>
  <w:style w:type="paragraph" w:customStyle="1" w:styleId="227">
    <w:name w:val="表标题"/>
    <w:basedOn w:val="222"/>
    <w:link w:val="240"/>
    <w:qFormat/>
    <w:uiPriority w:val="0"/>
    <w:pPr>
      <w:keepNext/>
      <w:spacing w:line="240" w:lineRule="auto"/>
    </w:pPr>
    <w:rPr>
      <w:rFonts w:eastAsia="宋体" w:cs="Times New Roman"/>
    </w:rPr>
  </w:style>
  <w:style w:type="paragraph" w:customStyle="1" w:styleId="228">
    <w:name w:val="图    表标题"/>
    <w:basedOn w:val="1"/>
    <w:semiHidden/>
    <w:qFormat/>
    <w:uiPriority w:val="0"/>
    <w:pPr>
      <w:keepNext/>
      <w:ind w:firstLine="0" w:firstLineChars="0"/>
      <w:jc w:val="center"/>
      <w:outlineLvl w:val="5"/>
    </w:pPr>
    <w:rPr>
      <w:rFonts w:eastAsia="楷体" w:cs="宋体"/>
      <w:b/>
      <w:kern w:val="0"/>
      <w:sz w:val="22"/>
      <w:szCs w:val="24"/>
    </w:rPr>
  </w:style>
  <w:style w:type="table" w:customStyle="1" w:styleId="229">
    <w:name w:val="网格型3"/>
    <w:basedOn w:val="35"/>
    <w:qFormat/>
    <w:uiPriority w:val="0"/>
    <w:tblPr>
      <w:tblBorders>
        <w:top w:val="single" w:color="auto" w:sz="12" w:space="0"/>
        <w:bottom w:val="single" w:color="auto" w:sz="12" w:space="0"/>
        <w:insideH w:val="single" w:color="auto" w:sz="4" w:space="0"/>
        <w:insideV w:val="single" w:color="auto" w:sz="4" w:space="0"/>
      </w:tblBorders>
    </w:tblPr>
    <w:tcPr>
      <w:vAlign w:val="center"/>
    </w:tcPr>
    <w:tblStylePr w:type="firstRow">
      <w:tcPr>
        <w:tcBorders>
          <w:top w:val="single" w:color="auto" w:sz="12" w:space="0"/>
        </w:tcBorders>
      </w:tcPr>
    </w:tblStylePr>
    <w:tblStylePr w:type="lastRow">
      <w:tcPr>
        <w:tcBorders>
          <w:bottom w:val="single" w:color="auto" w:sz="12" w:space="0"/>
        </w:tcBorders>
      </w:tcPr>
    </w:tblStylePr>
    <w:tblStylePr w:type="firstCol">
      <w:tcPr>
        <w:tcBorders>
          <w:left w:val="nil"/>
        </w:tcBorders>
      </w:tcPr>
    </w:tblStylePr>
    <w:tblStylePr w:type="lastCol">
      <w:tcPr>
        <w:tcBorders>
          <w:right w:val="nil"/>
        </w:tcBorders>
      </w:tcPr>
    </w:tblStylePr>
  </w:style>
  <w:style w:type="paragraph" w:customStyle="1" w:styleId="230">
    <w:name w:val="图（表）标题"/>
    <w:basedOn w:val="73"/>
    <w:qFormat/>
    <w:uiPriority w:val="0"/>
    <w:pPr>
      <w:keepNext/>
    </w:pPr>
    <w:rPr>
      <w:rFonts w:cs="Times New Roman"/>
      <w:color w:val="000000" w:themeColor="text1"/>
      <w:kern w:val="2"/>
      <w14:textFill>
        <w14:solidFill>
          <w14:schemeClr w14:val="tx1"/>
        </w14:solidFill>
      </w14:textFill>
    </w:rPr>
  </w:style>
  <w:style w:type="table" w:customStyle="1" w:styleId="231">
    <w:name w:val="无格式表格 11"/>
    <w:basedOn w:val="35"/>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232">
    <w:name w:val="Unresolved Mention"/>
    <w:basedOn w:val="37"/>
    <w:semiHidden/>
    <w:unhideWhenUsed/>
    <w:uiPriority w:val="99"/>
    <w:rPr>
      <w:color w:val="605E5C"/>
      <w:shd w:val="clear" w:color="auto" w:fill="E1DFDD"/>
    </w:rPr>
  </w:style>
  <w:style w:type="character" w:customStyle="1" w:styleId="233">
    <w:name w:val="表格 Char"/>
    <w:qFormat/>
    <w:uiPriority w:val="0"/>
    <w:rPr>
      <w:rFonts w:ascii="宋体" w:hAnsi="宋体" w:cs="Arial"/>
      <w:b/>
      <w:sz w:val="24"/>
      <w:szCs w:val="21"/>
    </w:rPr>
  </w:style>
  <w:style w:type="character" w:customStyle="1" w:styleId="234">
    <w:name w:val="批注文字 字符"/>
    <w:semiHidden/>
    <w:locked/>
    <w:uiPriority w:val="0"/>
    <w:rPr>
      <w:szCs w:val="24"/>
    </w:rPr>
  </w:style>
  <w:style w:type="paragraph" w:customStyle="1" w:styleId="235">
    <w:name w:val="_Style 232"/>
    <w:basedOn w:val="1"/>
    <w:next w:val="47"/>
    <w:uiPriority w:val="34"/>
    <w:pPr>
      <w:spacing w:line="240" w:lineRule="auto"/>
      <w:ind w:firstLine="420"/>
    </w:pPr>
    <w:rPr>
      <w:rFonts w:cs="Times New Roman"/>
      <w:sz w:val="21"/>
      <w:szCs w:val="24"/>
    </w:rPr>
  </w:style>
  <w:style w:type="paragraph" w:customStyle="1" w:styleId="236">
    <w:name w:val="样式2"/>
    <w:basedOn w:val="10"/>
    <w:uiPriority w:val="0"/>
    <w:pPr>
      <w:adjustRightInd w:val="0"/>
      <w:snapToGrid w:val="0"/>
      <w:spacing w:line="600" w:lineRule="exact"/>
      <w:ind w:firstLine="560" w:firstLineChars="200"/>
      <w:jc w:val="both"/>
    </w:pPr>
    <w:rPr>
      <w:rFonts w:ascii="宋体" w:hAnsi="宋体" w:eastAsia="宋体" w:cs="宋体"/>
      <w:color w:val="000000"/>
      <w:sz w:val="28"/>
      <w:szCs w:val="28"/>
    </w:rPr>
  </w:style>
  <w:style w:type="paragraph" w:customStyle="1" w:styleId="237">
    <w:name w:val="报告"/>
    <w:basedOn w:val="1"/>
    <w:uiPriority w:val="0"/>
    <w:pPr>
      <w:adjustRightInd w:val="0"/>
      <w:snapToGrid w:val="0"/>
      <w:ind w:firstLine="505"/>
      <w:textAlignment w:val="center"/>
    </w:pPr>
    <w:rPr>
      <w:rFonts w:ascii="TimesNewRoman" w:hAnsi="TimesNewRoman" w:cs="宋体"/>
      <w:kern w:val="0"/>
      <w:szCs w:val="24"/>
    </w:rPr>
  </w:style>
  <w:style w:type="paragraph" w:customStyle="1" w:styleId="238">
    <w:name w:val="正文2"/>
    <w:uiPriority w:val="0"/>
    <w:pPr>
      <w:jc w:val="both"/>
    </w:pPr>
    <w:rPr>
      <w:rFonts w:ascii="Times New Roman" w:hAnsi="Times New Roman" w:eastAsia="宋体" w:cs="Times New Roman"/>
      <w:kern w:val="2"/>
      <w:sz w:val="21"/>
      <w:szCs w:val="21"/>
      <w:lang w:val="en-US" w:eastAsia="zh-CN" w:bidi="ar-SA"/>
    </w:rPr>
  </w:style>
  <w:style w:type="paragraph" w:customStyle="1" w:styleId="239">
    <w:name w:val="正文3"/>
    <w:uiPriority w:val="0"/>
    <w:pPr>
      <w:jc w:val="both"/>
    </w:pPr>
    <w:rPr>
      <w:rFonts w:ascii="Calibri" w:hAnsi="Calibri" w:eastAsia="宋体" w:cs="宋体"/>
      <w:kern w:val="2"/>
      <w:sz w:val="21"/>
      <w:szCs w:val="21"/>
      <w:lang w:val="en-US" w:eastAsia="zh-CN" w:bidi="ar-SA"/>
    </w:rPr>
  </w:style>
  <w:style w:type="character" w:customStyle="1" w:styleId="240">
    <w:name w:val="表标题 字符"/>
    <w:basedOn w:val="58"/>
    <w:link w:val="227"/>
    <w:qFormat/>
    <w:uiPriority w:val="0"/>
    <w:rPr>
      <w:rFonts w:ascii="Times New Roman" w:hAnsi="Times New Roman" w:eastAsia="宋体"/>
      <w:b/>
      <w:kern w:val="2"/>
      <w:sz w:val="22"/>
      <w:szCs w:val="24"/>
    </w:rPr>
  </w:style>
  <w:style w:type="paragraph" w:customStyle="1" w:styleId="241">
    <w:name w:val="正文4"/>
    <w:uiPriority w:val="0"/>
    <w:pPr>
      <w:jc w:val="both"/>
    </w:pPr>
    <w:rPr>
      <w:rFonts w:ascii="Times New Roman" w:hAnsi="Times New Roman" w:eastAsia="宋体" w:cs="Times New Roman"/>
      <w:kern w:val="2"/>
      <w:sz w:val="21"/>
      <w:szCs w:val="21"/>
      <w:lang w:val="en-US" w:eastAsia="zh-CN" w:bidi="ar-SA"/>
    </w:rPr>
  </w:style>
  <w:style w:type="paragraph" w:customStyle="1" w:styleId="242">
    <w:name w:val="z 表格内容"/>
    <w:basedOn w:val="1"/>
    <w:qFormat/>
    <w:uiPriority w:val="0"/>
    <w:pPr>
      <w:spacing w:line="240" w:lineRule="auto"/>
      <w:ind w:firstLine="0" w:firstLineChars="0"/>
      <w:jc w:val="center"/>
    </w:pPr>
    <w:rPr>
      <w:rFonts w:cs="Times New Roman"/>
      <w:sz w:val="21"/>
      <w:szCs w:val="20"/>
    </w:rPr>
  </w:style>
  <w:style w:type="character" w:customStyle="1" w:styleId="243">
    <w:name w:val="data"/>
    <w:basedOn w:val="37"/>
    <w:uiPriority w:val="0"/>
    <w:rPr>
      <w:rFonts w:hint="eastAsia" w:ascii="宋体" w:hAnsi="宋体" w:eastAsia="宋体" w:cs="宋体"/>
      <w:color w:val="595757"/>
      <w:sz w:val="21"/>
      <w:szCs w:val="21"/>
    </w:rPr>
  </w:style>
  <w:style w:type="character" w:customStyle="1" w:styleId="244">
    <w:name w:val="data1"/>
    <w:basedOn w:val="37"/>
    <w:uiPriority w:val="0"/>
    <w:rPr>
      <w:rFonts w:hint="eastAsia" w:ascii="宋体" w:hAnsi="宋体" w:eastAsia="宋体" w:cs="宋体"/>
      <w:color w:val="595757"/>
      <w:sz w:val="18"/>
      <w:szCs w:val="18"/>
    </w:rPr>
  </w:style>
  <w:style w:type="table" w:customStyle="1" w:styleId="245">
    <w:name w:val="网格型13"/>
    <w:basedOn w:val="35"/>
    <w:qFormat/>
    <w:uiPriority w:val="39"/>
    <w:pPr>
      <w:jc w:val="center"/>
    </w:pPr>
    <w:rPr>
      <w:rFonts w:ascii="Calibri" w:hAnsi="Calibri"/>
      <w:kern w:val="2"/>
      <w:sz w:val="21"/>
      <w:szCs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246">
    <w:name w:val="网格型6"/>
    <w:basedOn w:val="35"/>
    <w:qFormat/>
    <w:uiPriority w:val="59"/>
    <w:rPr>
      <w:rFonts w:ascii="等线" w:hAnsi="等线" w:eastAsia="等线"/>
      <w:kern w:val="2"/>
      <w:sz w:val="21"/>
      <w:szCs w:val="21"/>
    </w:rPr>
    <w:tblPr>
      <w:tblBorders>
        <w:top w:val="single" w:color="auto" w:sz="12" w:space="0"/>
        <w:bottom w:val="single" w:color="auto" w:sz="12" w:space="0"/>
        <w:insideH w:val="single" w:color="auto" w:sz="4" w:space="0"/>
        <w:insideV w:val="single" w:color="auto" w:sz="4" w:space="0"/>
      </w:tblBorders>
    </w:tblPr>
    <w:tblStylePr w:type="firstRow">
      <w:tcPr>
        <w:tcBorders>
          <w:top w:val="single" w:color="auto" w:sz="12" w:space="0"/>
        </w:tcBorders>
      </w:tcPr>
    </w:tblStylePr>
    <w:tblStylePr w:type="lastRow">
      <w:tcPr>
        <w:tcBorders>
          <w:bottom w:val="single" w:color="auto" w:sz="12" w:space="0"/>
        </w:tcBorders>
      </w:tcPr>
    </w:tblStylePr>
    <w:tblStylePr w:type="firstCol">
      <w:tcPr>
        <w:tcBorders>
          <w:left w:val="nil"/>
        </w:tcBorders>
      </w:tcPr>
    </w:tblStylePr>
    <w:tblStylePr w:type="lastCol">
      <w:tcPr>
        <w:tcBorders>
          <w:right w:val="nil"/>
        </w:tcBorders>
      </w:tcPr>
    </w:tblStylePr>
  </w:style>
  <w:style w:type="paragraph" w:customStyle="1" w:styleId="247">
    <w:name w:val="正文5"/>
    <w:uiPriority w:val="0"/>
    <w:pPr>
      <w:jc w:val="both"/>
    </w:pPr>
    <w:rPr>
      <w:rFonts w:ascii="Times New Roman" w:hAnsi="Times New Roman" w:eastAsia="宋体" w:cs="Times New Roman"/>
      <w:kern w:val="2"/>
      <w:sz w:val="21"/>
      <w:szCs w:val="21"/>
      <w:lang w:val="en-US" w:eastAsia="zh-CN" w:bidi="ar-SA"/>
    </w:rPr>
  </w:style>
  <w:style w:type="paragraph" w:customStyle="1" w:styleId="248">
    <w:name w:val="！正文"/>
    <w:basedOn w:val="1"/>
    <w:qFormat/>
    <w:uiPriority w:val="0"/>
    <w:rPr>
      <w:rFonts w:hAnsi="Calibri" w:cs="Calibri"/>
      <w:szCs w:val="20"/>
    </w:rPr>
  </w:style>
  <w:style w:type="table" w:customStyle="1" w:styleId="249">
    <w:name w:val="网格型10"/>
    <w:basedOn w:val="35"/>
    <w:qFormat/>
    <w:uiPriority w:val="59"/>
    <w:rPr>
      <w:rFonts w:ascii="等线" w:hAnsi="等线" w:eastAsia="等线"/>
      <w:kern w:val="2"/>
      <w:sz w:val="21"/>
      <w:szCs w:val="21"/>
    </w:rPr>
    <w:tblPr>
      <w:tblBorders>
        <w:top w:val="single" w:color="auto" w:sz="12" w:space="0"/>
        <w:bottom w:val="single" w:color="auto" w:sz="12" w:space="0"/>
        <w:insideH w:val="single" w:color="auto" w:sz="4" w:space="0"/>
        <w:insideV w:val="single" w:color="auto" w:sz="4" w:space="0"/>
      </w:tblBorders>
    </w:tblPr>
    <w:tblStylePr w:type="firstRow">
      <w:tcPr>
        <w:tcBorders>
          <w:top w:val="single" w:color="auto" w:sz="12" w:space="0"/>
        </w:tcBorders>
      </w:tcPr>
    </w:tblStylePr>
    <w:tblStylePr w:type="lastRow">
      <w:tcPr>
        <w:tcBorders>
          <w:bottom w:val="single" w:color="auto" w:sz="12" w:space="0"/>
        </w:tcBorders>
      </w:tcPr>
    </w:tblStylePr>
    <w:tblStylePr w:type="firstCol">
      <w:tcPr>
        <w:tcBorders>
          <w:left w:val="nil"/>
        </w:tcBorders>
      </w:tcPr>
    </w:tblStylePr>
    <w:tblStylePr w:type="lastCol">
      <w:tcPr>
        <w:tcBorders>
          <w:right w:val="nil"/>
        </w:tcBorders>
      </w:tcPr>
    </w:tblStylePr>
  </w:style>
  <w:style w:type="paragraph" w:customStyle="1" w:styleId="250">
    <w:name w:val="z 表标题"/>
    <w:basedOn w:val="1"/>
    <w:qFormat/>
    <w:uiPriority w:val="0"/>
    <w:pPr>
      <w:keepNext/>
      <w:keepLines/>
      <w:ind w:firstLine="0" w:firstLineChars="0"/>
      <w:jc w:val="center"/>
      <w:outlineLvl w:val="4"/>
    </w:pPr>
    <w:rPr>
      <w:rFonts w:eastAsia="楷体" w:cs="宋体"/>
      <w:b/>
      <w:kern w:val="0"/>
      <w:sz w:val="22"/>
      <w:szCs w:val="24"/>
      <w:lang w:val="zh-CN"/>
    </w:rPr>
  </w:style>
  <w:style w:type="paragraph" w:customStyle="1" w:styleId="251">
    <w:name w:val="正文6"/>
    <w:uiPriority w:val="0"/>
    <w:pPr>
      <w:jc w:val="both"/>
    </w:pPr>
    <w:rPr>
      <w:rFonts w:ascii="Times New Roman" w:hAnsi="Times New Roman" w:eastAsia="宋体" w:cs="Times New Roman"/>
      <w:kern w:val="2"/>
      <w:sz w:val="21"/>
      <w:szCs w:val="21"/>
      <w:lang w:val="en-US" w:eastAsia="zh-CN" w:bidi="ar-SA"/>
    </w:rPr>
  </w:style>
  <w:style w:type="paragraph" w:customStyle="1" w:styleId="252">
    <w:name w:val="A正文"/>
    <w:basedOn w:val="1"/>
    <w:uiPriority w:val="0"/>
    <w:pPr>
      <w:overflowPunct w:val="0"/>
      <w:autoSpaceDE w:val="0"/>
      <w:autoSpaceDN w:val="0"/>
      <w:adjustRightInd w:val="0"/>
      <w:snapToGrid w:val="0"/>
      <w:spacing w:before="100" w:beforeAutospacing="1" w:after="100" w:afterAutospacing="1"/>
      <w:ind w:left="200" w:leftChars="100" w:right="200" w:rightChars="100" w:firstLine="480"/>
      <w:jc w:val="left"/>
      <w:textAlignment w:val="baseline"/>
    </w:pPr>
    <w:rPr>
      <w:rFonts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jpeg"/><Relationship Id="rId6" Type="http://schemas.openxmlformats.org/officeDocument/2006/relationships/header" Target="header2.xml"/><Relationship Id="rId59" Type="http://schemas.openxmlformats.org/officeDocument/2006/relationships/image" Target="media/image18.jpeg"/><Relationship Id="rId58" Type="http://schemas.openxmlformats.org/officeDocument/2006/relationships/image" Target="media/image17.jpeg"/><Relationship Id="rId57" Type="http://schemas.openxmlformats.org/officeDocument/2006/relationships/image" Target="media/image16.jpeg"/><Relationship Id="rId56" Type="http://schemas.openxmlformats.org/officeDocument/2006/relationships/image" Target="media/image15.jpeg"/><Relationship Id="rId55" Type="http://schemas.openxmlformats.org/officeDocument/2006/relationships/image" Target="media/image14.wmf"/><Relationship Id="rId54" Type="http://schemas.openxmlformats.org/officeDocument/2006/relationships/oleObject" Target="embeddings/oleObject3.bin"/><Relationship Id="rId53" Type="http://schemas.openxmlformats.org/officeDocument/2006/relationships/image" Target="media/image13.wmf"/><Relationship Id="rId52" Type="http://schemas.openxmlformats.org/officeDocument/2006/relationships/oleObject" Target="embeddings/oleObject2.bin"/><Relationship Id="rId51" Type="http://schemas.openxmlformats.org/officeDocument/2006/relationships/image" Target="media/image12.emf"/><Relationship Id="rId50" Type="http://schemas.openxmlformats.org/officeDocument/2006/relationships/package" Target="embeddings/Microsoft_Visio___1.vsdx"/><Relationship Id="rId5" Type="http://schemas.openxmlformats.org/officeDocument/2006/relationships/header" Target="header1.xml"/><Relationship Id="rId49" Type="http://schemas.openxmlformats.org/officeDocument/2006/relationships/image" Target="media/image11.jpe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endnotes" Target="endnotes.xml"/><Relationship Id="rId39" Type="http://schemas.openxmlformats.org/officeDocument/2006/relationships/image" Target="media/image1.emf"/><Relationship Id="rId38" Type="http://schemas.openxmlformats.org/officeDocument/2006/relationships/oleObject" Target="embeddings/oleObject1.bin"/><Relationship Id="rId37" Type="http://schemas.openxmlformats.org/officeDocument/2006/relationships/theme" Target="theme/theme1.xml"/><Relationship Id="rId36" Type="http://schemas.openxmlformats.org/officeDocument/2006/relationships/header" Target="header25.xml"/><Relationship Id="rId35" Type="http://schemas.openxmlformats.org/officeDocument/2006/relationships/header" Target="header24.xml"/><Relationship Id="rId34" Type="http://schemas.openxmlformats.org/officeDocument/2006/relationships/header" Target="header23.xml"/><Relationship Id="rId33" Type="http://schemas.openxmlformats.org/officeDocument/2006/relationships/header" Target="header22.xml"/><Relationship Id="rId32" Type="http://schemas.openxmlformats.org/officeDocument/2006/relationships/header" Target="header21.xml"/><Relationship Id="rId31" Type="http://schemas.openxmlformats.org/officeDocument/2006/relationships/header" Target="header20.xml"/><Relationship Id="rId30" Type="http://schemas.openxmlformats.org/officeDocument/2006/relationships/header" Target="header19.xml"/><Relationship Id="rId3" Type="http://schemas.openxmlformats.org/officeDocument/2006/relationships/footnotes" Target="footnotes.xml"/><Relationship Id="rId29" Type="http://schemas.openxmlformats.org/officeDocument/2006/relationships/header" Target="header18.xml"/><Relationship Id="rId28" Type="http://schemas.openxmlformats.org/officeDocument/2006/relationships/header" Target="header17.xml"/><Relationship Id="rId27" Type="http://schemas.openxmlformats.org/officeDocument/2006/relationships/header" Target="header16.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E2733F-92DB-42A7-B77B-EC6564720A42}">
  <ds:schemaRefs/>
</ds:datastoreItem>
</file>

<file path=docProps/app.xml><?xml version="1.0" encoding="utf-8"?>
<Properties xmlns="http://schemas.openxmlformats.org/officeDocument/2006/extended-properties" xmlns:vt="http://schemas.openxmlformats.org/officeDocument/2006/docPropsVTypes">
  <Template>Normal</Template>
  <Company>ylmfeng.com</Company>
  <Pages>183</Pages>
  <Words>106394</Words>
  <Characters>117908</Characters>
  <Lines>1040</Lines>
  <Paragraphs>292</Paragraphs>
  <TotalTime>5377</TotalTime>
  <ScaleCrop>false</ScaleCrop>
  <LinksUpToDate>false</LinksUpToDate>
  <CharactersWithSpaces>119515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2021-12-19T05:36:00Z</dcterms:created>
  <dc:creator>dreamsummit</dc:creator>
  <cp:lastModifiedBy>Administrator</cp:lastModifiedBy>
  <cp:lastPrinted>2022-04-01T07:17:00Z</cp:lastPrinted>
  <dcterms:modified xsi:type="dcterms:W3CDTF">2023-03-30T09:32:45Z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ECB0D2479FE5414192EC9CD5E4851F64</vt:lpwstr>
  </property>
</Properties>
</file>