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ind w:left="240" w:leftChars="100" w:firstLine="0" w:firstLineChars="0"/>
        <w:rPr>
          <w:rFonts w:ascii="FZXBSJW--GB1-0" w:hAnsi="FZXBSJW--GB1-0" w:eastAsia="FZXBSJW--GB1-0"/>
          <w:color w:val="auto"/>
          <w:sz w:val="40"/>
          <w:highlight w:val="none"/>
        </w:rPr>
      </w:pPr>
    </w:p>
    <w:p>
      <w:pPr>
        <w:widowControl w:val="0"/>
        <w:ind w:firstLine="0" w:firstLineChars="0"/>
        <w:jc w:val="center"/>
        <w:rPr>
          <w:rFonts w:ascii="FZXBSJW--GB1-0" w:hAnsi="FZXBSJW--GB1-0" w:eastAsia="FZXBSJW--GB1-0"/>
          <w:color w:val="auto"/>
          <w:sz w:val="40"/>
          <w:highlight w:val="none"/>
        </w:rPr>
      </w:pPr>
    </w:p>
    <w:p>
      <w:pPr>
        <w:widowControl w:val="0"/>
        <w:ind w:firstLine="0" w:firstLineChars="0"/>
        <w:jc w:val="center"/>
        <w:rPr>
          <w:b/>
          <w:bCs/>
          <w:color w:val="auto"/>
          <w:sz w:val="56"/>
          <w:szCs w:val="56"/>
          <w:highlight w:val="none"/>
        </w:rPr>
      </w:pPr>
      <w:r>
        <w:rPr>
          <w:rFonts w:hint="eastAsia"/>
          <w:b/>
          <w:bCs/>
          <w:color w:val="auto"/>
          <w:sz w:val="56"/>
          <w:szCs w:val="56"/>
          <w:highlight w:val="none"/>
        </w:rPr>
        <w:t>平昌县乐顺现代牲畜屠宰冷链物流</w:t>
      </w:r>
    </w:p>
    <w:p>
      <w:pPr>
        <w:widowControl w:val="0"/>
        <w:ind w:firstLine="0" w:firstLineChars="0"/>
        <w:jc w:val="center"/>
        <w:rPr>
          <w:b/>
          <w:bCs/>
          <w:color w:val="auto"/>
          <w:sz w:val="56"/>
          <w:szCs w:val="56"/>
          <w:highlight w:val="none"/>
        </w:rPr>
      </w:pPr>
      <w:r>
        <w:rPr>
          <w:rFonts w:hint="eastAsia"/>
          <w:b/>
          <w:bCs/>
          <w:color w:val="auto"/>
          <w:sz w:val="56"/>
          <w:szCs w:val="56"/>
          <w:highlight w:val="none"/>
        </w:rPr>
        <w:t>一体化建设项目</w:t>
      </w:r>
    </w:p>
    <w:p>
      <w:pPr>
        <w:pStyle w:val="12"/>
        <w:widowControl w:val="0"/>
        <w:ind w:firstLine="480"/>
        <w:rPr>
          <w:color w:val="auto"/>
          <w:highlight w:val="none"/>
        </w:rPr>
      </w:pPr>
    </w:p>
    <w:p>
      <w:pPr>
        <w:widowControl w:val="0"/>
        <w:ind w:firstLine="480"/>
        <w:rPr>
          <w:color w:val="auto"/>
          <w:highlight w:val="none"/>
        </w:rPr>
      </w:pPr>
    </w:p>
    <w:p>
      <w:pPr>
        <w:pStyle w:val="12"/>
        <w:widowControl w:val="0"/>
        <w:ind w:firstLine="480"/>
        <w:rPr>
          <w:color w:val="auto"/>
          <w:highlight w:val="none"/>
        </w:rPr>
      </w:pPr>
    </w:p>
    <w:p>
      <w:pPr>
        <w:pStyle w:val="28"/>
        <w:widowControl w:val="0"/>
        <w:rPr>
          <w:b/>
          <w:color w:val="auto"/>
          <w:sz w:val="90"/>
          <w:highlight w:val="none"/>
        </w:rPr>
      </w:pPr>
      <w:r>
        <w:rPr>
          <w:rFonts w:hint="eastAsia"/>
          <w:b/>
          <w:color w:val="auto"/>
          <w:sz w:val="90"/>
          <w:highlight w:val="none"/>
        </w:rPr>
        <w:t>环境影响报告书</w:t>
      </w:r>
    </w:p>
    <w:p>
      <w:pPr>
        <w:widowControl w:val="0"/>
        <w:ind w:firstLine="0" w:firstLineChars="0"/>
        <w:jc w:val="center"/>
        <w:rPr>
          <w:b/>
          <w:bCs/>
          <w:color w:val="auto"/>
          <w:sz w:val="48"/>
          <w:szCs w:val="36"/>
          <w:highlight w:val="none"/>
        </w:rPr>
      </w:pPr>
      <w:r>
        <w:rPr>
          <w:rFonts w:hint="eastAsia"/>
          <w:b/>
          <w:bCs/>
          <w:color w:val="auto"/>
          <w:sz w:val="48"/>
          <w:szCs w:val="36"/>
          <w:highlight w:val="none"/>
        </w:rPr>
        <w:t>（</w:t>
      </w:r>
      <w:r>
        <w:rPr>
          <w:rFonts w:hint="eastAsia"/>
          <w:b/>
          <w:bCs/>
          <w:color w:val="auto"/>
          <w:sz w:val="48"/>
          <w:szCs w:val="36"/>
          <w:highlight w:val="none"/>
          <w:lang w:val="en-US" w:eastAsia="zh-CN"/>
        </w:rPr>
        <w:t>公示本</w:t>
      </w:r>
      <w:bookmarkStart w:id="104" w:name="_GoBack"/>
      <w:bookmarkEnd w:id="104"/>
      <w:r>
        <w:rPr>
          <w:rFonts w:hint="eastAsia"/>
          <w:b/>
          <w:bCs/>
          <w:color w:val="auto"/>
          <w:sz w:val="48"/>
          <w:szCs w:val="36"/>
          <w:highlight w:val="none"/>
        </w:rPr>
        <w:t>）</w:t>
      </w:r>
    </w:p>
    <w:p>
      <w:pPr>
        <w:widowControl w:val="0"/>
        <w:ind w:firstLine="0" w:firstLineChars="0"/>
        <w:jc w:val="center"/>
        <w:rPr>
          <w:b/>
          <w:bCs/>
          <w:color w:val="auto"/>
          <w:sz w:val="48"/>
          <w:szCs w:val="36"/>
          <w:highlight w:val="none"/>
        </w:rPr>
      </w:pPr>
    </w:p>
    <w:p>
      <w:pPr>
        <w:widowControl w:val="0"/>
        <w:ind w:firstLine="0" w:firstLineChars="0"/>
        <w:jc w:val="center"/>
        <w:rPr>
          <w:b/>
          <w:bCs/>
          <w:color w:val="auto"/>
          <w:sz w:val="48"/>
          <w:szCs w:val="36"/>
          <w:highlight w:val="none"/>
        </w:rPr>
      </w:pPr>
    </w:p>
    <w:p>
      <w:pPr>
        <w:widowControl w:val="0"/>
        <w:ind w:firstLine="0" w:firstLineChars="0"/>
        <w:jc w:val="center"/>
        <w:rPr>
          <w:b/>
          <w:bCs/>
          <w:color w:val="auto"/>
          <w:sz w:val="48"/>
          <w:szCs w:val="36"/>
          <w:highlight w:val="none"/>
        </w:rPr>
      </w:pPr>
    </w:p>
    <w:p>
      <w:pPr>
        <w:widowControl w:val="0"/>
        <w:ind w:firstLine="0" w:firstLineChars="0"/>
        <w:jc w:val="center"/>
        <w:rPr>
          <w:b/>
          <w:bCs/>
          <w:color w:val="auto"/>
          <w:sz w:val="48"/>
          <w:szCs w:val="36"/>
          <w:highlight w:val="none"/>
        </w:rPr>
      </w:pPr>
    </w:p>
    <w:p>
      <w:pPr>
        <w:widowControl w:val="0"/>
        <w:ind w:firstLine="0" w:firstLineChars="0"/>
        <w:jc w:val="center"/>
        <w:rPr>
          <w:b/>
          <w:bCs/>
          <w:color w:val="auto"/>
          <w:sz w:val="48"/>
          <w:szCs w:val="36"/>
          <w:highlight w:val="none"/>
        </w:rPr>
      </w:pPr>
    </w:p>
    <w:p>
      <w:pPr>
        <w:widowControl w:val="0"/>
        <w:ind w:firstLine="0" w:firstLineChars="0"/>
        <w:jc w:val="center"/>
        <w:rPr>
          <w:b/>
          <w:bCs/>
          <w:color w:val="auto"/>
          <w:sz w:val="48"/>
          <w:szCs w:val="36"/>
          <w:highlight w:val="none"/>
        </w:rPr>
      </w:pPr>
    </w:p>
    <w:p>
      <w:pPr>
        <w:widowControl w:val="0"/>
        <w:ind w:firstLine="1928" w:firstLineChars="600"/>
        <w:rPr>
          <w:b/>
          <w:bCs/>
          <w:color w:val="auto"/>
          <w:sz w:val="32"/>
          <w:szCs w:val="22"/>
          <w:highlight w:val="none"/>
        </w:rPr>
      </w:pPr>
      <w:r>
        <w:rPr>
          <w:rFonts w:hint="eastAsia"/>
          <w:b/>
          <w:bCs/>
          <w:color w:val="auto"/>
          <w:sz w:val="32"/>
          <w:szCs w:val="22"/>
          <w:highlight w:val="none"/>
        </w:rPr>
        <w:t>建设单位：平昌乐顺食品有限公司</w:t>
      </w:r>
    </w:p>
    <w:p>
      <w:pPr>
        <w:widowControl w:val="0"/>
        <w:ind w:firstLine="1928" w:firstLineChars="600"/>
        <w:rPr>
          <w:b/>
          <w:bCs/>
          <w:color w:val="auto"/>
          <w:sz w:val="32"/>
          <w:szCs w:val="22"/>
          <w:highlight w:val="none"/>
        </w:rPr>
      </w:pPr>
      <w:r>
        <w:rPr>
          <w:rFonts w:hint="eastAsia"/>
          <w:b/>
          <w:bCs/>
          <w:color w:val="auto"/>
          <w:sz w:val="32"/>
          <w:szCs w:val="22"/>
          <w:highlight w:val="none"/>
        </w:rPr>
        <w:t>编制单位：四川环川盛达环保科技有限责任公司</w:t>
      </w:r>
    </w:p>
    <w:p>
      <w:pPr>
        <w:widowControl w:val="0"/>
        <w:ind w:firstLine="0" w:firstLineChars="0"/>
        <w:jc w:val="center"/>
        <w:rPr>
          <w:b/>
          <w:bCs/>
          <w:color w:val="auto"/>
          <w:sz w:val="32"/>
          <w:szCs w:val="22"/>
          <w:highlight w:val="none"/>
        </w:rPr>
      </w:pPr>
      <w:r>
        <w:rPr>
          <w:rFonts w:hint="eastAsia"/>
          <w:b/>
          <w:bCs/>
          <w:color w:val="auto"/>
          <w:sz w:val="32"/>
          <w:szCs w:val="22"/>
          <w:highlight w:val="none"/>
        </w:rPr>
        <w:t>二〇二二年</w:t>
      </w:r>
      <w:r>
        <w:rPr>
          <w:rFonts w:hint="eastAsia"/>
          <w:b/>
          <w:bCs/>
          <w:color w:val="auto"/>
          <w:sz w:val="32"/>
          <w:szCs w:val="22"/>
          <w:highlight w:val="none"/>
          <w:lang w:val="en-US" w:eastAsia="zh-CN"/>
        </w:rPr>
        <w:t>七</w:t>
      </w:r>
      <w:r>
        <w:rPr>
          <w:rFonts w:hint="eastAsia"/>
          <w:b/>
          <w:bCs/>
          <w:color w:val="auto"/>
          <w:sz w:val="32"/>
          <w:szCs w:val="22"/>
          <w:highlight w:val="none"/>
        </w:rPr>
        <w:t>月</w:t>
      </w:r>
    </w:p>
    <w:p>
      <w:pPr>
        <w:widowControl w:val="0"/>
        <w:ind w:firstLine="643"/>
        <w:rPr>
          <w:b/>
          <w:bCs/>
          <w:color w:val="auto"/>
          <w:sz w:val="32"/>
          <w:szCs w:val="22"/>
          <w:highlight w:val="none"/>
        </w:rPr>
      </w:pPr>
      <w:r>
        <w:rPr>
          <w:rFonts w:hint="eastAsia"/>
          <w:b/>
          <w:bCs/>
          <w:color w:val="auto"/>
          <w:sz w:val="32"/>
          <w:szCs w:val="22"/>
          <w:highlight w:val="none"/>
        </w:rPr>
        <w:br w:type="page"/>
      </w:r>
    </w:p>
    <w:p>
      <w:pPr>
        <w:pStyle w:val="3"/>
        <w:widowControl w:val="0"/>
        <w:numPr>
          <w:ilvl w:val="0"/>
          <w:numId w:val="0"/>
        </w:numPr>
        <w:rPr>
          <w:color w:val="auto"/>
          <w:highlight w:val="none"/>
        </w:rPr>
        <w:sectPr>
          <w:pgSz w:w="12240" w:h="15840"/>
          <w:pgMar w:top="1440" w:right="1417" w:bottom="1440" w:left="1417" w:header="720" w:footer="720" w:gutter="0"/>
          <w:pgBorders>
            <w:top w:val="none" w:sz="0" w:space="0"/>
            <w:left w:val="none" w:sz="0" w:space="0"/>
            <w:bottom w:val="none" w:sz="0" w:space="0"/>
            <w:right w:val="none" w:sz="0" w:space="0"/>
          </w:pgBorders>
          <w:cols w:space="720" w:num="1"/>
          <w:docGrid w:type="lines" w:linePitch="312" w:charSpace="0"/>
        </w:sectPr>
      </w:pPr>
    </w:p>
    <w:p>
      <w:pPr>
        <w:widowControl w:val="0"/>
        <w:tabs>
          <w:tab w:val="right" w:leader="dot" w:pos="9406"/>
        </w:tabs>
        <w:ind w:firstLine="0" w:firstLineChars="0"/>
        <w:jc w:val="center"/>
        <w:rPr>
          <w:rFonts w:ascii="宋体" w:hAnsi="宋体"/>
          <w:color w:val="auto"/>
          <w:highlight w:val="none"/>
        </w:rPr>
      </w:pPr>
      <w:bookmarkStart w:id="0" w:name="_Toc17683"/>
      <w:bookmarkStart w:id="1" w:name="_Toc22709"/>
      <w:bookmarkStart w:id="2" w:name="_Toc24748"/>
      <w:bookmarkStart w:id="3" w:name="_Toc8478"/>
      <w:bookmarkStart w:id="4" w:name="_Toc15528"/>
      <w:r>
        <w:rPr>
          <w:rFonts w:hint="eastAsia"/>
          <w:color w:val="auto"/>
          <w:highlight w:val="none"/>
        </w:rPr>
        <w:br w:type="page"/>
      </w:r>
      <w:r>
        <w:rPr>
          <w:rFonts w:hint="eastAsia" w:ascii="宋体" w:hAnsi="宋体"/>
          <w:color w:val="auto"/>
          <w:sz w:val="48"/>
          <w:szCs w:val="36"/>
          <w:highlight w:val="none"/>
        </w:rPr>
        <w:t>目  录</w:t>
      </w:r>
      <w:r>
        <w:rPr>
          <w:rFonts w:hint="eastAsia" w:ascii="宋体" w:hAnsi="宋体"/>
          <w:color w:val="auto"/>
          <w:highlight w:val="none"/>
        </w:rPr>
        <w:fldChar w:fldCharType="begin"/>
      </w:r>
      <w:r>
        <w:rPr>
          <w:rFonts w:hint="eastAsia" w:ascii="宋体" w:hAnsi="宋体"/>
          <w:color w:val="auto"/>
          <w:highlight w:val="none"/>
        </w:rPr>
        <w:instrText xml:space="preserve">TOC \o "1-2" \h \u </w:instrText>
      </w:r>
      <w:r>
        <w:rPr>
          <w:rFonts w:hint="eastAsia" w:ascii="宋体" w:hAnsi="宋体"/>
          <w:color w:val="auto"/>
          <w:highlight w:val="none"/>
        </w:rPr>
        <w:fldChar w:fldCharType="separate"/>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"_Toc8478" </w:instrText>
      </w:r>
      <w:r>
        <w:rPr>
          <w:color w:val="auto"/>
          <w:highlight w:val="none"/>
        </w:rPr>
        <w:fldChar w:fldCharType="separate"/>
      </w:r>
      <w:r>
        <w:rPr>
          <w:rFonts w:hint="eastAsia"/>
          <w:color w:val="auto"/>
          <w:highlight w:val="none"/>
        </w:rPr>
        <w:t>概   述</w:t>
      </w:r>
      <w:r>
        <w:rPr>
          <w:color w:val="auto"/>
          <w:highlight w:val="none"/>
        </w:rPr>
        <w:tab/>
      </w:r>
      <w:r>
        <w:rPr>
          <w:color w:val="auto"/>
          <w:highlight w:val="none"/>
        </w:rPr>
        <w:fldChar w:fldCharType="begin"/>
      </w:r>
      <w:r>
        <w:rPr>
          <w:color w:val="auto"/>
          <w:highlight w:val="none"/>
        </w:rPr>
        <w:instrText xml:space="preserve"> PAGEREF _Toc8478 \h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"_Toc15709" </w:instrText>
      </w:r>
      <w:r>
        <w:rPr>
          <w:color w:val="auto"/>
          <w:highlight w:val="none"/>
        </w:rPr>
        <w:fldChar w:fldCharType="separate"/>
      </w:r>
      <w:r>
        <w:rPr>
          <w:rFonts w:hint="eastAsia"/>
          <w:color w:val="auto"/>
          <w:highlight w:val="none"/>
        </w:rPr>
        <w:t>1、项目概况</w:t>
      </w:r>
      <w:r>
        <w:rPr>
          <w:color w:val="auto"/>
          <w:highlight w:val="none"/>
        </w:rPr>
        <w:tab/>
      </w:r>
      <w:r>
        <w:rPr>
          <w:color w:val="auto"/>
          <w:highlight w:val="none"/>
        </w:rPr>
        <w:fldChar w:fldCharType="begin"/>
      </w:r>
      <w:r>
        <w:rPr>
          <w:color w:val="auto"/>
          <w:highlight w:val="none"/>
        </w:rPr>
        <w:instrText xml:space="preserve"> PAGEREF _Toc15709 \h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"_Toc913" </w:instrText>
      </w:r>
      <w:r>
        <w:rPr>
          <w:color w:val="auto"/>
          <w:highlight w:val="none"/>
        </w:rPr>
        <w:fldChar w:fldCharType="separate"/>
      </w:r>
      <w:r>
        <w:rPr>
          <w:rFonts w:hint="eastAsia"/>
          <w:color w:val="auto"/>
          <w:highlight w:val="none"/>
        </w:rPr>
        <w:t>2、项目特点</w:t>
      </w:r>
      <w:r>
        <w:rPr>
          <w:color w:val="auto"/>
          <w:highlight w:val="none"/>
        </w:rPr>
        <w:tab/>
      </w:r>
      <w:r>
        <w:rPr>
          <w:color w:val="auto"/>
          <w:highlight w:val="none"/>
        </w:rPr>
        <w:fldChar w:fldCharType="begin"/>
      </w:r>
      <w:r>
        <w:rPr>
          <w:color w:val="auto"/>
          <w:highlight w:val="none"/>
        </w:rPr>
        <w:instrText xml:space="preserve"> PAGEREF _Toc913 \h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"_Toc20301" </w:instrText>
      </w:r>
      <w:r>
        <w:rPr>
          <w:color w:val="auto"/>
          <w:highlight w:val="none"/>
        </w:rPr>
        <w:fldChar w:fldCharType="separate"/>
      </w:r>
      <w:r>
        <w:rPr>
          <w:rFonts w:hint="eastAsia"/>
          <w:color w:val="auto"/>
          <w:highlight w:val="none"/>
        </w:rPr>
        <w:t>3、环境影响评价的工作过程</w:t>
      </w:r>
      <w:r>
        <w:rPr>
          <w:color w:val="auto"/>
          <w:highlight w:val="none"/>
        </w:rPr>
        <w:tab/>
      </w:r>
      <w:r>
        <w:rPr>
          <w:color w:val="auto"/>
          <w:highlight w:val="none"/>
        </w:rPr>
        <w:fldChar w:fldCharType="begin"/>
      </w:r>
      <w:r>
        <w:rPr>
          <w:color w:val="auto"/>
          <w:highlight w:val="none"/>
        </w:rPr>
        <w:instrText xml:space="preserve"> PAGEREF _Toc20301 \h </w:instrText>
      </w:r>
      <w:r>
        <w:rPr>
          <w:color w:val="auto"/>
          <w:highlight w:val="none"/>
        </w:rPr>
        <w:fldChar w:fldCharType="separate"/>
      </w:r>
      <w:r>
        <w:rPr>
          <w:color w:val="auto"/>
          <w:highlight w:val="none"/>
        </w:rPr>
        <w:t>II</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"_Toc892" </w:instrText>
      </w:r>
      <w:r>
        <w:rPr>
          <w:color w:val="auto"/>
          <w:highlight w:val="none"/>
        </w:rPr>
        <w:fldChar w:fldCharType="separate"/>
      </w:r>
      <w:r>
        <w:rPr>
          <w:rFonts w:hint="eastAsia"/>
          <w:color w:val="auto"/>
          <w:highlight w:val="none"/>
        </w:rPr>
        <w:t>5、评价关注的主要环境问题及环境影响</w:t>
      </w:r>
      <w:r>
        <w:rPr>
          <w:color w:val="auto"/>
          <w:highlight w:val="none"/>
        </w:rPr>
        <w:tab/>
      </w:r>
      <w:r>
        <w:rPr>
          <w:color w:val="auto"/>
          <w:highlight w:val="none"/>
        </w:rPr>
        <w:fldChar w:fldCharType="begin"/>
      </w:r>
      <w:r>
        <w:rPr>
          <w:color w:val="auto"/>
          <w:highlight w:val="none"/>
        </w:rPr>
        <w:instrText xml:space="preserve"> PAGEREF _Toc892 \h </w:instrText>
      </w:r>
      <w:r>
        <w:rPr>
          <w:color w:val="auto"/>
          <w:highlight w:val="none"/>
        </w:rPr>
        <w:fldChar w:fldCharType="separate"/>
      </w:r>
      <w:r>
        <w:rPr>
          <w:color w:val="auto"/>
          <w:highlight w:val="none"/>
        </w:rPr>
        <w:t>V</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"_Toc2423" </w:instrText>
      </w:r>
      <w:r>
        <w:rPr>
          <w:color w:val="auto"/>
          <w:highlight w:val="none"/>
        </w:rPr>
        <w:fldChar w:fldCharType="separate"/>
      </w:r>
      <w:r>
        <w:rPr>
          <w:rFonts w:hint="eastAsia"/>
          <w:color w:val="auto"/>
          <w:highlight w:val="none"/>
        </w:rPr>
        <w:t>5、报告书主要结论</w:t>
      </w:r>
      <w:r>
        <w:rPr>
          <w:color w:val="auto"/>
          <w:highlight w:val="none"/>
        </w:rPr>
        <w:tab/>
      </w:r>
      <w:r>
        <w:rPr>
          <w:color w:val="auto"/>
          <w:highlight w:val="none"/>
        </w:rPr>
        <w:fldChar w:fldCharType="begin"/>
      </w:r>
      <w:r>
        <w:rPr>
          <w:color w:val="auto"/>
          <w:highlight w:val="none"/>
        </w:rPr>
        <w:instrText xml:space="preserve"> PAGEREF _Toc2423 \h </w:instrText>
      </w:r>
      <w:r>
        <w:rPr>
          <w:color w:val="auto"/>
          <w:highlight w:val="none"/>
        </w:rPr>
        <w:fldChar w:fldCharType="separate"/>
      </w:r>
      <w:r>
        <w:rPr>
          <w:color w:val="auto"/>
          <w:highlight w:val="none"/>
        </w:rPr>
        <w:t>V</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"_Toc5596" </w:instrText>
      </w:r>
      <w:r>
        <w:rPr>
          <w:color w:val="auto"/>
          <w:highlight w:val="none"/>
        </w:rPr>
        <w:fldChar w:fldCharType="separate"/>
      </w:r>
      <w:r>
        <w:rPr>
          <w:rFonts w:cs="宋体"/>
          <w:color w:val="auto"/>
          <w:szCs w:val="32"/>
          <w:highlight w:val="none"/>
        </w:rPr>
        <w:t xml:space="preserve">1 </w:t>
      </w:r>
      <w:r>
        <w:rPr>
          <w:rFonts w:hint="eastAsia"/>
          <w:color w:val="auto"/>
          <w:highlight w:val="none"/>
        </w:rPr>
        <w:t>总  则</w:t>
      </w:r>
      <w:r>
        <w:rPr>
          <w:color w:val="auto"/>
          <w:highlight w:val="none"/>
        </w:rPr>
        <w:tab/>
      </w:r>
      <w:r>
        <w:rPr>
          <w:color w:val="auto"/>
          <w:highlight w:val="none"/>
        </w:rPr>
        <w:fldChar w:fldCharType="begin"/>
      </w:r>
      <w:r>
        <w:rPr>
          <w:color w:val="auto"/>
          <w:highlight w:val="none"/>
        </w:rPr>
        <w:instrText xml:space="preserve"> PAGEREF _Toc5596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"_Toc17373" </w:instrText>
      </w:r>
      <w:r>
        <w:rPr>
          <w:color w:val="auto"/>
          <w:highlight w:val="none"/>
        </w:rPr>
        <w:fldChar w:fldCharType="separate"/>
      </w:r>
      <w:r>
        <w:rPr>
          <w:rFonts w:cs="宋体"/>
          <w:color w:val="auto"/>
          <w:szCs w:val="24"/>
          <w:highlight w:val="none"/>
        </w:rPr>
        <w:t xml:space="preserve">1.1 </w:t>
      </w:r>
      <w:r>
        <w:rPr>
          <w:rFonts w:hint="eastAsia"/>
          <w:color w:val="auto"/>
          <w:highlight w:val="none"/>
        </w:rPr>
        <w:t>编制依据</w:t>
      </w:r>
      <w:r>
        <w:rPr>
          <w:color w:val="auto"/>
          <w:highlight w:val="none"/>
        </w:rPr>
        <w:tab/>
      </w:r>
      <w:r>
        <w:rPr>
          <w:color w:val="auto"/>
          <w:highlight w:val="none"/>
        </w:rPr>
        <w:fldChar w:fldCharType="begin"/>
      </w:r>
      <w:r>
        <w:rPr>
          <w:color w:val="auto"/>
          <w:highlight w:val="none"/>
        </w:rPr>
        <w:instrText xml:space="preserve"> PAGEREF _Toc17373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"_Toc30141" </w:instrText>
      </w:r>
      <w:r>
        <w:rPr>
          <w:color w:val="auto"/>
          <w:highlight w:val="none"/>
        </w:rPr>
        <w:fldChar w:fldCharType="separate"/>
      </w:r>
      <w:r>
        <w:rPr>
          <w:rFonts w:cs="宋体"/>
          <w:color w:val="auto"/>
          <w:szCs w:val="24"/>
          <w:highlight w:val="none"/>
        </w:rPr>
        <w:t xml:space="preserve">1.2 </w:t>
      </w:r>
      <w:r>
        <w:rPr>
          <w:rFonts w:hint="eastAsia"/>
          <w:color w:val="auto"/>
          <w:highlight w:val="none"/>
        </w:rPr>
        <w:t>评价目的与工作原则</w:t>
      </w:r>
      <w:r>
        <w:rPr>
          <w:color w:val="auto"/>
          <w:highlight w:val="none"/>
        </w:rPr>
        <w:tab/>
      </w:r>
      <w:r>
        <w:rPr>
          <w:color w:val="auto"/>
          <w:highlight w:val="none"/>
        </w:rPr>
        <w:fldChar w:fldCharType="begin"/>
      </w:r>
      <w:r>
        <w:rPr>
          <w:color w:val="auto"/>
          <w:highlight w:val="none"/>
        </w:rPr>
        <w:instrText xml:space="preserve"> PAGEREF _Toc30141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"_Toc19489" </w:instrText>
      </w:r>
      <w:r>
        <w:rPr>
          <w:color w:val="auto"/>
          <w:highlight w:val="none"/>
        </w:rPr>
        <w:fldChar w:fldCharType="separate"/>
      </w:r>
      <w:r>
        <w:rPr>
          <w:rFonts w:cs="宋体"/>
          <w:color w:val="auto"/>
          <w:szCs w:val="24"/>
          <w:highlight w:val="none"/>
        </w:rPr>
        <w:t xml:space="preserve">1.3 </w:t>
      </w:r>
      <w:r>
        <w:rPr>
          <w:rFonts w:hint="eastAsia"/>
          <w:color w:val="auto"/>
          <w:highlight w:val="none"/>
        </w:rPr>
        <w:t>评价内容和评价重点</w:t>
      </w:r>
      <w:r>
        <w:rPr>
          <w:color w:val="auto"/>
          <w:highlight w:val="none"/>
        </w:rPr>
        <w:tab/>
      </w:r>
      <w:r>
        <w:rPr>
          <w:color w:val="auto"/>
          <w:highlight w:val="none"/>
        </w:rPr>
        <w:fldChar w:fldCharType="begin"/>
      </w:r>
      <w:r>
        <w:rPr>
          <w:color w:val="auto"/>
          <w:highlight w:val="none"/>
        </w:rPr>
        <w:instrText xml:space="preserve"> PAGEREF _Toc19489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"_Toc26075" </w:instrText>
      </w:r>
      <w:r>
        <w:rPr>
          <w:color w:val="auto"/>
          <w:highlight w:val="none"/>
        </w:rPr>
        <w:fldChar w:fldCharType="separate"/>
      </w:r>
      <w:r>
        <w:rPr>
          <w:rFonts w:cs="宋体"/>
          <w:color w:val="auto"/>
          <w:szCs w:val="24"/>
          <w:highlight w:val="none"/>
        </w:rPr>
        <w:t xml:space="preserve">1.4 </w:t>
      </w:r>
      <w:r>
        <w:rPr>
          <w:rFonts w:hint="eastAsia"/>
          <w:color w:val="auto"/>
          <w:highlight w:val="none"/>
        </w:rPr>
        <w:t>环境要素识别及评价因子</w:t>
      </w:r>
      <w:r>
        <w:rPr>
          <w:color w:val="auto"/>
          <w:highlight w:val="none"/>
        </w:rPr>
        <w:tab/>
      </w:r>
      <w:r>
        <w:rPr>
          <w:color w:val="auto"/>
          <w:highlight w:val="none"/>
        </w:rPr>
        <w:fldChar w:fldCharType="begin"/>
      </w:r>
      <w:r>
        <w:rPr>
          <w:color w:val="auto"/>
          <w:highlight w:val="none"/>
        </w:rPr>
        <w:instrText xml:space="preserve"> PAGEREF _Toc26075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"_Toc24365" </w:instrText>
      </w:r>
      <w:r>
        <w:rPr>
          <w:color w:val="auto"/>
          <w:highlight w:val="none"/>
        </w:rPr>
        <w:fldChar w:fldCharType="separate"/>
      </w:r>
      <w:r>
        <w:rPr>
          <w:rFonts w:cs="宋体"/>
          <w:color w:val="auto"/>
          <w:szCs w:val="24"/>
          <w:highlight w:val="none"/>
        </w:rPr>
        <w:t xml:space="preserve">1.5 </w:t>
      </w:r>
      <w:r>
        <w:rPr>
          <w:rFonts w:hint="eastAsia"/>
          <w:color w:val="auto"/>
          <w:highlight w:val="none"/>
        </w:rPr>
        <w:t>评价标准</w:t>
      </w:r>
      <w:r>
        <w:rPr>
          <w:color w:val="auto"/>
          <w:highlight w:val="none"/>
        </w:rPr>
        <w:tab/>
      </w:r>
      <w:r>
        <w:rPr>
          <w:color w:val="auto"/>
          <w:highlight w:val="none"/>
        </w:rPr>
        <w:fldChar w:fldCharType="begin"/>
      </w:r>
      <w:r>
        <w:rPr>
          <w:color w:val="auto"/>
          <w:highlight w:val="none"/>
        </w:rPr>
        <w:instrText xml:space="preserve"> PAGEREF _Toc24365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"_Toc2087" </w:instrText>
      </w:r>
      <w:r>
        <w:rPr>
          <w:color w:val="auto"/>
          <w:highlight w:val="none"/>
        </w:rPr>
        <w:fldChar w:fldCharType="separate"/>
      </w:r>
      <w:r>
        <w:rPr>
          <w:rFonts w:cs="宋体"/>
          <w:color w:val="auto"/>
          <w:szCs w:val="24"/>
          <w:highlight w:val="none"/>
        </w:rPr>
        <w:t xml:space="preserve">1.6 </w:t>
      </w:r>
      <w:r>
        <w:rPr>
          <w:rFonts w:hint="eastAsia"/>
          <w:color w:val="auto"/>
          <w:highlight w:val="none"/>
        </w:rPr>
        <w:t>评价工作等级和评价范围</w:t>
      </w:r>
      <w:r>
        <w:rPr>
          <w:color w:val="auto"/>
          <w:highlight w:val="none"/>
        </w:rPr>
        <w:tab/>
      </w:r>
      <w:r>
        <w:rPr>
          <w:color w:val="auto"/>
          <w:highlight w:val="none"/>
        </w:rPr>
        <w:fldChar w:fldCharType="begin"/>
      </w:r>
      <w:r>
        <w:rPr>
          <w:color w:val="auto"/>
          <w:highlight w:val="none"/>
        </w:rPr>
        <w:instrText xml:space="preserve"> PAGEREF _Toc2087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"_Toc21781" </w:instrText>
      </w:r>
      <w:r>
        <w:rPr>
          <w:color w:val="auto"/>
          <w:highlight w:val="none"/>
        </w:rPr>
        <w:fldChar w:fldCharType="separate"/>
      </w:r>
      <w:r>
        <w:rPr>
          <w:rFonts w:cs="宋体"/>
          <w:color w:val="auto"/>
          <w:szCs w:val="24"/>
          <w:highlight w:val="none"/>
        </w:rPr>
        <w:t xml:space="preserve">1.7 </w:t>
      </w:r>
      <w:r>
        <w:rPr>
          <w:rFonts w:hint="eastAsia"/>
          <w:color w:val="auto"/>
          <w:highlight w:val="none"/>
        </w:rPr>
        <w:t>产业政策及规划的符合性分析</w:t>
      </w:r>
      <w:r>
        <w:rPr>
          <w:color w:val="auto"/>
          <w:highlight w:val="none"/>
        </w:rPr>
        <w:tab/>
      </w:r>
      <w:r>
        <w:rPr>
          <w:color w:val="auto"/>
          <w:highlight w:val="none"/>
        </w:rPr>
        <w:fldChar w:fldCharType="begin"/>
      </w:r>
      <w:r>
        <w:rPr>
          <w:color w:val="auto"/>
          <w:highlight w:val="none"/>
        </w:rPr>
        <w:instrText xml:space="preserve"> PAGEREF _Toc21781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"_Toc17068" </w:instrText>
      </w:r>
      <w:r>
        <w:rPr>
          <w:color w:val="auto"/>
          <w:highlight w:val="none"/>
        </w:rPr>
        <w:fldChar w:fldCharType="separate"/>
      </w:r>
      <w:r>
        <w:rPr>
          <w:rFonts w:cs="宋体"/>
          <w:color w:val="auto"/>
          <w:szCs w:val="24"/>
          <w:highlight w:val="none"/>
        </w:rPr>
        <w:t xml:space="preserve">1.8 </w:t>
      </w:r>
      <w:r>
        <w:rPr>
          <w:rFonts w:hint="eastAsia"/>
          <w:color w:val="auto"/>
          <w:highlight w:val="none"/>
        </w:rPr>
        <w:t>项目用地符合性分析</w:t>
      </w:r>
      <w:r>
        <w:rPr>
          <w:color w:val="auto"/>
          <w:highlight w:val="none"/>
        </w:rPr>
        <w:tab/>
      </w:r>
      <w:r>
        <w:rPr>
          <w:color w:val="auto"/>
          <w:highlight w:val="none"/>
        </w:rPr>
        <w:fldChar w:fldCharType="begin"/>
      </w:r>
      <w:r>
        <w:rPr>
          <w:color w:val="auto"/>
          <w:highlight w:val="none"/>
        </w:rPr>
        <w:instrText xml:space="preserve"> PAGEREF _Toc17068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cs="宋体"/>
          <w:color w:val="auto"/>
          <w:szCs w:val="24"/>
          <w:highlight w:val="none"/>
        </w:rPr>
        <w:t xml:space="preserve">1.9 </w:t>
      </w:r>
      <w:r>
        <w:rPr>
          <w:rFonts w:hint="eastAsia"/>
          <w:color w:val="auto"/>
          <w:highlight w:val="none"/>
        </w:rPr>
        <w:t>与“三线一单”符合性分析</w:t>
      </w:r>
      <w:r>
        <w:rPr>
          <w:color w:val="auto"/>
          <w:highlight w:val="none"/>
        </w:rPr>
        <w:tab/>
      </w:r>
      <w:r>
        <w:rPr>
          <w:color w:val="auto"/>
          <w:highlight w:val="none"/>
        </w:rPr>
        <w:fldChar w:fldCharType="begin"/>
      </w:r>
      <w:r>
        <w:rPr>
          <w:color w:val="auto"/>
          <w:highlight w:val="none"/>
        </w:rPr>
        <w:instrText xml:space="preserve"> PAGEREF _Toc14580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"_Toc9320" </w:instrText>
      </w:r>
      <w:r>
        <w:rPr>
          <w:color w:val="auto"/>
          <w:highlight w:val="none"/>
        </w:rPr>
        <w:fldChar w:fldCharType="separate"/>
      </w:r>
      <w:r>
        <w:rPr>
          <w:rFonts w:cs="宋体"/>
          <w:color w:val="auto"/>
          <w:szCs w:val="24"/>
          <w:highlight w:val="none"/>
        </w:rPr>
        <w:t xml:space="preserve">1.10 </w:t>
      </w:r>
      <w:r>
        <w:rPr>
          <w:color w:val="auto"/>
          <w:highlight w:val="none"/>
        </w:rPr>
        <w:t>本项目与</w:t>
      </w:r>
      <w:r>
        <w:rPr>
          <w:color w:val="auto"/>
          <w:szCs w:val="28"/>
          <w:highlight w:val="none"/>
        </w:rPr>
        <w:t>《</w:t>
      </w:r>
      <w:r>
        <w:rPr>
          <w:rFonts w:hint="eastAsia"/>
          <w:color w:val="auto"/>
          <w:szCs w:val="28"/>
          <w:highlight w:val="none"/>
        </w:rPr>
        <w:t>长江经济带发展负面清单指南</w:t>
      </w:r>
      <w:r>
        <w:rPr>
          <w:color w:val="auto"/>
          <w:szCs w:val="28"/>
          <w:highlight w:val="none"/>
        </w:rPr>
        <w:t>》符合性分析</w:t>
      </w:r>
      <w:r>
        <w:rPr>
          <w:color w:val="auto"/>
          <w:highlight w:val="none"/>
        </w:rPr>
        <w:tab/>
      </w:r>
      <w:r>
        <w:rPr>
          <w:color w:val="auto"/>
          <w:highlight w:val="none"/>
        </w:rPr>
        <w:fldChar w:fldCharType="begin"/>
      </w:r>
      <w:r>
        <w:rPr>
          <w:color w:val="auto"/>
          <w:highlight w:val="none"/>
        </w:rPr>
        <w:instrText xml:space="preserve"> PAGEREF _Toc9320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"_Toc5337" </w:instrText>
      </w:r>
      <w:r>
        <w:rPr>
          <w:color w:val="auto"/>
          <w:highlight w:val="none"/>
        </w:rPr>
        <w:fldChar w:fldCharType="separate"/>
      </w:r>
      <w:r>
        <w:rPr>
          <w:rFonts w:cs="宋体"/>
          <w:color w:val="auto"/>
          <w:szCs w:val="24"/>
          <w:highlight w:val="none"/>
        </w:rPr>
        <w:t xml:space="preserve">1.11 </w:t>
      </w:r>
      <w:r>
        <w:rPr>
          <w:rFonts w:hint="eastAsia"/>
          <w:color w:val="auto"/>
          <w:highlight w:val="none"/>
        </w:rPr>
        <w:t>外环境关系及选址合理性分析</w:t>
      </w:r>
      <w:r>
        <w:rPr>
          <w:color w:val="auto"/>
          <w:highlight w:val="none"/>
        </w:rPr>
        <w:tab/>
      </w:r>
      <w:r>
        <w:rPr>
          <w:color w:val="auto"/>
          <w:highlight w:val="none"/>
        </w:rPr>
        <w:fldChar w:fldCharType="begin"/>
      </w:r>
      <w:r>
        <w:rPr>
          <w:color w:val="auto"/>
          <w:highlight w:val="none"/>
        </w:rPr>
        <w:instrText xml:space="preserve"> PAGEREF _Toc5337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"_Toc4622" </w:instrText>
      </w:r>
      <w:r>
        <w:rPr>
          <w:color w:val="auto"/>
          <w:highlight w:val="none"/>
        </w:rPr>
        <w:fldChar w:fldCharType="separate"/>
      </w:r>
      <w:r>
        <w:rPr>
          <w:rFonts w:cs="宋体"/>
          <w:color w:val="auto"/>
          <w:szCs w:val="24"/>
          <w:highlight w:val="none"/>
        </w:rPr>
        <w:t xml:space="preserve">1.12 </w:t>
      </w:r>
      <w:r>
        <w:rPr>
          <w:rFonts w:hint="eastAsia"/>
          <w:color w:val="auto"/>
          <w:highlight w:val="none"/>
        </w:rPr>
        <w:t>污染控制与环境保护目标</w:t>
      </w:r>
      <w:r>
        <w:rPr>
          <w:color w:val="auto"/>
          <w:highlight w:val="none"/>
        </w:rPr>
        <w:tab/>
      </w:r>
      <w:r>
        <w:rPr>
          <w:color w:val="auto"/>
          <w:highlight w:val="none"/>
        </w:rPr>
        <w:fldChar w:fldCharType="begin"/>
      </w:r>
      <w:r>
        <w:rPr>
          <w:color w:val="auto"/>
          <w:highlight w:val="none"/>
        </w:rPr>
        <w:instrText xml:space="preserve"> PAGEREF _Toc4622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"_Toc14850" </w:instrText>
      </w:r>
      <w:r>
        <w:rPr>
          <w:color w:val="auto"/>
          <w:highlight w:val="none"/>
        </w:rPr>
        <w:fldChar w:fldCharType="separate"/>
      </w:r>
      <w:r>
        <w:rPr>
          <w:rFonts w:cs="宋体"/>
          <w:color w:val="auto"/>
          <w:szCs w:val="32"/>
          <w:highlight w:val="none"/>
        </w:rPr>
        <w:t xml:space="preserve">2 </w:t>
      </w:r>
      <w:r>
        <w:rPr>
          <w:rFonts w:hint="eastAsia"/>
          <w:color w:val="auto"/>
          <w:highlight w:val="none"/>
        </w:rPr>
        <w:t>现有项目回顾性分析</w:t>
      </w:r>
      <w:r>
        <w:rPr>
          <w:color w:val="auto"/>
          <w:highlight w:val="none"/>
        </w:rPr>
        <w:tab/>
      </w:r>
      <w:r>
        <w:rPr>
          <w:color w:val="auto"/>
          <w:highlight w:val="none"/>
        </w:rPr>
        <w:fldChar w:fldCharType="begin"/>
      </w:r>
      <w:r>
        <w:rPr>
          <w:color w:val="auto"/>
          <w:highlight w:val="none"/>
        </w:rPr>
        <w:instrText xml:space="preserve"> PAGEREF _Toc14850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cs="宋体"/>
          <w:color w:val="auto"/>
          <w:szCs w:val="24"/>
          <w:highlight w:val="none"/>
        </w:rPr>
        <w:t xml:space="preserve">2.1 </w:t>
      </w:r>
      <w:r>
        <w:rPr>
          <w:rFonts w:hint="eastAsia"/>
          <w:color w:val="auto"/>
          <w:highlight w:val="none"/>
        </w:rPr>
        <w:t>现有项目概况</w:t>
      </w:r>
      <w:r>
        <w:rPr>
          <w:color w:val="auto"/>
          <w:highlight w:val="none"/>
        </w:rPr>
        <w:tab/>
      </w:r>
      <w:r>
        <w:rPr>
          <w:color w:val="auto"/>
          <w:highlight w:val="none"/>
        </w:rPr>
        <w:fldChar w:fldCharType="begin"/>
      </w:r>
      <w:r>
        <w:rPr>
          <w:color w:val="auto"/>
          <w:highlight w:val="none"/>
        </w:rPr>
        <w:instrText xml:space="preserve"> PAGEREF _Toc473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"_Toc20464" </w:instrText>
      </w:r>
      <w:r>
        <w:rPr>
          <w:color w:val="auto"/>
          <w:highlight w:val="none"/>
        </w:rPr>
        <w:fldChar w:fldCharType="separate"/>
      </w:r>
      <w:r>
        <w:rPr>
          <w:rFonts w:cs="宋体"/>
          <w:color w:val="auto"/>
          <w:szCs w:val="24"/>
          <w:highlight w:val="none"/>
        </w:rPr>
        <w:t xml:space="preserve">2.2 </w:t>
      </w:r>
      <w:r>
        <w:rPr>
          <w:rFonts w:hint="eastAsia"/>
          <w:color w:val="auto"/>
          <w:highlight w:val="none"/>
        </w:rPr>
        <w:t>现有项目工程内容</w:t>
      </w:r>
      <w:r>
        <w:rPr>
          <w:color w:val="auto"/>
          <w:highlight w:val="none"/>
        </w:rPr>
        <w:tab/>
      </w:r>
      <w:r>
        <w:rPr>
          <w:color w:val="auto"/>
          <w:highlight w:val="none"/>
        </w:rPr>
        <w:fldChar w:fldCharType="begin"/>
      </w:r>
      <w:r>
        <w:rPr>
          <w:color w:val="auto"/>
          <w:highlight w:val="none"/>
        </w:rPr>
        <w:instrText xml:space="preserve"> PAGEREF _Toc20464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"_Toc1735" </w:instrText>
      </w:r>
      <w:r>
        <w:rPr>
          <w:color w:val="auto"/>
          <w:highlight w:val="none"/>
        </w:rPr>
        <w:fldChar w:fldCharType="separate"/>
      </w:r>
      <w:r>
        <w:rPr>
          <w:rFonts w:cs="宋体"/>
          <w:color w:val="auto"/>
          <w:szCs w:val="24"/>
          <w:highlight w:val="none"/>
        </w:rPr>
        <w:t xml:space="preserve">2.3 </w:t>
      </w:r>
      <w:r>
        <w:rPr>
          <w:rFonts w:hint="eastAsia"/>
          <w:color w:val="auto"/>
          <w:highlight w:val="none"/>
        </w:rPr>
        <w:t>现有项目主要产品方案</w:t>
      </w:r>
      <w:r>
        <w:rPr>
          <w:color w:val="auto"/>
          <w:highlight w:val="none"/>
        </w:rPr>
        <w:tab/>
      </w:r>
      <w:r>
        <w:rPr>
          <w:color w:val="auto"/>
          <w:highlight w:val="none"/>
        </w:rPr>
        <w:fldChar w:fldCharType="begin"/>
      </w:r>
      <w:r>
        <w:rPr>
          <w:color w:val="auto"/>
          <w:highlight w:val="none"/>
        </w:rPr>
        <w:instrText xml:space="preserve"> PAGEREF _Toc1735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"_Toc2331" </w:instrText>
      </w:r>
      <w:r>
        <w:rPr>
          <w:color w:val="auto"/>
          <w:highlight w:val="none"/>
        </w:rPr>
        <w:fldChar w:fldCharType="separate"/>
      </w:r>
      <w:r>
        <w:rPr>
          <w:rFonts w:cs="宋体"/>
          <w:color w:val="auto"/>
          <w:szCs w:val="24"/>
          <w:highlight w:val="none"/>
        </w:rPr>
        <w:t xml:space="preserve">2.4 </w:t>
      </w:r>
      <w:r>
        <w:rPr>
          <w:rFonts w:hint="eastAsia"/>
          <w:color w:val="auto"/>
          <w:highlight w:val="none"/>
        </w:rPr>
        <w:t>现有项目主要原辅材料</w:t>
      </w:r>
      <w:r>
        <w:rPr>
          <w:color w:val="auto"/>
          <w:highlight w:val="none"/>
        </w:rPr>
        <w:tab/>
      </w:r>
      <w:r>
        <w:rPr>
          <w:color w:val="auto"/>
          <w:highlight w:val="none"/>
        </w:rPr>
        <w:fldChar w:fldCharType="begin"/>
      </w:r>
      <w:r>
        <w:rPr>
          <w:color w:val="auto"/>
          <w:highlight w:val="none"/>
        </w:rPr>
        <w:instrText xml:space="preserve"> PAGEREF _Toc2331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"_Toc12035" </w:instrText>
      </w:r>
      <w:r>
        <w:rPr>
          <w:color w:val="auto"/>
          <w:highlight w:val="none"/>
        </w:rPr>
        <w:fldChar w:fldCharType="separate"/>
      </w:r>
      <w:r>
        <w:rPr>
          <w:rFonts w:cs="宋体"/>
          <w:color w:val="auto"/>
          <w:szCs w:val="24"/>
          <w:highlight w:val="none"/>
        </w:rPr>
        <w:t xml:space="preserve">2.5 </w:t>
      </w:r>
      <w:r>
        <w:rPr>
          <w:rFonts w:hint="eastAsia"/>
          <w:color w:val="auto"/>
          <w:highlight w:val="none"/>
        </w:rPr>
        <w:t>现有项目工艺流程及产污环节</w:t>
      </w:r>
      <w:r>
        <w:rPr>
          <w:color w:val="auto"/>
          <w:highlight w:val="none"/>
        </w:rPr>
        <w:tab/>
      </w:r>
      <w:r>
        <w:rPr>
          <w:color w:val="auto"/>
          <w:highlight w:val="none"/>
        </w:rPr>
        <w:fldChar w:fldCharType="begin"/>
      </w:r>
      <w:r>
        <w:rPr>
          <w:color w:val="auto"/>
          <w:highlight w:val="none"/>
        </w:rPr>
        <w:instrText xml:space="preserve"> PAGEREF _Toc12035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"_Toc4689" </w:instrText>
      </w:r>
      <w:r>
        <w:rPr>
          <w:color w:val="auto"/>
          <w:highlight w:val="none"/>
        </w:rPr>
        <w:fldChar w:fldCharType="separate"/>
      </w:r>
      <w:r>
        <w:rPr>
          <w:rFonts w:cs="宋体"/>
          <w:color w:val="auto"/>
          <w:szCs w:val="24"/>
          <w:highlight w:val="none"/>
        </w:rPr>
        <w:t xml:space="preserve">2.6 </w:t>
      </w:r>
      <w:r>
        <w:rPr>
          <w:rFonts w:hint="eastAsia"/>
          <w:color w:val="auto"/>
          <w:highlight w:val="none"/>
        </w:rPr>
        <w:t>现有项目污染物产排污情况及已采取的污染防治措施</w:t>
      </w:r>
      <w:r>
        <w:rPr>
          <w:color w:val="auto"/>
          <w:highlight w:val="none"/>
        </w:rPr>
        <w:tab/>
      </w:r>
      <w:r>
        <w:rPr>
          <w:color w:val="auto"/>
          <w:highlight w:val="none"/>
        </w:rPr>
        <w:fldChar w:fldCharType="begin"/>
      </w:r>
      <w:r>
        <w:rPr>
          <w:color w:val="auto"/>
          <w:highlight w:val="none"/>
        </w:rPr>
        <w:instrText xml:space="preserve"> PAGEREF _Toc4689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"_Toc5700" </w:instrText>
      </w:r>
      <w:r>
        <w:rPr>
          <w:color w:val="auto"/>
          <w:highlight w:val="none"/>
        </w:rPr>
        <w:fldChar w:fldCharType="separate"/>
      </w:r>
      <w:r>
        <w:rPr>
          <w:rFonts w:cs="宋体"/>
          <w:color w:val="auto"/>
          <w:szCs w:val="24"/>
          <w:highlight w:val="none"/>
        </w:rPr>
        <w:t xml:space="preserve">2.7 </w:t>
      </w:r>
      <w:r>
        <w:rPr>
          <w:rFonts w:hint="eastAsia"/>
          <w:color w:val="auto"/>
          <w:highlight w:val="none"/>
        </w:rPr>
        <w:t>现有企业存在的主要问题及“以新带老”措施</w:t>
      </w:r>
      <w:r>
        <w:rPr>
          <w:color w:val="auto"/>
          <w:highlight w:val="none"/>
        </w:rPr>
        <w:tab/>
      </w:r>
      <w:r>
        <w:rPr>
          <w:color w:val="auto"/>
          <w:highlight w:val="none"/>
        </w:rPr>
        <w:fldChar w:fldCharType="begin"/>
      </w:r>
      <w:r>
        <w:rPr>
          <w:color w:val="auto"/>
          <w:highlight w:val="none"/>
        </w:rPr>
        <w:instrText xml:space="preserve"> PAGEREF _Toc5700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"_Toc14853" </w:instrText>
      </w:r>
      <w:r>
        <w:rPr>
          <w:color w:val="auto"/>
          <w:highlight w:val="none"/>
        </w:rPr>
        <w:fldChar w:fldCharType="separate"/>
      </w:r>
      <w:r>
        <w:rPr>
          <w:rFonts w:cs="宋体"/>
          <w:color w:val="auto"/>
          <w:szCs w:val="32"/>
          <w:highlight w:val="none"/>
        </w:rPr>
        <w:t xml:space="preserve">3 </w:t>
      </w:r>
      <w:r>
        <w:rPr>
          <w:rFonts w:hint="eastAsia"/>
          <w:color w:val="auto"/>
          <w:highlight w:val="none"/>
        </w:rPr>
        <w:t>本项目建设项目概况</w:t>
      </w:r>
      <w:r>
        <w:rPr>
          <w:color w:val="auto"/>
          <w:highlight w:val="none"/>
        </w:rPr>
        <w:tab/>
      </w:r>
      <w:r>
        <w:rPr>
          <w:color w:val="auto"/>
          <w:highlight w:val="none"/>
        </w:rPr>
        <w:fldChar w:fldCharType="begin"/>
      </w:r>
      <w:r>
        <w:rPr>
          <w:color w:val="auto"/>
          <w:highlight w:val="none"/>
        </w:rPr>
        <w:instrText xml:space="preserve"> PAGEREF _Toc14853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"_Toc21603" </w:instrText>
      </w:r>
      <w:r>
        <w:rPr>
          <w:color w:val="auto"/>
          <w:highlight w:val="none"/>
        </w:rPr>
        <w:fldChar w:fldCharType="separate"/>
      </w:r>
      <w:r>
        <w:rPr>
          <w:rFonts w:cs="宋体"/>
          <w:color w:val="auto"/>
          <w:szCs w:val="24"/>
          <w:highlight w:val="none"/>
        </w:rPr>
        <w:t xml:space="preserve">3.1 </w:t>
      </w:r>
      <w:r>
        <w:rPr>
          <w:rFonts w:hint="eastAsia"/>
          <w:color w:val="auto"/>
          <w:highlight w:val="none"/>
        </w:rPr>
        <w:t>项目基本情况</w:t>
      </w:r>
      <w:r>
        <w:rPr>
          <w:color w:val="auto"/>
          <w:highlight w:val="none"/>
        </w:rPr>
        <w:tab/>
      </w:r>
      <w:r>
        <w:rPr>
          <w:color w:val="auto"/>
          <w:highlight w:val="none"/>
        </w:rPr>
        <w:fldChar w:fldCharType="begin"/>
      </w:r>
      <w:r>
        <w:rPr>
          <w:color w:val="auto"/>
          <w:highlight w:val="none"/>
        </w:rPr>
        <w:instrText xml:space="preserve"> PAGEREF _Toc21603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"_Toc30488" </w:instrText>
      </w:r>
      <w:r>
        <w:rPr>
          <w:color w:val="auto"/>
          <w:highlight w:val="none"/>
        </w:rPr>
        <w:fldChar w:fldCharType="separate"/>
      </w:r>
      <w:r>
        <w:rPr>
          <w:rFonts w:cs="宋体"/>
          <w:color w:val="auto"/>
          <w:szCs w:val="24"/>
          <w:highlight w:val="none"/>
        </w:rPr>
        <w:t xml:space="preserve">3.2 </w:t>
      </w:r>
      <w:r>
        <w:rPr>
          <w:rFonts w:hint="eastAsia"/>
          <w:color w:val="auto"/>
          <w:highlight w:val="none"/>
        </w:rPr>
        <w:t>产品方案及技术经济指标</w:t>
      </w:r>
      <w:r>
        <w:rPr>
          <w:color w:val="auto"/>
          <w:highlight w:val="none"/>
        </w:rPr>
        <w:tab/>
      </w:r>
      <w:r>
        <w:rPr>
          <w:color w:val="auto"/>
          <w:highlight w:val="none"/>
        </w:rPr>
        <w:fldChar w:fldCharType="begin"/>
      </w:r>
      <w:r>
        <w:rPr>
          <w:color w:val="auto"/>
          <w:highlight w:val="none"/>
        </w:rPr>
        <w:instrText xml:space="preserve"> PAGEREF _Toc30488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"_Toc29056" </w:instrText>
      </w:r>
      <w:r>
        <w:rPr>
          <w:color w:val="auto"/>
          <w:highlight w:val="none"/>
        </w:rPr>
        <w:fldChar w:fldCharType="separate"/>
      </w:r>
      <w:r>
        <w:rPr>
          <w:rFonts w:cs="宋体"/>
          <w:color w:val="auto"/>
          <w:szCs w:val="24"/>
          <w:highlight w:val="none"/>
        </w:rPr>
        <w:t xml:space="preserve">3.3 </w:t>
      </w:r>
      <w:r>
        <w:rPr>
          <w:rFonts w:hint="eastAsia"/>
          <w:color w:val="auto"/>
          <w:highlight w:val="none"/>
        </w:rPr>
        <w:t>项目基本组成</w:t>
      </w:r>
      <w:r>
        <w:rPr>
          <w:color w:val="auto"/>
          <w:highlight w:val="none"/>
        </w:rPr>
        <w:tab/>
      </w:r>
      <w:r>
        <w:rPr>
          <w:color w:val="auto"/>
          <w:highlight w:val="none"/>
        </w:rPr>
        <w:fldChar w:fldCharType="begin"/>
      </w:r>
      <w:r>
        <w:rPr>
          <w:color w:val="auto"/>
          <w:highlight w:val="none"/>
        </w:rPr>
        <w:instrText xml:space="preserve"> PAGEREF _Toc29056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"_Toc29408" </w:instrText>
      </w:r>
      <w:r>
        <w:rPr>
          <w:color w:val="auto"/>
          <w:highlight w:val="none"/>
        </w:rPr>
        <w:fldChar w:fldCharType="separate"/>
      </w:r>
      <w:r>
        <w:rPr>
          <w:rFonts w:cs="宋体"/>
          <w:color w:val="auto"/>
          <w:szCs w:val="24"/>
          <w:highlight w:val="none"/>
        </w:rPr>
        <w:t xml:space="preserve">3.4 </w:t>
      </w:r>
      <w:r>
        <w:rPr>
          <w:rFonts w:hint="eastAsia"/>
          <w:color w:val="auto"/>
          <w:highlight w:val="none"/>
        </w:rPr>
        <w:t>原辅材料</w:t>
      </w:r>
      <w:r>
        <w:rPr>
          <w:color w:val="auto"/>
          <w:highlight w:val="none"/>
        </w:rPr>
        <w:tab/>
      </w:r>
      <w:r>
        <w:rPr>
          <w:color w:val="auto"/>
          <w:highlight w:val="none"/>
        </w:rPr>
        <w:fldChar w:fldCharType="begin"/>
      </w:r>
      <w:r>
        <w:rPr>
          <w:color w:val="auto"/>
          <w:highlight w:val="none"/>
        </w:rPr>
        <w:instrText xml:space="preserve"> PAGEREF _Toc29408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"_Toc5226" </w:instrText>
      </w:r>
      <w:r>
        <w:rPr>
          <w:color w:val="auto"/>
          <w:highlight w:val="none"/>
        </w:rPr>
        <w:fldChar w:fldCharType="separate"/>
      </w:r>
      <w:r>
        <w:rPr>
          <w:rFonts w:cs="宋体"/>
          <w:color w:val="auto"/>
          <w:szCs w:val="24"/>
          <w:highlight w:val="none"/>
        </w:rPr>
        <w:t xml:space="preserve">3.5 </w:t>
      </w:r>
      <w:r>
        <w:rPr>
          <w:rFonts w:hint="eastAsia"/>
          <w:color w:val="auto"/>
          <w:highlight w:val="none"/>
        </w:rPr>
        <w:t>项目总平面布置合理性分析</w:t>
      </w:r>
      <w:r>
        <w:rPr>
          <w:color w:val="auto"/>
          <w:highlight w:val="none"/>
        </w:rPr>
        <w:tab/>
      </w:r>
      <w:r>
        <w:rPr>
          <w:color w:val="auto"/>
          <w:highlight w:val="none"/>
        </w:rPr>
        <w:fldChar w:fldCharType="begin"/>
      </w:r>
      <w:r>
        <w:rPr>
          <w:color w:val="auto"/>
          <w:highlight w:val="none"/>
        </w:rPr>
        <w:instrText xml:space="preserve"> PAGEREF _Toc5226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"_Toc6268" </w:instrText>
      </w:r>
      <w:r>
        <w:rPr>
          <w:color w:val="auto"/>
          <w:highlight w:val="none"/>
        </w:rPr>
        <w:fldChar w:fldCharType="separate"/>
      </w:r>
      <w:r>
        <w:rPr>
          <w:rFonts w:cs="宋体"/>
          <w:color w:val="auto"/>
          <w:szCs w:val="24"/>
          <w:highlight w:val="none"/>
        </w:rPr>
        <w:t xml:space="preserve">3.6 </w:t>
      </w:r>
      <w:r>
        <w:rPr>
          <w:rFonts w:hint="eastAsia"/>
          <w:color w:val="auto"/>
          <w:highlight w:val="none"/>
        </w:rPr>
        <w:t>主要设备</w:t>
      </w:r>
      <w:r>
        <w:rPr>
          <w:color w:val="auto"/>
          <w:highlight w:val="none"/>
        </w:rPr>
        <w:tab/>
      </w:r>
      <w:r>
        <w:rPr>
          <w:color w:val="auto"/>
          <w:highlight w:val="none"/>
        </w:rPr>
        <w:fldChar w:fldCharType="begin"/>
      </w:r>
      <w:r>
        <w:rPr>
          <w:color w:val="auto"/>
          <w:highlight w:val="none"/>
        </w:rPr>
        <w:instrText xml:space="preserve"> PAGEREF _Toc6268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"_Toc1319" </w:instrText>
      </w:r>
      <w:r>
        <w:rPr>
          <w:color w:val="auto"/>
          <w:highlight w:val="none"/>
        </w:rPr>
        <w:fldChar w:fldCharType="separate"/>
      </w:r>
      <w:r>
        <w:rPr>
          <w:rFonts w:cs="宋体"/>
          <w:color w:val="auto"/>
          <w:szCs w:val="24"/>
          <w:highlight w:val="none"/>
        </w:rPr>
        <w:t xml:space="preserve">3.7 </w:t>
      </w:r>
      <w:r>
        <w:rPr>
          <w:rFonts w:hint="eastAsia"/>
          <w:color w:val="auto"/>
          <w:highlight w:val="none"/>
        </w:rPr>
        <w:t>公用工程</w:t>
      </w:r>
      <w:r>
        <w:rPr>
          <w:color w:val="auto"/>
          <w:highlight w:val="none"/>
        </w:rPr>
        <w:tab/>
      </w:r>
      <w:r>
        <w:rPr>
          <w:color w:val="auto"/>
          <w:highlight w:val="none"/>
        </w:rPr>
        <w:fldChar w:fldCharType="begin"/>
      </w:r>
      <w:r>
        <w:rPr>
          <w:color w:val="auto"/>
          <w:highlight w:val="none"/>
        </w:rPr>
        <w:instrText xml:space="preserve"> PAGEREF _Toc1319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"_Toc31670" </w:instrText>
      </w:r>
      <w:r>
        <w:rPr>
          <w:color w:val="auto"/>
          <w:highlight w:val="none"/>
        </w:rPr>
        <w:fldChar w:fldCharType="separate"/>
      </w:r>
      <w:r>
        <w:rPr>
          <w:rFonts w:cs="宋体"/>
          <w:color w:val="auto"/>
          <w:szCs w:val="24"/>
          <w:highlight w:val="none"/>
        </w:rPr>
        <w:t xml:space="preserve">3.8 </w:t>
      </w:r>
      <w:r>
        <w:rPr>
          <w:rFonts w:hint="eastAsia"/>
          <w:color w:val="auto"/>
          <w:highlight w:val="none"/>
        </w:rPr>
        <w:t>储运工程</w:t>
      </w:r>
      <w:r>
        <w:rPr>
          <w:color w:val="auto"/>
          <w:highlight w:val="none"/>
        </w:rPr>
        <w:tab/>
      </w:r>
      <w:r>
        <w:rPr>
          <w:color w:val="auto"/>
          <w:highlight w:val="none"/>
        </w:rPr>
        <w:fldChar w:fldCharType="begin"/>
      </w:r>
      <w:r>
        <w:rPr>
          <w:color w:val="auto"/>
          <w:highlight w:val="none"/>
        </w:rPr>
        <w:instrText xml:space="preserve"> PAGEREF _Toc31670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"_Toc11464" </w:instrText>
      </w:r>
      <w:r>
        <w:rPr>
          <w:color w:val="auto"/>
          <w:highlight w:val="none"/>
        </w:rPr>
        <w:fldChar w:fldCharType="separate"/>
      </w:r>
      <w:r>
        <w:rPr>
          <w:rFonts w:cs="宋体"/>
          <w:color w:val="auto"/>
          <w:szCs w:val="24"/>
          <w:highlight w:val="none"/>
        </w:rPr>
        <w:t xml:space="preserve">3.9 </w:t>
      </w:r>
      <w:r>
        <w:rPr>
          <w:rFonts w:hint="eastAsia"/>
          <w:color w:val="auto"/>
          <w:highlight w:val="none"/>
        </w:rPr>
        <w:t>管道工程</w:t>
      </w:r>
      <w:r>
        <w:rPr>
          <w:color w:val="auto"/>
          <w:highlight w:val="none"/>
        </w:rPr>
        <w:tab/>
      </w:r>
      <w:r>
        <w:rPr>
          <w:color w:val="auto"/>
          <w:highlight w:val="none"/>
        </w:rPr>
        <w:fldChar w:fldCharType="begin"/>
      </w:r>
      <w:r>
        <w:rPr>
          <w:color w:val="auto"/>
          <w:highlight w:val="none"/>
        </w:rPr>
        <w:instrText xml:space="preserve"> PAGEREF _Toc11464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"_Toc15361" </w:instrText>
      </w:r>
      <w:r>
        <w:rPr>
          <w:color w:val="auto"/>
          <w:highlight w:val="none"/>
        </w:rPr>
        <w:fldChar w:fldCharType="separate"/>
      </w:r>
      <w:r>
        <w:rPr>
          <w:rFonts w:cs="宋体"/>
          <w:color w:val="auto"/>
          <w:szCs w:val="24"/>
          <w:highlight w:val="none"/>
        </w:rPr>
        <w:t xml:space="preserve">3.10 </w:t>
      </w:r>
      <w:r>
        <w:rPr>
          <w:color w:val="auto"/>
          <w:highlight w:val="none"/>
        </w:rPr>
        <w:tab/>
      </w:r>
      <w:r>
        <w:rPr>
          <w:color w:val="auto"/>
          <w:highlight w:val="none"/>
        </w:rPr>
        <w:fldChar w:fldCharType="begin"/>
      </w:r>
      <w:r>
        <w:rPr>
          <w:color w:val="auto"/>
          <w:highlight w:val="none"/>
        </w:rPr>
        <w:instrText xml:space="preserve"> PAGEREF _Toc15361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"_Toc17658" </w:instrText>
      </w:r>
      <w:r>
        <w:rPr>
          <w:color w:val="auto"/>
          <w:highlight w:val="none"/>
        </w:rPr>
        <w:fldChar w:fldCharType="separate"/>
      </w:r>
      <w:r>
        <w:rPr>
          <w:rFonts w:cs="宋体"/>
          <w:color w:val="auto"/>
          <w:szCs w:val="32"/>
          <w:highlight w:val="none"/>
        </w:rPr>
        <w:t xml:space="preserve">4 </w:t>
      </w:r>
      <w:r>
        <w:rPr>
          <w:rFonts w:hint="eastAsia"/>
          <w:color w:val="auto"/>
          <w:highlight w:val="none"/>
        </w:rPr>
        <w:t>工程分析</w:t>
      </w:r>
      <w:r>
        <w:rPr>
          <w:color w:val="auto"/>
          <w:highlight w:val="none"/>
        </w:rPr>
        <w:tab/>
      </w:r>
      <w:r>
        <w:rPr>
          <w:color w:val="auto"/>
          <w:highlight w:val="none"/>
        </w:rPr>
        <w:fldChar w:fldCharType="begin"/>
      </w:r>
      <w:r>
        <w:rPr>
          <w:color w:val="auto"/>
          <w:highlight w:val="none"/>
        </w:rPr>
        <w:instrText xml:space="preserve"> PAGEREF _Toc17658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"_Toc27731" </w:instrText>
      </w:r>
      <w:r>
        <w:rPr>
          <w:color w:val="auto"/>
          <w:highlight w:val="none"/>
        </w:rPr>
        <w:fldChar w:fldCharType="separate"/>
      </w:r>
      <w:r>
        <w:rPr>
          <w:rFonts w:cs="宋体"/>
          <w:color w:val="auto"/>
          <w:szCs w:val="24"/>
          <w:highlight w:val="none"/>
        </w:rPr>
        <w:t xml:space="preserve">4.1 </w:t>
      </w:r>
      <w:r>
        <w:rPr>
          <w:rFonts w:hint="eastAsia"/>
          <w:color w:val="auto"/>
          <w:highlight w:val="none"/>
        </w:rPr>
        <w:t>施工期工程分析</w:t>
      </w:r>
      <w:r>
        <w:rPr>
          <w:color w:val="auto"/>
          <w:highlight w:val="none"/>
        </w:rPr>
        <w:tab/>
      </w:r>
      <w:r>
        <w:rPr>
          <w:color w:val="auto"/>
          <w:highlight w:val="none"/>
        </w:rPr>
        <w:fldChar w:fldCharType="begin"/>
      </w:r>
      <w:r>
        <w:rPr>
          <w:color w:val="auto"/>
          <w:highlight w:val="none"/>
        </w:rPr>
        <w:instrText xml:space="preserve"> PAGEREF _Toc27731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"_Toc15594" </w:instrText>
      </w:r>
      <w:r>
        <w:rPr>
          <w:color w:val="auto"/>
          <w:highlight w:val="none"/>
        </w:rPr>
        <w:fldChar w:fldCharType="separate"/>
      </w:r>
      <w:r>
        <w:rPr>
          <w:rFonts w:cs="宋体"/>
          <w:color w:val="auto"/>
          <w:szCs w:val="24"/>
          <w:highlight w:val="none"/>
        </w:rPr>
        <w:t xml:space="preserve">4.2 </w:t>
      </w:r>
      <w:r>
        <w:rPr>
          <w:rFonts w:hint="eastAsia"/>
          <w:color w:val="auto"/>
          <w:highlight w:val="none"/>
        </w:rPr>
        <w:t>营运期工程分析</w:t>
      </w:r>
      <w:r>
        <w:rPr>
          <w:color w:val="auto"/>
          <w:highlight w:val="none"/>
        </w:rPr>
        <w:tab/>
      </w:r>
      <w:r>
        <w:rPr>
          <w:color w:val="auto"/>
          <w:highlight w:val="none"/>
        </w:rPr>
        <w:fldChar w:fldCharType="begin"/>
      </w:r>
      <w:r>
        <w:rPr>
          <w:color w:val="auto"/>
          <w:highlight w:val="none"/>
        </w:rPr>
        <w:instrText xml:space="preserve"> PAGEREF _Toc15594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"_Toc3822" </w:instrText>
      </w:r>
      <w:r>
        <w:rPr>
          <w:color w:val="auto"/>
          <w:highlight w:val="none"/>
        </w:rPr>
        <w:fldChar w:fldCharType="separate"/>
      </w:r>
      <w:r>
        <w:rPr>
          <w:rFonts w:cs="宋体"/>
          <w:color w:val="auto"/>
          <w:szCs w:val="24"/>
          <w:highlight w:val="none"/>
        </w:rPr>
        <w:t xml:space="preserve">4.3 </w:t>
      </w:r>
      <w:r>
        <w:rPr>
          <w:rFonts w:hint="eastAsia"/>
          <w:color w:val="auto"/>
          <w:highlight w:val="none"/>
        </w:rPr>
        <w:t>物料平衡及水平衡</w:t>
      </w:r>
      <w:r>
        <w:rPr>
          <w:color w:val="auto"/>
          <w:highlight w:val="none"/>
        </w:rPr>
        <w:tab/>
      </w:r>
      <w:r>
        <w:rPr>
          <w:color w:val="auto"/>
          <w:highlight w:val="none"/>
        </w:rPr>
        <w:fldChar w:fldCharType="begin"/>
      </w:r>
      <w:r>
        <w:rPr>
          <w:color w:val="auto"/>
          <w:highlight w:val="none"/>
        </w:rPr>
        <w:instrText xml:space="preserve"> PAGEREF _Toc3822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"_Toc18037" </w:instrText>
      </w:r>
      <w:r>
        <w:rPr>
          <w:color w:val="auto"/>
          <w:highlight w:val="none"/>
        </w:rPr>
        <w:fldChar w:fldCharType="separate"/>
      </w:r>
      <w:r>
        <w:rPr>
          <w:rFonts w:cs="宋体"/>
          <w:color w:val="auto"/>
          <w:szCs w:val="24"/>
          <w:highlight w:val="none"/>
        </w:rPr>
        <w:t xml:space="preserve">4.4 </w:t>
      </w:r>
      <w:r>
        <w:rPr>
          <w:rFonts w:hint="eastAsia"/>
          <w:color w:val="auto"/>
          <w:highlight w:val="none"/>
        </w:rPr>
        <w:t>营运期污染物排放及治理措施</w:t>
      </w:r>
      <w:r>
        <w:rPr>
          <w:color w:val="auto"/>
          <w:highlight w:val="none"/>
        </w:rPr>
        <w:tab/>
      </w:r>
      <w:r>
        <w:rPr>
          <w:color w:val="auto"/>
          <w:highlight w:val="none"/>
        </w:rPr>
        <w:fldChar w:fldCharType="begin"/>
      </w:r>
      <w:r>
        <w:rPr>
          <w:color w:val="auto"/>
          <w:highlight w:val="none"/>
        </w:rPr>
        <w:instrText xml:space="preserve"> PAGEREF _Toc18037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"_Toc27735" </w:instrText>
      </w:r>
      <w:r>
        <w:rPr>
          <w:color w:val="auto"/>
          <w:highlight w:val="none"/>
        </w:rPr>
        <w:fldChar w:fldCharType="separate"/>
      </w:r>
      <w:r>
        <w:rPr>
          <w:rFonts w:cs="宋体"/>
          <w:color w:val="auto"/>
          <w:szCs w:val="24"/>
          <w:highlight w:val="none"/>
        </w:rPr>
        <w:t xml:space="preserve">4.5 </w:t>
      </w:r>
      <w:r>
        <w:rPr>
          <w:rFonts w:hint="eastAsia"/>
          <w:color w:val="auto"/>
          <w:highlight w:val="none"/>
        </w:rPr>
        <w:t>屠宰场合并建设工程个三本账</w:t>
      </w:r>
      <w:r>
        <w:rPr>
          <w:color w:val="auto"/>
          <w:highlight w:val="none"/>
        </w:rPr>
        <w:tab/>
      </w:r>
      <w:r>
        <w:rPr>
          <w:color w:val="auto"/>
          <w:highlight w:val="none"/>
        </w:rPr>
        <w:fldChar w:fldCharType="begin"/>
      </w:r>
      <w:r>
        <w:rPr>
          <w:color w:val="auto"/>
          <w:highlight w:val="none"/>
        </w:rPr>
        <w:instrText xml:space="preserve"> PAGEREF _Toc27735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"_Toc21953" </w:instrText>
      </w:r>
      <w:r>
        <w:rPr>
          <w:color w:val="auto"/>
          <w:highlight w:val="none"/>
        </w:rPr>
        <w:fldChar w:fldCharType="separate"/>
      </w:r>
      <w:r>
        <w:rPr>
          <w:rFonts w:cs="宋体"/>
          <w:color w:val="auto"/>
          <w:szCs w:val="24"/>
          <w:highlight w:val="none"/>
        </w:rPr>
        <w:t xml:space="preserve">4.6 </w:t>
      </w:r>
      <w:r>
        <w:rPr>
          <w:rFonts w:hint="eastAsia"/>
          <w:color w:val="auto"/>
          <w:highlight w:val="none"/>
        </w:rPr>
        <w:t>清洁生产及总量控制</w:t>
      </w:r>
      <w:r>
        <w:rPr>
          <w:color w:val="auto"/>
          <w:highlight w:val="none"/>
        </w:rPr>
        <w:tab/>
      </w:r>
      <w:r>
        <w:rPr>
          <w:color w:val="auto"/>
          <w:highlight w:val="none"/>
        </w:rPr>
        <w:fldChar w:fldCharType="begin"/>
      </w:r>
      <w:r>
        <w:rPr>
          <w:color w:val="auto"/>
          <w:highlight w:val="none"/>
        </w:rPr>
        <w:instrText xml:space="preserve"> PAGEREF _Toc21953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"_Toc1794" </w:instrText>
      </w:r>
      <w:r>
        <w:rPr>
          <w:color w:val="auto"/>
          <w:highlight w:val="none"/>
        </w:rPr>
        <w:fldChar w:fldCharType="separate"/>
      </w:r>
      <w:r>
        <w:rPr>
          <w:rFonts w:cs="宋体"/>
          <w:color w:val="auto"/>
          <w:szCs w:val="32"/>
          <w:highlight w:val="none"/>
        </w:rPr>
        <w:t xml:space="preserve">5 </w:t>
      </w:r>
      <w:r>
        <w:rPr>
          <w:rFonts w:hint="eastAsia"/>
          <w:color w:val="auto"/>
          <w:highlight w:val="none"/>
        </w:rPr>
        <w:t>环境现状调查与评价</w:t>
      </w:r>
      <w:r>
        <w:rPr>
          <w:color w:val="auto"/>
          <w:highlight w:val="none"/>
        </w:rPr>
        <w:tab/>
      </w:r>
      <w:r>
        <w:rPr>
          <w:color w:val="auto"/>
          <w:highlight w:val="none"/>
        </w:rPr>
        <w:fldChar w:fldCharType="begin"/>
      </w:r>
      <w:r>
        <w:rPr>
          <w:color w:val="auto"/>
          <w:highlight w:val="none"/>
        </w:rPr>
        <w:instrText xml:space="preserve"> PAGEREF _Toc1794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"_Toc28335" </w:instrText>
      </w:r>
      <w:r>
        <w:rPr>
          <w:color w:val="auto"/>
          <w:highlight w:val="none"/>
        </w:rPr>
        <w:fldChar w:fldCharType="separate"/>
      </w:r>
      <w:r>
        <w:rPr>
          <w:rFonts w:cs="宋体"/>
          <w:color w:val="auto"/>
          <w:szCs w:val="24"/>
          <w:highlight w:val="none"/>
        </w:rPr>
        <w:t xml:space="preserve">5.1 </w:t>
      </w:r>
      <w:r>
        <w:rPr>
          <w:rFonts w:hint="eastAsia"/>
          <w:color w:val="auto"/>
          <w:highlight w:val="none"/>
        </w:rPr>
        <w:t>自然环境概况</w:t>
      </w:r>
      <w:r>
        <w:rPr>
          <w:color w:val="auto"/>
          <w:highlight w:val="none"/>
        </w:rPr>
        <w:tab/>
      </w:r>
      <w:r>
        <w:rPr>
          <w:color w:val="auto"/>
          <w:highlight w:val="none"/>
        </w:rPr>
        <w:fldChar w:fldCharType="begin"/>
      </w:r>
      <w:r>
        <w:rPr>
          <w:color w:val="auto"/>
          <w:highlight w:val="none"/>
        </w:rPr>
        <w:instrText xml:space="preserve"> PAGEREF _Toc28335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"_Toc14729" </w:instrText>
      </w:r>
      <w:r>
        <w:rPr>
          <w:color w:val="auto"/>
          <w:highlight w:val="none"/>
        </w:rPr>
        <w:fldChar w:fldCharType="separate"/>
      </w:r>
      <w:r>
        <w:rPr>
          <w:rFonts w:cs="宋体"/>
          <w:color w:val="auto"/>
          <w:szCs w:val="24"/>
          <w:highlight w:val="none"/>
        </w:rPr>
        <w:t xml:space="preserve">5.2 </w:t>
      </w:r>
      <w:r>
        <w:rPr>
          <w:rFonts w:hint="eastAsia"/>
          <w:color w:val="auto"/>
          <w:highlight w:val="none"/>
        </w:rPr>
        <w:t>环境质量现状监测与评价</w:t>
      </w:r>
      <w:r>
        <w:rPr>
          <w:color w:val="auto"/>
          <w:highlight w:val="none"/>
        </w:rPr>
        <w:tab/>
      </w:r>
      <w:r>
        <w:rPr>
          <w:color w:val="auto"/>
          <w:highlight w:val="none"/>
        </w:rPr>
        <w:fldChar w:fldCharType="begin"/>
      </w:r>
      <w:r>
        <w:rPr>
          <w:color w:val="auto"/>
          <w:highlight w:val="none"/>
        </w:rPr>
        <w:instrText xml:space="preserve"> PAGEREF _Toc14729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"_Toc14022" </w:instrText>
      </w:r>
      <w:r>
        <w:rPr>
          <w:color w:val="auto"/>
          <w:highlight w:val="none"/>
        </w:rPr>
        <w:fldChar w:fldCharType="separate"/>
      </w:r>
      <w:r>
        <w:rPr>
          <w:rFonts w:cs="宋体"/>
          <w:color w:val="auto"/>
          <w:szCs w:val="32"/>
          <w:highlight w:val="none"/>
        </w:rPr>
        <w:t xml:space="preserve">6 </w:t>
      </w:r>
      <w:r>
        <w:rPr>
          <w:rFonts w:hint="eastAsia"/>
          <w:color w:val="auto"/>
          <w:highlight w:val="none"/>
        </w:rPr>
        <w:t>环境影响预测与评价</w:t>
      </w:r>
      <w:r>
        <w:rPr>
          <w:color w:val="auto"/>
          <w:highlight w:val="none"/>
        </w:rPr>
        <w:tab/>
      </w:r>
      <w:r>
        <w:rPr>
          <w:color w:val="auto"/>
          <w:highlight w:val="none"/>
        </w:rPr>
        <w:fldChar w:fldCharType="begin"/>
      </w:r>
      <w:r>
        <w:rPr>
          <w:color w:val="auto"/>
          <w:highlight w:val="none"/>
        </w:rPr>
        <w:instrText xml:space="preserve"> PAGEREF _Toc14022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"_Toc15203" </w:instrText>
      </w:r>
      <w:r>
        <w:rPr>
          <w:color w:val="auto"/>
          <w:highlight w:val="none"/>
        </w:rPr>
        <w:fldChar w:fldCharType="separate"/>
      </w:r>
      <w:r>
        <w:rPr>
          <w:rFonts w:cs="宋体"/>
          <w:color w:val="auto"/>
          <w:szCs w:val="24"/>
          <w:highlight w:val="none"/>
        </w:rPr>
        <w:t xml:space="preserve">6.1 </w:t>
      </w:r>
      <w:r>
        <w:rPr>
          <w:rFonts w:hint="eastAsia"/>
          <w:color w:val="auto"/>
          <w:highlight w:val="none"/>
        </w:rPr>
        <w:t>施工期环境影响预测与评价</w:t>
      </w:r>
      <w:r>
        <w:rPr>
          <w:color w:val="auto"/>
          <w:highlight w:val="none"/>
        </w:rPr>
        <w:tab/>
      </w:r>
      <w:r>
        <w:rPr>
          <w:color w:val="auto"/>
          <w:highlight w:val="none"/>
        </w:rPr>
        <w:fldChar w:fldCharType="begin"/>
      </w:r>
      <w:r>
        <w:rPr>
          <w:color w:val="auto"/>
          <w:highlight w:val="none"/>
        </w:rPr>
        <w:instrText xml:space="preserve"> PAGEREF _Toc15203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"_Toc14211" </w:instrText>
      </w:r>
      <w:r>
        <w:rPr>
          <w:color w:val="auto"/>
          <w:highlight w:val="none"/>
        </w:rPr>
        <w:fldChar w:fldCharType="separate"/>
      </w:r>
      <w:r>
        <w:rPr>
          <w:rFonts w:cs="宋体"/>
          <w:color w:val="auto"/>
          <w:szCs w:val="24"/>
          <w:highlight w:val="none"/>
        </w:rPr>
        <w:t xml:space="preserve">6.2 </w:t>
      </w:r>
      <w:r>
        <w:rPr>
          <w:rFonts w:hint="eastAsia"/>
          <w:color w:val="auto"/>
          <w:highlight w:val="none"/>
        </w:rPr>
        <w:t>营运期环境影响预测与评价</w:t>
      </w:r>
      <w:r>
        <w:rPr>
          <w:color w:val="auto"/>
          <w:highlight w:val="none"/>
        </w:rPr>
        <w:tab/>
      </w:r>
      <w:r>
        <w:rPr>
          <w:color w:val="auto"/>
          <w:highlight w:val="none"/>
        </w:rPr>
        <w:fldChar w:fldCharType="begin"/>
      </w:r>
      <w:r>
        <w:rPr>
          <w:color w:val="auto"/>
          <w:highlight w:val="none"/>
        </w:rPr>
        <w:instrText xml:space="preserve"> PAGEREF _Toc14211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cs="宋体"/>
          <w:color w:val="auto"/>
          <w:szCs w:val="32"/>
          <w:highlight w:val="none"/>
        </w:rPr>
        <w:t xml:space="preserve">7 </w:t>
      </w:r>
      <w:r>
        <w:rPr>
          <w:rFonts w:hint="eastAsia"/>
          <w:color w:val="auto"/>
          <w:highlight w:val="none"/>
        </w:rPr>
        <w:t>环境风险评价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"_Toc23611" </w:instrText>
      </w:r>
      <w:r>
        <w:rPr>
          <w:color w:val="auto"/>
          <w:highlight w:val="none"/>
        </w:rPr>
        <w:fldChar w:fldCharType="separate"/>
      </w:r>
      <w:r>
        <w:rPr>
          <w:rFonts w:cs="宋体"/>
          <w:color w:val="auto"/>
          <w:szCs w:val="24"/>
          <w:highlight w:val="none"/>
        </w:rPr>
        <w:t xml:space="preserve">7.1 </w:t>
      </w:r>
      <w:r>
        <w:rPr>
          <w:rFonts w:hint="eastAsia"/>
          <w:color w:val="auto"/>
          <w:highlight w:val="none"/>
        </w:rPr>
        <w:t>评价依据</w:t>
      </w:r>
      <w:r>
        <w:rPr>
          <w:color w:val="auto"/>
          <w:highlight w:val="none"/>
        </w:rPr>
        <w:tab/>
      </w:r>
      <w:r>
        <w:rPr>
          <w:color w:val="auto"/>
          <w:highlight w:val="none"/>
        </w:rPr>
        <w:fldChar w:fldCharType="begin"/>
      </w:r>
      <w:r>
        <w:rPr>
          <w:color w:val="auto"/>
          <w:highlight w:val="none"/>
        </w:rPr>
        <w:instrText xml:space="preserve"> PAGEREF _Toc23611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"_Toc18903" </w:instrText>
      </w:r>
      <w:r>
        <w:rPr>
          <w:color w:val="auto"/>
          <w:highlight w:val="none"/>
        </w:rPr>
        <w:fldChar w:fldCharType="separate"/>
      </w:r>
      <w:r>
        <w:rPr>
          <w:rFonts w:cs="宋体"/>
          <w:color w:val="auto"/>
          <w:szCs w:val="24"/>
          <w:highlight w:val="none"/>
        </w:rPr>
        <w:t xml:space="preserve">7.2 </w:t>
      </w:r>
      <w:r>
        <w:rPr>
          <w:rFonts w:hint="eastAsia"/>
          <w:color w:val="auto"/>
          <w:highlight w:val="none"/>
        </w:rPr>
        <w:t>环境风险识别</w:t>
      </w:r>
      <w:r>
        <w:rPr>
          <w:color w:val="auto"/>
          <w:highlight w:val="none"/>
        </w:rPr>
        <w:tab/>
      </w:r>
      <w:r>
        <w:rPr>
          <w:color w:val="auto"/>
          <w:highlight w:val="none"/>
        </w:rPr>
        <w:fldChar w:fldCharType="begin"/>
      </w:r>
      <w:r>
        <w:rPr>
          <w:color w:val="auto"/>
          <w:highlight w:val="none"/>
        </w:rPr>
        <w:instrText xml:space="preserve"> PAGEREF _Toc18903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"_Toc20461" </w:instrText>
      </w:r>
      <w:r>
        <w:rPr>
          <w:color w:val="auto"/>
          <w:highlight w:val="none"/>
        </w:rPr>
        <w:fldChar w:fldCharType="separate"/>
      </w:r>
      <w:r>
        <w:rPr>
          <w:rFonts w:cs="宋体"/>
          <w:color w:val="auto"/>
          <w:szCs w:val="24"/>
          <w:highlight w:val="none"/>
        </w:rPr>
        <w:t xml:space="preserve">7.3 </w:t>
      </w:r>
      <w:r>
        <w:rPr>
          <w:rFonts w:hint="eastAsia"/>
          <w:color w:val="auto"/>
          <w:highlight w:val="none"/>
        </w:rPr>
        <w:t>环境风险分析</w:t>
      </w:r>
      <w:r>
        <w:rPr>
          <w:color w:val="auto"/>
          <w:highlight w:val="none"/>
        </w:rPr>
        <w:tab/>
      </w:r>
      <w:r>
        <w:rPr>
          <w:color w:val="auto"/>
          <w:highlight w:val="none"/>
        </w:rPr>
        <w:fldChar w:fldCharType="begin"/>
      </w:r>
      <w:r>
        <w:rPr>
          <w:color w:val="auto"/>
          <w:highlight w:val="none"/>
        </w:rPr>
        <w:instrText xml:space="preserve"> PAGEREF _Toc20461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"_Toc4891" </w:instrText>
      </w:r>
      <w:r>
        <w:rPr>
          <w:color w:val="auto"/>
          <w:highlight w:val="none"/>
        </w:rPr>
        <w:fldChar w:fldCharType="separate"/>
      </w:r>
      <w:r>
        <w:rPr>
          <w:rFonts w:cs="宋体"/>
          <w:color w:val="auto"/>
          <w:szCs w:val="24"/>
          <w:highlight w:val="none"/>
        </w:rPr>
        <w:t xml:space="preserve">7.4 </w:t>
      </w:r>
      <w:r>
        <w:rPr>
          <w:rFonts w:hint="eastAsia"/>
          <w:color w:val="auto"/>
          <w:highlight w:val="none"/>
        </w:rPr>
        <w:t>环境风险防范措施及应急要求</w:t>
      </w:r>
      <w:r>
        <w:rPr>
          <w:color w:val="auto"/>
          <w:highlight w:val="none"/>
        </w:rPr>
        <w:tab/>
      </w:r>
      <w:r>
        <w:rPr>
          <w:color w:val="auto"/>
          <w:highlight w:val="none"/>
        </w:rPr>
        <w:fldChar w:fldCharType="begin"/>
      </w:r>
      <w:r>
        <w:rPr>
          <w:color w:val="auto"/>
          <w:highlight w:val="none"/>
        </w:rPr>
        <w:instrText xml:space="preserve"> PAGEREF _Toc4891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"_Toc17075" </w:instrText>
      </w:r>
      <w:r>
        <w:rPr>
          <w:color w:val="auto"/>
          <w:highlight w:val="none"/>
        </w:rPr>
        <w:fldChar w:fldCharType="separate"/>
      </w:r>
      <w:r>
        <w:rPr>
          <w:rFonts w:cs="宋体"/>
          <w:color w:val="auto"/>
          <w:szCs w:val="24"/>
          <w:highlight w:val="none"/>
        </w:rPr>
        <w:t xml:space="preserve">7.5 </w:t>
      </w:r>
      <w:r>
        <w:rPr>
          <w:rFonts w:hint="eastAsia"/>
          <w:color w:val="auto"/>
          <w:highlight w:val="none"/>
        </w:rPr>
        <w:t>环境风险评价结论</w:t>
      </w:r>
      <w:r>
        <w:rPr>
          <w:color w:val="auto"/>
          <w:highlight w:val="none"/>
        </w:rPr>
        <w:tab/>
      </w:r>
      <w:r>
        <w:rPr>
          <w:color w:val="auto"/>
          <w:highlight w:val="none"/>
        </w:rPr>
        <w:fldChar w:fldCharType="begin"/>
      </w:r>
      <w:r>
        <w:rPr>
          <w:color w:val="auto"/>
          <w:highlight w:val="none"/>
        </w:rPr>
        <w:instrText xml:space="preserve"> PAGEREF _Toc17075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"_Toc7222" </w:instrText>
      </w:r>
      <w:r>
        <w:rPr>
          <w:color w:val="auto"/>
          <w:highlight w:val="none"/>
        </w:rPr>
        <w:fldChar w:fldCharType="separate"/>
      </w:r>
      <w:r>
        <w:rPr>
          <w:rFonts w:cs="宋体"/>
          <w:color w:val="auto"/>
          <w:szCs w:val="32"/>
          <w:highlight w:val="none"/>
        </w:rPr>
        <w:t xml:space="preserve">8 </w:t>
      </w:r>
      <w:r>
        <w:rPr>
          <w:rFonts w:hint="eastAsia"/>
          <w:color w:val="auto"/>
          <w:highlight w:val="none"/>
        </w:rPr>
        <w:t>环境保护措施及其可行性论证</w:t>
      </w:r>
      <w:r>
        <w:rPr>
          <w:color w:val="auto"/>
          <w:highlight w:val="none"/>
        </w:rPr>
        <w:tab/>
      </w:r>
      <w:r>
        <w:rPr>
          <w:color w:val="auto"/>
          <w:highlight w:val="none"/>
        </w:rPr>
        <w:fldChar w:fldCharType="begin"/>
      </w:r>
      <w:r>
        <w:rPr>
          <w:color w:val="auto"/>
          <w:highlight w:val="none"/>
        </w:rPr>
        <w:instrText xml:space="preserve"> PAGEREF _Toc7222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"_Toc7094" </w:instrText>
      </w:r>
      <w:r>
        <w:rPr>
          <w:color w:val="auto"/>
          <w:highlight w:val="none"/>
        </w:rPr>
        <w:fldChar w:fldCharType="separate"/>
      </w:r>
      <w:r>
        <w:rPr>
          <w:rFonts w:cs="宋体"/>
          <w:color w:val="auto"/>
          <w:szCs w:val="24"/>
          <w:highlight w:val="none"/>
        </w:rPr>
        <w:t xml:space="preserve">8.1 </w:t>
      </w:r>
      <w:r>
        <w:rPr>
          <w:rFonts w:hint="eastAsia"/>
          <w:color w:val="auto"/>
          <w:highlight w:val="none"/>
        </w:rPr>
        <w:t>施工期环境保护措施</w:t>
      </w:r>
      <w:r>
        <w:rPr>
          <w:color w:val="auto"/>
          <w:highlight w:val="none"/>
        </w:rPr>
        <w:tab/>
      </w:r>
      <w:r>
        <w:rPr>
          <w:color w:val="auto"/>
          <w:highlight w:val="none"/>
        </w:rPr>
        <w:fldChar w:fldCharType="begin"/>
      </w:r>
      <w:r>
        <w:rPr>
          <w:color w:val="auto"/>
          <w:highlight w:val="none"/>
        </w:rPr>
        <w:instrText xml:space="preserve"> PAGEREF _Toc7094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"_Toc27207" </w:instrText>
      </w:r>
      <w:r>
        <w:rPr>
          <w:color w:val="auto"/>
          <w:highlight w:val="none"/>
        </w:rPr>
        <w:fldChar w:fldCharType="separate"/>
      </w:r>
      <w:r>
        <w:rPr>
          <w:rFonts w:cs="宋体"/>
          <w:color w:val="auto"/>
          <w:szCs w:val="24"/>
          <w:highlight w:val="none"/>
        </w:rPr>
        <w:t xml:space="preserve">8.2 </w:t>
      </w:r>
      <w:r>
        <w:rPr>
          <w:rFonts w:hint="eastAsia"/>
          <w:color w:val="auto"/>
          <w:highlight w:val="none"/>
        </w:rPr>
        <w:t>营运期环境保护措施</w:t>
      </w:r>
      <w:r>
        <w:rPr>
          <w:color w:val="auto"/>
          <w:highlight w:val="none"/>
        </w:rPr>
        <w:tab/>
      </w:r>
      <w:r>
        <w:rPr>
          <w:color w:val="auto"/>
          <w:highlight w:val="none"/>
        </w:rPr>
        <w:fldChar w:fldCharType="begin"/>
      </w:r>
      <w:r>
        <w:rPr>
          <w:color w:val="auto"/>
          <w:highlight w:val="none"/>
        </w:rPr>
        <w:instrText xml:space="preserve"> PAGEREF _Toc27207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"_Toc980" </w:instrText>
      </w:r>
      <w:r>
        <w:rPr>
          <w:color w:val="auto"/>
          <w:highlight w:val="none"/>
        </w:rPr>
        <w:fldChar w:fldCharType="separate"/>
      </w:r>
      <w:r>
        <w:rPr>
          <w:rFonts w:cs="宋体"/>
          <w:color w:val="auto"/>
          <w:szCs w:val="24"/>
          <w:highlight w:val="none"/>
        </w:rPr>
        <w:t xml:space="preserve">8.3 </w:t>
      </w:r>
      <w:r>
        <w:rPr>
          <w:rFonts w:hint="eastAsia"/>
          <w:color w:val="auto"/>
          <w:highlight w:val="none"/>
        </w:rPr>
        <w:t>环保投资估算</w:t>
      </w:r>
      <w:r>
        <w:rPr>
          <w:color w:val="auto"/>
          <w:highlight w:val="none"/>
        </w:rPr>
        <w:tab/>
      </w:r>
      <w:r>
        <w:rPr>
          <w:color w:val="auto"/>
          <w:highlight w:val="none"/>
        </w:rPr>
        <w:fldChar w:fldCharType="begin"/>
      </w:r>
      <w:r>
        <w:rPr>
          <w:color w:val="auto"/>
          <w:highlight w:val="none"/>
        </w:rPr>
        <w:instrText xml:space="preserve"> PAGEREF _Toc980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"_Toc8736" </w:instrText>
      </w:r>
      <w:r>
        <w:rPr>
          <w:color w:val="auto"/>
          <w:highlight w:val="none"/>
        </w:rPr>
        <w:fldChar w:fldCharType="separate"/>
      </w:r>
      <w:r>
        <w:rPr>
          <w:rFonts w:cs="宋体"/>
          <w:color w:val="auto"/>
          <w:szCs w:val="32"/>
          <w:highlight w:val="none"/>
        </w:rPr>
        <w:t xml:space="preserve">9 </w:t>
      </w:r>
      <w:r>
        <w:rPr>
          <w:rFonts w:hint="eastAsia"/>
          <w:color w:val="auto"/>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_Toc8736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"_Toc22100" </w:instrText>
      </w:r>
      <w:r>
        <w:rPr>
          <w:color w:val="auto"/>
          <w:highlight w:val="none"/>
        </w:rPr>
        <w:fldChar w:fldCharType="separate"/>
      </w:r>
      <w:r>
        <w:rPr>
          <w:rFonts w:cs="宋体"/>
          <w:color w:val="auto"/>
          <w:szCs w:val="24"/>
          <w:highlight w:val="none"/>
        </w:rPr>
        <w:t xml:space="preserve">9.1 </w:t>
      </w:r>
      <w:r>
        <w:rPr>
          <w:rFonts w:hint="eastAsia"/>
          <w:color w:val="auto"/>
          <w:highlight w:val="none"/>
        </w:rPr>
        <w:t>社会效益分析</w:t>
      </w:r>
      <w:r>
        <w:rPr>
          <w:color w:val="auto"/>
          <w:highlight w:val="none"/>
        </w:rPr>
        <w:tab/>
      </w:r>
      <w:r>
        <w:rPr>
          <w:color w:val="auto"/>
          <w:highlight w:val="none"/>
        </w:rPr>
        <w:fldChar w:fldCharType="begin"/>
      </w:r>
      <w:r>
        <w:rPr>
          <w:color w:val="auto"/>
          <w:highlight w:val="none"/>
        </w:rPr>
        <w:instrText xml:space="preserve"> PAGEREF _Toc22100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"_Toc23716" </w:instrText>
      </w:r>
      <w:r>
        <w:rPr>
          <w:color w:val="auto"/>
          <w:highlight w:val="none"/>
        </w:rPr>
        <w:fldChar w:fldCharType="separate"/>
      </w:r>
      <w:r>
        <w:rPr>
          <w:rFonts w:cs="宋体"/>
          <w:color w:val="auto"/>
          <w:szCs w:val="24"/>
          <w:highlight w:val="none"/>
        </w:rPr>
        <w:t xml:space="preserve">9.2 </w:t>
      </w:r>
      <w:r>
        <w:rPr>
          <w:rFonts w:hint="eastAsia"/>
          <w:color w:val="auto"/>
          <w:highlight w:val="none"/>
        </w:rPr>
        <w:t>经济效益分析</w:t>
      </w:r>
      <w:r>
        <w:rPr>
          <w:color w:val="auto"/>
          <w:highlight w:val="none"/>
        </w:rPr>
        <w:tab/>
      </w:r>
      <w:r>
        <w:rPr>
          <w:color w:val="auto"/>
          <w:highlight w:val="none"/>
        </w:rPr>
        <w:fldChar w:fldCharType="begin"/>
      </w:r>
      <w:r>
        <w:rPr>
          <w:color w:val="auto"/>
          <w:highlight w:val="none"/>
        </w:rPr>
        <w:instrText xml:space="preserve"> PAGEREF _Toc23716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"_Toc12380" </w:instrText>
      </w:r>
      <w:r>
        <w:rPr>
          <w:color w:val="auto"/>
          <w:highlight w:val="none"/>
        </w:rPr>
        <w:fldChar w:fldCharType="separate"/>
      </w:r>
      <w:r>
        <w:rPr>
          <w:rFonts w:cs="宋体"/>
          <w:color w:val="auto"/>
          <w:szCs w:val="24"/>
          <w:highlight w:val="none"/>
        </w:rPr>
        <w:t xml:space="preserve">9.3 </w:t>
      </w:r>
      <w:r>
        <w:rPr>
          <w:rFonts w:hint="eastAsia"/>
          <w:color w:val="auto"/>
          <w:highlight w:val="none"/>
        </w:rPr>
        <w:t>环境效益分析</w:t>
      </w:r>
      <w:r>
        <w:rPr>
          <w:color w:val="auto"/>
          <w:highlight w:val="none"/>
        </w:rPr>
        <w:tab/>
      </w:r>
      <w:r>
        <w:rPr>
          <w:color w:val="auto"/>
          <w:highlight w:val="none"/>
        </w:rPr>
        <w:fldChar w:fldCharType="begin"/>
      </w:r>
      <w:r>
        <w:rPr>
          <w:color w:val="auto"/>
          <w:highlight w:val="none"/>
        </w:rPr>
        <w:instrText xml:space="preserve"> PAGEREF _Toc12380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"_Toc21227" </w:instrText>
      </w:r>
      <w:r>
        <w:rPr>
          <w:color w:val="auto"/>
          <w:highlight w:val="none"/>
        </w:rPr>
        <w:fldChar w:fldCharType="separate"/>
      </w:r>
      <w:r>
        <w:rPr>
          <w:rFonts w:cs="宋体"/>
          <w:color w:val="auto"/>
          <w:szCs w:val="24"/>
          <w:highlight w:val="none"/>
        </w:rPr>
        <w:t xml:space="preserve">9.4 </w:t>
      </w:r>
      <w:r>
        <w:rPr>
          <w:rFonts w:hint="eastAsia"/>
          <w:color w:val="auto"/>
          <w:highlight w:val="none"/>
        </w:rPr>
        <w:t>环境经济损益分析结论</w:t>
      </w:r>
      <w:r>
        <w:rPr>
          <w:color w:val="auto"/>
          <w:highlight w:val="none"/>
        </w:rPr>
        <w:tab/>
      </w:r>
      <w:r>
        <w:rPr>
          <w:color w:val="auto"/>
          <w:highlight w:val="none"/>
        </w:rPr>
        <w:fldChar w:fldCharType="begin"/>
      </w:r>
      <w:r>
        <w:rPr>
          <w:color w:val="auto"/>
          <w:highlight w:val="none"/>
        </w:rPr>
        <w:instrText xml:space="preserve"> PAGEREF _Toc21227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"_Toc23820" </w:instrText>
      </w:r>
      <w:r>
        <w:rPr>
          <w:color w:val="auto"/>
          <w:highlight w:val="none"/>
        </w:rPr>
        <w:fldChar w:fldCharType="separate"/>
      </w:r>
      <w:r>
        <w:rPr>
          <w:rFonts w:cs="宋体"/>
          <w:color w:val="auto"/>
          <w:szCs w:val="32"/>
          <w:highlight w:val="none"/>
        </w:rPr>
        <w:t xml:space="preserve">10 </w:t>
      </w:r>
      <w:r>
        <w:rPr>
          <w:rFonts w:hint="eastAsia"/>
          <w:color w:val="auto"/>
          <w:highlight w:val="none"/>
        </w:rPr>
        <w:t>环境管理及监测计划</w:t>
      </w:r>
      <w:r>
        <w:rPr>
          <w:color w:val="auto"/>
          <w:highlight w:val="none"/>
        </w:rPr>
        <w:tab/>
      </w:r>
      <w:r>
        <w:rPr>
          <w:color w:val="auto"/>
          <w:highlight w:val="none"/>
        </w:rPr>
        <w:fldChar w:fldCharType="begin"/>
      </w:r>
      <w:r>
        <w:rPr>
          <w:color w:val="auto"/>
          <w:highlight w:val="none"/>
        </w:rPr>
        <w:instrText xml:space="preserve"> PAGEREF _Toc23820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"_Toc18544" </w:instrText>
      </w:r>
      <w:r>
        <w:rPr>
          <w:color w:val="auto"/>
          <w:highlight w:val="none"/>
        </w:rPr>
        <w:fldChar w:fldCharType="separate"/>
      </w:r>
      <w:r>
        <w:rPr>
          <w:rFonts w:cs="宋体"/>
          <w:color w:val="auto"/>
          <w:szCs w:val="24"/>
          <w:highlight w:val="none"/>
        </w:rPr>
        <w:t xml:space="preserve">10.1 </w:t>
      </w:r>
      <w:r>
        <w:rPr>
          <w:rFonts w:hint="eastAsia"/>
          <w:color w:val="auto"/>
          <w:highlight w:val="none"/>
        </w:rPr>
        <w:t>环境管理</w:t>
      </w:r>
      <w:r>
        <w:rPr>
          <w:color w:val="auto"/>
          <w:highlight w:val="none"/>
        </w:rPr>
        <w:tab/>
      </w:r>
      <w:r>
        <w:rPr>
          <w:color w:val="auto"/>
          <w:highlight w:val="none"/>
        </w:rPr>
        <w:fldChar w:fldCharType="begin"/>
      </w:r>
      <w:r>
        <w:rPr>
          <w:color w:val="auto"/>
          <w:highlight w:val="none"/>
        </w:rPr>
        <w:instrText xml:space="preserve"> PAGEREF _Toc18544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"_Toc2914" </w:instrText>
      </w:r>
      <w:r>
        <w:rPr>
          <w:color w:val="auto"/>
          <w:highlight w:val="none"/>
        </w:rPr>
        <w:fldChar w:fldCharType="separate"/>
      </w:r>
      <w:r>
        <w:rPr>
          <w:rFonts w:cs="宋体"/>
          <w:color w:val="auto"/>
          <w:szCs w:val="24"/>
          <w:highlight w:val="none"/>
        </w:rPr>
        <w:t xml:space="preserve">10.2 </w:t>
      </w:r>
      <w:r>
        <w:rPr>
          <w:rFonts w:hint="eastAsia"/>
          <w:color w:val="auto"/>
          <w:highlight w:val="none"/>
        </w:rPr>
        <w:t>环境监测</w:t>
      </w:r>
      <w:r>
        <w:rPr>
          <w:color w:val="auto"/>
          <w:highlight w:val="none"/>
        </w:rPr>
        <w:tab/>
      </w:r>
      <w:r>
        <w:rPr>
          <w:color w:val="auto"/>
          <w:highlight w:val="none"/>
        </w:rPr>
        <w:fldChar w:fldCharType="begin"/>
      </w:r>
      <w:r>
        <w:rPr>
          <w:color w:val="auto"/>
          <w:highlight w:val="none"/>
        </w:rPr>
        <w:instrText xml:space="preserve"> PAGEREF _Toc2914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"_Toc3039" </w:instrText>
      </w:r>
      <w:r>
        <w:rPr>
          <w:color w:val="auto"/>
          <w:highlight w:val="none"/>
        </w:rPr>
        <w:fldChar w:fldCharType="separate"/>
      </w:r>
      <w:r>
        <w:rPr>
          <w:rFonts w:cs="宋体"/>
          <w:color w:val="auto"/>
          <w:szCs w:val="24"/>
          <w:highlight w:val="none"/>
        </w:rPr>
        <w:t xml:space="preserve">10.3 </w:t>
      </w:r>
      <w:r>
        <w:rPr>
          <w:rFonts w:hint="eastAsia"/>
          <w:color w:val="auto"/>
          <w:highlight w:val="none"/>
        </w:rPr>
        <w:t>环保竣工验收</w:t>
      </w:r>
      <w:r>
        <w:rPr>
          <w:color w:val="auto"/>
          <w:highlight w:val="none"/>
        </w:rPr>
        <w:tab/>
      </w:r>
      <w:r>
        <w:rPr>
          <w:color w:val="auto"/>
          <w:highlight w:val="none"/>
        </w:rPr>
        <w:fldChar w:fldCharType="begin"/>
      </w:r>
      <w:r>
        <w:rPr>
          <w:color w:val="auto"/>
          <w:highlight w:val="none"/>
        </w:rPr>
        <w:instrText xml:space="preserve"> PAGEREF _Toc3039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pPr>
        <w:pStyle w:val="18"/>
        <w:widowControl w:val="0"/>
        <w:tabs>
          <w:tab w:val="right" w:leader="dot" w:pos="9406"/>
        </w:tabs>
        <w:ind w:firstLine="480"/>
        <w:rPr>
          <w:color w:val="auto"/>
          <w:highlight w:val="none"/>
        </w:rPr>
      </w:pPr>
      <w:r>
        <w:rPr>
          <w:color w:val="auto"/>
          <w:highlight w:val="none"/>
        </w:rPr>
        <w:fldChar w:fldCharType="begin"/>
      </w:r>
      <w:r>
        <w:rPr>
          <w:color w:val="auto"/>
          <w:highlight w:val="none"/>
        </w:rPr>
        <w:instrText xml:space="preserve"> HYPERLINK \l "_Toc25689" </w:instrText>
      </w:r>
      <w:r>
        <w:rPr>
          <w:color w:val="auto"/>
          <w:highlight w:val="none"/>
        </w:rPr>
        <w:fldChar w:fldCharType="separate"/>
      </w:r>
      <w:r>
        <w:rPr>
          <w:rFonts w:cs="宋体"/>
          <w:color w:val="auto"/>
          <w:szCs w:val="32"/>
          <w:highlight w:val="none"/>
        </w:rPr>
        <w:t xml:space="preserve">11 </w:t>
      </w:r>
      <w:r>
        <w:rPr>
          <w:rFonts w:hint="eastAsia"/>
          <w:color w:val="auto"/>
          <w:highlight w:val="none"/>
        </w:rPr>
        <w:t>环境影响评价结论与建议</w:t>
      </w:r>
      <w:r>
        <w:rPr>
          <w:color w:val="auto"/>
          <w:highlight w:val="none"/>
        </w:rPr>
        <w:tab/>
      </w:r>
      <w:r>
        <w:rPr>
          <w:color w:val="auto"/>
          <w:highlight w:val="none"/>
        </w:rPr>
        <w:fldChar w:fldCharType="begin"/>
      </w:r>
      <w:r>
        <w:rPr>
          <w:color w:val="auto"/>
          <w:highlight w:val="none"/>
        </w:rPr>
        <w:instrText xml:space="preserve"> PAGEREF _Toc25689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"_Toc27462" </w:instrText>
      </w:r>
      <w:r>
        <w:rPr>
          <w:color w:val="auto"/>
          <w:highlight w:val="none"/>
        </w:rPr>
        <w:fldChar w:fldCharType="separate"/>
      </w:r>
      <w:r>
        <w:rPr>
          <w:rFonts w:cs="宋体"/>
          <w:color w:val="auto"/>
          <w:szCs w:val="24"/>
          <w:highlight w:val="none"/>
        </w:rPr>
        <w:t xml:space="preserve">11.1 </w:t>
      </w:r>
      <w:r>
        <w:rPr>
          <w:rFonts w:hint="eastAsia"/>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_Toc27462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"_Toc2783" </w:instrText>
      </w:r>
      <w:r>
        <w:rPr>
          <w:color w:val="auto"/>
          <w:highlight w:val="none"/>
        </w:rPr>
        <w:fldChar w:fldCharType="separate"/>
      </w:r>
      <w:r>
        <w:rPr>
          <w:rFonts w:cs="宋体"/>
          <w:color w:val="auto"/>
          <w:szCs w:val="24"/>
          <w:highlight w:val="none"/>
        </w:rPr>
        <w:t xml:space="preserve">11.2 </w:t>
      </w:r>
      <w:r>
        <w:rPr>
          <w:rFonts w:hint="eastAsia"/>
          <w:color w:val="auto"/>
          <w:highlight w:val="none"/>
        </w:rPr>
        <w:t>环境质量现状</w:t>
      </w:r>
      <w:r>
        <w:rPr>
          <w:color w:val="auto"/>
          <w:highlight w:val="none"/>
        </w:rPr>
        <w:tab/>
      </w:r>
      <w:r>
        <w:rPr>
          <w:color w:val="auto"/>
          <w:highlight w:val="none"/>
        </w:rPr>
        <w:fldChar w:fldCharType="begin"/>
      </w:r>
      <w:r>
        <w:rPr>
          <w:color w:val="auto"/>
          <w:highlight w:val="none"/>
        </w:rPr>
        <w:instrText xml:space="preserve"> PAGEREF _Toc2783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"_Toc7846" </w:instrText>
      </w:r>
      <w:r>
        <w:rPr>
          <w:color w:val="auto"/>
          <w:highlight w:val="none"/>
        </w:rPr>
        <w:fldChar w:fldCharType="separate"/>
      </w:r>
      <w:r>
        <w:rPr>
          <w:rFonts w:cs="宋体"/>
          <w:color w:val="auto"/>
          <w:szCs w:val="24"/>
          <w:highlight w:val="none"/>
        </w:rPr>
        <w:t xml:space="preserve">11.3 </w:t>
      </w:r>
      <w:r>
        <w:rPr>
          <w:rFonts w:hint="eastAsia"/>
          <w:color w:val="auto"/>
          <w:highlight w:val="none"/>
        </w:rPr>
        <w:t>污染物排放及环保措施设置结论</w:t>
      </w:r>
      <w:r>
        <w:rPr>
          <w:color w:val="auto"/>
          <w:highlight w:val="none"/>
        </w:rPr>
        <w:tab/>
      </w:r>
      <w:r>
        <w:rPr>
          <w:color w:val="auto"/>
          <w:highlight w:val="none"/>
        </w:rPr>
        <w:fldChar w:fldCharType="begin"/>
      </w:r>
      <w:r>
        <w:rPr>
          <w:color w:val="auto"/>
          <w:highlight w:val="none"/>
        </w:rPr>
        <w:instrText xml:space="preserve"> PAGEREF _Toc7846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"_Toc7313" </w:instrText>
      </w:r>
      <w:r>
        <w:rPr>
          <w:color w:val="auto"/>
          <w:highlight w:val="none"/>
        </w:rPr>
        <w:fldChar w:fldCharType="separate"/>
      </w:r>
      <w:r>
        <w:rPr>
          <w:rFonts w:cs="宋体"/>
          <w:color w:val="auto"/>
          <w:szCs w:val="24"/>
          <w:highlight w:val="none"/>
        </w:rPr>
        <w:t xml:space="preserve">11.4 </w:t>
      </w:r>
      <w:r>
        <w:rPr>
          <w:rFonts w:hint="eastAsia"/>
          <w:color w:val="auto"/>
          <w:highlight w:val="none"/>
        </w:rPr>
        <w:t>主要环境影响结论</w:t>
      </w:r>
      <w:r>
        <w:rPr>
          <w:color w:val="auto"/>
          <w:highlight w:val="none"/>
        </w:rPr>
        <w:tab/>
      </w:r>
      <w:r>
        <w:rPr>
          <w:color w:val="auto"/>
          <w:highlight w:val="none"/>
        </w:rPr>
        <w:fldChar w:fldCharType="begin"/>
      </w:r>
      <w:r>
        <w:rPr>
          <w:color w:val="auto"/>
          <w:highlight w:val="none"/>
        </w:rPr>
        <w:instrText xml:space="preserve"> PAGEREF _Toc7313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cs="宋体"/>
          <w:color w:val="auto"/>
          <w:szCs w:val="24"/>
          <w:highlight w:val="none"/>
        </w:rPr>
        <w:t xml:space="preserve">11.5 </w:t>
      </w:r>
      <w:r>
        <w:rPr>
          <w:rFonts w:hint="eastAsia"/>
          <w:color w:val="auto"/>
          <w:highlight w:val="none"/>
        </w:rPr>
        <w:t>公众意见采纳情况</w:t>
      </w:r>
      <w:r>
        <w:rPr>
          <w:color w:val="auto"/>
          <w:highlight w:val="none"/>
        </w:rPr>
        <w:tab/>
      </w:r>
      <w:r>
        <w:rPr>
          <w:color w:val="auto"/>
          <w:highlight w:val="none"/>
        </w:rPr>
        <w:fldChar w:fldCharType="begin"/>
      </w:r>
      <w:r>
        <w:rPr>
          <w:color w:val="auto"/>
          <w:highlight w:val="none"/>
        </w:rPr>
        <w:instrText xml:space="preserve"> PAGEREF _Toc1083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"_Toc16748" </w:instrText>
      </w:r>
      <w:r>
        <w:rPr>
          <w:color w:val="auto"/>
          <w:highlight w:val="none"/>
        </w:rPr>
        <w:fldChar w:fldCharType="separate"/>
      </w:r>
      <w:r>
        <w:rPr>
          <w:rFonts w:cs="宋体"/>
          <w:color w:val="auto"/>
          <w:szCs w:val="24"/>
          <w:highlight w:val="none"/>
        </w:rPr>
        <w:t xml:space="preserve">11.6 </w:t>
      </w:r>
      <w:r>
        <w:rPr>
          <w:rFonts w:hint="eastAsia"/>
          <w:color w:val="auto"/>
          <w:highlight w:val="none"/>
        </w:rPr>
        <w:t>环境影响经济损益分析结论</w:t>
      </w:r>
      <w:r>
        <w:rPr>
          <w:color w:val="auto"/>
          <w:highlight w:val="none"/>
        </w:rPr>
        <w:tab/>
      </w:r>
      <w:r>
        <w:rPr>
          <w:color w:val="auto"/>
          <w:highlight w:val="none"/>
        </w:rPr>
        <w:fldChar w:fldCharType="begin"/>
      </w:r>
      <w:r>
        <w:rPr>
          <w:color w:val="auto"/>
          <w:highlight w:val="none"/>
        </w:rPr>
        <w:instrText xml:space="preserve"> PAGEREF _Toc16748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"_Toc9214" </w:instrText>
      </w:r>
      <w:r>
        <w:rPr>
          <w:color w:val="auto"/>
          <w:highlight w:val="none"/>
        </w:rPr>
        <w:fldChar w:fldCharType="separate"/>
      </w:r>
      <w:r>
        <w:rPr>
          <w:rFonts w:cs="宋体"/>
          <w:color w:val="auto"/>
          <w:szCs w:val="24"/>
          <w:highlight w:val="none"/>
        </w:rPr>
        <w:t xml:space="preserve">11.7 </w:t>
      </w:r>
      <w:r>
        <w:rPr>
          <w:rFonts w:hint="eastAsia"/>
          <w:color w:val="auto"/>
          <w:highlight w:val="none"/>
        </w:rPr>
        <w:t>环境管理与监测计划</w:t>
      </w:r>
      <w:r>
        <w:rPr>
          <w:color w:val="auto"/>
          <w:highlight w:val="none"/>
        </w:rPr>
        <w:tab/>
      </w:r>
      <w:r>
        <w:rPr>
          <w:color w:val="auto"/>
          <w:highlight w:val="none"/>
        </w:rPr>
        <w:fldChar w:fldCharType="begin"/>
      </w:r>
      <w:r>
        <w:rPr>
          <w:color w:val="auto"/>
          <w:highlight w:val="none"/>
        </w:rPr>
        <w:instrText xml:space="preserve"> PAGEREF _Toc9214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"_Toc2502" </w:instrText>
      </w:r>
      <w:r>
        <w:rPr>
          <w:color w:val="auto"/>
          <w:highlight w:val="none"/>
        </w:rPr>
        <w:fldChar w:fldCharType="separate"/>
      </w:r>
      <w:r>
        <w:rPr>
          <w:rFonts w:cs="宋体"/>
          <w:color w:val="auto"/>
          <w:szCs w:val="24"/>
          <w:highlight w:val="none"/>
        </w:rPr>
        <w:t xml:space="preserve">11.8 </w:t>
      </w:r>
      <w:r>
        <w:rPr>
          <w:rFonts w:hint="eastAsia"/>
          <w:color w:val="auto"/>
          <w:highlight w:val="none"/>
        </w:rPr>
        <w:t>环境影响可行性结论</w:t>
      </w:r>
      <w:r>
        <w:rPr>
          <w:color w:val="auto"/>
          <w:highlight w:val="none"/>
        </w:rPr>
        <w:tab/>
      </w:r>
      <w:r>
        <w:rPr>
          <w:color w:val="auto"/>
          <w:highlight w:val="none"/>
        </w:rPr>
        <w:fldChar w:fldCharType="begin"/>
      </w:r>
      <w:r>
        <w:rPr>
          <w:color w:val="auto"/>
          <w:highlight w:val="none"/>
        </w:rPr>
        <w:instrText xml:space="preserve"> PAGEREF _Toc2502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pStyle w:val="19"/>
        <w:widowControl w:val="0"/>
        <w:tabs>
          <w:tab w:val="right" w:leader="dot" w:pos="9406"/>
        </w:tabs>
        <w:ind w:left="480" w:firstLine="480"/>
        <w:rPr>
          <w:color w:val="auto"/>
          <w:highlight w:val="none"/>
        </w:rPr>
      </w:pPr>
      <w:r>
        <w:rPr>
          <w:color w:val="auto"/>
          <w:highlight w:val="none"/>
        </w:rPr>
        <w:fldChar w:fldCharType="begin"/>
      </w:r>
      <w:r>
        <w:rPr>
          <w:color w:val="auto"/>
          <w:highlight w:val="none"/>
        </w:rPr>
        <w:instrText xml:space="preserve"> HYPERLINK \l "_Toc23590" </w:instrText>
      </w:r>
      <w:r>
        <w:rPr>
          <w:color w:val="auto"/>
          <w:highlight w:val="none"/>
        </w:rPr>
        <w:fldChar w:fldCharType="separate"/>
      </w:r>
      <w:r>
        <w:rPr>
          <w:rFonts w:cs="宋体"/>
          <w:color w:val="auto"/>
          <w:szCs w:val="24"/>
          <w:highlight w:val="none"/>
        </w:rPr>
        <w:t xml:space="preserve">11.9 </w:t>
      </w:r>
      <w:r>
        <w:rPr>
          <w:rFonts w:hint="eastAsia"/>
          <w:color w:val="auto"/>
          <w:highlight w:val="none"/>
        </w:rPr>
        <w:t>环境保护对策建议</w:t>
      </w:r>
      <w:r>
        <w:rPr>
          <w:color w:val="auto"/>
          <w:highlight w:val="none"/>
        </w:rPr>
        <w:tab/>
      </w:r>
      <w:r>
        <w:rPr>
          <w:color w:val="auto"/>
          <w:highlight w:val="none"/>
        </w:rPr>
        <w:fldChar w:fldCharType="begin"/>
      </w:r>
      <w:r>
        <w:rPr>
          <w:color w:val="auto"/>
          <w:highlight w:val="none"/>
        </w:rPr>
        <w:instrText xml:space="preserve"> PAGEREF _Toc23590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widowControl w:val="0"/>
        <w:rPr>
          <w:rFonts w:hint="eastAsia" w:ascii="宋体" w:hAnsi="宋体"/>
          <w:color w:val="auto"/>
          <w:highlight w:val="none"/>
        </w:rPr>
        <w:sectPr>
          <w:footerReference r:id="rId5" w:type="default"/>
          <w:pgSz w:w="12240" w:h="15840"/>
          <w:pgMar w:top="1440" w:right="1417" w:bottom="1440" w:left="1417" w:header="720" w:footer="720" w:gutter="0"/>
          <w:pgBorders>
            <w:top w:val="none" w:sz="0" w:space="0"/>
            <w:left w:val="none" w:sz="0" w:space="0"/>
            <w:bottom w:val="none" w:sz="0" w:space="0"/>
            <w:right w:val="none" w:sz="0" w:space="0"/>
          </w:pgBorders>
          <w:pgNumType w:fmt="upperRoman" w:start="1"/>
          <w:cols w:space="720" w:num="1"/>
          <w:docGrid w:type="lines" w:linePitch="312" w:charSpace="0"/>
        </w:sectPr>
      </w:pPr>
    </w:p>
    <w:p>
      <w:pPr>
        <w:widowControl w:val="0"/>
        <w:rPr>
          <w:rFonts w:hint="eastAsia"/>
          <w:color w:val="auto"/>
          <w:highlight w:val="none"/>
        </w:rPr>
      </w:pPr>
      <w:r>
        <w:rPr>
          <w:rFonts w:hint="eastAsia" w:ascii="宋体" w:hAnsi="宋体"/>
          <w:color w:val="auto"/>
          <w:highlight w:val="none"/>
        </w:rPr>
        <w:fldChar w:fldCharType="end"/>
      </w:r>
    </w:p>
    <w:p>
      <w:pPr>
        <w:pStyle w:val="3"/>
        <w:widowControl w:val="0"/>
        <w:numPr>
          <w:ilvl w:val="0"/>
          <w:numId w:val="0"/>
        </w:numPr>
        <w:rPr>
          <w:color w:val="auto"/>
          <w:highlight w:val="none"/>
        </w:rPr>
      </w:pPr>
      <w:r>
        <w:rPr>
          <w:rFonts w:hint="eastAsia"/>
          <w:color w:val="auto"/>
          <w:highlight w:val="none"/>
        </w:rPr>
        <w:t>概   述</w:t>
      </w:r>
      <w:bookmarkEnd w:id="0"/>
      <w:bookmarkEnd w:id="1"/>
      <w:bookmarkEnd w:id="2"/>
      <w:bookmarkEnd w:id="3"/>
      <w:bookmarkEnd w:id="4"/>
    </w:p>
    <w:p>
      <w:pPr>
        <w:pStyle w:val="4"/>
        <w:widowControl w:val="0"/>
        <w:numPr>
          <w:ilvl w:val="1"/>
          <w:numId w:val="0"/>
        </w:numPr>
        <w:rPr>
          <w:color w:val="auto"/>
          <w:highlight w:val="none"/>
        </w:rPr>
      </w:pPr>
      <w:bookmarkStart w:id="5" w:name="_Toc15332"/>
      <w:bookmarkStart w:id="6" w:name="_Toc10971"/>
      <w:bookmarkStart w:id="7" w:name="_Toc11347"/>
      <w:bookmarkStart w:id="8" w:name="_Toc15668"/>
      <w:bookmarkStart w:id="9" w:name="_Toc15709"/>
      <w:r>
        <w:rPr>
          <w:rFonts w:hint="eastAsia"/>
          <w:color w:val="auto"/>
          <w:highlight w:val="none"/>
        </w:rPr>
        <w:t>1、项目概况</w:t>
      </w:r>
      <w:bookmarkEnd w:id="5"/>
      <w:bookmarkEnd w:id="6"/>
      <w:bookmarkEnd w:id="7"/>
      <w:bookmarkEnd w:id="8"/>
      <w:bookmarkEnd w:id="9"/>
    </w:p>
    <w:p>
      <w:pPr>
        <w:widowControl w:val="0"/>
        <w:ind w:firstLine="480"/>
        <w:rPr>
          <w:color w:val="auto"/>
          <w:highlight w:val="none"/>
        </w:rPr>
      </w:pPr>
      <w:r>
        <w:rPr>
          <w:rFonts w:hint="eastAsia"/>
          <w:color w:val="auto"/>
          <w:highlight w:val="none"/>
        </w:rPr>
        <w:t>平昌县响滩食品公司成立于2002年，于2005年在平昌县响滩镇二龙路93号建设完成平昌县响滩镇生猪定点屠宰场，年屠宰生猪2400头，企业于2017年01月18日取得B级生猪定点屠宰证（巴府函[2016]213号），定点屠宰代码为B29140402，于2020年6月28日取得了《固定污染源排污登记回执》（登记编号：91511923MA6CK84W7U001P）。</w:t>
      </w:r>
    </w:p>
    <w:p>
      <w:pPr>
        <w:widowControl w:val="0"/>
        <w:ind w:firstLine="480"/>
        <w:jc w:val="left"/>
        <w:rPr>
          <w:color w:val="auto"/>
          <w:highlight w:val="none"/>
        </w:rPr>
      </w:pPr>
      <w:r>
        <w:rPr>
          <w:rFonts w:hint="eastAsia"/>
          <w:color w:val="auto"/>
          <w:highlight w:val="none"/>
        </w:rPr>
        <w:t>平昌县云台食品公司成立于2002年，于2004年在平昌县云台镇建设完成平昌县云台生猪定点屠宰场，年屠宰生猪3000头，企业于2017年08月10日取得B级生猪定点屠宰证书（巴府函[2017]111号），定点屠宰代码为B29140412，于2021年5月21日取得了《固定污染源排污登记回执》（登记编号：91511923MA6CK8K667003X）。</w:t>
      </w:r>
    </w:p>
    <w:p>
      <w:pPr>
        <w:widowControl w:val="0"/>
        <w:ind w:firstLine="480"/>
        <w:jc w:val="left"/>
        <w:rPr>
          <w:color w:val="auto"/>
          <w:highlight w:val="none"/>
        </w:rPr>
      </w:pPr>
      <w:r>
        <w:rPr>
          <w:rFonts w:hint="eastAsia"/>
          <w:color w:val="auto"/>
          <w:highlight w:val="none"/>
        </w:rPr>
        <w:t>根据四川省农业农村厅于2021年3月22日发布的《关于生猪定点屠宰企业资质问题的复函》（N[2021]-691号），“关于屠宰资质信息变更并升级问题。同意平昌县响滩食品公司、平昌县云台食品公司整合扩建升级并变更相关资质信息，建成获得A级资质后注销并收回平昌县响滩食品公司、平昌县云台食品公司B级屠宰资格证书。”</w:t>
      </w:r>
    </w:p>
    <w:p>
      <w:pPr>
        <w:widowControl w:val="0"/>
        <w:ind w:firstLine="480"/>
        <w:jc w:val="left"/>
        <w:rPr>
          <w:color w:val="auto"/>
          <w:highlight w:val="none"/>
        </w:rPr>
      </w:pPr>
      <w:r>
        <w:rPr>
          <w:rFonts w:hint="eastAsia"/>
          <w:color w:val="auto"/>
          <w:highlight w:val="none"/>
        </w:rPr>
        <w:t>为此平昌乐顺食品有限公司投资5000万元收购平昌县响滩食品公司、平昌县云台食品公司（收购协议见附件），将两个B级屠宰场合并扩建升至A级屠宰场，在平昌县响滩镇石泉村建设平昌县乐顺现代牲畜屠宰冷链物流一体化建设项目，该项目距平昌县响滩食品公司屠宰场4.0km，距平昌县云台食品公司屠宰场25.4km。项目厂区占地面积约为29亩，总建筑面积为17825平方米，项目建成后将成为平昌县生猪肉和生牛肉的统一屠宰、分割和冷鲜加工的集中地，本项目运营期间对生猪的年屠宰量将达到16万头，可加工生产出14560吨生猪冷鲜肉及副产品。年屠宰肉牛1万头，可加工产出3765吨肉牛牛肉及副产品、牛皮10000张。</w:t>
      </w:r>
    </w:p>
    <w:p>
      <w:pPr>
        <w:widowControl w:val="0"/>
        <w:ind w:firstLine="480"/>
        <w:rPr>
          <w:rFonts w:hint="eastAsia"/>
          <w:color w:val="auto"/>
          <w:highlight w:val="none"/>
        </w:rPr>
      </w:pPr>
      <w:r>
        <w:rPr>
          <w:rFonts w:hint="eastAsia"/>
          <w:color w:val="auto"/>
          <w:highlight w:val="none"/>
          <w:lang w:val="en-US" w:eastAsia="zh-CN"/>
        </w:rPr>
        <w:t>本项目属于平昌县重点项目，项目开展期间巴中市市长高鹏凌、巴中市何平、</w:t>
      </w:r>
      <w:r>
        <w:rPr>
          <w:rFonts w:hint="eastAsia" w:ascii="Times New Roman" w:hAnsi="Times New Roman" w:eastAsia="宋体" w:cs="Times New Roman"/>
          <w:i w:val="0"/>
          <w:iCs w:val="0"/>
          <w:caps w:val="0"/>
          <w:color w:val="auto"/>
          <w:spacing w:val="0"/>
          <w:sz w:val="24"/>
          <w:szCs w:val="20"/>
          <w:highlight w:val="none"/>
          <w:shd w:val="clear"/>
        </w:rPr>
        <w:t>市委常务委员会委员王毅</w:t>
      </w:r>
      <w:r>
        <w:rPr>
          <w:rFonts w:hint="eastAsia" w:cs="Times New Roman"/>
          <w:i w:val="0"/>
          <w:iCs w:val="0"/>
          <w:caps w:val="0"/>
          <w:color w:val="auto"/>
          <w:spacing w:val="0"/>
          <w:sz w:val="24"/>
          <w:szCs w:val="20"/>
          <w:highlight w:val="none"/>
          <w:shd w:val="clear"/>
          <w:lang w:eastAsia="zh-CN"/>
        </w:rPr>
        <w:t>、</w:t>
      </w:r>
      <w:r>
        <w:rPr>
          <w:rFonts w:hint="eastAsia" w:cs="Times New Roman"/>
          <w:i w:val="0"/>
          <w:iCs w:val="0"/>
          <w:caps w:val="0"/>
          <w:color w:val="auto"/>
          <w:spacing w:val="0"/>
          <w:sz w:val="24"/>
          <w:szCs w:val="20"/>
          <w:highlight w:val="none"/>
          <w:shd w:val="clear"/>
          <w:lang w:val="en-US" w:eastAsia="zh-CN"/>
        </w:rPr>
        <w:t>平昌县县长张勋、县书记李余良等人到项目现场指导项目开展，督促项目进度。</w:t>
      </w:r>
    </w:p>
    <w:p>
      <w:pPr>
        <w:widowControl w:val="0"/>
        <w:ind w:firstLine="480"/>
        <w:rPr>
          <w:color w:val="auto"/>
          <w:highlight w:val="none"/>
        </w:rPr>
      </w:pPr>
      <w:r>
        <w:rPr>
          <w:rFonts w:hint="eastAsia"/>
          <w:color w:val="auto"/>
          <w:highlight w:val="none"/>
        </w:rPr>
        <w:t>项目目前厂房建设已结束，设备设施暂未建设，目前处于停止建设，项目属未批先建，2021年11月22日由巴中市生态环境局对本项目下达了《行政处罚听证告知书》（巴环境罚听告书字[2021]P002号），建设单位现已交付了所有罚款（见附件），待环评手续办理完成后，再开工继续进行项目的设备进场安装调试等。</w:t>
      </w:r>
    </w:p>
    <w:p>
      <w:pPr>
        <w:widowControl w:val="0"/>
        <w:ind w:firstLine="480"/>
        <w:rPr>
          <w:color w:val="auto"/>
          <w:highlight w:val="none"/>
        </w:rPr>
      </w:pPr>
      <w:r>
        <w:rPr>
          <w:rFonts w:hint="eastAsia"/>
          <w:color w:val="auto"/>
          <w:highlight w:val="none"/>
        </w:rPr>
        <w:t>平昌乐顺食品有限公司委托四川环川盛达环保科技有限责任公司开展本项目环境影响评价工作，根据《中华人民共和国环境影响评价法》、《建设项目环境保护管理条例》、《建设项目环境影响评价分类管理名录（2021年版）》本项目属于“十、农副食品加工业”中“18、屠宰及肉类加工”，项目年屠宰16万头猪及1万头肉牛，屠宰类别属“屠宰生猪10万头、肉牛1万头、肉羊15万只、禽类1000万只及以上的”，本项目应编制环境影响报告书。</w:t>
      </w:r>
    </w:p>
    <w:p>
      <w:pPr>
        <w:widowControl w:val="0"/>
        <w:ind w:firstLine="480"/>
        <w:rPr>
          <w:color w:val="auto"/>
          <w:highlight w:val="none"/>
        </w:rPr>
      </w:pPr>
      <w:r>
        <w:rPr>
          <w:rFonts w:hint="eastAsia"/>
          <w:color w:val="auto"/>
          <w:highlight w:val="none"/>
        </w:rPr>
        <w:t>受平昌乐顺食品有限公司委托的委托，四川环川盛达环保科技有限责任公司承担了本项目环境影响评价工作。根据环评技术导则要求，我单位对项目现场踏查和收集有关资料，对厂址所在地环境质量现状进行调查评价，并在工程分析的基础上，明确各污染源排放源强及排放特征，分析对环境可能造成的影响程度和范围，提出切实可行的污染防治措施，为环保部门管理提供科学依据。</w:t>
      </w:r>
    </w:p>
    <w:p>
      <w:pPr>
        <w:pStyle w:val="4"/>
        <w:widowControl w:val="0"/>
        <w:numPr>
          <w:ilvl w:val="1"/>
          <w:numId w:val="0"/>
        </w:numPr>
        <w:rPr>
          <w:color w:val="auto"/>
          <w:highlight w:val="none"/>
        </w:rPr>
      </w:pPr>
      <w:bookmarkStart w:id="10" w:name="_Toc9750"/>
      <w:bookmarkStart w:id="11" w:name="_Toc913"/>
      <w:bookmarkStart w:id="12" w:name="_Toc12249"/>
      <w:bookmarkStart w:id="13" w:name="_Toc7321"/>
      <w:bookmarkStart w:id="14" w:name="_Toc3928"/>
      <w:r>
        <w:rPr>
          <w:rFonts w:hint="eastAsia"/>
          <w:color w:val="auto"/>
          <w:highlight w:val="none"/>
        </w:rPr>
        <w:t>2、项目特点</w:t>
      </w:r>
      <w:bookmarkEnd w:id="10"/>
      <w:bookmarkEnd w:id="11"/>
      <w:bookmarkEnd w:id="12"/>
      <w:bookmarkEnd w:id="13"/>
      <w:bookmarkEnd w:id="14"/>
    </w:p>
    <w:p>
      <w:pPr>
        <w:widowControl w:val="0"/>
        <w:ind w:firstLine="480"/>
        <w:rPr>
          <w:rFonts w:ascii="宋体" w:hAnsi="宋体"/>
          <w:color w:val="auto"/>
          <w:highlight w:val="none"/>
        </w:rPr>
      </w:pPr>
      <w:r>
        <w:rPr>
          <w:rFonts w:hint="eastAsia" w:ascii="宋体" w:hAnsi="宋体"/>
          <w:color w:val="auto"/>
          <w:highlight w:val="none"/>
        </w:rPr>
        <w:t>本项目为生猪屠宰项目，根据项目的工程特点和污染特征，本项目的主要特点是生产过程涉及屠宰废水、屠宰车间及待宰车间产生的恶臭，因此，本次评价过程主要关注废水的治理、废气的治理措施及其可行性。</w:t>
      </w:r>
    </w:p>
    <w:p>
      <w:pPr>
        <w:pStyle w:val="4"/>
        <w:widowControl w:val="0"/>
        <w:numPr>
          <w:ilvl w:val="1"/>
          <w:numId w:val="0"/>
        </w:numPr>
        <w:rPr>
          <w:color w:val="auto"/>
          <w:highlight w:val="none"/>
        </w:rPr>
      </w:pPr>
      <w:bookmarkStart w:id="15" w:name="_Toc20301"/>
      <w:bookmarkStart w:id="16" w:name="_Toc4627"/>
      <w:bookmarkStart w:id="17" w:name="_Toc31246"/>
      <w:bookmarkStart w:id="18" w:name="_Toc29841"/>
      <w:bookmarkStart w:id="19" w:name="_Toc21598"/>
      <w:r>
        <w:rPr>
          <w:rFonts w:hint="eastAsia"/>
          <w:color w:val="auto"/>
          <w:highlight w:val="none"/>
        </w:rPr>
        <w:t>3、环境影响评价的工作过程</w:t>
      </w:r>
      <w:bookmarkEnd w:id="15"/>
      <w:bookmarkEnd w:id="16"/>
      <w:bookmarkEnd w:id="17"/>
      <w:bookmarkEnd w:id="18"/>
      <w:bookmarkEnd w:id="19"/>
    </w:p>
    <w:p>
      <w:pPr>
        <w:widowControl w:val="0"/>
        <w:ind w:firstLine="480"/>
        <w:rPr>
          <w:rFonts w:ascii="宋体" w:hAnsi="宋体"/>
          <w:color w:val="auto"/>
          <w:highlight w:val="none"/>
        </w:rPr>
      </w:pPr>
      <w:r>
        <w:rPr>
          <w:rFonts w:hint="eastAsia" w:ascii="宋体" w:hAnsi="宋体"/>
          <w:color w:val="auto"/>
          <w:highlight w:val="none"/>
        </w:rPr>
        <w:t>本次评价具体流程如下图：</w:t>
      </w:r>
    </w:p>
    <w:p>
      <w:pPr>
        <w:pStyle w:val="28"/>
        <w:widowControl w:val="0"/>
        <w:rPr>
          <w:b/>
          <w:bCs/>
          <w:color w:val="auto"/>
          <w:highlight w:val="none"/>
        </w:rPr>
      </w:pPr>
      <w:r>
        <w:rPr>
          <w:b/>
          <w:bCs/>
          <w:color w:val="auto"/>
          <w:highlight w:val="none"/>
        </w:rPr>
        <w:drawing>
          <wp:anchor distT="0" distB="0" distL="114300" distR="114300" simplePos="0" relativeHeight="251661312" behindDoc="0" locked="0" layoutInCell="1" allowOverlap="1">
            <wp:simplePos x="0" y="0"/>
            <wp:positionH relativeFrom="column">
              <wp:posOffset>200025</wp:posOffset>
            </wp:positionH>
            <wp:positionV relativeFrom="paragraph">
              <wp:posOffset>64135</wp:posOffset>
            </wp:positionV>
            <wp:extent cx="5519420" cy="5233670"/>
            <wp:effectExtent l="0" t="0" r="5080"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19420" cy="5233670"/>
                    </a:xfrm>
                    <a:prstGeom prst="rect">
                      <a:avLst/>
                    </a:prstGeom>
                    <a:noFill/>
                    <a:ln>
                      <a:noFill/>
                    </a:ln>
                  </pic:spPr>
                </pic:pic>
              </a:graphicData>
            </a:graphic>
          </wp:anchor>
        </w:drawing>
      </w:r>
      <w:r>
        <w:rPr>
          <w:rFonts w:hint="eastAsia"/>
          <w:b/>
          <w:bCs/>
          <w:color w:val="auto"/>
          <w:highlight w:val="none"/>
        </w:rPr>
        <w:t>本项目环境影响评价工作程序图</w:t>
      </w:r>
    </w:p>
    <w:p>
      <w:pPr>
        <w:widowControl w:val="0"/>
        <w:ind w:firstLine="480"/>
        <w:rPr>
          <w:color w:val="auto"/>
          <w:highlight w:val="none"/>
        </w:rPr>
      </w:pPr>
      <w:r>
        <w:rPr>
          <w:rFonts w:hint="eastAsia"/>
          <w:color w:val="auto"/>
          <w:highlight w:val="none"/>
        </w:rPr>
        <w:t>本次环境影响评价的工作过程主要包括以下三个阶段：</w:t>
      </w:r>
    </w:p>
    <w:p>
      <w:pPr>
        <w:widowControl w:val="0"/>
        <w:ind w:firstLine="480"/>
        <w:rPr>
          <w:color w:val="auto"/>
          <w:highlight w:val="none"/>
        </w:rPr>
      </w:pPr>
      <w:r>
        <w:rPr>
          <w:rFonts w:hint="eastAsia"/>
          <w:color w:val="auto"/>
          <w:highlight w:val="none"/>
        </w:rPr>
        <w:t>第一阶段：调查分析和工作方案制定</w:t>
      </w:r>
    </w:p>
    <w:p>
      <w:pPr>
        <w:widowControl w:val="0"/>
        <w:ind w:firstLine="480"/>
        <w:rPr>
          <w:color w:val="auto"/>
          <w:highlight w:val="none"/>
        </w:rPr>
      </w:pPr>
      <w:r>
        <w:rPr>
          <w:rFonts w:hint="eastAsia"/>
          <w:color w:val="auto"/>
          <w:highlight w:val="none"/>
        </w:rPr>
        <w:t>①按照《建设项目环境影响评价技术导则——总纲》（HJ2.1-2016）要求，受业主委托后，我单位研究国家和地方有关环境保护的法律法规、政策、标准及相关规划后，对项目开展了现状调查、初步工程分析和现场踏勘。</w:t>
      </w:r>
    </w:p>
    <w:p>
      <w:pPr>
        <w:widowControl w:val="0"/>
        <w:ind w:firstLine="480"/>
        <w:rPr>
          <w:color w:val="auto"/>
          <w:highlight w:val="none"/>
        </w:rPr>
      </w:pPr>
      <w:r>
        <w:rPr>
          <w:rFonts w:hint="eastAsia"/>
          <w:color w:val="auto"/>
          <w:highlight w:val="none"/>
        </w:rPr>
        <w:t>②根据项目特点，研究相关技术文件和其他有关文件，明确本项目的评价重点，识别环境影响因素、筛选评价因子，对项目进行工程分析。对项目选址地进行实地踏勘，对项目周围地区气象、水文、项目所在地污染源分布情况进行了调查分析，确定环境保护目标、环评工作等级、评价范围和标准。</w:t>
      </w:r>
    </w:p>
    <w:p>
      <w:pPr>
        <w:widowControl w:val="0"/>
        <w:ind w:firstLine="480"/>
        <w:rPr>
          <w:color w:val="auto"/>
          <w:highlight w:val="none"/>
        </w:rPr>
      </w:pPr>
      <w:r>
        <w:rPr>
          <w:rFonts w:hint="eastAsia"/>
          <w:color w:val="auto"/>
          <w:highlight w:val="none"/>
        </w:rPr>
        <w:t>③制定工作方案</w:t>
      </w:r>
    </w:p>
    <w:p>
      <w:pPr>
        <w:widowControl w:val="0"/>
        <w:ind w:firstLine="480"/>
        <w:rPr>
          <w:color w:val="auto"/>
          <w:highlight w:val="none"/>
        </w:rPr>
      </w:pPr>
      <w:r>
        <w:rPr>
          <w:rFonts w:hint="eastAsia"/>
          <w:color w:val="auto"/>
          <w:highlight w:val="none"/>
        </w:rPr>
        <w:t>第二阶段：分析论证和预测评价</w:t>
      </w:r>
    </w:p>
    <w:p>
      <w:pPr>
        <w:widowControl w:val="0"/>
        <w:ind w:firstLine="480"/>
        <w:rPr>
          <w:color w:val="auto"/>
          <w:highlight w:val="none"/>
        </w:rPr>
      </w:pPr>
      <w:r>
        <w:rPr>
          <w:rFonts w:hint="eastAsia"/>
          <w:color w:val="auto"/>
          <w:highlight w:val="none"/>
        </w:rPr>
        <w:t>①收集建设地环境特征资料包括自然环境、区域规划、基础设施现状以及区域污染源情况。完成环境现状调查与评价章节。</w:t>
      </w:r>
    </w:p>
    <w:p>
      <w:pPr>
        <w:widowControl w:val="0"/>
        <w:ind w:firstLine="480"/>
        <w:rPr>
          <w:color w:val="auto"/>
          <w:highlight w:val="none"/>
        </w:rPr>
      </w:pPr>
      <w:r>
        <w:rPr>
          <w:rFonts w:hint="eastAsia"/>
          <w:color w:val="auto"/>
          <w:highlight w:val="none"/>
        </w:rPr>
        <w:t>②对建设项目进行详细工程分析。完成大气环境影响预测与评价、水环境影响预测与评价、声环境影响预测与评价等。</w:t>
      </w:r>
    </w:p>
    <w:p>
      <w:pPr>
        <w:widowControl w:val="0"/>
        <w:ind w:firstLine="480"/>
        <w:rPr>
          <w:color w:val="auto"/>
          <w:highlight w:val="none"/>
        </w:rPr>
      </w:pPr>
      <w:r>
        <w:rPr>
          <w:rFonts w:hint="eastAsia"/>
          <w:color w:val="auto"/>
          <w:highlight w:val="none"/>
        </w:rPr>
        <w:t>第三阶段：环境影响报告编制</w:t>
      </w:r>
    </w:p>
    <w:p>
      <w:pPr>
        <w:widowControl w:val="0"/>
        <w:ind w:firstLine="480"/>
        <w:rPr>
          <w:color w:val="auto"/>
          <w:highlight w:val="none"/>
        </w:rPr>
      </w:pPr>
      <w:r>
        <w:rPr>
          <w:rFonts w:hint="eastAsia"/>
          <w:color w:val="auto"/>
          <w:highlight w:val="none"/>
        </w:rPr>
        <w:t>①根据工程分析，提出环境保护措施，完成污染防治措施及其技术经济论证分析、列出本项目污染物排放清单。</w:t>
      </w:r>
    </w:p>
    <w:p>
      <w:pPr>
        <w:widowControl w:val="0"/>
        <w:ind w:firstLine="480"/>
        <w:rPr>
          <w:color w:val="auto"/>
          <w:highlight w:val="none"/>
        </w:rPr>
      </w:pPr>
      <w:r>
        <w:rPr>
          <w:rFonts w:hint="eastAsia"/>
          <w:color w:val="auto"/>
          <w:highlight w:val="none"/>
        </w:rPr>
        <w:t>②根据建设项目环境影响情况，提出施工期和运营期的环境管理及监测计划要求，完成环境管理与环境监测章节撰写。</w:t>
      </w:r>
    </w:p>
    <w:p>
      <w:pPr>
        <w:widowControl w:val="0"/>
        <w:ind w:firstLine="480"/>
        <w:rPr>
          <w:color w:val="auto"/>
          <w:highlight w:val="none"/>
        </w:rPr>
      </w:pPr>
      <w:r>
        <w:rPr>
          <w:rFonts w:hint="eastAsia"/>
          <w:color w:val="auto"/>
          <w:highlight w:val="none"/>
        </w:rPr>
        <w:t>③编制环境影响评价报告书，送审。</w:t>
      </w:r>
    </w:p>
    <w:p>
      <w:pPr>
        <w:widowControl w:val="0"/>
        <w:ind w:firstLine="480"/>
        <w:rPr>
          <w:rFonts w:ascii="宋体" w:hAnsi="宋体"/>
          <w:color w:val="auto"/>
          <w:highlight w:val="none"/>
        </w:rPr>
      </w:pPr>
      <w:r>
        <w:rPr>
          <w:rFonts w:hint="eastAsia"/>
          <w:color w:val="auto"/>
          <w:highlight w:val="none"/>
        </w:rPr>
        <w:t>④根据评审意见进行报告修改后报批。</w:t>
      </w:r>
    </w:p>
    <w:p>
      <w:pPr>
        <w:widowControl w:val="0"/>
        <w:ind w:firstLine="0" w:firstLineChars="0"/>
        <w:rPr>
          <w:b/>
          <w:color w:val="auto"/>
          <w:sz w:val="28"/>
          <w:highlight w:val="none"/>
        </w:rPr>
      </w:pPr>
      <w:r>
        <w:rPr>
          <w:rFonts w:hint="eastAsia"/>
          <w:b/>
          <w:color w:val="auto"/>
          <w:sz w:val="28"/>
          <w:highlight w:val="none"/>
        </w:rPr>
        <w:t>4、建设项目前期分析判定</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）产业、规划选址判定</w:t>
      </w:r>
    </w:p>
    <w:p>
      <w:pPr>
        <w:widowControl w:val="0"/>
        <w:ind w:firstLine="480"/>
        <w:rPr>
          <w:color w:val="auto"/>
          <w:highlight w:val="none"/>
        </w:rPr>
      </w:pPr>
      <w:r>
        <w:rPr>
          <w:rFonts w:hint="eastAsia"/>
          <w:color w:val="auto"/>
          <w:highlight w:val="none"/>
        </w:rPr>
        <w:t>本项目为牲畜屠宰项目，年屠宰生猪16万头、肉牛1万头，不属于《产业结构调整指导目录（</w:t>
      </w:r>
      <w:r>
        <w:rPr>
          <w:color w:val="auto"/>
          <w:highlight w:val="none"/>
        </w:rPr>
        <w:t xml:space="preserve">2019 </w:t>
      </w:r>
      <w:r>
        <w:rPr>
          <w:rFonts w:hint="eastAsia"/>
          <w:color w:val="auto"/>
          <w:highlight w:val="none"/>
        </w:rPr>
        <w:t>年本）》中的鼓励类、限制类和淘汰类，为允许类。根据中华人民共和国农业农村部公告第212号公布的1578家生猪屠宰企业，本项目属名单其中第1318个生猪屠宰企业。</w:t>
      </w:r>
    </w:p>
    <w:p>
      <w:pPr>
        <w:widowControl w:val="0"/>
        <w:ind w:firstLine="480"/>
        <w:rPr>
          <w:color w:val="auto"/>
          <w:highlight w:val="none"/>
        </w:rPr>
      </w:pPr>
      <w:r>
        <w:rPr>
          <w:rFonts w:hint="eastAsia"/>
          <w:color w:val="auto"/>
          <w:highlight w:val="none"/>
        </w:rPr>
        <w:t>项目周边卫生良好，无污染工业企业，无医院、学校社会福利机构等场所，项目厂界北侧</w:t>
      </w:r>
      <w:r>
        <w:rPr>
          <w:rFonts w:hint="eastAsia"/>
          <w:color w:val="auto"/>
          <w:highlight w:val="none"/>
          <w:lang w:val="en-US" w:eastAsia="zh-CN"/>
        </w:rPr>
        <w:t>1</w:t>
      </w:r>
      <w:r>
        <w:rPr>
          <w:rFonts w:hint="eastAsia"/>
          <w:color w:val="auto"/>
          <w:highlight w:val="none"/>
        </w:rPr>
        <w:t>0m存在少数居民，水电市政供给，交通运输便利，不在饮用水源保护区、自然保护区等法定保护区内，符合</w:t>
      </w:r>
      <w:r>
        <w:rPr>
          <w:rFonts w:hint="eastAsia"/>
          <w:color w:val="auto"/>
          <w:szCs w:val="24"/>
          <w:highlight w:val="none"/>
        </w:rPr>
        <w:t>《生猪屠宰管理条例（2021年修订）》</w:t>
      </w:r>
      <w:r>
        <w:rPr>
          <w:color w:val="auto"/>
          <w:szCs w:val="24"/>
          <w:highlight w:val="none"/>
        </w:rPr>
        <w:t>、《生猪屠宰管理条例实施办法》、《四川省生猪屠宰管理办法》、《猪屠宰与分割车间设计规范》、</w:t>
      </w:r>
      <w:r>
        <w:rPr>
          <w:bCs/>
          <w:color w:val="auto"/>
          <w:szCs w:val="24"/>
          <w:highlight w:val="none"/>
        </w:rPr>
        <w:t>《牛羊屠宰与分割车间设计规范》、《食品生产通用卫生规范》及《屠宰和肉类加工企业卫生管理规范》</w:t>
      </w:r>
      <w:r>
        <w:rPr>
          <w:rFonts w:hint="eastAsia"/>
          <w:color w:val="auto"/>
          <w:highlight w:val="none"/>
        </w:rPr>
        <w:t>等选址要求。</w:t>
      </w:r>
    </w:p>
    <w:p>
      <w:pPr>
        <w:widowControl w:val="0"/>
        <w:ind w:firstLine="480"/>
        <w:rPr>
          <w:color w:val="auto"/>
          <w:highlight w:val="none"/>
        </w:rPr>
      </w:pPr>
      <w:r>
        <w:rPr>
          <w:rFonts w:hint="eastAsia"/>
          <w:color w:val="auto"/>
          <w:highlight w:val="none"/>
        </w:rPr>
        <w:t>本项目选址不在四川省生态保护红线范围内，符合资源利用上限以及环境准入负面清单管理要求。本项目区域地表水、环境空气、声环境质量符合环境质量底线。</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）评价等级判定</w:t>
      </w:r>
    </w:p>
    <w:p>
      <w:pPr>
        <w:widowControl w:val="0"/>
        <w:ind w:firstLine="480"/>
        <w:rPr>
          <w:color w:val="auto"/>
          <w:highlight w:val="none"/>
        </w:rPr>
      </w:pPr>
      <w:r>
        <w:rPr>
          <w:rFonts w:hint="eastAsia"/>
          <w:color w:val="auto"/>
          <w:highlight w:val="none"/>
        </w:rPr>
        <w:t>本项目环境空气评价等级为二级、地表水环境评价等级为三级B，地下水环境评价等级为三级，声环境评价等级为二级，生态环境评价等级为三级，可不开展土壤环境影响评价工作，环境风险为简单分析。</w:t>
      </w:r>
    </w:p>
    <w:p>
      <w:pPr>
        <w:pStyle w:val="4"/>
        <w:widowControl w:val="0"/>
        <w:numPr>
          <w:ilvl w:val="1"/>
          <w:numId w:val="0"/>
        </w:numPr>
        <w:rPr>
          <w:color w:val="auto"/>
          <w:highlight w:val="none"/>
        </w:rPr>
      </w:pPr>
      <w:bookmarkStart w:id="20" w:name="_Toc28755"/>
      <w:bookmarkStart w:id="21" w:name="_Toc19168"/>
      <w:bookmarkStart w:id="22" w:name="_Toc892"/>
      <w:bookmarkStart w:id="23" w:name="_Toc25596"/>
      <w:bookmarkStart w:id="24" w:name="_Toc21142"/>
      <w:r>
        <w:rPr>
          <w:rFonts w:hint="eastAsia"/>
          <w:color w:val="auto"/>
          <w:highlight w:val="none"/>
        </w:rPr>
        <w:t>5、评价关注的主要环境问题及环境影响</w:t>
      </w:r>
      <w:bookmarkEnd w:id="20"/>
      <w:bookmarkEnd w:id="21"/>
      <w:bookmarkEnd w:id="22"/>
      <w:bookmarkEnd w:id="23"/>
      <w:bookmarkEnd w:id="24"/>
    </w:p>
    <w:p>
      <w:pPr>
        <w:widowControl w:val="0"/>
        <w:ind w:firstLine="480"/>
        <w:rPr>
          <w:color w:val="auto"/>
          <w:highlight w:val="none"/>
        </w:rPr>
      </w:pPr>
      <w:r>
        <w:rPr>
          <w:rFonts w:hint="eastAsia"/>
          <w:color w:val="auto"/>
          <w:highlight w:val="none"/>
        </w:rPr>
        <w:t>根据项目的工程特点和污染特征，环评过程主要关注的环境问题及环境影响如下：</w:t>
      </w:r>
    </w:p>
    <w:p>
      <w:pPr>
        <w:widowControl w:val="0"/>
        <w:ind w:firstLine="480"/>
        <w:rPr>
          <w:color w:val="auto"/>
          <w:highlight w:val="none"/>
        </w:rPr>
      </w:pPr>
      <w:r>
        <w:rPr>
          <w:rFonts w:hint="eastAsia"/>
          <w:color w:val="auto"/>
          <w:highlight w:val="none"/>
        </w:rPr>
        <w:t>（1）废气</w:t>
      </w:r>
    </w:p>
    <w:p>
      <w:pPr>
        <w:widowControl w:val="0"/>
        <w:ind w:firstLine="480"/>
        <w:rPr>
          <w:color w:val="auto"/>
          <w:highlight w:val="none"/>
        </w:rPr>
      </w:pPr>
      <w:r>
        <w:rPr>
          <w:rFonts w:hint="eastAsia"/>
          <w:color w:val="auto"/>
          <w:highlight w:val="none"/>
        </w:rPr>
        <w:t>关注项目营运期过程待宰圈、屠宰车间、污水处理站所产生的恶臭，重点分析废气源强、治理措施的可行性及对周边大气环境的影响。</w:t>
      </w:r>
    </w:p>
    <w:p>
      <w:pPr>
        <w:widowControl w:val="0"/>
        <w:ind w:firstLine="480"/>
        <w:rPr>
          <w:color w:val="auto"/>
          <w:highlight w:val="none"/>
        </w:rPr>
      </w:pPr>
      <w:r>
        <w:rPr>
          <w:rFonts w:hint="eastAsia"/>
          <w:color w:val="auto"/>
          <w:highlight w:val="none"/>
        </w:rPr>
        <w:t>（2）废水</w:t>
      </w:r>
    </w:p>
    <w:p>
      <w:pPr>
        <w:widowControl w:val="0"/>
        <w:ind w:firstLine="480"/>
        <w:rPr>
          <w:color w:val="auto"/>
          <w:highlight w:val="none"/>
        </w:rPr>
      </w:pPr>
      <w:r>
        <w:rPr>
          <w:rFonts w:hint="eastAsia"/>
          <w:color w:val="auto"/>
          <w:highlight w:val="none"/>
        </w:rPr>
        <w:t>地表水：关注项目营运期过程产生的屠宰废水处理设施，评价屠宰废水经处理后排入元坨社区市政污水管网，通过市政污水管网汇入响滩镇污水处理厂处理的可行性。</w:t>
      </w:r>
    </w:p>
    <w:p>
      <w:pPr>
        <w:widowControl w:val="0"/>
        <w:ind w:firstLine="480"/>
        <w:rPr>
          <w:color w:val="auto"/>
          <w:highlight w:val="none"/>
        </w:rPr>
      </w:pPr>
      <w:r>
        <w:rPr>
          <w:rFonts w:hint="eastAsia"/>
          <w:color w:val="auto"/>
          <w:highlight w:val="none"/>
        </w:rPr>
        <w:t>地下水：主要分析项目对地下水的影响以及分区防渗的要求。</w:t>
      </w:r>
    </w:p>
    <w:p>
      <w:pPr>
        <w:widowControl w:val="0"/>
        <w:ind w:firstLine="480"/>
        <w:rPr>
          <w:color w:val="auto"/>
          <w:highlight w:val="none"/>
        </w:rPr>
      </w:pPr>
      <w:r>
        <w:rPr>
          <w:rFonts w:hint="eastAsia"/>
          <w:color w:val="auto"/>
          <w:highlight w:val="none"/>
        </w:rPr>
        <w:t>（3）噪声</w:t>
      </w:r>
    </w:p>
    <w:p>
      <w:pPr>
        <w:widowControl w:val="0"/>
        <w:ind w:firstLine="480"/>
        <w:rPr>
          <w:color w:val="auto"/>
          <w:highlight w:val="none"/>
        </w:rPr>
      </w:pPr>
      <w:r>
        <w:rPr>
          <w:rFonts w:hint="eastAsia"/>
          <w:color w:val="auto"/>
          <w:highlight w:val="none"/>
        </w:rPr>
        <w:t>关注营运期噪声是否可以达到相应的要求。重点分析噪声控制措施的可行性及厂界的达标可行性。</w:t>
      </w:r>
    </w:p>
    <w:p>
      <w:pPr>
        <w:widowControl w:val="0"/>
        <w:ind w:firstLine="480"/>
        <w:rPr>
          <w:color w:val="auto"/>
          <w:highlight w:val="none"/>
        </w:rPr>
      </w:pPr>
      <w:r>
        <w:rPr>
          <w:rFonts w:hint="eastAsia"/>
          <w:color w:val="auto"/>
          <w:highlight w:val="none"/>
        </w:rPr>
        <w:t>（4）固废</w:t>
      </w:r>
    </w:p>
    <w:p>
      <w:pPr>
        <w:widowControl w:val="0"/>
        <w:ind w:firstLine="480"/>
        <w:rPr>
          <w:color w:val="auto"/>
          <w:highlight w:val="none"/>
        </w:rPr>
      </w:pPr>
      <w:r>
        <w:rPr>
          <w:rFonts w:hint="eastAsia"/>
          <w:color w:val="auto"/>
          <w:highlight w:val="none"/>
        </w:rPr>
        <w:t>关注固废尤其是危废的产生情况、暂存要求和处理去向是否符合环保要求。</w:t>
      </w:r>
    </w:p>
    <w:p>
      <w:pPr>
        <w:widowControl w:val="0"/>
        <w:ind w:firstLine="480"/>
        <w:rPr>
          <w:color w:val="auto"/>
          <w:highlight w:val="none"/>
        </w:rPr>
      </w:pPr>
      <w:r>
        <w:rPr>
          <w:rFonts w:hint="eastAsia"/>
          <w:color w:val="auto"/>
          <w:highlight w:val="none"/>
        </w:rPr>
        <w:t>（5）环境风险</w:t>
      </w:r>
    </w:p>
    <w:p>
      <w:pPr>
        <w:widowControl w:val="0"/>
        <w:ind w:firstLine="480"/>
        <w:rPr>
          <w:color w:val="auto"/>
          <w:highlight w:val="none"/>
        </w:rPr>
      </w:pPr>
      <w:r>
        <w:rPr>
          <w:rFonts w:hint="eastAsia"/>
          <w:color w:val="auto"/>
          <w:highlight w:val="none"/>
        </w:rPr>
        <w:t>关注危化品泄漏以及废水、废气事故性排放环境风险的防控。</w:t>
      </w:r>
    </w:p>
    <w:p>
      <w:pPr>
        <w:pStyle w:val="4"/>
        <w:widowControl w:val="0"/>
        <w:numPr>
          <w:ilvl w:val="1"/>
          <w:numId w:val="0"/>
        </w:numPr>
        <w:rPr>
          <w:color w:val="auto"/>
          <w:highlight w:val="none"/>
        </w:rPr>
      </w:pPr>
      <w:bookmarkStart w:id="25" w:name="_Toc24132"/>
      <w:bookmarkStart w:id="26" w:name="_Toc6176"/>
      <w:bookmarkStart w:id="27" w:name="_Toc23613"/>
      <w:bookmarkStart w:id="28" w:name="_Toc2423"/>
      <w:bookmarkStart w:id="29" w:name="_Toc7031"/>
      <w:r>
        <w:rPr>
          <w:rFonts w:hint="eastAsia"/>
          <w:color w:val="auto"/>
          <w:highlight w:val="none"/>
        </w:rPr>
        <w:t>5、报告书主要结论</w:t>
      </w:r>
      <w:bookmarkEnd w:id="25"/>
      <w:bookmarkEnd w:id="26"/>
      <w:bookmarkEnd w:id="27"/>
      <w:bookmarkEnd w:id="28"/>
      <w:bookmarkEnd w:id="29"/>
    </w:p>
    <w:p>
      <w:pPr>
        <w:widowControl w:val="0"/>
        <w:ind w:firstLine="480"/>
        <w:rPr>
          <w:rFonts w:ascii="宋体" w:hAnsi="宋体"/>
          <w:color w:val="auto"/>
          <w:highlight w:val="none"/>
        </w:rPr>
      </w:pPr>
      <w:r>
        <w:rPr>
          <w:rFonts w:hint="eastAsia"/>
          <w:color w:val="auto"/>
          <w:highlight w:val="none"/>
        </w:rPr>
        <w:t>平昌乐顺食品有限公司</w:t>
      </w:r>
      <w:r>
        <w:rPr>
          <w:rFonts w:hint="eastAsia" w:ascii="宋体" w:hAnsi="宋体"/>
          <w:color w:val="auto"/>
          <w:highlight w:val="none"/>
        </w:rPr>
        <w:t>拟建的</w:t>
      </w:r>
      <w:r>
        <w:rPr>
          <w:rFonts w:hint="eastAsia"/>
          <w:color w:val="auto"/>
          <w:highlight w:val="none"/>
        </w:rPr>
        <w:t>平昌县乐顺现代牲畜屠宰冷链物流一体化建设项目</w:t>
      </w:r>
      <w:r>
        <w:rPr>
          <w:rFonts w:hint="eastAsia" w:ascii="宋体" w:hAnsi="宋体"/>
          <w:color w:val="auto"/>
          <w:highlight w:val="none"/>
        </w:rPr>
        <w:t>，符合国家当前产业政策，满足巴中市“三线一单”</w:t>
      </w:r>
      <w:r>
        <w:rPr>
          <w:rFonts w:hint="eastAsia"/>
          <w:color w:val="auto"/>
          <w:highlight w:val="none"/>
        </w:rPr>
        <w:t>生态环境分区管控要求，区域环境质量较好</w:t>
      </w:r>
      <w:r>
        <w:rPr>
          <w:rFonts w:hint="eastAsia" w:ascii="宋体" w:hAnsi="宋体"/>
          <w:color w:val="auto"/>
          <w:highlight w:val="none"/>
        </w:rPr>
        <w:t>。项目运营过程中尽管其生产不可避免产生一定量的废水、废气、噪声和固体废物，但与之配套的环保设施比较完善，治理方案选择合理，只要认真加强管理、落实环保措施，能满足国家和地方环境保护法规和标准要求。在贯彻落实本环境影响报告书各项环境保护措施的前提下，从环境影响的角度而言，本项目在平昌县响滩镇石泉村是可行的。</w:t>
      </w:r>
    </w:p>
    <w:p>
      <w:pPr>
        <w:pStyle w:val="19"/>
        <w:widowControl w:val="0"/>
        <w:tabs>
          <w:tab w:val="right" w:leader="dot" w:pos="9406"/>
        </w:tabs>
        <w:ind w:left="0" w:leftChars="0" w:firstLine="0" w:firstLineChars="0"/>
        <w:jc w:val="center"/>
        <w:rPr>
          <w:rFonts w:ascii="宋体" w:hAnsi="宋体"/>
          <w:color w:val="auto"/>
          <w:sz w:val="48"/>
          <w:szCs w:val="36"/>
          <w:highlight w:val="none"/>
        </w:rPr>
        <w:sectPr>
          <w:footerReference r:id="rId6" w:type="default"/>
          <w:pgSz w:w="12240" w:h="15840"/>
          <w:pgMar w:top="1440" w:right="1417" w:bottom="1440" w:left="1417" w:header="720" w:footer="720"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3"/>
        <w:widowControl w:val="0"/>
        <w:ind w:firstLine="643"/>
        <w:rPr>
          <w:color w:val="auto"/>
          <w:highlight w:val="none"/>
        </w:rPr>
      </w:pPr>
      <w:bookmarkStart w:id="30" w:name="_Toc5596"/>
      <w:r>
        <w:rPr>
          <w:rFonts w:hint="eastAsia"/>
          <w:color w:val="auto"/>
          <w:highlight w:val="none"/>
        </w:rPr>
        <w:t>总  则</w:t>
      </w:r>
      <w:bookmarkEnd w:id="30"/>
    </w:p>
    <w:p>
      <w:pPr>
        <w:pStyle w:val="4"/>
        <w:widowControl w:val="0"/>
        <w:rPr>
          <w:color w:val="auto"/>
          <w:highlight w:val="none"/>
        </w:rPr>
      </w:pPr>
      <w:bookmarkStart w:id="31" w:name="_Toc17373"/>
      <w:r>
        <w:rPr>
          <w:rFonts w:hint="eastAsia"/>
          <w:color w:val="auto"/>
          <w:highlight w:val="none"/>
        </w:rPr>
        <w:t>编制依据</w:t>
      </w:r>
      <w:bookmarkEnd w:id="31"/>
    </w:p>
    <w:p>
      <w:pPr>
        <w:pStyle w:val="5"/>
        <w:widowControl w:val="0"/>
        <w:ind w:firstLine="120"/>
        <w:rPr>
          <w:color w:val="auto"/>
          <w:highlight w:val="none"/>
        </w:rPr>
      </w:pPr>
      <w:r>
        <w:rPr>
          <w:rFonts w:hint="eastAsia"/>
          <w:color w:val="auto"/>
          <w:highlight w:val="none"/>
        </w:rPr>
        <w:t>国家法律、法规及文件</w:t>
      </w:r>
    </w:p>
    <w:p>
      <w:pPr>
        <w:widowControl w:val="0"/>
        <w:ind w:firstLine="480"/>
        <w:rPr>
          <w:color w:val="auto"/>
          <w:highlight w:val="none"/>
        </w:rPr>
      </w:pPr>
      <w:r>
        <w:rPr>
          <w:rFonts w:hint="eastAsia"/>
          <w:color w:val="auto"/>
          <w:highlight w:val="none"/>
        </w:rPr>
        <w:t>（1）《中华人民共和国环境保护法》2015.1.1；</w:t>
      </w:r>
    </w:p>
    <w:p>
      <w:pPr>
        <w:widowControl w:val="0"/>
        <w:ind w:firstLine="480"/>
        <w:rPr>
          <w:color w:val="auto"/>
          <w:highlight w:val="none"/>
        </w:rPr>
      </w:pPr>
      <w:r>
        <w:rPr>
          <w:rFonts w:hint="eastAsia"/>
          <w:color w:val="auto"/>
          <w:highlight w:val="none"/>
        </w:rPr>
        <w:t>（2）《中华人民共和国环境影响评价法》2018.12.29；</w:t>
      </w:r>
    </w:p>
    <w:p>
      <w:pPr>
        <w:widowControl w:val="0"/>
        <w:ind w:firstLine="480"/>
        <w:rPr>
          <w:color w:val="auto"/>
          <w:highlight w:val="none"/>
        </w:rPr>
      </w:pPr>
      <w:r>
        <w:rPr>
          <w:rFonts w:hint="eastAsia"/>
          <w:color w:val="auto"/>
          <w:highlight w:val="none"/>
        </w:rPr>
        <w:t>（3）《中华人民共和国水污染防治法》2018.1.1；</w:t>
      </w:r>
    </w:p>
    <w:p>
      <w:pPr>
        <w:widowControl w:val="0"/>
        <w:ind w:firstLine="480"/>
        <w:rPr>
          <w:color w:val="auto"/>
          <w:highlight w:val="none"/>
        </w:rPr>
      </w:pPr>
      <w:r>
        <w:rPr>
          <w:rFonts w:hint="eastAsia"/>
          <w:color w:val="auto"/>
          <w:highlight w:val="none"/>
        </w:rPr>
        <w:t>（4）《中华人民共和国大气污染防治法》2018.10.26；</w:t>
      </w:r>
    </w:p>
    <w:p>
      <w:pPr>
        <w:widowControl w:val="0"/>
        <w:ind w:firstLine="480"/>
        <w:rPr>
          <w:color w:val="auto"/>
          <w:highlight w:val="none"/>
        </w:rPr>
      </w:pPr>
      <w:r>
        <w:rPr>
          <w:rFonts w:hint="eastAsia"/>
          <w:color w:val="auto"/>
          <w:highlight w:val="none"/>
        </w:rPr>
        <w:t>（5）《中华人民共和国环境噪声污染防治法》20</w:t>
      </w:r>
      <w:r>
        <w:rPr>
          <w:rFonts w:hint="eastAsia"/>
          <w:color w:val="auto"/>
          <w:highlight w:val="none"/>
          <w:lang w:val="en-US" w:eastAsia="zh-CN"/>
        </w:rPr>
        <w:t>21</w:t>
      </w:r>
      <w:r>
        <w:rPr>
          <w:rFonts w:hint="eastAsia"/>
          <w:color w:val="auto"/>
          <w:highlight w:val="none"/>
        </w:rPr>
        <w:t>.12.</w:t>
      </w:r>
      <w:r>
        <w:rPr>
          <w:rFonts w:hint="eastAsia"/>
          <w:color w:val="auto"/>
          <w:highlight w:val="none"/>
          <w:lang w:val="en-US" w:eastAsia="zh-CN"/>
        </w:rPr>
        <w:t>24</w:t>
      </w:r>
      <w:r>
        <w:rPr>
          <w:rFonts w:hint="eastAsia"/>
          <w:color w:val="auto"/>
          <w:highlight w:val="none"/>
        </w:rPr>
        <w:t>；</w:t>
      </w:r>
    </w:p>
    <w:p>
      <w:pPr>
        <w:widowControl w:val="0"/>
        <w:ind w:firstLine="480"/>
        <w:rPr>
          <w:rFonts w:hint="eastAsia"/>
          <w:color w:val="auto"/>
          <w:highlight w:val="none"/>
        </w:rPr>
      </w:pPr>
      <w:r>
        <w:rPr>
          <w:rFonts w:hint="eastAsia"/>
          <w:color w:val="auto"/>
          <w:highlight w:val="none"/>
        </w:rPr>
        <w:t>（6）《中华人民共和国固体废物污染环境防治法》2020.4.30；</w:t>
      </w:r>
    </w:p>
    <w:p>
      <w:pPr>
        <w:pStyle w:val="12"/>
        <w:widowControl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lang w:val="en-US" w:eastAsia="zh-CN"/>
        </w:rPr>
        <w:t>中华人民共和国长江保护法</w:t>
      </w:r>
      <w:r>
        <w:rPr>
          <w:rFonts w:hint="eastAsia"/>
          <w:color w:val="auto"/>
          <w:highlight w:val="none"/>
          <w:lang w:eastAsia="zh-CN"/>
        </w:rPr>
        <w:t>》</w:t>
      </w:r>
      <w:r>
        <w:rPr>
          <w:rFonts w:hint="eastAsia"/>
          <w:color w:val="auto"/>
          <w:highlight w:val="none"/>
          <w:lang w:val="en-US" w:eastAsia="zh-CN"/>
        </w:rPr>
        <w:t>2022.02.25</w:t>
      </w:r>
    </w:p>
    <w:p>
      <w:pPr>
        <w:pStyle w:val="5"/>
        <w:widowControl w:val="0"/>
        <w:ind w:firstLine="120"/>
        <w:rPr>
          <w:color w:val="auto"/>
          <w:highlight w:val="none"/>
        </w:rPr>
      </w:pPr>
      <w:r>
        <w:rPr>
          <w:rFonts w:hint="eastAsia"/>
          <w:color w:val="auto"/>
          <w:highlight w:val="none"/>
        </w:rPr>
        <w:t>相关文件</w:t>
      </w:r>
    </w:p>
    <w:p>
      <w:pPr>
        <w:widowControl w:val="0"/>
        <w:ind w:firstLine="480"/>
        <w:rPr>
          <w:color w:val="auto"/>
          <w:highlight w:val="none"/>
        </w:rPr>
      </w:pPr>
      <w:r>
        <w:rPr>
          <w:rFonts w:hint="eastAsia"/>
          <w:color w:val="auto"/>
          <w:highlight w:val="none"/>
        </w:rPr>
        <w:t>（1）中华人民共和国国务院2017年第682号令《建设项目环境保护管理条例》，2017年10月1日。</w:t>
      </w:r>
    </w:p>
    <w:p>
      <w:pPr>
        <w:widowControl w:val="0"/>
        <w:ind w:firstLine="480"/>
        <w:rPr>
          <w:color w:val="auto"/>
          <w:highlight w:val="none"/>
        </w:rPr>
      </w:pPr>
      <w:r>
        <w:rPr>
          <w:rFonts w:hint="eastAsia"/>
          <w:color w:val="auto"/>
          <w:highlight w:val="none"/>
        </w:rPr>
        <w:t>（2）国家环境保护总局环发（1999）61号文件《关于贯彻实施“建设项目环境保护管理条例”的通知》，1999年3月17日。</w:t>
      </w:r>
    </w:p>
    <w:p>
      <w:pPr>
        <w:widowControl w:val="0"/>
        <w:ind w:firstLine="480"/>
        <w:rPr>
          <w:color w:val="auto"/>
          <w:highlight w:val="none"/>
        </w:rPr>
      </w:pPr>
      <w:r>
        <w:rPr>
          <w:rFonts w:hint="eastAsia"/>
          <w:color w:val="auto"/>
          <w:highlight w:val="none"/>
        </w:rPr>
        <w:t>（3）中华人民共和国生态环境部令第16号《建设项目环境影响评价分类管理名录（2021版）》，2020年11月30日。</w:t>
      </w:r>
    </w:p>
    <w:p>
      <w:pPr>
        <w:widowControl w:val="0"/>
        <w:ind w:firstLine="480"/>
        <w:rPr>
          <w:color w:val="auto"/>
          <w:highlight w:val="none"/>
        </w:rPr>
      </w:pPr>
      <w:r>
        <w:rPr>
          <w:rFonts w:hint="eastAsia"/>
          <w:color w:val="auto"/>
          <w:highlight w:val="none"/>
        </w:rPr>
        <w:t>（5）环发（2012）77号《关于进一步加强环境影响评价管理防范环境风险的通知》，（2012.7.3）；</w:t>
      </w:r>
    </w:p>
    <w:p>
      <w:pPr>
        <w:widowControl w:val="0"/>
        <w:ind w:firstLine="480"/>
        <w:rPr>
          <w:color w:val="auto"/>
          <w:highlight w:val="none"/>
        </w:rPr>
      </w:pPr>
      <w:r>
        <w:rPr>
          <w:rFonts w:hint="eastAsia"/>
          <w:color w:val="auto"/>
          <w:highlight w:val="none"/>
        </w:rPr>
        <w:t>（6）中华人民共和国国家发展和改革委员会令第29号《产业结构调整指导目录（2019年本）》2019年10月30日。</w:t>
      </w:r>
    </w:p>
    <w:p>
      <w:pPr>
        <w:widowControl w:val="0"/>
        <w:ind w:firstLine="480"/>
        <w:rPr>
          <w:color w:val="auto"/>
          <w:highlight w:val="none"/>
        </w:rPr>
      </w:pPr>
      <w:r>
        <w:rPr>
          <w:rFonts w:hint="eastAsia"/>
          <w:color w:val="auto"/>
          <w:highlight w:val="none"/>
        </w:rPr>
        <w:t>（7）《环境影响评价公众参与办法（部令第4号）》（2019.1.1）；</w:t>
      </w:r>
    </w:p>
    <w:p>
      <w:pPr>
        <w:widowControl w:val="0"/>
        <w:ind w:firstLine="480"/>
        <w:rPr>
          <w:color w:val="auto"/>
          <w:highlight w:val="none"/>
        </w:rPr>
      </w:pPr>
      <w:r>
        <w:rPr>
          <w:rFonts w:hint="eastAsia"/>
          <w:color w:val="auto"/>
          <w:highlight w:val="none"/>
        </w:rPr>
        <w:t>（8）《国务院关于落实科技发展观加强环境保护的决定》（国发[2005]39号）；</w:t>
      </w:r>
    </w:p>
    <w:p>
      <w:pPr>
        <w:widowControl w:val="0"/>
        <w:ind w:firstLine="480"/>
        <w:rPr>
          <w:color w:val="auto"/>
          <w:highlight w:val="none"/>
        </w:rPr>
      </w:pPr>
      <w:r>
        <w:rPr>
          <w:rFonts w:hint="eastAsia"/>
          <w:color w:val="auto"/>
          <w:highlight w:val="none"/>
        </w:rPr>
        <w:t>（9）生态环境部令第15号《国家危险废物名录（2021年版）》2020年11月25日；</w:t>
      </w:r>
    </w:p>
    <w:p>
      <w:pPr>
        <w:widowControl w:val="0"/>
        <w:ind w:firstLine="480"/>
        <w:rPr>
          <w:color w:val="auto"/>
          <w:highlight w:val="none"/>
        </w:rPr>
      </w:pPr>
      <w:r>
        <w:rPr>
          <w:rFonts w:hint="eastAsia"/>
          <w:color w:val="auto"/>
          <w:highlight w:val="none"/>
        </w:rPr>
        <w:t>（10）《建设项目环境影响评价政府信息公开指南（试行）》；</w:t>
      </w:r>
    </w:p>
    <w:p>
      <w:pPr>
        <w:widowControl w:val="0"/>
        <w:ind w:firstLine="480"/>
        <w:rPr>
          <w:color w:val="auto"/>
          <w:highlight w:val="none"/>
        </w:rPr>
      </w:pPr>
      <w:r>
        <w:rPr>
          <w:rFonts w:hint="eastAsia"/>
          <w:color w:val="auto"/>
          <w:highlight w:val="none"/>
        </w:rPr>
        <w:t>（11）《国务院办公厅关于加强环境监管执法的通知》（国办发[2015]56号）；</w:t>
      </w:r>
    </w:p>
    <w:p>
      <w:pPr>
        <w:widowControl w:val="0"/>
        <w:ind w:firstLine="480"/>
        <w:rPr>
          <w:color w:val="auto"/>
          <w:highlight w:val="none"/>
        </w:rPr>
      </w:pPr>
      <w:r>
        <w:rPr>
          <w:rFonts w:hint="eastAsia"/>
          <w:color w:val="auto"/>
          <w:highlight w:val="none"/>
        </w:rPr>
        <w:t>（13）《四川省人民政府贯彻〈国务院关于落实科学发展观加强环境保护的决定〉的实施意见》（川府发[2007]17号）；</w:t>
      </w:r>
    </w:p>
    <w:p>
      <w:pPr>
        <w:widowControl w:val="0"/>
        <w:ind w:firstLine="480"/>
        <w:rPr>
          <w:color w:val="auto"/>
          <w:highlight w:val="none"/>
        </w:rPr>
      </w:pPr>
      <w:r>
        <w:rPr>
          <w:rFonts w:hint="eastAsia"/>
          <w:color w:val="auto"/>
          <w:highlight w:val="none"/>
        </w:rPr>
        <w:t>（14）《四川省环境保护局关于依法加强环境影响评价管理防范环境风险的通知》（川环发[2006]1号）；</w:t>
      </w:r>
    </w:p>
    <w:p>
      <w:pPr>
        <w:widowControl w:val="0"/>
        <w:ind w:firstLine="480"/>
        <w:rPr>
          <w:color w:val="auto"/>
          <w:highlight w:val="none"/>
        </w:rPr>
      </w:pPr>
      <w:r>
        <w:rPr>
          <w:rFonts w:hint="eastAsia"/>
          <w:color w:val="auto"/>
          <w:highlight w:val="none"/>
        </w:rPr>
        <w:t>（15）</w:t>
      </w:r>
      <w:r>
        <w:rPr>
          <w:color w:val="auto"/>
          <w:szCs w:val="24"/>
          <w:highlight w:val="none"/>
        </w:rPr>
        <w:t>《四川省</w:t>
      </w:r>
      <w:r>
        <w:rPr>
          <w:rFonts w:hint="eastAsia"/>
          <w:color w:val="auto"/>
          <w:szCs w:val="24"/>
          <w:highlight w:val="none"/>
        </w:rPr>
        <w:t>“</w:t>
      </w:r>
      <w:r>
        <w:rPr>
          <w:color w:val="auto"/>
          <w:szCs w:val="24"/>
          <w:highlight w:val="none"/>
        </w:rPr>
        <w:t>十三五</w:t>
      </w:r>
      <w:r>
        <w:rPr>
          <w:rFonts w:hint="eastAsia"/>
          <w:color w:val="auto"/>
          <w:szCs w:val="24"/>
          <w:highlight w:val="none"/>
        </w:rPr>
        <w:t>”</w:t>
      </w:r>
      <w:r>
        <w:rPr>
          <w:color w:val="auto"/>
          <w:szCs w:val="24"/>
          <w:highlight w:val="none"/>
        </w:rPr>
        <w:t>环境保护规划》（川府发【2017】14号）；</w:t>
      </w:r>
      <w:r>
        <w:rPr>
          <w:rFonts w:hint="eastAsia"/>
          <w:color w:val="auto"/>
          <w:highlight w:val="none"/>
        </w:rPr>
        <w:t>。</w:t>
      </w:r>
    </w:p>
    <w:p>
      <w:pPr>
        <w:widowControl w:val="0"/>
        <w:ind w:firstLine="480"/>
        <w:rPr>
          <w:color w:val="auto"/>
          <w:highlight w:val="none"/>
        </w:rPr>
      </w:pPr>
      <w:r>
        <w:rPr>
          <w:rFonts w:hint="eastAsia"/>
          <w:color w:val="auto"/>
          <w:highlight w:val="none"/>
        </w:rPr>
        <w:t>（16）《四川省环境保护条例》（2018.1.1施行）；</w:t>
      </w:r>
    </w:p>
    <w:p>
      <w:pPr>
        <w:widowControl w:val="0"/>
        <w:ind w:firstLine="480"/>
        <w:rPr>
          <w:color w:val="auto"/>
          <w:highlight w:val="none"/>
        </w:rPr>
      </w:pPr>
      <w:r>
        <w:rPr>
          <w:rFonts w:hint="eastAsia"/>
          <w:color w:val="auto"/>
          <w:highlight w:val="none"/>
        </w:rPr>
        <w:t>（17）《四川省&lt;中华人民共和国环境影响评价法&gt;实施办法》修正案（2019.10.15施行）；</w:t>
      </w:r>
    </w:p>
    <w:p>
      <w:pPr>
        <w:widowControl w:val="0"/>
        <w:ind w:firstLine="480"/>
        <w:rPr>
          <w:color w:val="auto"/>
          <w:highlight w:val="none"/>
        </w:rPr>
      </w:pPr>
      <w:r>
        <w:rPr>
          <w:rFonts w:hint="eastAsia"/>
          <w:color w:val="auto"/>
          <w:highlight w:val="none"/>
        </w:rPr>
        <w:t>（18）《四川省〈中华人民共和国大气污染防治法〉实施办法》（2019.1.1施行）</w:t>
      </w:r>
    </w:p>
    <w:p>
      <w:pPr>
        <w:widowControl w:val="0"/>
        <w:ind w:firstLine="480"/>
        <w:rPr>
          <w:color w:val="auto"/>
          <w:highlight w:val="none"/>
        </w:rPr>
      </w:pPr>
      <w:r>
        <w:rPr>
          <w:rFonts w:hint="eastAsia"/>
          <w:color w:val="auto"/>
          <w:highlight w:val="none"/>
        </w:rPr>
        <w:t>（19）《生猪屠宰管理条例（2021年修订）》，中华人民共和国国务院令第666号，2016年2月6日；</w:t>
      </w:r>
    </w:p>
    <w:p>
      <w:pPr>
        <w:widowControl w:val="0"/>
        <w:ind w:firstLine="480"/>
        <w:rPr>
          <w:color w:val="auto"/>
          <w:highlight w:val="none"/>
        </w:rPr>
      </w:pPr>
      <w:r>
        <w:rPr>
          <w:rFonts w:hint="eastAsia"/>
          <w:color w:val="auto"/>
          <w:highlight w:val="none"/>
        </w:rPr>
        <w:t>（20）《生猪屠宰企业资质等级要求》，中华人民共和国国内贸易行业标准，SB/T10396-2011。</w:t>
      </w:r>
    </w:p>
    <w:p>
      <w:pPr>
        <w:widowControl w:val="0"/>
        <w:ind w:firstLine="480"/>
        <w:rPr>
          <w:color w:val="auto"/>
          <w:highlight w:val="none"/>
        </w:rPr>
      </w:pPr>
      <w:r>
        <w:rPr>
          <w:rFonts w:hint="eastAsia"/>
          <w:color w:val="auto"/>
          <w:highlight w:val="none"/>
        </w:rPr>
        <w:t>（21）《四川省人民政府办公厅关于加强灰霾污染防治的通知》（川办发[2013]32号）；</w:t>
      </w:r>
    </w:p>
    <w:p>
      <w:pPr>
        <w:widowControl w:val="0"/>
        <w:ind w:firstLine="480"/>
        <w:rPr>
          <w:color w:val="auto"/>
          <w:highlight w:val="none"/>
        </w:rPr>
      </w:pPr>
      <w:r>
        <w:rPr>
          <w:rFonts w:hint="eastAsia"/>
          <w:color w:val="auto"/>
          <w:highlight w:val="none"/>
        </w:rPr>
        <w:t>（22）《</w:t>
      </w:r>
      <w:r>
        <w:rPr>
          <w:color w:val="auto"/>
          <w:highlight w:val="none"/>
        </w:rPr>
        <w:t>四川省大气污染防治行动计划实施细则2017年度实施计划</w:t>
      </w:r>
      <w:r>
        <w:rPr>
          <w:rFonts w:hint="eastAsia"/>
          <w:color w:val="auto"/>
          <w:highlight w:val="none"/>
        </w:rPr>
        <w:t>》（川办函[2017]102号）；</w:t>
      </w:r>
    </w:p>
    <w:p>
      <w:pPr>
        <w:widowControl w:val="0"/>
        <w:ind w:firstLine="480"/>
        <w:rPr>
          <w:rFonts w:hint="eastAsia"/>
          <w:color w:val="auto"/>
          <w:highlight w:val="none"/>
        </w:rPr>
      </w:pPr>
      <w:r>
        <w:rPr>
          <w:rFonts w:hint="eastAsia"/>
          <w:color w:val="auto"/>
          <w:highlight w:val="none"/>
        </w:rPr>
        <w:t>（23）</w:t>
      </w:r>
      <w:r>
        <w:rPr>
          <w:color w:val="auto"/>
          <w:szCs w:val="24"/>
          <w:highlight w:val="none"/>
        </w:rPr>
        <w:t>四川省人民政府《关于印发四川省打赢蓝天保卫战等九个实施方案的通知》（川府发【2019】4号）</w:t>
      </w:r>
      <w:r>
        <w:rPr>
          <w:rFonts w:hint="eastAsia"/>
          <w:color w:val="auto"/>
          <w:highlight w:val="none"/>
        </w:rPr>
        <w:t>；</w:t>
      </w:r>
    </w:p>
    <w:p>
      <w:pPr>
        <w:widowControl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24</w:t>
      </w:r>
      <w:r>
        <w:rPr>
          <w:rFonts w:hint="eastAsia"/>
          <w:color w:val="auto"/>
          <w:highlight w:val="none"/>
          <w:lang w:eastAsia="zh-CN"/>
        </w:rPr>
        <w:t>）</w:t>
      </w:r>
      <w:r>
        <w:rPr>
          <w:color w:val="auto"/>
          <w:highlight w:val="none"/>
        </w:rPr>
        <w:t>《</w:t>
      </w:r>
      <w:r>
        <w:rPr>
          <w:rFonts w:hint="eastAsia"/>
          <w:color w:val="auto"/>
          <w:highlight w:val="none"/>
        </w:rPr>
        <w:t>长江经济带发展负面清单指南（试行，2022年版）</w:t>
      </w:r>
      <w:r>
        <w:rPr>
          <w:color w:val="auto"/>
          <w:highlight w:val="none"/>
        </w:rPr>
        <w:t>》</w:t>
      </w:r>
      <w:r>
        <w:rPr>
          <w:rFonts w:hint="eastAsia"/>
          <w:color w:val="auto"/>
          <w:highlight w:val="none"/>
        </w:rPr>
        <w:t>长江办</w:t>
      </w:r>
      <w:r>
        <w:rPr>
          <w:rFonts w:hint="eastAsia"/>
          <w:color w:val="auto"/>
          <w:highlight w:val="none"/>
          <w:lang w:val="en-US" w:eastAsia="zh-CN"/>
        </w:rPr>
        <w:t>[</w:t>
      </w:r>
      <w:r>
        <w:rPr>
          <w:rFonts w:hint="eastAsia"/>
          <w:color w:val="auto"/>
          <w:highlight w:val="none"/>
        </w:rPr>
        <w:t>2022</w:t>
      </w:r>
      <w:r>
        <w:rPr>
          <w:rFonts w:hint="eastAsia"/>
          <w:color w:val="auto"/>
          <w:highlight w:val="none"/>
          <w:lang w:val="en-US" w:eastAsia="zh-CN"/>
        </w:rPr>
        <w:t>]</w:t>
      </w:r>
      <w:r>
        <w:rPr>
          <w:rFonts w:hint="eastAsia"/>
          <w:color w:val="auto"/>
          <w:highlight w:val="none"/>
        </w:rPr>
        <w:t>7号</w:t>
      </w:r>
      <w:r>
        <w:rPr>
          <w:rFonts w:hint="eastAsia"/>
          <w:color w:val="auto"/>
          <w:highlight w:val="none"/>
          <w:lang w:eastAsia="zh-CN"/>
        </w:rPr>
        <w:t>。</w:t>
      </w:r>
    </w:p>
    <w:p>
      <w:pPr>
        <w:pStyle w:val="5"/>
        <w:widowControl w:val="0"/>
        <w:ind w:firstLine="120"/>
        <w:rPr>
          <w:color w:val="auto"/>
          <w:highlight w:val="none"/>
        </w:rPr>
      </w:pPr>
      <w:r>
        <w:rPr>
          <w:rFonts w:hint="eastAsia"/>
          <w:color w:val="auto"/>
          <w:highlight w:val="none"/>
        </w:rPr>
        <w:t>技术导则及规范</w:t>
      </w:r>
    </w:p>
    <w:p>
      <w:pPr>
        <w:widowControl w:val="0"/>
        <w:ind w:firstLine="480"/>
        <w:rPr>
          <w:color w:val="auto"/>
          <w:highlight w:val="none"/>
        </w:rPr>
      </w:pPr>
      <w:r>
        <w:rPr>
          <w:rFonts w:hint="eastAsia"/>
          <w:color w:val="auto"/>
          <w:highlight w:val="none"/>
        </w:rPr>
        <w:t>（1）《建设项目环境影响评价技术导则—总纲》（HJ2.1—2016）；</w:t>
      </w:r>
    </w:p>
    <w:p>
      <w:pPr>
        <w:widowControl w:val="0"/>
        <w:ind w:firstLine="480"/>
        <w:rPr>
          <w:color w:val="auto"/>
          <w:highlight w:val="none"/>
        </w:rPr>
      </w:pPr>
      <w:r>
        <w:rPr>
          <w:rFonts w:hint="eastAsia"/>
          <w:color w:val="auto"/>
          <w:highlight w:val="none"/>
        </w:rPr>
        <w:t>（2）《环境影响评价技术导则—大气环境》（HJ2.2-2018）；</w:t>
      </w:r>
    </w:p>
    <w:p>
      <w:pPr>
        <w:widowControl w:val="0"/>
        <w:ind w:firstLine="480"/>
        <w:rPr>
          <w:color w:val="auto"/>
          <w:highlight w:val="none"/>
        </w:rPr>
      </w:pPr>
      <w:r>
        <w:rPr>
          <w:rFonts w:hint="eastAsia"/>
          <w:color w:val="auto"/>
          <w:highlight w:val="none"/>
        </w:rPr>
        <w:t>（3）《环境影响评价技术导则―地表水环境》（HJ2.3-2018）；</w:t>
      </w:r>
    </w:p>
    <w:p>
      <w:pPr>
        <w:widowControl w:val="0"/>
        <w:ind w:firstLine="480"/>
        <w:rPr>
          <w:color w:val="auto"/>
          <w:highlight w:val="none"/>
        </w:rPr>
      </w:pPr>
      <w:r>
        <w:rPr>
          <w:rFonts w:hint="eastAsia"/>
          <w:color w:val="auto"/>
          <w:highlight w:val="none"/>
        </w:rPr>
        <w:t>（4）《环境影响评价技术导则一声环境》（HJ2.4-</w:t>
      </w:r>
      <w:r>
        <w:rPr>
          <w:rFonts w:hint="eastAsia"/>
          <w:color w:val="auto"/>
          <w:highlight w:val="none"/>
          <w:lang w:val="en-US" w:eastAsia="zh-CN"/>
        </w:rPr>
        <w:t>2021</w:t>
      </w:r>
      <w:r>
        <w:rPr>
          <w:rFonts w:hint="eastAsia"/>
          <w:color w:val="auto"/>
          <w:highlight w:val="none"/>
        </w:rPr>
        <w:t>）；</w:t>
      </w:r>
    </w:p>
    <w:p>
      <w:pPr>
        <w:widowControl w:val="0"/>
        <w:ind w:firstLine="480"/>
        <w:rPr>
          <w:color w:val="auto"/>
          <w:highlight w:val="none"/>
        </w:rPr>
      </w:pPr>
      <w:r>
        <w:rPr>
          <w:rFonts w:hint="eastAsia"/>
          <w:color w:val="auto"/>
          <w:highlight w:val="none"/>
        </w:rPr>
        <w:t>（5）《环境影响评价技术导则一地下水环境》（HJ610-2016）；</w:t>
      </w:r>
    </w:p>
    <w:p>
      <w:pPr>
        <w:widowControl w:val="0"/>
        <w:ind w:firstLine="480"/>
        <w:rPr>
          <w:color w:val="auto"/>
          <w:highlight w:val="none"/>
        </w:rPr>
      </w:pPr>
      <w:r>
        <w:rPr>
          <w:rFonts w:hint="eastAsia"/>
          <w:color w:val="auto"/>
          <w:highlight w:val="none"/>
        </w:rPr>
        <w:t>（6）《环境影响评价技术导则一生态影响》（HJ19-20</w:t>
      </w:r>
      <w:r>
        <w:rPr>
          <w:rFonts w:hint="eastAsia"/>
          <w:color w:val="auto"/>
          <w:highlight w:val="none"/>
          <w:lang w:val="en-US" w:eastAsia="zh-CN"/>
        </w:rPr>
        <w:t>22</w:t>
      </w:r>
      <w:r>
        <w:rPr>
          <w:rFonts w:hint="eastAsia"/>
          <w:color w:val="auto"/>
          <w:highlight w:val="none"/>
        </w:rPr>
        <w:t>）；</w:t>
      </w:r>
    </w:p>
    <w:p>
      <w:pPr>
        <w:widowControl w:val="0"/>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rPr>
        <w:t>环境影响评价技术导则一</w:t>
      </w:r>
      <w:r>
        <w:rPr>
          <w:rFonts w:hint="eastAsia"/>
          <w:color w:val="auto"/>
          <w:highlight w:val="none"/>
          <w:lang w:val="en-US" w:eastAsia="zh-CN"/>
        </w:rPr>
        <w:t>土壤环境</w:t>
      </w:r>
      <w:r>
        <w:rPr>
          <w:rFonts w:hint="eastAsia"/>
          <w:color w:val="auto"/>
          <w:highlight w:val="none"/>
          <w:lang w:eastAsia="zh-CN"/>
        </w:rPr>
        <w:t>》（</w:t>
      </w:r>
      <w:r>
        <w:rPr>
          <w:rFonts w:hint="eastAsia"/>
          <w:color w:val="auto"/>
          <w:highlight w:val="none"/>
          <w:lang w:val="en-US" w:eastAsia="zh-CN"/>
        </w:rPr>
        <w:t>HJ 964-2018</w:t>
      </w:r>
      <w:r>
        <w:rPr>
          <w:rFonts w:hint="eastAsia"/>
          <w:color w:val="auto"/>
          <w:highlight w:val="none"/>
          <w:lang w:eastAsia="zh-CN"/>
        </w:rPr>
        <w:t>）</w:t>
      </w:r>
    </w:p>
    <w:p>
      <w:pPr>
        <w:widowControl w:val="0"/>
        <w:ind w:firstLine="480"/>
        <w:rPr>
          <w:color w:val="auto"/>
          <w:highlight w:val="none"/>
        </w:rPr>
      </w:pPr>
      <w:r>
        <w:rPr>
          <w:rFonts w:hint="eastAsia"/>
          <w:color w:val="auto"/>
          <w:highlight w:val="none"/>
        </w:rPr>
        <w:t>（7）《建设项目环境风险评价技术导则》（HJ169-2018）；</w:t>
      </w:r>
    </w:p>
    <w:p>
      <w:pPr>
        <w:widowControl w:val="0"/>
        <w:ind w:firstLine="480"/>
        <w:rPr>
          <w:color w:val="auto"/>
          <w:highlight w:val="none"/>
        </w:rPr>
      </w:pPr>
      <w:r>
        <w:rPr>
          <w:rFonts w:hint="eastAsia"/>
          <w:color w:val="auto"/>
          <w:highlight w:val="none"/>
        </w:rPr>
        <w:t>（8）《屠宰与肉类加工废水治理工程技术规范》（HJ2004-2010）；</w:t>
      </w:r>
    </w:p>
    <w:p>
      <w:pPr>
        <w:widowControl w:val="0"/>
        <w:ind w:firstLine="480"/>
        <w:rPr>
          <w:color w:val="auto"/>
          <w:highlight w:val="none"/>
        </w:rPr>
      </w:pPr>
      <w:r>
        <w:rPr>
          <w:rFonts w:hint="eastAsia"/>
          <w:color w:val="auto"/>
          <w:highlight w:val="none"/>
        </w:rPr>
        <w:t>（9）《禽兽病害肉尸及其产品无害化处理规程》（GB16548-1996）；</w:t>
      </w:r>
    </w:p>
    <w:p>
      <w:pPr>
        <w:widowControl w:val="0"/>
        <w:ind w:firstLine="480"/>
        <w:rPr>
          <w:color w:val="auto"/>
          <w:highlight w:val="none"/>
        </w:rPr>
      </w:pPr>
      <w:r>
        <w:rPr>
          <w:rFonts w:hint="eastAsia"/>
          <w:color w:val="auto"/>
          <w:highlight w:val="none"/>
        </w:rPr>
        <w:t>（10）《四川省用水定额》（川府函[2021]8号）；</w:t>
      </w:r>
    </w:p>
    <w:p>
      <w:pPr>
        <w:widowControl w:val="0"/>
        <w:ind w:firstLine="480"/>
        <w:rPr>
          <w:color w:val="auto"/>
          <w:highlight w:val="none"/>
        </w:rPr>
      </w:pPr>
      <w:r>
        <w:rPr>
          <w:rFonts w:hint="eastAsia"/>
          <w:color w:val="auto"/>
          <w:highlight w:val="none"/>
        </w:rPr>
        <w:t>（11）《畜类屠宰加工通用技术条件》（GB/T17237-2008）；</w:t>
      </w:r>
    </w:p>
    <w:p>
      <w:pPr>
        <w:widowControl w:val="0"/>
        <w:ind w:firstLine="480"/>
        <w:rPr>
          <w:color w:val="auto"/>
          <w:highlight w:val="none"/>
        </w:rPr>
      </w:pPr>
      <w:r>
        <w:rPr>
          <w:rFonts w:hint="eastAsia"/>
          <w:color w:val="auto"/>
          <w:highlight w:val="none"/>
        </w:rPr>
        <w:t>（12）《生猪屠宰操作规程》（GB/T17236-1998）；</w:t>
      </w:r>
    </w:p>
    <w:p>
      <w:pPr>
        <w:widowControl w:val="0"/>
        <w:ind w:firstLine="480"/>
        <w:rPr>
          <w:color w:val="auto"/>
          <w:highlight w:val="none"/>
        </w:rPr>
      </w:pPr>
      <w:r>
        <w:rPr>
          <w:rFonts w:hint="eastAsia"/>
          <w:color w:val="auto"/>
          <w:highlight w:val="none"/>
        </w:rPr>
        <w:t>（13）《猪屠宰与分割车间设计规范》（GB50317-2009）</w:t>
      </w:r>
    </w:p>
    <w:p>
      <w:pPr>
        <w:widowControl w:val="0"/>
        <w:ind w:firstLine="480"/>
        <w:rPr>
          <w:color w:val="auto"/>
          <w:highlight w:val="none"/>
        </w:rPr>
      </w:pPr>
      <w:r>
        <w:rPr>
          <w:rFonts w:hint="eastAsia"/>
          <w:color w:val="auto"/>
          <w:highlight w:val="none"/>
        </w:rPr>
        <w:t>（14）《排污许可证申请与核发技术规范农副食品加工工业一屠宰及肉类加工工业》（HJ860.3-2018）。</w:t>
      </w:r>
    </w:p>
    <w:p>
      <w:pPr>
        <w:pStyle w:val="5"/>
        <w:widowControl w:val="0"/>
        <w:ind w:firstLine="120"/>
        <w:rPr>
          <w:color w:val="auto"/>
          <w:highlight w:val="none"/>
        </w:rPr>
      </w:pPr>
      <w:r>
        <w:rPr>
          <w:rFonts w:hint="eastAsia"/>
          <w:color w:val="auto"/>
          <w:highlight w:val="none"/>
        </w:rPr>
        <w:t>与项目有关的文件、资料</w:t>
      </w:r>
    </w:p>
    <w:p>
      <w:pPr>
        <w:widowControl w:val="0"/>
        <w:numPr>
          <w:ilvl w:val="0"/>
          <w:numId w:val="4"/>
        </w:numPr>
        <w:ind w:firstLine="480"/>
        <w:rPr>
          <w:color w:val="auto"/>
          <w:highlight w:val="none"/>
        </w:rPr>
      </w:pPr>
      <w:r>
        <w:rPr>
          <w:rFonts w:hint="eastAsia"/>
          <w:color w:val="auto"/>
          <w:highlight w:val="none"/>
        </w:rPr>
        <w:t>平昌乐顺食品有限公司环境影响评价委托书；</w:t>
      </w:r>
    </w:p>
    <w:p>
      <w:pPr>
        <w:widowControl w:val="0"/>
        <w:numPr>
          <w:ilvl w:val="0"/>
          <w:numId w:val="4"/>
        </w:numPr>
        <w:ind w:firstLine="480"/>
        <w:rPr>
          <w:color w:val="auto"/>
          <w:highlight w:val="none"/>
        </w:rPr>
      </w:pPr>
      <w:r>
        <w:rPr>
          <w:rFonts w:hint="eastAsia"/>
          <w:color w:val="auto"/>
          <w:highlight w:val="none"/>
        </w:rPr>
        <w:t>业主提供的有关环评的资料。</w:t>
      </w:r>
    </w:p>
    <w:p>
      <w:pPr>
        <w:pStyle w:val="4"/>
        <w:widowControl w:val="0"/>
        <w:rPr>
          <w:color w:val="auto"/>
          <w:highlight w:val="none"/>
        </w:rPr>
      </w:pPr>
      <w:bookmarkStart w:id="32" w:name="_Toc30141"/>
      <w:r>
        <w:rPr>
          <w:rFonts w:hint="eastAsia"/>
          <w:color w:val="auto"/>
          <w:highlight w:val="none"/>
        </w:rPr>
        <w:t>评价目的与工作原则</w:t>
      </w:r>
      <w:bookmarkEnd w:id="32"/>
    </w:p>
    <w:p>
      <w:pPr>
        <w:pStyle w:val="5"/>
        <w:widowControl w:val="0"/>
        <w:ind w:firstLine="120"/>
        <w:rPr>
          <w:color w:val="auto"/>
          <w:highlight w:val="none"/>
        </w:rPr>
      </w:pPr>
      <w:r>
        <w:rPr>
          <w:rFonts w:hint="eastAsia"/>
          <w:color w:val="auto"/>
          <w:highlight w:val="none"/>
        </w:rPr>
        <w:t>评价目的</w:t>
      </w:r>
    </w:p>
    <w:p>
      <w:pPr>
        <w:widowControl w:val="0"/>
        <w:ind w:firstLine="480"/>
        <w:rPr>
          <w:color w:val="auto"/>
          <w:highlight w:val="none"/>
        </w:rPr>
      </w:pPr>
      <w:r>
        <w:rPr>
          <w:rFonts w:hint="eastAsia"/>
          <w:color w:val="auto"/>
          <w:highlight w:val="none"/>
        </w:rPr>
        <w:t>环境影响报告书（表）制度是各级领导机关和环境主管部门强化环境管理的一项重要措施，其目的是为建设项目的优化合理布局、优化工程设计及优化日常环境管理提供科学的依据，以实现建设项目的经济效益、社会效益和环境效益的协调同步发展。本次评价的目的如下：</w:t>
      </w:r>
    </w:p>
    <w:p>
      <w:pPr>
        <w:widowControl w:val="0"/>
        <w:ind w:firstLine="480"/>
        <w:rPr>
          <w:color w:val="auto"/>
          <w:highlight w:val="none"/>
        </w:rPr>
      </w:pPr>
      <w:r>
        <w:rPr>
          <w:rFonts w:hint="eastAsia"/>
          <w:color w:val="auto"/>
          <w:highlight w:val="none"/>
        </w:rPr>
        <w:t>（1）通过对拟建工程所涉及的自然环境、社会环境的调查，了解区内环境现状，论述本工程建设对当地社会经济发展的影响。</w:t>
      </w:r>
    </w:p>
    <w:p>
      <w:pPr>
        <w:widowControl w:val="0"/>
        <w:ind w:firstLine="480"/>
        <w:rPr>
          <w:color w:val="auto"/>
          <w:highlight w:val="none"/>
        </w:rPr>
      </w:pPr>
      <w:r>
        <w:rPr>
          <w:rFonts w:hint="eastAsia"/>
          <w:color w:val="auto"/>
          <w:highlight w:val="none"/>
        </w:rPr>
        <w:t>（2）通过对项目的工程分析和工程施工期、运营期产生的环境影响进行分析、预测和评价，确定工程对周围环境的影响程度和范围；并提出切实可行的环境保护对策与建议，使该项目的建设对环境的影响降至最低程度，使该项目在建设及运营过程与保护环境协调发展，并充分论证项目建设的正面影响。</w:t>
      </w:r>
    </w:p>
    <w:p>
      <w:pPr>
        <w:widowControl w:val="0"/>
        <w:ind w:firstLine="480"/>
        <w:rPr>
          <w:color w:val="auto"/>
          <w:highlight w:val="none"/>
        </w:rPr>
      </w:pPr>
      <w:r>
        <w:rPr>
          <w:rFonts w:hint="eastAsia"/>
          <w:color w:val="auto"/>
          <w:highlight w:val="none"/>
        </w:rPr>
        <w:t>（3）为本项目的环境管理和实施污染物排放总量控制提供科学的依据。</w:t>
      </w:r>
    </w:p>
    <w:p>
      <w:pPr>
        <w:widowControl w:val="0"/>
        <w:ind w:firstLine="480"/>
        <w:rPr>
          <w:color w:val="auto"/>
          <w:highlight w:val="none"/>
        </w:rPr>
      </w:pPr>
      <w:r>
        <w:rPr>
          <w:rFonts w:hint="eastAsia"/>
          <w:color w:val="auto"/>
          <w:highlight w:val="none"/>
        </w:rPr>
        <w:t>（4）从环保角度论述本项目选址的合理性，为本工程建设的环保设计及环境管理提供科学的依据。</w:t>
      </w:r>
    </w:p>
    <w:p>
      <w:pPr>
        <w:pStyle w:val="5"/>
        <w:widowControl w:val="0"/>
        <w:ind w:firstLine="120"/>
        <w:rPr>
          <w:color w:val="auto"/>
          <w:highlight w:val="none"/>
        </w:rPr>
      </w:pPr>
      <w:r>
        <w:rPr>
          <w:rFonts w:hint="eastAsia"/>
          <w:color w:val="auto"/>
          <w:highlight w:val="none"/>
        </w:rPr>
        <w:t>评价原则</w:t>
      </w:r>
    </w:p>
    <w:p>
      <w:pPr>
        <w:widowControl w:val="0"/>
        <w:numPr>
          <w:ilvl w:val="0"/>
          <w:numId w:val="5"/>
        </w:numPr>
        <w:ind w:firstLine="480"/>
        <w:rPr>
          <w:color w:val="auto"/>
          <w:highlight w:val="none"/>
        </w:rPr>
      </w:pPr>
      <w:r>
        <w:rPr>
          <w:rFonts w:hint="eastAsia"/>
          <w:color w:val="auto"/>
          <w:highlight w:val="none"/>
        </w:rPr>
        <w:t>严格执行国家和地方有关环保的法规、法令、标准及规范；</w:t>
      </w:r>
    </w:p>
    <w:p>
      <w:pPr>
        <w:widowControl w:val="0"/>
        <w:numPr>
          <w:ilvl w:val="0"/>
          <w:numId w:val="5"/>
        </w:numPr>
        <w:ind w:firstLine="480"/>
        <w:rPr>
          <w:color w:val="auto"/>
          <w:highlight w:val="none"/>
        </w:rPr>
      </w:pPr>
      <w:r>
        <w:rPr>
          <w:rFonts w:hint="eastAsia"/>
          <w:color w:val="auto"/>
          <w:highlight w:val="none"/>
        </w:rPr>
        <w:t>坚持实事求是、认真负责的原则；</w:t>
      </w:r>
    </w:p>
    <w:p>
      <w:pPr>
        <w:widowControl w:val="0"/>
        <w:ind w:firstLine="480"/>
        <w:rPr>
          <w:color w:val="auto"/>
          <w:highlight w:val="none"/>
        </w:rPr>
      </w:pPr>
      <w:r>
        <w:rPr>
          <w:rFonts w:hint="eastAsia"/>
          <w:color w:val="auto"/>
          <w:highlight w:val="none"/>
        </w:rPr>
        <w:t>（3）坚持有针对性、科学性和实用性的原则；</w:t>
      </w:r>
    </w:p>
    <w:p>
      <w:pPr>
        <w:widowControl w:val="0"/>
        <w:ind w:firstLine="480"/>
        <w:rPr>
          <w:color w:val="auto"/>
          <w:highlight w:val="none"/>
        </w:rPr>
      </w:pPr>
      <w:r>
        <w:rPr>
          <w:rFonts w:hint="eastAsia"/>
          <w:color w:val="auto"/>
          <w:highlight w:val="none"/>
        </w:rPr>
        <w:t>（4）通过类比分析和实地考察，提出可靠、经济、操作性强的环境保护措施；</w:t>
      </w:r>
    </w:p>
    <w:p>
      <w:pPr>
        <w:widowControl w:val="0"/>
        <w:ind w:firstLine="480"/>
        <w:rPr>
          <w:color w:val="auto"/>
          <w:highlight w:val="none"/>
        </w:rPr>
      </w:pPr>
      <w:r>
        <w:rPr>
          <w:rFonts w:hint="eastAsia"/>
          <w:color w:val="auto"/>
          <w:highlight w:val="none"/>
        </w:rPr>
        <w:t>（5）坚持环境、经济、社会三效益统一的原则。</w:t>
      </w:r>
    </w:p>
    <w:p>
      <w:pPr>
        <w:pStyle w:val="4"/>
        <w:widowControl w:val="0"/>
        <w:rPr>
          <w:color w:val="auto"/>
          <w:highlight w:val="none"/>
        </w:rPr>
      </w:pPr>
      <w:bookmarkStart w:id="33" w:name="_Toc19489"/>
      <w:r>
        <w:rPr>
          <w:rFonts w:hint="eastAsia"/>
          <w:color w:val="auto"/>
          <w:highlight w:val="none"/>
        </w:rPr>
        <w:t>评价内容和评价重点</w:t>
      </w:r>
      <w:bookmarkEnd w:id="33"/>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）评价内容</w:t>
      </w:r>
    </w:p>
    <w:p>
      <w:pPr>
        <w:widowControl w:val="0"/>
        <w:ind w:firstLine="480"/>
        <w:rPr>
          <w:color w:val="auto"/>
          <w:highlight w:val="none"/>
        </w:rPr>
      </w:pPr>
      <w:r>
        <w:rPr>
          <w:rFonts w:hint="eastAsia"/>
          <w:color w:val="auto"/>
          <w:highlight w:val="none"/>
        </w:rPr>
        <w:t>本项目产生的污染物主要是生产废水、生活污水、工艺废气、固体废物和噪声，因此，根据工程特征及所在地的环境特征，确定评价内容包括：工程分析，废水排放影响分析，大气环境现状及影响评价、声环境现状及影响评价，固体废物环境影响分析，环境保护措施及技术经济分析，环境风险分析，总量控制分析等。</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）评价重点</w:t>
      </w:r>
    </w:p>
    <w:p>
      <w:pPr>
        <w:widowControl w:val="0"/>
        <w:ind w:firstLine="480"/>
        <w:rPr>
          <w:color w:val="auto"/>
          <w:highlight w:val="none"/>
        </w:rPr>
      </w:pPr>
      <w:r>
        <w:rPr>
          <w:rFonts w:hint="eastAsia"/>
          <w:color w:val="auto"/>
          <w:highlight w:val="none"/>
        </w:rPr>
        <w:t>根据本项目主要污染物排放情况，综合考虑项目外环境关系及主要环境保护目标，确定本次评价工作重点为：分析项目采取的污染治理措施的可靠性和有效性及存在的问题，提出相应的对策措施。评价以工程分析和环境影响预测为重点，着重分析</w:t>
      </w:r>
      <w:r>
        <w:rPr>
          <w:rFonts w:hint="eastAsia"/>
          <w:color w:val="auto"/>
          <w:highlight w:val="none"/>
          <w:lang w:val="en-US" w:eastAsia="zh-CN"/>
        </w:rPr>
        <w:t>废水治理</w:t>
      </w:r>
      <w:r>
        <w:rPr>
          <w:rFonts w:hint="eastAsia"/>
          <w:color w:val="auto"/>
          <w:highlight w:val="none"/>
        </w:rPr>
        <w:t>措施</w:t>
      </w:r>
      <w:r>
        <w:rPr>
          <w:rFonts w:hint="eastAsia"/>
          <w:color w:val="auto"/>
          <w:highlight w:val="none"/>
          <w:lang w:val="en-US" w:eastAsia="zh-CN"/>
        </w:rPr>
        <w:t>和依托响滩镇污水处理厂</w:t>
      </w:r>
      <w:r>
        <w:rPr>
          <w:rFonts w:hint="eastAsia"/>
          <w:color w:val="auto"/>
          <w:highlight w:val="none"/>
        </w:rPr>
        <w:t>可行性分析。</w:t>
      </w:r>
    </w:p>
    <w:p>
      <w:pPr>
        <w:pStyle w:val="4"/>
        <w:widowControl w:val="0"/>
        <w:rPr>
          <w:color w:val="auto"/>
          <w:highlight w:val="none"/>
        </w:rPr>
      </w:pPr>
      <w:bookmarkStart w:id="34" w:name="_Toc26075"/>
      <w:r>
        <w:rPr>
          <w:rFonts w:hint="eastAsia"/>
          <w:color w:val="auto"/>
          <w:highlight w:val="none"/>
        </w:rPr>
        <w:t>环境要素识别及评价因子</w:t>
      </w:r>
      <w:bookmarkEnd w:id="34"/>
    </w:p>
    <w:p>
      <w:pPr>
        <w:pStyle w:val="5"/>
        <w:widowControl w:val="0"/>
        <w:ind w:firstLine="120"/>
        <w:rPr>
          <w:color w:val="auto"/>
          <w:highlight w:val="none"/>
        </w:rPr>
      </w:pPr>
      <w:r>
        <w:rPr>
          <w:rFonts w:hint="eastAsia"/>
          <w:color w:val="auto"/>
          <w:highlight w:val="none"/>
        </w:rPr>
        <w:t>环境要素识别</w:t>
      </w:r>
    </w:p>
    <w:p>
      <w:pPr>
        <w:widowControl w:val="0"/>
        <w:ind w:firstLine="480"/>
        <w:rPr>
          <w:color w:val="auto"/>
          <w:highlight w:val="none"/>
        </w:rPr>
      </w:pPr>
      <w:r>
        <w:rPr>
          <w:rFonts w:hint="eastAsia"/>
          <w:color w:val="auto"/>
          <w:highlight w:val="none"/>
        </w:rPr>
        <w:t>项目建设对环境的影响要素见表</w:t>
      </w:r>
      <w:r>
        <w:rPr>
          <w:color w:val="auto"/>
          <w:highlight w:val="none"/>
        </w:rPr>
        <w:t>1.4-1</w:t>
      </w:r>
      <w:r>
        <w:rPr>
          <w:rFonts w:hint="eastAsia"/>
          <w:color w:val="auto"/>
          <w:highlight w:val="none"/>
        </w:rPr>
        <w:t>，各环境因素影响分析见表</w:t>
      </w:r>
      <w:r>
        <w:rPr>
          <w:color w:val="auto"/>
          <w:highlight w:val="none"/>
        </w:rPr>
        <w:t>1.4-2</w:t>
      </w:r>
      <w:r>
        <w:rPr>
          <w:rFonts w:hint="eastAsia"/>
          <w:color w:val="auto"/>
          <w:highlight w:val="none"/>
        </w:rPr>
        <w:t>。</w:t>
      </w:r>
    </w:p>
    <w:p>
      <w:pPr>
        <w:pStyle w:val="27"/>
        <w:widowControl w:val="0"/>
        <w:rPr>
          <w:color w:val="auto"/>
          <w:highlight w:val="none"/>
        </w:rPr>
      </w:pPr>
      <w:r>
        <w:rPr>
          <w:rFonts w:hint="eastAsia"/>
          <w:color w:val="auto"/>
          <w:highlight w:val="none"/>
        </w:rPr>
        <w:t>工程建设的环境影响要素分析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395"/>
        <w:gridCol w:w="986"/>
        <w:gridCol w:w="960"/>
        <w:gridCol w:w="1260"/>
        <w:gridCol w:w="3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4"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环境影响要素</w:t>
            </w:r>
          </w:p>
        </w:tc>
        <w:tc>
          <w:tcPr>
            <w:tcW w:w="986" w:type="dxa"/>
            <w:tcBorders>
              <w:tl2br w:val="nil"/>
              <w:tr2bl w:val="nil"/>
            </w:tcBorders>
            <w:vAlign w:val="center"/>
          </w:tcPr>
          <w:p>
            <w:pPr>
              <w:pStyle w:val="28"/>
              <w:widowControl w:val="0"/>
              <w:rPr>
                <w:b/>
                <w:bCs/>
                <w:color w:val="auto"/>
                <w:highlight w:val="none"/>
              </w:rPr>
            </w:pPr>
            <w:r>
              <w:rPr>
                <w:rFonts w:hint="eastAsia"/>
                <w:b/>
                <w:bCs/>
                <w:color w:val="auto"/>
                <w:highlight w:val="none"/>
              </w:rPr>
              <w:t>施工期</w:t>
            </w:r>
          </w:p>
        </w:tc>
        <w:tc>
          <w:tcPr>
            <w:tcW w:w="960" w:type="dxa"/>
            <w:tcBorders>
              <w:tl2br w:val="nil"/>
              <w:tr2bl w:val="nil"/>
            </w:tcBorders>
            <w:vAlign w:val="center"/>
          </w:tcPr>
          <w:p>
            <w:pPr>
              <w:pStyle w:val="28"/>
              <w:widowControl w:val="0"/>
              <w:rPr>
                <w:b/>
                <w:bCs/>
                <w:color w:val="auto"/>
                <w:highlight w:val="none"/>
              </w:rPr>
            </w:pPr>
            <w:r>
              <w:rPr>
                <w:rFonts w:hint="eastAsia"/>
                <w:b/>
                <w:bCs/>
                <w:color w:val="auto"/>
                <w:highlight w:val="none"/>
              </w:rPr>
              <w:t>营运期</w:t>
            </w:r>
          </w:p>
        </w:tc>
        <w:tc>
          <w:tcPr>
            <w:tcW w:w="1260" w:type="dxa"/>
            <w:tcBorders>
              <w:tl2br w:val="nil"/>
              <w:tr2bl w:val="nil"/>
            </w:tcBorders>
            <w:vAlign w:val="center"/>
          </w:tcPr>
          <w:p>
            <w:pPr>
              <w:pStyle w:val="28"/>
              <w:widowControl w:val="0"/>
              <w:rPr>
                <w:b/>
                <w:bCs/>
                <w:color w:val="auto"/>
                <w:highlight w:val="none"/>
              </w:rPr>
            </w:pPr>
            <w:r>
              <w:rPr>
                <w:rFonts w:hint="eastAsia"/>
                <w:b/>
                <w:bCs/>
                <w:color w:val="auto"/>
                <w:highlight w:val="none"/>
              </w:rPr>
              <w:t>综合影响</w:t>
            </w:r>
          </w:p>
        </w:tc>
        <w:tc>
          <w:tcPr>
            <w:tcW w:w="3962"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restart"/>
            <w:tcBorders>
              <w:tl2br w:val="nil"/>
              <w:tr2bl w:val="nil"/>
            </w:tcBorders>
            <w:vAlign w:val="center"/>
          </w:tcPr>
          <w:p>
            <w:pPr>
              <w:pStyle w:val="28"/>
              <w:widowControl w:val="0"/>
              <w:rPr>
                <w:color w:val="auto"/>
                <w:highlight w:val="none"/>
              </w:rPr>
            </w:pPr>
            <w:r>
              <w:rPr>
                <w:rFonts w:hint="eastAsia"/>
                <w:color w:val="auto"/>
                <w:highlight w:val="none"/>
              </w:rPr>
              <w:t>自然环境</w:t>
            </w: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环境空气</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962" w:type="dxa"/>
            <w:vMerge w:val="restart"/>
            <w:tcBorders>
              <w:tl2br w:val="nil"/>
              <w:tr2bl w:val="nil"/>
            </w:tcBorders>
            <w:vAlign w:val="center"/>
          </w:tcPr>
          <w:p>
            <w:pPr>
              <w:pStyle w:val="28"/>
              <w:widowControl w:val="0"/>
              <w:rPr>
                <w:color w:val="auto"/>
                <w:highlight w:val="none"/>
                <w:vertAlign w:val="subscript"/>
              </w:rPr>
            </w:pPr>
            <w:r>
              <w:rPr>
                <w:rFonts w:hint="eastAsia"/>
                <w:color w:val="auto"/>
                <w:highlight w:val="none"/>
              </w:rPr>
              <w:t>注：“</w:t>
            </w:r>
            <w:r>
              <w:rPr>
                <w:color w:val="auto"/>
                <w:highlight w:val="none"/>
              </w:rPr>
              <w:t>-</w:t>
            </w:r>
            <w:r>
              <w:rPr>
                <w:rFonts w:hint="eastAsia"/>
                <w:color w:val="auto"/>
                <w:highlight w:val="none"/>
              </w:rPr>
              <w:t>”表示不利影响，“</w:t>
            </w:r>
            <w:r>
              <w:rPr>
                <w:color w:val="auto"/>
                <w:highlight w:val="none"/>
              </w:rPr>
              <w:t>+</w:t>
            </w:r>
            <w:r>
              <w:rPr>
                <w:rFonts w:hint="eastAsia"/>
                <w:color w:val="auto"/>
                <w:highlight w:val="none"/>
              </w:rPr>
              <w:t>”表示有利影响，数字大小表示影响程度。</w:t>
            </w:r>
            <w:r>
              <w:rPr>
                <w:color w:val="auto"/>
                <w:highlight w:val="none"/>
              </w:rPr>
              <w:t>1</w:t>
            </w:r>
            <w:r>
              <w:rPr>
                <w:rFonts w:hint="eastAsia"/>
                <w:color w:val="auto"/>
                <w:highlight w:val="none"/>
              </w:rPr>
              <w:t>——轻度影响；</w:t>
            </w:r>
            <w:r>
              <w:rPr>
                <w:color w:val="auto"/>
                <w:highlight w:val="none"/>
              </w:rPr>
              <w:t>2</w:t>
            </w:r>
            <w:r>
              <w:rPr>
                <w:rFonts w:hint="eastAsia"/>
                <w:color w:val="auto"/>
                <w:highlight w:val="none"/>
              </w:rPr>
              <w:t>——中度影响；3——重度影响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28"/>
              <w:widowControl w:val="0"/>
              <w:rPr>
                <w:color w:val="auto"/>
                <w:highlight w:val="none"/>
              </w:rPr>
            </w:pP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地表水水质</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962"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28"/>
              <w:widowControl w:val="0"/>
              <w:rPr>
                <w:color w:val="auto"/>
                <w:highlight w:val="none"/>
              </w:rPr>
            </w:pP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环境噪声</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962"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28"/>
              <w:widowControl w:val="0"/>
              <w:rPr>
                <w:color w:val="auto"/>
                <w:highlight w:val="none"/>
              </w:rPr>
            </w:pP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土壤</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962"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restart"/>
            <w:tcBorders>
              <w:tl2br w:val="nil"/>
              <w:tr2bl w:val="nil"/>
            </w:tcBorders>
            <w:vAlign w:val="center"/>
          </w:tcPr>
          <w:p>
            <w:pPr>
              <w:pStyle w:val="28"/>
              <w:widowControl w:val="0"/>
              <w:rPr>
                <w:color w:val="auto"/>
                <w:highlight w:val="none"/>
              </w:rPr>
            </w:pPr>
            <w:r>
              <w:rPr>
                <w:rFonts w:hint="eastAsia"/>
                <w:color w:val="auto"/>
                <w:highlight w:val="none"/>
              </w:rPr>
              <w:t>生态环境</w:t>
            </w: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植被</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0</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962"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28"/>
              <w:widowControl w:val="0"/>
              <w:rPr>
                <w:color w:val="auto"/>
                <w:highlight w:val="none"/>
              </w:rPr>
            </w:pPr>
          </w:p>
        </w:tc>
        <w:tc>
          <w:tcPr>
            <w:tcW w:w="1395" w:type="dxa"/>
            <w:tcBorders>
              <w:tl2br w:val="nil"/>
              <w:tr2bl w:val="nil"/>
            </w:tcBorders>
            <w:vAlign w:val="center"/>
          </w:tcPr>
          <w:p>
            <w:pPr>
              <w:pStyle w:val="28"/>
              <w:widowControl w:val="0"/>
              <w:rPr>
                <w:color w:val="auto"/>
                <w:highlight w:val="none"/>
              </w:rPr>
            </w:pPr>
            <w:r>
              <w:rPr>
                <w:rFonts w:hint="eastAsia"/>
                <w:color w:val="auto"/>
                <w:highlight w:val="none"/>
              </w:rPr>
              <w:t>水土流失</w:t>
            </w:r>
          </w:p>
        </w:tc>
        <w:tc>
          <w:tcPr>
            <w:tcW w:w="98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60" w:type="dxa"/>
            <w:tcBorders>
              <w:tl2br w:val="nil"/>
              <w:tr2bl w:val="nil"/>
            </w:tcBorders>
            <w:vAlign w:val="center"/>
          </w:tcPr>
          <w:p>
            <w:pPr>
              <w:pStyle w:val="28"/>
              <w:widowControl w:val="0"/>
              <w:rPr>
                <w:color w:val="auto"/>
                <w:highlight w:val="none"/>
              </w:rPr>
            </w:pPr>
            <w:r>
              <w:rPr>
                <w:rFonts w:hint="eastAsia"/>
                <w:color w:val="auto"/>
                <w:highlight w:val="none"/>
              </w:rPr>
              <w:t>0</w:t>
            </w:r>
          </w:p>
        </w:tc>
        <w:tc>
          <w:tcPr>
            <w:tcW w:w="126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962" w:type="dxa"/>
            <w:vMerge w:val="continue"/>
            <w:tcBorders>
              <w:tl2br w:val="nil"/>
              <w:tr2bl w:val="nil"/>
            </w:tcBorders>
            <w:vAlign w:val="center"/>
          </w:tcPr>
          <w:p>
            <w:pPr>
              <w:pStyle w:val="28"/>
              <w:widowControl w:val="0"/>
              <w:rPr>
                <w:color w:val="auto"/>
                <w:highlight w:val="none"/>
              </w:rPr>
            </w:pPr>
          </w:p>
        </w:tc>
      </w:tr>
    </w:tbl>
    <w:p>
      <w:pPr>
        <w:pStyle w:val="27"/>
        <w:widowControl w:val="0"/>
        <w:rPr>
          <w:color w:val="auto"/>
          <w:highlight w:val="none"/>
        </w:rPr>
      </w:pPr>
      <w:r>
        <w:rPr>
          <w:rFonts w:hint="eastAsia"/>
          <w:color w:val="auto"/>
          <w:highlight w:val="none"/>
        </w:rPr>
        <w:t>工程建设的环境影响性质因素分析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710"/>
        <w:gridCol w:w="710"/>
        <w:gridCol w:w="710"/>
        <w:gridCol w:w="710"/>
        <w:gridCol w:w="710"/>
        <w:gridCol w:w="720"/>
        <w:gridCol w:w="710"/>
        <w:gridCol w:w="710"/>
        <w:gridCol w:w="710"/>
        <w:gridCol w:w="710"/>
        <w:gridCol w:w="710"/>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环境影响因素</w:t>
            </w:r>
          </w:p>
        </w:tc>
        <w:tc>
          <w:tcPr>
            <w:tcW w:w="2219" w:type="pct"/>
            <w:gridSpan w:val="6"/>
            <w:tcBorders>
              <w:tl2br w:val="nil"/>
              <w:tr2bl w:val="nil"/>
            </w:tcBorders>
            <w:vAlign w:val="center"/>
          </w:tcPr>
          <w:p>
            <w:pPr>
              <w:pStyle w:val="28"/>
              <w:widowControl w:val="0"/>
              <w:rPr>
                <w:b/>
                <w:bCs/>
                <w:color w:val="auto"/>
                <w:highlight w:val="none"/>
              </w:rPr>
            </w:pPr>
            <w:r>
              <w:rPr>
                <w:rFonts w:hint="eastAsia"/>
                <w:b/>
                <w:bCs/>
                <w:color w:val="auto"/>
                <w:highlight w:val="none"/>
              </w:rPr>
              <w:t>施工期</w:t>
            </w:r>
          </w:p>
        </w:tc>
        <w:tc>
          <w:tcPr>
            <w:tcW w:w="2224" w:type="pct"/>
            <w:gridSpan w:val="6"/>
            <w:tcBorders>
              <w:tl2br w:val="nil"/>
              <w:tr2bl w:val="nil"/>
            </w:tcBorders>
            <w:vAlign w:val="center"/>
          </w:tcPr>
          <w:p>
            <w:pPr>
              <w:pStyle w:val="28"/>
              <w:widowControl w:val="0"/>
              <w:rPr>
                <w:b/>
                <w:bCs/>
                <w:color w:val="auto"/>
                <w:highlight w:val="none"/>
              </w:rPr>
            </w:pPr>
            <w:r>
              <w:rPr>
                <w:rFonts w:hint="eastAsia"/>
                <w:b/>
                <w:bCs/>
                <w:color w:val="auto"/>
                <w:highlight w:val="none"/>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vMerge w:val="continue"/>
            <w:tcBorders>
              <w:tl2br w:val="nil"/>
              <w:tr2bl w:val="nil"/>
            </w:tcBorders>
            <w:vAlign w:val="center"/>
          </w:tcPr>
          <w:p>
            <w:pPr>
              <w:pStyle w:val="28"/>
              <w:widowControl w:val="0"/>
              <w:rPr>
                <w:b/>
                <w:bCs/>
                <w:color w:val="auto"/>
                <w:highlight w:val="none"/>
              </w:rPr>
            </w:pP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短期影响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长期影响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可逆影响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不可逆影响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直接影响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间接影响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短期影响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长期影响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可逆影响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不可逆影响</w:t>
            </w:r>
          </w:p>
        </w:tc>
        <w:tc>
          <w:tcPr>
            <w:tcW w:w="369" w:type="pct"/>
            <w:tcBorders>
              <w:tl2br w:val="nil"/>
              <w:tr2bl w:val="nil"/>
            </w:tcBorders>
            <w:vAlign w:val="center"/>
          </w:tcPr>
          <w:p>
            <w:pPr>
              <w:pStyle w:val="28"/>
              <w:widowControl w:val="0"/>
              <w:rPr>
                <w:b/>
                <w:bCs/>
                <w:color w:val="auto"/>
                <w:highlight w:val="none"/>
              </w:rPr>
            </w:pPr>
            <w:r>
              <w:rPr>
                <w:rFonts w:hint="eastAsia"/>
                <w:b/>
                <w:bCs/>
                <w:color w:val="auto"/>
                <w:highlight w:val="none"/>
              </w:rPr>
              <w:t>直接影响</w:t>
            </w:r>
          </w:p>
        </w:tc>
        <w:tc>
          <w:tcPr>
            <w:tcW w:w="374" w:type="pct"/>
            <w:tcBorders>
              <w:tl2br w:val="nil"/>
              <w:tr2bl w:val="nil"/>
            </w:tcBorders>
            <w:vAlign w:val="center"/>
          </w:tcPr>
          <w:p>
            <w:pPr>
              <w:pStyle w:val="28"/>
              <w:widowControl w:val="0"/>
              <w:rPr>
                <w:b/>
                <w:bCs/>
                <w:color w:val="auto"/>
                <w:highlight w:val="none"/>
              </w:rPr>
            </w:pPr>
            <w:r>
              <w:rPr>
                <w:rFonts w:hint="eastAsia"/>
                <w:b/>
                <w:bCs/>
                <w:color w:val="auto"/>
                <w:highlight w:val="none"/>
              </w:rPr>
              <w:t>间接影响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28"/>
              <w:widowControl w:val="0"/>
              <w:rPr>
                <w:color w:val="auto"/>
                <w:highlight w:val="none"/>
              </w:rPr>
            </w:pPr>
            <w:r>
              <w:rPr>
                <w:rFonts w:hint="eastAsia"/>
                <w:color w:val="auto"/>
                <w:highlight w:val="none"/>
              </w:rPr>
              <w:t>环境空气</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74" w:type="pct"/>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28"/>
              <w:widowControl w:val="0"/>
              <w:rPr>
                <w:color w:val="auto"/>
                <w:highlight w:val="none"/>
              </w:rPr>
            </w:pPr>
            <w:r>
              <w:rPr>
                <w:rFonts w:hint="eastAsia"/>
                <w:color w:val="auto"/>
                <w:highlight w:val="none"/>
              </w:rPr>
              <w:t>地表水</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74" w:type="pct"/>
            <w:tcBorders>
              <w:tl2br w:val="nil"/>
              <w:tr2bl w:val="nil"/>
            </w:tcBorders>
            <w:vAlign w:val="center"/>
          </w:tcPr>
          <w:p>
            <w:pPr>
              <w:pStyle w:val="28"/>
              <w:widowControl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28"/>
              <w:widowControl w:val="0"/>
              <w:rPr>
                <w:color w:val="auto"/>
                <w:highlight w:val="none"/>
              </w:rPr>
            </w:pPr>
            <w:r>
              <w:rPr>
                <w:rFonts w:hint="eastAsia"/>
                <w:color w:val="auto"/>
                <w:highlight w:val="none"/>
              </w:rPr>
              <w:t>环境噪声</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74" w:type="pct"/>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28"/>
              <w:widowControl w:val="0"/>
              <w:rPr>
                <w:color w:val="auto"/>
                <w:highlight w:val="none"/>
              </w:rPr>
            </w:pPr>
            <w:r>
              <w:rPr>
                <w:rFonts w:hint="eastAsia"/>
                <w:color w:val="auto"/>
                <w:highlight w:val="none"/>
              </w:rPr>
              <w:t>土壤</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r>
              <w:rPr>
                <w:color w:val="auto"/>
                <w:highlight w:val="none"/>
              </w:rPr>
              <w:t>√</w:t>
            </w: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69" w:type="pct"/>
            <w:tcBorders>
              <w:tl2br w:val="nil"/>
              <w:tr2bl w:val="nil"/>
            </w:tcBorders>
            <w:vAlign w:val="center"/>
          </w:tcPr>
          <w:p>
            <w:pPr>
              <w:pStyle w:val="28"/>
              <w:widowControl w:val="0"/>
              <w:rPr>
                <w:color w:val="auto"/>
                <w:highlight w:val="none"/>
              </w:rPr>
            </w:pPr>
          </w:p>
        </w:tc>
        <w:tc>
          <w:tcPr>
            <w:tcW w:w="374" w:type="pct"/>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tcBorders>
              <w:tl2br w:val="nil"/>
              <w:tr2bl w:val="nil"/>
            </w:tcBorders>
            <w:vAlign w:val="center"/>
          </w:tcPr>
          <w:p>
            <w:pPr>
              <w:pStyle w:val="28"/>
              <w:widowControl w:val="0"/>
              <w:jc w:val="both"/>
              <w:rPr>
                <w:color w:val="auto"/>
                <w:highlight w:val="none"/>
              </w:rPr>
            </w:pPr>
            <w:r>
              <w:rPr>
                <w:rFonts w:hint="eastAsia" w:ascii="宋体" w:hAnsi="宋体"/>
                <w:color w:val="auto"/>
                <w:sz w:val="22"/>
                <w:szCs w:val="24"/>
                <w:highlight w:val="none"/>
              </w:rPr>
              <w:t>注：表中</w:t>
            </w:r>
            <w:r>
              <w:rPr>
                <w:rFonts w:hint="eastAsia" w:ascii="TimesNewRomanPSMT" w:hAnsi="TimesNewRomanPSMT"/>
                <w:color w:val="auto"/>
                <w:sz w:val="22"/>
                <w:szCs w:val="24"/>
                <w:highlight w:val="none"/>
              </w:rPr>
              <w:t>“</w:t>
            </w:r>
            <w:r>
              <w:rPr>
                <w:color w:val="auto"/>
                <w:highlight w:val="none"/>
              </w:rPr>
              <w:t>√</w:t>
            </w:r>
            <w:r>
              <w:rPr>
                <w:rFonts w:hint="eastAsia" w:ascii="TimesNewRomanPSMT" w:hAnsi="TimesNewRomanPSMT"/>
                <w:color w:val="auto"/>
                <w:sz w:val="22"/>
                <w:szCs w:val="24"/>
                <w:highlight w:val="none"/>
              </w:rPr>
              <w:t>”</w:t>
            </w:r>
            <w:r>
              <w:rPr>
                <w:rFonts w:hint="eastAsia" w:ascii="宋体" w:hAnsi="宋体"/>
                <w:color w:val="auto"/>
                <w:sz w:val="22"/>
                <w:szCs w:val="24"/>
                <w:highlight w:val="none"/>
              </w:rPr>
              <w:t>表示有关联作用。</w:t>
            </w:r>
          </w:p>
        </w:tc>
      </w:tr>
    </w:tbl>
    <w:p>
      <w:pPr>
        <w:pStyle w:val="5"/>
        <w:widowControl w:val="0"/>
        <w:ind w:firstLine="120"/>
        <w:rPr>
          <w:color w:val="auto"/>
          <w:highlight w:val="none"/>
        </w:rPr>
      </w:pPr>
      <w:r>
        <w:rPr>
          <w:rFonts w:hint="eastAsia"/>
          <w:color w:val="auto"/>
          <w:highlight w:val="none"/>
        </w:rPr>
        <w:t>评价因子</w:t>
      </w:r>
    </w:p>
    <w:p>
      <w:pPr>
        <w:widowControl w:val="0"/>
        <w:ind w:firstLine="480"/>
        <w:rPr>
          <w:color w:val="auto"/>
          <w:highlight w:val="none"/>
        </w:rPr>
      </w:pPr>
      <w:r>
        <w:rPr>
          <w:rFonts w:hint="eastAsia"/>
          <w:color w:val="auto"/>
          <w:highlight w:val="none"/>
        </w:rPr>
        <w:t>根据环境影响评价因子识别结果，确定以对环境影响较大及较为敏感的环境因子作为评价因子。</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）环境空气</w:t>
      </w:r>
    </w:p>
    <w:p>
      <w:pPr>
        <w:widowControl w:val="0"/>
        <w:ind w:firstLine="480"/>
        <w:rPr>
          <w:color w:val="auto"/>
          <w:highlight w:val="none"/>
        </w:rPr>
      </w:pPr>
      <w:r>
        <w:rPr>
          <w:rFonts w:hint="eastAsia"/>
          <w:color w:val="auto"/>
          <w:highlight w:val="none"/>
        </w:rPr>
        <w:t>现状评价因子：</w:t>
      </w:r>
      <w:r>
        <w:rPr>
          <w:color w:val="auto"/>
          <w:highlight w:val="none"/>
        </w:rPr>
        <w:t>SO</w:t>
      </w:r>
      <w:r>
        <w:rPr>
          <w:color w:val="auto"/>
          <w:highlight w:val="none"/>
          <w:vertAlign w:val="subscript"/>
        </w:rPr>
        <w:t>2</w:t>
      </w:r>
      <w:r>
        <w:rPr>
          <w:rFonts w:hint="eastAsia"/>
          <w:color w:val="auto"/>
          <w:highlight w:val="none"/>
        </w:rPr>
        <w:t>、</w:t>
      </w:r>
      <w:r>
        <w:rPr>
          <w:color w:val="auto"/>
          <w:highlight w:val="none"/>
        </w:rPr>
        <w:t>NO</w:t>
      </w:r>
      <w:r>
        <w:rPr>
          <w:color w:val="auto"/>
          <w:highlight w:val="none"/>
          <w:vertAlign w:val="subscript"/>
        </w:rPr>
        <w:t>2</w:t>
      </w:r>
      <w:r>
        <w:rPr>
          <w:rFonts w:hint="eastAsia"/>
          <w:color w:val="auto"/>
          <w:highlight w:val="none"/>
        </w:rPr>
        <w:t>、</w:t>
      </w:r>
      <w:r>
        <w:rPr>
          <w:color w:val="auto"/>
          <w:highlight w:val="none"/>
        </w:rPr>
        <w:t>PM</w:t>
      </w:r>
      <w:r>
        <w:rPr>
          <w:color w:val="auto"/>
          <w:highlight w:val="none"/>
          <w:vertAlign w:val="subscript"/>
        </w:rPr>
        <w:t>10</w:t>
      </w:r>
      <w:r>
        <w:rPr>
          <w:rFonts w:hint="eastAsia"/>
          <w:color w:val="auto"/>
          <w:highlight w:val="none"/>
        </w:rPr>
        <w:t>、</w:t>
      </w:r>
      <w:r>
        <w:rPr>
          <w:color w:val="auto"/>
          <w:highlight w:val="none"/>
        </w:rPr>
        <w:t>PM</w:t>
      </w:r>
      <w:r>
        <w:rPr>
          <w:color w:val="auto"/>
          <w:highlight w:val="none"/>
          <w:vertAlign w:val="subscript"/>
        </w:rPr>
        <w:t>2.5</w:t>
      </w:r>
      <w:r>
        <w:rPr>
          <w:rFonts w:hint="eastAsia"/>
          <w:color w:val="auto"/>
          <w:highlight w:val="none"/>
        </w:rPr>
        <w:t>、</w:t>
      </w:r>
      <w:r>
        <w:rPr>
          <w:color w:val="auto"/>
          <w:highlight w:val="none"/>
        </w:rPr>
        <w:t>CO</w:t>
      </w:r>
      <w:r>
        <w:rPr>
          <w:rFonts w:hint="eastAsia"/>
          <w:color w:val="auto"/>
          <w:highlight w:val="none"/>
        </w:rPr>
        <w:t>、</w:t>
      </w:r>
      <w:r>
        <w:rPr>
          <w:color w:val="auto"/>
          <w:highlight w:val="none"/>
        </w:rPr>
        <w:t>O</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r>
        <w:rPr>
          <w:rFonts w:hint="eastAsia"/>
          <w:color w:val="auto"/>
          <w:highlight w:val="none"/>
        </w:rPr>
        <w:t>。</w:t>
      </w:r>
    </w:p>
    <w:p>
      <w:pPr>
        <w:widowControl w:val="0"/>
        <w:ind w:firstLine="480"/>
        <w:rPr>
          <w:color w:val="auto"/>
          <w:highlight w:val="none"/>
        </w:rPr>
      </w:pPr>
      <w:r>
        <w:rPr>
          <w:rFonts w:hint="eastAsia"/>
          <w:color w:val="auto"/>
          <w:highlight w:val="none"/>
        </w:rPr>
        <w:t>预测评价因子：</w:t>
      </w: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）地表水环境</w:t>
      </w:r>
    </w:p>
    <w:p>
      <w:pPr>
        <w:widowControl w:val="0"/>
        <w:ind w:firstLine="480"/>
        <w:rPr>
          <w:color w:val="auto"/>
          <w:highlight w:val="none"/>
        </w:rPr>
      </w:pPr>
      <w:r>
        <w:rPr>
          <w:rFonts w:hint="eastAsia"/>
          <w:color w:val="auto"/>
          <w:highlight w:val="none"/>
        </w:rPr>
        <w:t>现状评价因子：</w:t>
      </w:r>
      <w:r>
        <w:rPr>
          <w:color w:val="auto"/>
          <w:highlight w:val="none"/>
        </w:rPr>
        <w:t>pH</w:t>
      </w:r>
      <w:r>
        <w:rPr>
          <w:rFonts w:hint="eastAsia"/>
          <w:color w:val="auto"/>
          <w:highlight w:val="none"/>
        </w:rPr>
        <w:t>、氨氮、总磷、总氮、</w:t>
      </w:r>
      <w:r>
        <w:rPr>
          <w:color w:val="auto"/>
          <w:highlight w:val="none"/>
        </w:rPr>
        <w:t>COD</w:t>
      </w:r>
      <w:r>
        <w:rPr>
          <w:rFonts w:hint="eastAsia"/>
          <w:color w:val="auto"/>
          <w:highlight w:val="none"/>
        </w:rPr>
        <w:t>、</w:t>
      </w:r>
      <w:r>
        <w:rPr>
          <w:color w:val="auto"/>
          <w:highlight w:val="none"/>
        </w:rPr>
        <w:t>BOD</w:t>
      </w:r>
      <w:r>
        <w:rPr>
          <w:color w:val="auto"/>
          <w:highlight w:val="none"/>
          <w:vertAlign w:val="subscript"/>
        </w:rPr>
        <w:t>5</w:t>
      </w:r>
      <w:r>
        <w:rPr>
          <w:rFonts w:hint="eastAsia"/>
          <w:color w:val="auto"/>
          <w:highlight w:val="none"/>
        </w:rPr>
        <w:t>、动植物油、SS。</w:t>
      </w:r>
    </w:p>
    <w:p>
      <w:pPr>
        <w:widowControl w:val="0"/>
        <w:ind w:firstLine="480"/>
        <w:rPr>
          <w:color w:val="auto"/>
          <w:highlight w:val="none"/>
        </w:rPr>
      </w:pPr>
      <w:r>
        <w:rPr>
          <w:rFonts w:hint="eastAsia"/>
          <w:color w:val="auto"/>
          <w:highlight w:val="none"/>
        </w:rPr>
        <w:t>预测评价因子：氨氮、</w:t>
      </w:r>
      <w:r>
        <w:rPr>
          <w:color w:val="auto"/>
          <w:highlight w:val="none"/>
        </w:rPr>
        <w:t>COD</w:t>
      </w:r>
      <w:r>
        <w:rPr>
          <w:rFonts w:hint="eastAsia"/>
          <w:color w:val="auto"/>
          <w:highlight w:val="none"/>
        </w:rPr>
        <w:t>。</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）地下水环境</w:t>
      </w:r>
    </w:p>
    <w:p>
      <w:pPr>
        <w:widowControl w:val="0"/>
        <w:ind w:firstLine="480"/>
        <w:rPr>
          <w:color w:val="auto"/>
          <w:highlight w:val="none"/>
        </w:rPr>
      </w:pPr>
      <w:r>
        <w:rPr>
          <w:rFonts w:hint="eastAsia"/>
          <w:color w:val="auto"/>
          <w:highlight w:val="none"/>
        </w:rPr>
        <w:t>现状评价因子：pH、耗氧量、溶解性总固体、总硬度、碳酸根、重碳酸根、氨氮、铬（六价）、挥发酚、氰化物、氟化物（氟离子）、氯化物（氯离子）、亚硝酸盐氮（亚硝酸根）、硝酸根（硝酸盐氮）、硫酸盐（硫酸根）、钾、钠、钙、镁、铁、锰、铅、镉、汞、砷、总大肠菌群、细菌总数。</w:t>
      </w:r>
    </w:p>
    <w:p>
      <w:pPr>
        <w:widowControl w:val="0"/>
        <w:ind w:firstLine="480"/>
        <w:rPr>
          <w:color w:val="auto"/>
          <w:highlight w:val="none"/>
        </w:rPr>
      </w:pPr>
      <w:r>
        <w:rPr>
          <w:rFonts w:hint="eastAsia"/>
          <w:color w:val="auto"/>
          <w:highlight w:val="none"/>
        </w:rPr>
        <w:t>预测评价因子：氨氮、</w:t>
      </w:r>
      <w:r>
        <w:rPr>
          <w:color w:val="auto"/>
          <w:highlight w:val="none"/>
        </w:rPr>
        <w:t>COD</w:t>
      </w:r>
      <w:r>
        <w:rPr>
          <w:rFonts w:hint="eastAsia"/>
          <w:color w:val="auto"/>
          <w:highlight w:val="none"/>
        </w:rPr>
        <w:t>。</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）声环境</w:t>
      </w:r>
    </w:p>
    <w:p>
      <w:pPr>
        <w:widowControl w:val="0"/>
        <w:ind w:firstLine="480"/>
        <w:rPr>
          <w:color w:val="auto"/>
          <w:highlight w:val="none"/>
        </w:rPr>
      </w:pPr>
      <w:r>
        <w:rPr>
          <w:rFonts w:hint="eastAsia"/>
          <w:color w:val="auto"/>
          <w:highlight w:val="none"/>
        </w:rPr>
        <w:t>现状评价因子：等效连续</w:t>
      </w:r>
      <w:r>
        <w:rPr>
          <w:color w:val="auto"/>
          <w:highlight w:val="none"/>
        </w:rPr>
        <w:t>A</w:t>
      </w:r>
      <w:r>
        <w:rPr>
          <w:rFonts w:hint="eastAsia"/>
          <w:color w:val="auto"/>
          <w:highlight w:val="none"/>
        </w:rPr>
        <w:t>声级。</w:t>
      </w:r>
    </w:p>
    <w:p>
      <w:pPr>
        <w:widowControl w:val="0"/>
        <w:ind w:firstLine="480"/>
        <w:rPr>
          <w:color w:val="auto"/>
          <w:highlight w:val="none"/>
        </w:rPr>
      </w:pPr>
      <w:r>
        <w:rPr>
          <w:rFonts w:hint="eastAsia"/>
          <w:color w:val="auto"/>
          <w:highlight w:val="none"/>
        </w:rPr>
        <w:t>预测评价因子：等效连续</w:t>
      </w:r>
      <w:r>
        <w:rPr>
          <w:color w:val="auto"/>
          <w:highlight w:val="none"/>
        </w:rPr>
        <w:t>A</w:t>
      </w:r>
      <w:r>
        <w:rPr>
          <w:rFonts w:hint="eastAsia"/>
          <w:color w:val="auto"/>
          <w:highlight w:val="none"/>
        </w:rPr>
        <w:t>声级。</w:t>
      </w:r>
    </w:p>
    <w:p>
      <w:pPr>
        <w:pStyle w:val="4"/>
        <w:widowControl w:val="0"/>
        <w:rPr>
          <w:color w:val="auto"/>
          <w:highlight w:val="none"/>
        </w:rPr>
      </w:pPr>
      <w:bookmarkStart w:id="35" w:name="_Toc24365"/>
      <w:r>
        <w:rPr>
          <w:rFonts w:hint="eastAsia"/>
          <w:color w:val="auto"/>
          <w:highlight w:val="none"/>
        </w:rPr>
        <w:t>评价标准</w:t>
      </w:r>
      <w:bookmarkEnd w:id="35"/>
    </w:p>
    <w:p>
      <w:pPr>
        <w:pStyle w:val="5"/>
        <w:widowControl w:val="0"/>
        <w:ind w:firstLine="120"/>
        <w:rPr>
          <w:color w:val="auto"/>
          <w:highlight w:val="none"/>
        </w:rPr>
      </w:pPr>
      <w:r>
        <w:rPr>
          <w:rFonts w:hint="eastAsia"/>
          <w:color w:val="auto"/>
          <w:highlight w:val="none"/>
        </w:rPr>
        <w:t>环境功能区划分区</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）环境空气功能区分类</w:t>
      </w:r>
    </w:p>
    <w:p>
      <w:pPr>
        <w:widowControl w:val="0"/>
        <w:ind w:firstLine="480"/>
        <w:rPr>
          <w:color w:val="auto"/>
          <w:highlight w:val="none"/>
        </w:rPr>
      </w:pPr>
      <w:r>
        <w:rPr>
          <w:rFonts w:hint="eastAsia"/>
          <w:color w:val="auto"/>
          <w:highlight w:val="none"/>
        </w:rPr>
        <w:t>本项目位于平昌县响滩镇，属于农村环境，按照《环境空气质量标准》（</w:t>
      </w:r>
      <w:r>
        <w:rPr>
          <w:color w:val="auto"/>
          <w:highlight w:val="none"/>
        </w:rPr>
        <w:t>GB3095-2012</w:t>
      </w:r>
      <w:r>
        <w:rPr>
          <w:rFonts w:hint="eastAsia"/>
          <w:color w:val="auto"/>
          <w:highlight w:val="none"/>
        </w:rPr>
        <w:t>）中的规定，该区域的环境空气质量功能区划属于二类功能区。</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）地表水功能区分类</w:t>
      </w:r>
    </w:p>
    <w:p>
      <w:pPr>
        <w:widowControl w:val="0"/>
        <w:ind w:firstLine="480"/>
        <w:rPr>
          <w:color w:val="auto"/>
          <w:highlight w:val="none"/>
        </w:rPr>
      </w:pPr>
      <w:r>
        <w:rPr>
          <w:rFonts w:hint="eastAsia"/>
          <w:color w:val="auto"/>
          <w:highlight w:val="none"/>
        </w:rPr>
        <w:t>本项目废水经自建污水处理站处理达标后排入元坨社区市政污水管网，通过市政污水管网汇入响滩镇污水处理厂处理。</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）地下水功能区分类</w:t>
      </w:r>
    </w:p>
    <w:p>
      <w:pPr>
        <w:widowControl w:val="0"/>
        <w:ind w:firstLine="480"/>
        <w:rPr>
          <w:color w:val="auto"/>
          <w:highlight w:val="none"/>
        </w:rPr>
      </w:pPr>
      <w:r>
        <w:rPr>
          <w:rFonts w:hint="eastAsia"/>
          <w:color w:val="auto"/>
          <w:highlight w:val="none"/>
        </w:rPr>
        <w:t>拟建项目位于平昌县响滩镇，根据《地下水质量标准》（</w:t>
      </w:r>
      <w:r>
        <w:rPr>
          <w:color w:val="auto"/>
          <w:highlight w:val="none"/>
        </w:rPr>
        <w:t>GB14848-2017</w:t>
      </w:r>
      <w:r>
        <w:rPr>
          <w:rFonts w:hint="eastAsia"/>
          <w:color w:val="auto"/>
          <w:highlight w:val="none"/>
        </w:rPr>
        <w:t>）中的划定，项目区域地下水水质目标为</w:t>
      </w:r>
      <w:r>
        <w:rPr>
          <w:color w:val="auto"/>
          <w:highlight w:val="none"/>
        </w:rPr>
        <w:t>Ⅲ</w:t>
      </w:r>
      <w:r>
        <w:rPr>
          <w:rFonts w:hint="eastAsia"/>
          <w:color w:val="auto"/>
          <w:highlight w:val="none"/>
        </w:rPr>
        <w:t>类。</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）声环境功能区分类</w:t>
      </w:r>
    </w:p>
    <w:p>
      <w:pPr>
        <w:widowControl w:val="0"/>
        <w:ind w:firstLine="480"/>
        <w:rPr>
          <w:color w:val="auto"/>
          <w:highlight w:val="none"/>
        </w:rPr>
      </w:pPr>
      <w:r>
        <w:rPr>
          <w:rFonts w:hint="eastAsia"/>
          <w:color w:val="auto"/>
          <w:highlight w:val="none"/>
        </w:rPr>
        <w:t>拟建项目位于平昌县响滩镇，其属于农村环境，根据建设项目周边环境现状，参照</w:t>
      </w:r>
      <w:r>
        <w:rPr>
          <w:color w:val="auto"/>
          <w:highlight w:val="none"/>
        </w:rPr>
        <w:t>GB3096-2008</w:t>
      </w:r>
      <w:r>
        <w:rPr>
          <w:rFonts w:hint="eastAsia"/>
          <w:color w:val="auto"/>
          <w:highlight w:val="none"/>
        </w:rPr>
        <w:t>《声环境质量标准》中的规定，划分为</w:t>
      </w:r>
      <w:r>
        <w:rPr>
          <w:color w:val="auto"/>
          <w:highlight w:val="none"/>
        </w:rPr>
        <w:t>2</w:t>
      </w:r>
      <w:r>
        <w:rPr>
          <w:rFonts w:hint="eastAsia"/>
          <w:color w:val="auto"/>
          <w:highlight w:val="none"/>
        </w:rPr>
        <w:t>类标准适用区域。</w:t>
      </w:r>
    </w:p>
    <w:p>
      <w:pPr>
        <w:pStyle w:val="5"/>
        <w:widowControl w:val="0"/>
        <w:ind w:firstLine="120"/>
        <w:rPr>
          <w:color w:val="auto"/>
          <w:highlight w:val="none"/>
        </w:rPr>
      </w:pPr>
      <w:r>
        <w:rPr>
          <w:rFonts w:hint="eastAsia"/>
          <w:color w:val="auto"/>
          <w:highlight w:val="none"/>
        </w:rPr>
        <w:t>评价标准</w:t>
      </w:r>
    </w:p>
    <w:p>
      <w:pPr>
        <w:pStyle w:val="6"/>
        <w:widowControl w:val="0"/>
        <w:ind w:left="-160" w:firstLineChars="0"/>
        <w:rPr>
          <w:color w:val="auto"/>
          <w:highlight w:val="none"/>
        </w:rPr>
      </w:pPr>
      <w:r>
        <w:rPr>
          <w:rFonts w:hint="eastAsia"/>
          <w:color w:val="auto"/>
          <w:highlight w:val="none"/>
        </w:rPr>
        <w:t>环境质量标准</w:t>
      </w:r>
    </w:p>
    <w:p>
      <w:pPr>
        <w:widowControl w:val="0"/>
        <w:ind w:firstLine="482"/>
        <w:rPr>
          <w:b/>
          <w:bCs/>
          <w:color w:val="auto"/>
          <w:highlight w:val="none"/>
        </w:rPr>
      </w:pPr>
      <w:r>
        <w:rPr>
          <w:rFonts w:hint="eastAsia"/>
          <w:b/>
          <w:bCs/>
          <w:color w:val="auto"/>
          <w:highlight w:val="none"/>
        </w:rPr>
        <w:t>（1）环境空气质量标准</w:t>
      </w:r>
    </w:p>
    <w:p>
      <w:pPr>
        <w:widowControl w:val="0"/>
        <w:ind w:firstLine="480"/>
        <w:rPr>
          <w:color w:val="auto"/>
          <w:highlight w:val="none"/>
        </w:rPr>
      </w:pPr>
      <w:r>
        <w:rPr>
          <w:rFonts w:hint="eastAsia"/>
          <w:color w:val="auto"/>
          <w:highlight w:val="none"/>
        </w:rPr>
        <w:t>本项目所在地属环境空气二类功能区，环境空气质量常规因子现状评价执行《环境空气质量标准》（</w:t>
      </w:r>
      <w:r>
        <w:rPr>
          <w:color w:val="auto"/>
          <w:highlight w:val="none"/>
        </w:rPr>
        <w:t>GB3095-2012</w:t>
      </w:r>
      <w:r>
        <w:rPr>
          <w:rFonts w:hint="eastAsia"/>
          <w:color w:val="auto"/>
          <w:highlight w:val="none"/>
        </w:rPr>
        <w:t>）二级标准要求，特征污染物</w:t>
      </w: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r>
        <w:rPr>
          <w:rFonts w:hint="eastAsia"/>
          <w:color w:val="auto"/>
          <w:highlight w:val="none"/>
        </w:rPr>
        <w:t>执行《环境影响评价技术导则 大气环境》（</w:t>
      </w:r>
      <w:r>
        <w:rPr>
          <w:color w:val="auto"/>
          <w:highlight w:val="none"/>
        </w:rPr>
        <w:t>HJ2.2-2018</w:t>
      </w:r>
      <w:r>
        <w:rPr>
          <w:rFonts w:hint="eastAsia"/>
          <w:color w:val="auto"/>
          <w:highlight w:val="none"/>
        </w:rPr>
        <w:t>）附录</w:t>
      </w:r>
      <w:r>
        <w:rPr>
          <w:color w:val="auto"/>
          <w:highlight w:val="none"/>
        </w:rPr>
        <w:t>D</w:t>
      </w:r>
      <w:r>
        <w:rPr>
          <w:rFonts w:hint="eastAsia"/>
          <w:color w:val="auto"/>
          <w:highlight w:val="none"/>
        </w:rPr>
        <w:t>中其他污染物空气质量浓度参考限值，其标准值见表</w:t>
      </w:r>
      <w:r>
        <w:rPr>
          <w:color w:val="auto"/>
          <w:highlight w:val="none"/>
        </w:rPr>
        <w:t>1.5-1</w:t>
      </w:r>
      <w:r>
        <w:rPr>
          <w:rFonts w:hint="eastAsia"/>
          <w:color w:val="auto"/>
          <w:highlight w:val="none"/>
        </w:rPr>
        <w:t>。</w:t>
      </w:r>
    </w:p>
    <w:p>
      <w:pPr>
        <w:pStyle w:val="27"/>
        <w:widowControl w:val="0"/>
        <w:rPr>
          <w:color w:val="auto"/>
          <w:highlight w:val="none"/>
        </w:rPr>
      </w:pPr>
      <w:r>
        <w:rPr>
          <w:rFonts w:hint="eastAsia"/>
          <w:color w:val="auto"/>
          <w:highlight w:val="none"/>
        </w:rPr>
        <w:t>环境空气质量标准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25"/>
        <w:gridCol w:w="1260"/>
        <w:gridCol w:w="1931"/>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tcBorders>
              <w:tl2br w:val="nil"/>
              <w:tr2bl w:val="nil"/>
            </w:tcBorders>
            <w:vAlign w:val="center"/>
          </w:tcPr>
          <w:p>
            <w:pPr>
              <w:pStyle w:val="28"/>
              <w:widowControl w:val="0"/>
              <w:rPr>
                <w:b/>
                <w:bCs/>
                <w:color w:val="auto"/>
                <w:highlight w:val="none"/>
              </w:rPr>
            </w:pPr>
            <w:r>
              <w:rPr>
                <w:rFonts w:hint="eastAsia"/>
                <w:b/>
                <w:bCs/>
                <w:color w:val="auto"/>
                <w:highlight w:val="none"/>
              </w:rPr>
              <w:t>标准</w:t>
            </w:r>
          </w:p>
        </w:tc>
        <w:tc>
          <w:tcPr>
            <w:tcW w:w="1260"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931" w:type="dxa"/>
            <w:tcBorders>
              <w:tl2br w:val="nil"/>
              <w:tr2bl w:val="nil"/>
            </w:tcBorders>
            <w:vAlign w:val="center"/>
          </w:tcPr>
          <w:p>
            <w:pPr>
              <w:pStyle w:val="28"/>
              <w:widowControl w:val="0"/>
              <w:rPr>
                <w:b/>
                <w:bCs/>
                <w:color w:val="auto"/>
                <w:highlight w:val="none"/>
              </w:rPr>
            </w:pPr>
            <w:r>
              <w:rPr>
                <w:rFonts w:hint="eastAsia"/>
                <w:b/>
                <w:bCs/>
                <w:color w:val="auto"/>
                <w:highlight w:val="none"/>
              </w:rPr>
              <w:t>平均时间</w:t>
            </w:r>
          </w:p>
        </w:tc>
        <w:tc>
          <w:tcPr>
            <w:tcW w:w="2406" w:type="dxa"/>
            <w:tcBorders>
              <w:tl2br w:val="nil"/>
              <w:tr2bl w:val="nil"/>
            </w:tcBorders>
            <w:vAlign w:val="center"/>
          </w:tcPr>
          <w:p>
            <w:pPr>
              <w:pStyle w:val="28"/>
              <w:widowControl w:val="0"/>
              <w:rPr>
                <w:b/>
                <w:bCs/>
                <w:color w:val="auto"/>
                <w:highlight w:val="none"/>
              </w:rPr>
            </w:pPr>
            <w:r>
              <w:rPr>
                <w:rFonts w:hint="eastAsia"/>
                <w:b/>
                <w:bCs/>
                <w:color w:val="auto"/>
                <w:highlight w:val="none"/>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restart"/>
            <w:tcBorders>
              <w:tl2br w:val="nil"/>
              <w:tr2bl w:val="nil"/>
            </w:tcBorders>
            <w:vAlign w:val="center"/>
          </w:tcPr>
          <w:p>
            <w:pPr>
              <w:pStyle w:val="28"/>
              <w:widowControl w:val="0"/>
              <w:rPr>
                <w:color w:val="auto"/>
                <w:highlight w:val="none"/>
              </w:rPr>
            </w:pPr>
            <w:r>
              <w:rPr>
                <w:rFonts w:hint="eastAsia"/>
                <w:color w:val="auto"/>
                <w:highlight w:val="none"/>
              </w:rPr>
              <w:t>《环境空气质量标准》（GB3095-2012）</w:t>
            </w:r>
          </w:p>
          <w:p>
            <w:pPr>
              <w:pStyle w:val="28"/>
              <w:widowControl w:val="0"/>
              <w:rPr>
                <w:color w:val="auto"/>
                <w:highlight w:val="none"/>
              </w:rPr>
            </w:pPr>
            <w:r>
              <w:rPr>
                <w:rFonts w:hint="eastAsia"/>
                <w:color w:val="auto"/>
                <w:highlight w:val="none"/>
              </w:rPr>
              <w:t>二级标准</w:t>
            </w:r>
          </w:p>
        </w:tc>
        <w:tc>
          <w:tcPr>
            <w:tcW w:w="1260" w:type="dxa"/>
            <w:vMerge w:val="restart"/>
            <w:tcBorders>
              <w:tl2br w:val="nil"/>
              <w:tr2bl w:val="nil"/>
            </w:tcBorders>
            <w:vAlign w:val="center"/>
          </w:tcPr>
          <w:p>
            <w:pPr>
              <w:pStyle w:val="28"/>
              <w:widowControl w:val="0"/>
              <w:rPr>
                <w:color w:val="auto"/>
                <w:highlight w:val="none"/>
                <w:vertAlign w:val="subscript"/>
              </w:rPr>
            </w:pPr>
            <w:r>
              <w:rPr>
                <w:rFonts w:hint="eastAsia"/>
                <w:color w:val="auto"/>
                <w:highlight w:val="none"/>
              </w:rPr>
              <w:t>SO</w:t>
            </w:r>
            <w:r>
              <w:rPr>
                <w:rFonts w:hint="eastAsia"/>
                <w:color w:val="auto"/>
                <w:highlight w:val="none"/>
                <w:vertAlign w:val="subscript"/>
              </w:rPr>
              <w:t>2</w:t>
            </w: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年平均</w:t>
            </w:r>
          </w:p>
        </w:tc>
        <w:tc>
          <w:tcPr>
            <w:tcW w:w="2406"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60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continue"/>
            <w:tcBorders>
              <w:tl2br w:val="nil"/>
              <w:tr2bl w:val="nil"/>
            </w:tcBorders>
            <w:vAlign w:val="center"/>
          </w:tcPr>
          <w:p>
            <w:pPr>
              <w:pStyle w:val="28"/>
              <w:widowControl w:val="0"/>
              <w:rPr>
                <w:color w:val="auto"/>
                <w:highlight w:val="none"/>
              </w:rPr>
            </w:pP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24小时平均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150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continue"/>
            <w:tcBorders>
              <w:tl2br w:val="nil"/>
              <w:tr2bl w:val="nil"/>
            </w:tcBorders>
            <w:vAlign w:val="center"/>
          </w:tcPr>
          <w:p>
            <w:pPr>
              <w:pStyle w:val="28"/>
              <w:widowControl w:val="0"/>
              <w:rPr>
                <w:color w:val="auto"/>
                <w:highlight w:val="none"/>
              </w:rPr>
            </w:pP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1小时平均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500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restart"/>
            <w:tcBorders>
              <w:tl2br w:val="nil"/>
              <w:tr2bl w:val="nil"/>
            </w:tcBorders>
            <w:vAlign w:val="center"/>
          </w:tcPr>
          <w:p>
            <w:pPr>
              <w:pStyle w:val="28"/>
              <w:widowControl w:val="0"/>
              <w:rPr>
                <w:color w:val="auto"/>
                <w:highlight w:val="none"/>
                <w:vertAlign w:val="subscript"/>
              </w:rPr>
            </w:pPr>
            <w:r>
              <w:rPr>
                <w:rFonts w:hint="eastAsia"/>
                <w:color w:val="auto"/>
                <w:highlight w:val="none"/>
              </w:rPr>
              <w:t>NO</w:t>
            </w:r>
            <w:r>
              <w:rPr>
                <w:rFonts w:hint="eastAsia"/>
                <w:color w:val="auto"/>
                <w:highlight w:val="none"/>
                <w:vertAlign w:val="subscript"/>
              </w:rPr>
              <w:t>2</w:t>
            </w: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年平均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40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continue"/>
            <w:tcBorders>
              <w:tl2br w:val="nil"/>
              <w:tr2bl w:val="nil"/>
            </w:tcBorders>
            <w:vAlign w:val="center"/>
          </w:tcPr>
          <w:p>
            <w:pPr>
              <w:pStyle w:val="28"/>
              <w:widowControl w:val="0"/>
              <w:rPr>
                <w:color w:val="auto"/>
                <w:highlight w:val="none"/>
              </w:rPr>
            </w:pP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24小时平均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80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continue"/>
            <w:tcBorders>
              <w:tl2br w:val="nil"/>
              <w:tr2bl w:val="nil"/>
            </w:tcBorders>
            <w:vAlign w:val="center"/>
          </w:tcPr>
          <w:p>
            <w:pPr>
              <w:pStyle w:val="28"/>
              <w:widowControl w:val="0"/>
              <w:rPr>
                <w:color w:val="auto"/>
                <w:highlight w:val="none"/>
              </w:rPr>
            </w:pP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1小时平均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200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28"/>
              <w:widowControl w:val="0"/>
              <w:rPr>
                <w:color w:val="auto"/>
                <w:highlight w:val="none"/>
              </w:rPr>
            </w:pPr>
          </w:p>
        </w:tc>
        <w:tc>
          <w:tcPr>
            <w:tcW w:w="1260" w:type="dxa"/>
            <w:vMerge w:val="restart"/>
            <w:tcBorders>
              <w:tl2br w:val="nil"/>
              <w:tr2bl w:val="nil"/>
            </w:tcBorders>
            <w:vAlign w:val="center"/>
          </w:tcPr>
          <w:p>
            <w:pPr>
              <w:pStyle w:val="28"/>
              <w:widowControl w:val="0"/>
              <w:rPr>
                <w:color w:val="auto"/>
                <w:highlight w:val="none"/>
                <w:vertAlign w:val="subscript"/>
              </w:rPr>
            </w:pPr>
            <w:r>
              <w:rPr>
                <w:rFonts w:hint="eastAsia"/>
                <w:color w:val="auto"/>
                <w:highlight w:val="none"/>
              </w:rPr>
              <w:t>PM</w:t>
            </w:r>
            <w:r>
              <w:rPr>
                <w:rFonts w:hint="eastAsia"/>
                <w:color w:val="auto"/>
                <w:highlight w:val="none"/>
                <w:vertAlign w:val="subscript"/>
              </w:rPr>
              <w:t>10</w:t>
            </w:r>
          </w:p>
        </w:tc>
        <w:tc>
          <w:tcPr>
            <w:tcW w:w="1931" w:type="dxa"/>
            <w:tcBorders>
              <w:tl2br w:val="nil"/>
              <w:tr2bl w:val="nil"/>
            </w:tcBorders>
            <w:vAlign w:val="center"/>
          </w:tcPr>
          <w:p>
            <w:pPr>
              <w:pStyle w:val="28"/>
              <w:widowControl w:val="0"/>
              <w:rPr>
                <w:color w:val="auto"/>
                <w:highlight w:val="none"/>
              </w:rPr>
            </w:pPr>
            <w:r>
              <w:rPr>
                <w:rFonts w:hint="eastAsia"/>
                <w:color w:val="auto"/>
                <w:highlight w:val="none"/>
              </w:rPr>
              <w:t>年平均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70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continue"/>
            <w:vAlign w:val="center"/>
          </w:tcPr>
          <w:p>
            <w:pPr>
              <w:pStyle w:val="28"/>
              <w:widowControl w:val="0"/>
              <w:rPr>
                <w:color w:val="auto"/>
                <w:highlight w:val="none"/>
              </w:rPr>
            </w:pPr>
          </w:p>
        </w:tc>
        <w:tc>
          <w:tcPr>
            <w:tcW w:w="1931" w:type="dxa"/>
            <w:vAlign w:val="center"/>
          </w:tcPr>
          <w:p>
            <w:pPr>
              <w:pStyle w:val="28"/>
              <w:widowControl w:val="0"/>
              <w:rPr>
                <w:color w:val="auto"/>
                <w:highlight w:val="none"/>
              </w:rPr>
            </w:pPr>
            <w:r>
              <w:rPr>
                <w:rFonts w:hint="eastAsia"/>
                <w:color w:val="auto"/>
                <w:highlight w:val="none"/>
              </w:rPr>
              <w:t>24小时平均</w:t>
            </w:r>
          </w:p>
        </w:tc>
        <w:tc>
          <w:tcPr>
            <w:tcW w:w="0" w:type="auto"/>
            <w:vAlign w:val="center"/>
          </w:tcPr>
          <w:p>
            <w:pPr>
              <w:pStyle w:val="28"/>
              <w:widowControl w:val="0"/>
              <w:rPr>
                <w:color w:val="auto"/>
                <w:highlight w:val="none"/>
              </w:rPr>
            </w:pPr>
            <w:r>
              <w:rPr>
                <w:rFonts w:hint="eastAsia"/>
                <w:color w:val="auto"/>
                <w:highlight w:val="none"/>
              </w:rPr>
              <w:t>150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restart"/>
            <w:vAlign w:val="center"/>
          </w:tcPr>
          <w:p>
            <w:pPr>
              <w:pStyle w:val="28"/>
              <w:widowControl w:val="0"/>
              <w:rPr>
                <w:color w:val="auto"/>
                <w:highlight w:val="none"/>
                <w:vertAlign w:val="subscript"/>
              </w:rPr>
            </w:pPr>
            <w:r>
              <w:rPr>
                <w:rFonts w:hint="eastAsia"/>
                <w:color w:val="auto"/>
                <w:highlight w:val="none"/>
              </w:rPr>
              <w:t>PM</w:t>
            </w:r>
            <w:r>
              <w:rPr>
                <w:rFonts w:hint="eastAsia"/>
                <w:color w:val="auto"/>
                <w:highlight w:val="none"/>
                <w:vertAlign w:val="subscript"/>
              </w:rPr>
              <w:t>2.5</w:t>
            </w:r>
          </w:p>
        </w:tc>
        <w:tc>
          <w:tcPr>
            <w:tcW w:w="1931" w:type="dxa"/>
            <w:vAlign w:val="center"/>
          </w:tcPr>
          <w:p>
            <w:pPr>
              <w:pStyle w:val="28"/>
              <w:widowControl w:val="0"/>
              <w:rPr>
                <w:color w:val="auto"/>
                <w:highlight w:val="none"/>
              </w:rPr>
            </w:pPr>
            <w:r>
              <w:rPr>
                <w:rFonts w:hint="eastAsia"/>
                <w:color w:val="auto"/>
                <w:highlight w:val="none"/>
              </w:rPr>
              <w:t>年平均</w:t>
            </w:r>
          </w:p>
        </w:tc>
        <w:tc>
          <w:tcPr>
            <w:tcW w:w="0" w:type="auto"/>
            <w:vAlign w:val="center"/>
          </w:tcPr>
          <w:p>
            <w:pPr>
              <w:pStyle w:val="28"/>
              <w:widowControl w:val="0"/>
              <w:rPr>
                <w:color w:val="auto"/>
                <w:highlight w:val="none"/>
              </w:rPr>
            </w:pPr>
            <w:r>
              <w:rPr>
                <w:rFonts w:hint="eastAsia"/>
                <w:color w:val="auto"/>
                <w:highlight w:val="none"/>
              </w:rPr>
              <w:t>35</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continue"/>
            <w:vAlign w:val="center"/>
          </w:tcPr>
          <w:p>
            <w:pPr>
              <w:pStyle w:val="28"/>
              <w:widowControl w:val="0"/>
              <w:rPr>
                <w:color w:val="auto"/>
                <w:highlight w:val="none"/>
              </w:rPr>
            </w:pPr>
          </w:p>
        </w:tc>
        <w:tc>
          <w:tcPr>
            <w:tcW w:w="1931" w:type="dxa"/>
            <w:vAlign w:val="center"/>
          </w:tcPr>
          <w:p>
            <w:pPr>
              <w:pStyle w:val="28"/>
              <w:widowControl w:val="0"/>
              <w:rPr>
                <w:color w:val="auto"/>
                <w:highlight w:val="none"/>
              </w:rPr>
            </w:pPr>
            <w:r>
              <w:rPr>
                <w:rFonts w:hint="eastAsia"/>
                <w:color w:val="auto"/>
                <w:highlight w:val="none"/>
              </w:rPr>
              <w:t>24小时平均</w:t>
            </w:r>
          </w:p>
        </w:tc>
        <w:tc>
          <w:tcPr>
            <w:tcW w:w="0" w:type="auto"/>
            <w:vAlign w:val="center"/>
          </w:tcPr>
          <w:p>
            <w:pPr>
              <w:pStyle w:val="28"/>
              <w:widowControl w:val="0"/>
              <w:rPr>
                <w:color w:val="auto"/>
                <w:highlight w:val="none"/>
              </w:rPr>
            </w:pPr>
            <w:r>
              <w:rPr>
                <w:rFonts w:hint="eastAsia"/>
                <w:color w:val="auto"/>
                <w:highlight w:val="none"/>
              </w:rPr>
              <w:t>75</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restart"/>
            <w:vAlign w:val="center"/>
          </w:tcPr>
          <w:p>
            <w:pPr>
              <w:pStyle w:val="28"/>
              <w:widowControl w:val="0"/>
              <w:rPr>
                <w:color w:val="auto"/>
                <w:highlight w:val="none"/>
              </w:rPr>
            </w:pPr>
            <w:r>
              <w:rPr>
                <w:rFonts w:hint="eastAsia"/>
                <w:color w:val="auto"/>
                <w:highlight w:val="none"/>
              </w:rPr>
              <w:t>CO</w:t>
            </w:r>
          </w:p>
        </w:tc>
        <w:tc>
          <w:tcPr>
            <w:tcW w:w="1931" w:type="dxa"/>
            <w:vAlign w:val="center"/>
          </w:tcPr>
          <w:p>
            <w:pPr>
              <w:pStyle w:val="28"/>
              <w:widowControl w:val="0"/>
              <w:rPr>
                <w:color w:val="auto"/>
                <w:highlight w:val="none"/>
              </w:rPr>
            </w:pPr>
            <w:r>
              <w:rPr>
                <w:rFonts w:hint="eastAsia"/>
                <w:color w:val="auto"/>
                <w:highlight w:val="none"/>
              </w:rPr>
              <w:t>24小时平均</w:t>
            </w:r>
          </w:p>
        </w:tc>
        <w:tc>
          <w:tcPr>
            <w:tcW w:w="0" w:type="auto"/>
            <w:vAlign w:val="center"/>
          </w:tcPr>
          <w:p>
            <w:pPr>
              <w:pStyle w:val="28"/>
              <w:widowControl w:val="0"/>
              <w:rPr>
                <w:color w:val="auto"/>
                <w:highlight w:val="none"/>
              </w:rPr>
            </w:pPr>
            <w:r>
              <w:rPr>
                <w:rFonts w:hint="eastAsia"/>
                <w:color w:val="auto"/>
                <w:highlight w:val="none"/>
              </w:rPr>
              <w:t>4m</w:t>
            </w:r>
            <w:r>
              <w:rPr>
                <w:color w:val="auto"/>
                <w:highlight w:val="none"/>
              </w:rPr>
              <w:t>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continue"/>
            <w:vAlign w:val="center"/>
          </w:tcPr>
          <w:p>
            <w:pPr>
              <w:pStyle w:val="28"/>
              <w:widowControl w:val="0"/>
              <w:rPr>
                <w:color w:val="auto"/>
                <w:highlight w:val="none"/>
              </w:rPr>
            </w:pPr>
          </w:p>
        </w:tc>
        <w:tc>
          <w:tcPr>
            <w:tcW w:w="1931" w:type="dxa"/>
            <w:vAlign w:val="center"/>
          </w:tcPr>
          <w:p>
            <w:pPr>
              <w:pStyle w:val="28"/>
              <w:widowControl w:val="0"/>
              <w:rPr>
                <w:color w:val="auto"/>
                <w:highlight w:val="none"/>
              </w:rPr>
            </w:pPr>
            <w:r>
              <w:rPr>
                <w:rFonts w:hint="eastAsia"/>
                <w:color w:val="auto"/>
                <w:highlight w:val="none"/>
              </w:rPr>
              <w:t>1小时平均</w:t>
            </w:r>
          </w:p>
        </w:tc>
        <w:tc>
          <w:tcPr>
            <w:tcW w:w="0" w:type="auto"/>
            <w:vAlign w:val="center"/>
          </w:tcPr>
          <w:p>
            <w:pPr>
              <w:pStyle w:val="28"/>
              <w:widowControl w:val="0"/>
              <w:rPr>
                <w:color w:val="auto"/>
                <w:highlight w:val="none"/>
              </w:rPr>
            </w:pPr>
            <w:r>
              <w:rPr>
                <w:rFonts w:hint="eastAsia"/>
                <w:color w:val="auto"/>
                <w:highlight w:val="none"/>
              </w:rPr>
              <w:t>10m</w:t>
            </w:r>
            <w:r>
              <w:rPr>
                <w:color w:val="auto"/>
                <w:highlight w:val="none"/>
              </w:rPr>
              <w:t>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restart"/>
            <w:vAlign w:val="center"/>
          </w:tcPr>
          <w:p>
            <w:pPr>
              <w:pStyle w:val="28"/>
              <w:widowControl w:val="0"/>
              <w:rPr>
                <w:color w:val="auto"/>
                <w:highlight w:val="none"/>
                <w:vertAlign w:val="subscript"/>
              </w:rPr>
            </w:pPr>
            <w:r>
              <w:rPr>
                <w:rFonts w:hint="eastAsia"/>
                <w:color w:val="auto"/>
                <w:highlight w:val="none"/>
              </w:rPr>
              <w:t>O</w:t>
            </w:r>
            <w:r>
              <w:rPr>
                <w:rFonts w:hint="eastAsia"/>
                <w:color w:val="auto"/>
                <w:highlight w:val="none"/>
                <w:vertAlign w:val="subscript"/>
              </w:rPr>
              <w:t>3</w:t>
            </w:r>
          </w:p>
        </w:tc>
        <w:tc>
          <w:tcPr>
            <w:tcW w:w="1931" w:type="dxa"/>
            <w:vAlign w:val="center"/>
          </w:tcPr>
          <w:p>
            <w:pPr>
              <w:pStyle w:val="28"/>
              <w:widowControl w:val="0"/>
              <w:rPr>
                <w:color w:val="auto"/>
                <w:highlight w:val="none"/>
              </w:rPr>
            </w:pPr>
            <w:r>
              <w:rPr>
                <w:rFonts w:hint="eastAsia"/>
                <w:color w:val="auto"/>
                <w:highlight w:val="none"/>
              </w:rPr>
              <w:t>日最大8小时平均</w:t>
            </w:r>
          </w:p>
        </w:tc>
        <w:tc>
          <w:tcPr>
            <w:tcW w:w="0" w:type="auto"/>
            <w:vAlign w:val="center"/>
          </w:tcPr>
          <w:p>
            <w:pPr>
              <w:pStyle w:val="28"/>
              <w:widowControl w:val="0"/>
              <w:rPr>
                <w:color w:val="auto"/>
                <w:highlight w:val="none"/>
              </w:rPr>
            </w:pPr>
            <w:r>
              <w:rPr>
                <w:rFonts w:hint="eastAsia"/>
                <w:color w:val="auto"/>
                <w:highlight w:val="none"/>
              </w:rPr>
              <w:t>160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Merge w:val="continue"/>
            <w:vAlign w:val="center"/>
          </w:tcPr>
          <w:p>
            <w:pPr>
              <w:pStyle w:val="28"/>
              <w:widowControl w:val="0"/>
              <w:rPr>
                <w:color w:val="auto"/>
                <w:highlight w:val="none"/>
              </w:rPr>
            </w:pPr>
          </w:p>
        </w:tc>
        <w:tc>
          <w:tcPr>
            <w:tcW w:w="1931" w:type="dxa"/>
            <w:vAlign w:val="center"/>
          </w:tcPr>
          <w:p>
            <w:pPr>
              <w:pStyle w:val="28"/>
              <w:widowControl w:val="0"/>
              <w:rPr>
                <w:color w:val="auto"/>
                <w:highlight w:val="none"/>
              </w:rPr>
            </w:pPr>
            <w:r>
              <w:rPr>
                <w:rFonts w:hint="eastAsia"/>
                <w:color w:val="auto"/>
                <w:highlight w:val="none"/>
              </w:rPr>
              <w:t>1小时平均</w:t>
            </w:r>
          </w:p>
        </w:tc>
        <w:tc>
          <w:tcPr>
            <w:tcW w:w="0" w:type="auto"/>
            <w:vAlign w:val="center"/>
          </w:tcPr>
          <w:p>
            <w:pPr>
              <w:pStyle w:val="28"/>
              <w:widowControl w:val="0"/>
              <w:rPr>
                <w:color w:val="auto"/>
                <w:highlight w:val="none"/>
              </w:rPr>
            </w:pPr>
            <w:r>
              <w:rPr>
                <w:rFonts w:hint="eastAsia"/>
                <w:color w:val="auto"/>
                <w:highlight w:val="none"/>
              </w:rPr>
              <w:t>200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restart"/>
            <w:vAlign w:val="center"/>
          </w:tcPr>
          <w:p>
            <w:pPr>
              <w:pStyle w:val="28"/>
              <w:widowControl w:val="0"/>
              <w:rPr>
                <w:color w:val="auto"/>
                <w:highlight w:val="none"/>
              </w:rPr>
            </w:pPr>
            <w:r>
              <w:rPr>
                <w:rFonts w:hint="eastAsia"/>
                <w:color w:val="auto"/>
                <w:highlight w:val="none"/>
              </w:rPr>
              <w:t>《环境影响评价技术导则 大气环境》（</w:t>
            </w:r>
            <w:r>
              <w:rPr>
                <w:color w:val="auto"/>
                <w:highlight w:val="none"/>
              </w:rPr>
              <w:t>HJ2.2-2018</w:t>
            </w:r>
            <w:r>
              <w:rPr>
                <w:rFonts w:hint="eastAsia"/>
                <w:color w:val="auto"/>
                <w:highlight w:val="none"/>
              </w:rPr>
              <w:t>）附录</w:t>
            </w:r>
            <w:r>
              <w:rPr>
                <w:color w:val="auto"/>
                <w:highlight w:val="none"/>
              </w:rPr>
              <w:t>D</w:t>
            </w:r>
          </w:p>
        </w:tc>
        <w:tc>
          <w:tcPr>
            <w:tcW w:w="1260" w:type="dxa"/>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931" w:type="dxa"/>
            <w:vAlign w:val="center"/>
          </w:tcPr>
          <w:p>
            <w:pPr>
              <w:pStyle w:val="28"/>
              <w:widowControl w:val="0"/>
              <w:rPr>
                <w:color w:val="auto"/>
                <w:highlight w:val="none"/>
              </w:rPr>
            </w:pPr>
            <w:r>
              <w:rPr>
                <w:rFonts w:hint="eastAsia"/>
                <w:color w:val="auto"/>
                <w:highlight w:val="none"/>
              </w:rPr>
              <w:t>1小时平均</w:t>
            </w:r>
          </w:p>
        </w:tc>
        <w:tc>
          <w:tcPr>
            <w:tcW w:w="0" w:type="auto"/>
            <w:vAlign w:val="center"/>
          </w:tcPr>
          <w:p>
            <w:pPr>
              <w:pStyle w:val="28"/>
              <w:widowControl w:val="0"/>
              <w:rPr>
                <w:color w:val="auto"/>
                <w:highlight w:val="none"/>
              </w:rPr>
            </w:pPr>
            <w:r>
              <w:rPr>
                <w:rFonts w:hint="eastAsia"/>
                <w:color w:val="auto"/>
                <w:highlight w:val="none"/>
              </w:rPr>
              <w:t>10</w:t>
            </w:r>
            <w:r>
              <w:rPr>
                <w:color w:val="auto"/>
                <w:highlight w:val="none"/>
              </w:rPr>
              <w:t>μg/m</w:t>
            </w:r>
            <w:r>
              <w:rPr>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28"/>
              <w:widowControl w:val="0"/>
              <w:rPr>
                <w:color w:val="auto"/>
                <w:highlight w:val="none"/>
              </w:rPr>
            </w:pPr>
          </w:p>
        </w:tc>
        <w:tc>
          <w:tcPr>
            <w:tcW w:w="1260" w:type="dxa"/>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1931" w:type="dxa"/>
            <w:vAlign w:val="center"/>
          </w:tcPr>
          <w:p>
            <w:pPr>
              <w:pStyle w:val="28"/>
              <w:widowControl w:val="0"/>
              <w:rPr>
                <w:color w:val="auto"/>
                <w:highlight w:val="none"/>
              </w:rPr>
            </w:pPr>
            <w:r>
              <w:rPr>
                <w:rFonts w:hint="eastAsia"/>
                <w:color w:val="auto"/>
                <w:highlight w:val="none"/>
              </w:rPr>
              <w:t>1小时平均</w:t>
            </w:r>
          </w:p>
        </w:tc>
        <w:tc>
          <w:tcPr>
            <w:tcW w:w="0" w:type="auto"/>
            <w:vAlign w:val="center"/>
          </w:tcPr>
          <w:p>
            <w:pPr>
              <w:pStyle w:val="28"/>
              <w:widowControl w:val="0"/>
              <w:rPr>
                <w:color w:val="auto"/>
                <w:highlight w:val="none"/>
              </w:rPr>
            </w:pPr>
            <w:r>
              <w:rPr>
                <w:rFonts w:hint="eastAsia"/>
                <w:color w:val="auto"/>
                <w:highlight w:val="none"/>
              </w:rPr>
              <w:t>200</w:t>
            </w:r>
            <w:r>
              <w:rPr>
                <w:color w:val="auto"/>
                <w:highlight w:val="none"/>
              </w:rPr>
              <w:t>μg/m</w:t>
            </w:r>
            <w:r>
              <w:rPr>
                <w:color w:val="auto"/>
                <w:highlight w:val="none"/>
                <w:vertAlign w:val="superscript"/>
              </w:rPr>
              <w:t>3</w:t>
            </w:r>
          </w:p>
        </w:tc>
      </w:tr>
    </w:tbl>
    <w:p>
      <w:pPr>
        <w:widowControl w:val="0"/>
        <w:ind w:firstLine="482"/>
        <w:rPr>
          <w:b/>
          <w:bCs/>
          <w:color w:val="auto"/>
          <w:highlight w:val="none"/>
        </w:rPr>
      </w:pPr>
      <w:r>
        <w:rPr>
          <w:rFonts w:hint="eastAsia"/>
          <w:b/>
          <w:bCs/>
          <w:color w:val="auto"/>
          <w:highlight w:val="none"/>
        </w:rPr>
        <w:t>（2）地表水环境质量标准</w:t>
      </w:r>
    </w:p>
    <w:p>
      <w:pPr>
        <w:widowControl w:val="0"/>
        <w:ind w:firstLine="480"/>
        <w:rPr>
          <w:color w:val="auto"/>
          <w:highlight w:val="none"/>
        </w:rPr>
      </w:pPr>
      <w:r>
        <w:rPr>
          <w:rFonts w:hint="eastAsia"/>
          <w:color w:val="auto"/>
          <w:highlight w:val="none"/>
        </w:rPr>
        <w:t>地表水环境质量执行《地表水环境质量标准》（</w:t>
      </w:r>
      <w:r>
        <w:rPr>
          <w:color w:val="auto"/>
          <w:highlight w:val="none"/>
        </w:rPr>
        <w:t>GB3838-2002</w:t>
      </w:r>
      <w:r>
        <w:rPr>
          <w:rFonts w:hint="eastAsia"/>
          <w:color w:val="auto"/>
          <w:highlight w:val="none"/>
        </w:rPr>
        <w:t>）</w:t>
      </w:r>
      <w:r>
        <w:rPr>
          <w:color w:val="auto"/>
          <w:highlight w:val="none"/>
        </w:rPr>
        <w:t>Ⅲ</w:t>
      </w:r>
      <w:r>
        <w:rPr>
          <w:rFonts w:hint="eastAsia"/>
          <w:color w:val="auto"/>
          <w:highlight w:val="none"/>
        </w:rPr>
        <w:t>类水质标准，标准值见表</w:t>
      </w:r>
      <w:r>
        <w:rPr>
          <w:color w:val="auto"/>
          <w:highlight w:val="none"/>
        </w:rPr>
        <w:t>1.5-2</w:t>
      </w:r>
      <w:r>
        <w:rPr>
          <w:rFonts w:hint="eastAsia"/>
          <w:color w:val="auto"/>
          <w:highlight w:val="none"/>
        </w:rPr>
        <w:t>。</w:t>
      </w:r>
    </w:p>
    <w:p>
      <w:pPr>
        <w:pStyle w:val="27"/>
        <w:widowControl w:val="0"/>
        <w:rPr>
          <w:color w:val="auto"/>
          <w:highlight w:val="none"/>
        </w:rPr>
      </w:pPr>
      <w:r>
        <w:rPr>
          <w:rFonts w:hint="eastAsia"/>
          <w:color w:val="auto"/>
          <w:highlight w:val="none"/>
        </w:rPr>
        <w:t>地表水环境质量标准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标准</w:t>
            </w:r>
          </w:p>
        </w:tc>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3208" w:type="dxa"/>
            <w:tcBorders>
              <w:tl2br w:val="nil"/>
              <w:tr2bl w:val="nil"/>
            </w:tcBorders>
            <w:vAlign w:val="center"/>
          </w:tcPr>
          <w:p>
            <w:pPr>
              <w:pStyle w:val="28"/>
              <w:widowControl w:val="0"/>
              <w:rPr>
                <w:b/>
                <w:bCs/>
                <w:color w:val="auto"/>
                <w:highlight w:val="none"/>
              </w:rPr>
            </w:pPr>
            <w:r>
              <w:rPr>
                <w:rFonts w:hint="eastAsia"/>
                <w:b/>
                <w:bCs/>
                <w:color w:val="auto"/>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《地表水环境质量标准》（</w:t>
            </w:r>
            <w:r>
              <w:rPr>
                <w:color w:val="auto"/>
                <w:highlight w:val="none"/>
              </w:rPr>
              <w:t>GB3838-2002</w:t>
            </w:r>
            <w:r>
              <w:rPr>
                <w:rFonts w:hint="eastAsia"/>
                <w:color w:val="auto"/>
                <w:highlight w:val="none"/>
              </w:rPr>
              <w:t>）</w:t>
            </w:r>
            <w:r>
              <w:rPr>
                <w:color w:val="auto"/>
                <w:highlight w:val="none"/>
              </w:rPr>
              <w:t>Ⅲ</w:t>
            </w:r>
            <w:r>
              <w:rPr>
                <w:rFonts w:hint="eastAsia"/>
                <w:color w:val="auto"/>
                <w:highlight w:val="none"/>
              </w:rPr>
              <w:t>类</w:t>
            </w:r>
          </w:p>
        </w:tc>
        <w:tc>
          <w:tcPr>
            <w:tcW w:w="3207" w:type="dxa"/>
            <w:tcBorders>
              <w:tl2br w:val="nil"/>
              <w:tr2bl w:val="nil"/>
            </w:tcBorders>
            <w:vAlign w:val="center"/>
          </w:tcPr>
          <w:p>
            <w:pPr>
              <w:pStyle w:val="28"/>
              <w:widowControl w:val="0"/>
              <w:rPr>
                <w:color w:val="auto"/>
                <w:highlight w:val="none"/>
              </w:rPr>
            </w:pPr>
            <w:r>
              <w:rPr>
                <w:color w:val="auto"/>
                <w:highlight w:val="none"/>
              </w:rPr>
              <w:t>pH</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color w:val="auto"/>
                <w:highlight w:val="none"/>
              </w:rPr>
              <w:t>水温</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color w:val="auto"/>
                <w:highlight w:val="none"/>
              </w:rPr>
              <w:t>溶解氧</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≥5</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color w:val="auto"/>
                <w:highlight w:val="none"/>
              </w:rPr>
              <w:t>悬浮物</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color w:val="auto"/>
                <w:highlight w:val="none"/>
              </w:rPr>
              <w:t>化学需氧量</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20</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color w:val="auto"/>
                <w:highlight w:val="none"/>
              </w:rPr>
              <w:t>五日生化需氧量</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4</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石油类</w:t>
            </w:r>
          </w:p>
        </w:tc>
        <w:tc>
          <w:tcPr>
            <w:tcW w:w="0" w:type="auto"/>
            <w:vAlign w:val="center"/>
          </w:tcPr>
          <w:p>
            <w:pPr>
              <w:pStyle w:val="28"/>
              <w:widowControl w:val="0"/>
              <w:rPr>
                <w:color w:val="auto"/>
                <w:highlight w:val="none"/>
              </w:rPr>
            </w:pPr>
            <w:r>
              <w:rPr>
                <w:rFonts w:hint="eastAsia"/>
                <w:color w:val="auto"/>
                <w:highlight w:val="none"/>
              </w:rPr>
              <w:t>0.05</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氨氮</w:t>
            </w:r>
          </w:p>
        </w:tc>
        <w:tc>
          <w:tcPr>
            <w:tcW w:w="0" w:type="auto"/>
            <w:vAlign w:val="center"/>
          </w:tcPr>
          <w:p>
            <w:pPr>
              <w:pStyle w:val="28"/>
              <w:widowControl w:val="0"/>
              <w:rPr>
                <w:color w:val="auto"/>
                <w:highlight w:val="none"/>
              </w:rPr>
            </w:pPr>
            <w:r>
              <w:rPr>
                <w:rFonts w:hint="eastAsia"/>
                <w:color w:val="auto"/>
                <w:highlight w:val="none"/>
              </w:rPr>
              <w:t>1.0</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总氮</w:t>
            </w:r>
          </w:p>
        </w:tc>
        <w:tc>
          <w:tcPr>
            <w:tcW w:w="0" w:type="auto"/>
            <w:vAlign w:val="center"/>
          </w:tcPr>
          <w:p>
            <w:pPr>
              <w:pStyle w:val="28"/>
              <w:widowControl w:val="0"/>
              <w:rPr>
                <w:color w:val="auto"/>
                <w:highlight w:val="none"/>
              </w:rPr>
            </w:pPr>
            <w:r>
              <w:rPr>
                <w:rFonts w:hint="eastAsia"/>
                <w:color w:val="auto"/>
                <w:highlight w:val="none"/>
              </w:rPr>
              <w:t>1.0</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总磷</w:t>
            </w:r>
          </w:p>
        </w:tc>
        <w:tc>
          <w:tcPr>
            <w:tcW w:w="0" w:type="auto"/>
            <w:vAlign w:val="center"/>
          </w:tcPr>
          <w:p>
            <w:pPr>
              <w:pStyle w:val="28"/>
              <w:widowControl w:val="0"/>
              <w:rPr>
                <w:color w:val="auto"/>
                <w:highlight w:val="none"/>
              </w:rPr>
            </w:pPr>
            <w:r>
              <w:rPr>
                <w:rFonts w:hint="eastAsia"/>
                <w:color w:val="auto"/>
                <w:highlight w:val="none"/>
              </w:rPr>
              <w:t>0.2</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挥发酚</w:t>
            </w:r>
          </w:p>
        </w:tc>
        <w:tc>
          <w:tcPr>
            <w:tcW w:w="0" w:type="auto"/>
            <w:vAlign w:val="center"/>
          </w:tcPr>
          <w:p>
            <w:pPr>
              <w:pStyle w:val="28"/>
              <w:widowControl w:val="0"/>
              <w:rPr>
                <w:color w:val="auto"/>
                <w:highlight w:val="none"/>
              </w:rPr>
            </w:pPr>
            <w:r>
              <w:rPr>
                <w:rFonts w:hint="eastAsia"/>
                <w:color w:val="auto"/>
                <w:highlight w:val="none"/>
              </w:rPr>
              <w:t>0.005</w:t>
            </w:r>
            <w:r>
              <w:rPr>
                <w:color w:val="auto"/>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color w:val="auto"/>
                <w:highlight w:val="none"/>
              </w:rPr>
            </w:pPr>
            <w:r>
              <w:rPr>
                <w:color w:val="auto"/>
                <w:highlight w:val="none"/>
              </w:rPr>
              <w:t>粪大肠菌群</w:t>
            </w:r>
          </w:p>
        </w:tc>
        <w:tc>
          <w:tcPr>
            <w:tcW w:w="0" w:type="auto"/>
            <w:vAlign w:val="center"/>
          </w:tcPr>
          <w:p>
            <w:pPr>
              <w:pStyle w:val="28"/>
              <w:widowControl w:val="0"/>
              <w:rPr>
                <w:color w:val="auto"/>
                <w:highlight w:val="none"/>
                <w:vertAlign w:val="superscript"/>
              </w:rPr>
            </w:pPr>
            <w:r>
              <w:rPr>
                <w:rFonts w:hint="eastAsia"/>
                <w:color w:val="auto"/>
                <w:highlight w:val="none"/>
              </w:rPr>
              <w:t>1</w:t>
            </w:r>
            <w:r>
              <w:rPr>
                <w:color w:val="auto"/>
                <w:highlight w:val="none"/>
              </w:rPr>
              <w:t>×10</w:t>
            </w:r>
            <w:r>
              <w:rPr>
                <w:rFonts w:hint="eastAsia"/>
                <w:color w:val="auto"/>
                <w:highlight w:val="none"/>
                <w:vertAlign w:val="superscript"/>
              </w:rPr>
              <w:t>4</w:t>
            </w:r>
            <w:r>
              <w:rPr>
                <w:color w:val="auto"/>
                <w:highlight w:val="none"/>
              </w:rPr>
              <w:t>MPN/L</w:t>
            </w:r>
          </w:p>
        </w:tc>
      </w:tr>
    </w:tbl>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）地下水质量标准</w:t>
      </w:r>
    </w:p>
    <w:p>
      <w:pPr>
        <w:widowControl w:val="0"/>
        <w:ind w:firstLine="480"/>
        <w:rPr>
          <w:color w:val="auto"/>
          <w:highlight w:val="none"/>
        </w:rPr>
      </w:pPr>
      <w:r>
        <w:rPr>
          <w:rFonts w:hint="eastAsia"/>
          <w:color w:val="auto"/>
          <w:highlight w:val="none"/>
        </w:rPr>
        <w:t>区域地下水质量标准执行《地下水质量标准》（</w:t>
      </w:r>
      <w:r>
        <w:rPr>
          <w:color w:val="auto"/>
          <w:highlight w:val="none"/>
        </w:rPr>
        <w:t>GB/T14848-2017</w:t>
      </w:r>
      <w:r>
        <w:rPr>
          <w:rFonts w:hint="eastAsia"/>
          <w:color w:val="auto"/>
          <w:highlight w:val="none"/>
        </w:rPr>
        <w:t>）</w:t>
      </w:r>
      <w:r>
        <w:rPr>
          <w:color w:val="auto"/>
          <w:highlight w:val="none"/>
        </w:rPr>
        <w:t>Ⅲ</w:t>
      </w:r>
      <w:r>
        <w:rPr>
          <w:rFonts w:hint="eastAsia"/>
          <w:color w:val="auto"/>
          <w:highlight w:val="none"/>
        </w:rPr>
        <w:t>类标准。具体标准值见表</w:t>
      </w:r>
      <w:r>
        <w:rPr>
          <w:color w:val="auto"/>
          <w:highlight w:val="none"/>
        </w:rPr>
        <w:t>1.5-3</w:t>
      </w:r>
      <w:r>
        <w:rPr>
          <w:rFonts w:hint="eastAsia"/>
          <w:color w:val="auto"/>
          <w:highlight w:val="none"/>
        </w:rPr>
        <w:t>。</w:t>
      </w:r>
    </w:p>
    <w:p>
      <w:pPr>
        <w:pStyle w:val="27"/>
        <w:widowControl w:val="0"/>
        <w:rPr>
          <w:color w:val="auto"/>
          <w:highlight w:val="none"/>
        </w:rPr>
      </w:pPr>
      <w:r>
        <w:rPr>
          <w:rFonts w:hint="eastAsia"/>
          <w:color w:val="auto"/>
          <w:highlight w:val="none"/>
        </w:rPr>
        <w:t>地下水质量标准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标准</w:t>
            </w:r>
          </w:p>
        </w:tc>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3208" w:type="dxa"/>
            <w:tcBorders>
              <w:tl2br w:val="nil"/>
              <w:tr2bl w:val="nil"/>
            </w:tcBorders>
            <w:vAlign w:val="center"/>
          </w:tcPr>
          <w:p>
            <w:pPr>
              <w:pStyle w:val="28"/>
              <w:widowControl w:val="0"/>
              <w:rPr>
                <w:b/>
                <w:bCs/>
                <w:color w:val="auto"/>
                <w:highlight w:val="none"/>
              </w:rPr>
            </w:pPr>
            <w:r>
              <w:rPr>
                <w:rFonts w:hint="eastAsia"/>
                <w:b/>
                <w:bCs/>
                <w:color w:val="auto"/>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《地下水质量标准》（</w:t>
            </w:r>
            <w:r>
              <w:rPr>
                <w:color w:val="auto"/>
                <w:highlight w:val="none"/>
              </w:rPr>
              <w:t>GB/T14848-2017</w:t>
            </w:r>
            <w:r>
              <w:rPr>
                <w:rFonts w:hint="eastAsia"/>
                <w:color w:val="auto"/>
                <w:highlight w:val="none"/>
              </w:rPr>
              <w:t>）</w:t>
            </w:r>
          </w:p>
        </w:tc>
        <w:tc>
          <w:tcPr>
            <w:tcW w:w="3207" w:type="dxa"/>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pH</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6.5~8.5（无量纲）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耗氧量</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溶解性总固体</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≤1000mg/L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总硬度</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≤450mg/L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碳酸根</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重碳酸根</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氨氮</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铬（六价）</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挥发酚</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氰化物</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氟化物（氟离子）</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亚硝酸盐氮</w:t>
            </w:r>
          </w:p>
          <w:p>
            <w:pPr>
              <w:pStyle w:val="28"/>
              <w:widowControl w:val="0"/>
              <w:rPr>
                <w:color w:val="auto"/>
                <w:highlight w:val="none"/>
              </w:rPr>
            </w:pPr>
            <w:r>
              <w:rPr>
                <w:rFonts w:hint="eastAsia"/>
                <w:color w:val="auto"/>
                <w:highlight w:val="none"/>
              </w:rPr>
              <w:t>（亚硝酸根）</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硝酸根</w:t>
            </w:r>
          </w:p>
          <w:p>
            <w:pPr>
              <w:pStyle w:val="28"/>
              <w:widowControl w:val="0"/>
              <w:rPr>
                <w:color w:val="auto"/>
                <w:highlight w:val="none"/>
              </w:rPr>
            </w:pPr>
            <w:r>
              <w:rPr>
                <w:rFonts w:hint="eastAsia"/>
                <w:color w:val="auto"/>
                <w:highlight w:val="none"/>
              </w:rPr>
              <w:t>（硝酸盐氮）</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≤20.0mg/L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氯化物（氯离子）</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硫酸盐（硫酸根）</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钾</w:t>
            </w:r>
          </w:p>
        </w:tc>
        <w:tc>
          <w:tcPr>
            <w:tcW w:w="0" w:type="auto"/>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钠</w:t>
            </w:r>
          </w:p>
        </w:tc>
        <w:tc>
          <w:tcPr>
            <w:tcW w:w="0" w:type="auto"/>
            <w:vAlign w:val="center"/>
          </w:tcPr>
          <w:p>
            <w:pPr>
              <w:pStyle w:val="28"/>
              <w:widowControl w:val="0"/>
              <w:rPr>
                <w:color w:val="auto"/>
                <w:highlight w:val="none"/>
              </w:rPr>
            </w:pPr>
            <w:r>
              <w:rPr>
                <w:rFonts w:hint="eastAsia"/>
                <w:color w:val="auto"/>
                <w:highlight w:val="none"/>
              </w:rPr>
              <w:t>≤200mg/L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钙</w:t>
            </w:r>
          </w:p>
        </w:tc>
        <w:tc>
          <w:tcPr>
            <w:tcW w:w="0" w:type="auto"/>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镁</w:t>
            </w:r>
          </w:p>
        </w:tc>
        <w:tc>
          <w:tcPr>
            <w:tcW w:w="0" w:type="auto"/>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铁</w:t>
            </w:r>
          </w:p>
        </w:tc>
        <w:tc>
          <w:tcPr>
            <w:tcW w:w="0" w:type="auto"/>
            <w:vAlign w:val="center"/>
          </w:tcPr>
          <w:p>
            <w:pPr>
              <w:pStyle w:val="28"/>
              <w:widowControl w:val="0"/>
              <w:rPr>
                <w:color w:val="auto"/>
                <w:highlight w:val="none"/>
              </w:rPr>
            </w:pPr>
            <w:r>
              <w:rPr>
                <w:rFonts w:hint="eastAsia"/>
                <w:color w:val="auto"/>
                <w:highlight w:val="none"/>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锰</w:t>
            </w:r>
          </w:p>
        </w:tc>
        <w:tc>
          <w:tcPr>
            <w:tcW w:w="0" w:type="auto"/>
            <w:vAlign w:val="center"/>
          </w:tcPr>
          <w:p>
            <w:pPr>
              <w:pStyle w:val="28"/>
              <w:widowControl w:val="0"/>
              <w:rPr>
                <w:color w:val="auto"/>
                <w:highlight w:val="none"/>
              </w:rPr>
            </w:pPr>
            <w:r>
              <w:rPr>
                <w:rFonts w:hint="eastAsia"/>
                <w:color w:val="auto"/>
                <w:highlight w:val="none"/>
              </w:rPr>
              <w:t>≤0.10mg/L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铅</w:t>
            </w:r>
          </w:p>
        </w:tc>
        <w:tc>
          <w:tcPr>
            <w:tcW w:w="0" w:type="auto"/>
            <w:vAlign w:val="center"/>
          </w:tcPr>
          <w:p>
            <w:pPr>
              <w:pStyle w:val="28"/>
              <w:widowControl w:val="0"/>
              <w:rPr>
                <w:color w:val="auto"/>
                <w:highlight w:val="none"/>
              </w:rPr>
            </w:pPr>
            <w:r>
              <w:rPr>
                <w:rFonts w:hint="eastAsia"/>
                <w:color w:val="auto"/>
                <w:highlight w:val="none"/>
              </w:rPr>
              <w:t>≤0.01</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镉</w:t>
            </w:r>
          </w:p>
        </w:tc>
        <w:tc>
          <w:tcPr>
            <w:tcW w:w="0" w:type="auto"/>
            <w:vAlign w:val="center"/>
          </w:tcPr>
          <w:p>
            <w:pPr>
              <w:pStyle w:val="28"/>
              <w:widowControl w:val="0"/>
              <w:rPr>
                <w:color w:val="auto"/>
                <w:highlight w:val="none"/>
              </w:rPr>
            </w:pPr>
            <w:r>
              <w:rPr>
                <w:rFonts w:hint="eastAsia"/>
                <w:color w:val="auto"/>
                <w:highlight w:val="none"/>
              </w:rPr>
              <w:t>≤0.005</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汞</w:t>
            </w:r>
          </w:p>
        </w:tc>
        <w:tc>
          <w:tcPr>
            <w:tcW w:w="0" w:type="auto"/>
            <w:vAlign w:val="center"/>
          </w:tcPr>
          <w:p>
            <w:pPr>
              <w:pStyle w:val="28"/>
              <w:widowControl w:val="0"/>
              <w:rPr>
                <w:color w:val="auto"/>
                <w:highlight w:val="none"/>
              </w:rPr>
            </w:pPr>
            <w:r>
              <w:rPr>
                <w:rFonts w:hint="eastAsia"/>
                <w:color w:val="auto"/>
                <w:highlight w:val="none"/>
              </w:rPr>
              <w:t>≤0.001</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砷</w:t>
            </w:r>
          </w:p>
        </w:tc>
        <w:tc>
          <w:tcPr>
            <w:tcW w:w="0" w:type="auto"/>
            <w:vAlign w:val="center"/>
          </w:tcPr>
          <w:p>
            <w:pPr>
              <w:pStyle w:val="28"/>
              <w:widowControl w:val="0"/>
              <w:rPr>
                <w:color w:val="auto"/>
                <w:highlight w:val="none"/>
              </w:rPr>
            </w:pPr>
            <w:r>
              <w:rPr>
                <w:rFonts w:hint="eastAsia"/>
                <w:color w:val="auto"/>
                <w:highlight w:val="none"/>
              </w:rPr>
              <w:t>≤0.01</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总大肠菌群</w:t>
            </w:r>
          </w:p>
        </w:tc>
        <w:tc>
          <w:tcPr>
            <w:tcW w:w="0" w:type="auto"/>
            <w:vAlign w:val="center"/>
          </w:tcPr>
          <w:p>
            <w:pPr>
              <w:pStyle w:val="28"/>
              <w:widowControl w:val="0"/>
              <w:rPr>
                <w:color w:val="auto"/>
                <w:highlight w:val="none"/>
              </w:rPr>
            </w:pPr>
            <w:r>
              <w:rPr>
                <w:rFonts w:hint="eastAsia"/>
                <w:color w:val="auto"/>
                <w:highlight w:val="none"/>
              </w:rPr>
              <w:t>≤3.0MPN/L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28"/>
              <w:widowControl w:val="0"/>
              <w:rPr>
                <w:color w:val="auto"/>
                <w:highlight w:val="none"/>
              </w:rPr>
            </w:pPr>
          </w:p>
        </w:tc>
        <w:tc>
          <w:tcPr>
            <w:tcW w:w="0" w:type="auto"/>
            <w:vAlign w:val="center"/>
          </w:tcPr>
          <w:p>
            <w:pPr>
              <w:pStyle w:val="28"/>
              <w:widowControl w:val="0"/>
              <w:rPr>
                <w:rFonts w:ascii="宋体" w:hAnsi="宋体"/>
                <w:color w:val="auto"/>
                <w:highlight w:val="none"/>
              </w:rPr>
            </w:pPr>
            <w:r>
              <w:rPr>
                <w:rFonts w:hint="eastAsia" w:ascii="宋体" w:hAnsi="宋体"/>
                <w:color w:val="auto"/>
                <w:highlight w:val="none"/>
              </w:rPr>
              <w:t>细菌总数</w:t>
            </w:r>
          </w:p>
        </w:tc>
        <w:tc>
          <w:tcPr>
            <w:tcW w:w="0" w:type="auto"/>
            <w:vAlign w:val="center"/>
          </w:tcPr>
          <w:p>
            <w:pPr>
              <w:pStyle w:val="28"/>
              <w:widowControl w:val="0"/>
              <w:rPr>
                <w:color w:val="auto"/>
                <w:highlight w:val="none"/>
              </w:rPr>
            </w:pPr>
            <w:r>
              <w:rPr>
                <w:rFonts w:hint="eastAsia"/>
                <w:color w:val="auto"/>
                <w:highlight w:val="none"/>
              </w:rPr>
              <w:t>≤100CFU/mL</w:t>
            </w:r>
          </w:p>
        </w:tc>
      </w:tr>
    </w:tbl>
    <w:p>
      <w:pPr>
        <w:widowControl w:val="0"/>
        <w:ind w:firstLine="482"/>
        <w:rPr>
          <w:b/>
          <w:bCs/>
          <w:color w:val="auto"/>
          <w:highlight w:val="none"/>
        </w:rPr>
      </w:pPr>
      <w:r>
        <w:rPr>
          <w:rFonts w:hint="eastAsia"/>
          <w:b/>
          <w:bCs/>
          <w:color w:val="auto"/>
          <w:highlight w:val="none"/>
        </w:rPr>
        <w:t>（4）声环境质量标准</w:t>
      </w:r>
    </w:p>
    <w:p>
      <w:pPr>
        <w:widowControl w:val="0"/>
        <w:ind w:firstLine="480"/>
        <w:rPr>
          <w:color w:val="auto"/>
          <w:highlight w:val="none"/>
        </w:rPr>
      </w:pPr>
      <w:r>
        <w:rPr>
          <w:rFonts w:hint="eastAsia"/>
          <w:color w:val="auto"/>
          <w:highlight w:val="none"/>
        </w:rPr>
        <w:t>本项目声环境质量执行《声环境质量标准》（</w:t>
      </w:r>
      <w:r>
        <w:rPr>
          <w:color w:val="auto"/>
          <w:highlight w:val="none"/>
        </w:rPr>
        <w:t>GB3096-2008</w:t>
      </w:r>
      <w:r>
        <w:rPr>
          <w:rFonts w:hint="eastAsia"/>
          <w:color w:val="auto"/>
          <w:highlight w:val="none"/>
        </w:rPr>
        <w:t>）</w:t>
      </w:r>
      <w:r>
        <w:rPr>
          <w:color w:val="auto"/>
          <w:highlight w:val="none"/>
        </w:rPr>
        <w:t>2</w:t>
      </w:r>
      <w:r>
        <w:rPr>
          <w:rFonts w:hint="eastAsia"/>
          <w:color w:val="auto"/>
          <w:highlight w:val="none"/>
        </w:rPr>
        <w:t>类标准，见表</w:t>
      </w:r>
      <w:r>
        <w:rPr>
          <w:color w:val="auto"/>
          <w:highlight w:val="none"/>
        </w:rPr>
        <w:t>1.5-4</w:t>
      </w:r>
      <w:r>
        <w:rPr>
          <w:rFonts w:hint="eastAsia"/>
          <w:color w:val="auto"/>
          <w:highlight w:val="none"/>
        </w:rPr>
        <w:t>。</w:t>
      </w:r>
    </w:p>
    <w:p>
      <w:pPr>
        <w:pStyle w:val="27"/>
        <w:widowControl w:val="0"/>
        <w:rPr>
          <w:color w:val="auto"/>
          <w:highlight w:val="none"/>
        </w:rPr>
      </w:pPr>
      <w:r>
        <w:rPr>
          <w:rFonts w:hint="eastAsia"/>
          <w:color w:val="auto"/>
          <w:highlight w:val="none"/>
        </w:rPr>
        <w:t>声环境质量标准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标准</w:t>
            </w:r>
          </w:p>
        </w:tc>
        <w:tc>
          <w:tcPr>
            <w:tcW w:w="3207"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3208" w:type="dxa"/>
            <w:tcBorders>
              <w:tl2br w:val="nil"/>
              <w:tr2bl w:val="nil"/>
            </w:tcBorders>
            <w:vAlign w:val="center"/>
          </w:tcPr>
          <w:p>
            <w:pPr>
              <w:pStyle w:val="28"/>
              <w:widowControl w:val="0"/>
              <w:rPr>
                <w:b/>
                <w:bCs/>
                <w:color w:val="auto"/>
                <w:highlight w:val="none"/>
              </w:rPr>
            </w:pPr>
            <w:r>
              <w:rPr>
                <w:rFonts w:hint="eastAsia"/>
                <w:b/>
                <w:bCs/>
                <w:color w:val="auto"/>
                <w:highlight w:val="none"/>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《声环境质量标准》（</w:t>
            </w:r>
            <w:r>
              <w:rPr>
                <w:color w:val="auto"/>
                <w:highlight w:val="none"/>
              </w:rPr>
              <w:t>GB3096-2008</w:t>
            </w:r>
            <w:r>
              <w:rPr>
                <w:rFonts w:hint="eastAsia"/>
                <w:color w:val="auto"/>
                <w:highlight w:val="none"/>
              </w:rPr>
              <w:t>）</w:t>
            </w:r>
          </w:p>
        </w:tc>
        <w:tc>
          <w:tcPr>
            <w:tcW w:w="3207" w:type="dxa"/>
            <w:vMerge w:val="restart"/>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等效连续声级</w:t>
            </w:r>
            <w:r>
              <w:rPr>
                <w:rFonts w:eastAsia="Times New Roman"/>
                <w:color w:val="auto"/>
                <w:sz w:val="22"/>
                <w:szCs w:val="24"/>
                <w:highlight w:val="none"/>
              </w:rPr>
              <w:t>Leq</w:t>
            </w:r>
          </w:p>
        </w:tc>
        <w:tc>
          <w:tcPr>
            <w:tcW w:w="3208"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昼间</w:t>
            </w:r>
            <w:r>
              <w:rPr>
                <w:rFonts w:eastAsia="Times New Roman"/>
                <w:color w:val="auto"/>
                <w:sz w:val="22"/>
                <w:szCs w:val="24"/>
                <w:highlight w:val="none"/>
              </w:rPr>
              <w:t>60dB</w:t>
            </w:r>
            <w:r>
              <w:rPr>
                <w:rFonts w:hint="eastAsia" w:ascii="宋体" w:hAnsi="宋体"/>
                <w:color w:val="auto"/>
                <w:sz w:val="22"/>
                <w:szCs w:val="24"/>
                <w:highlight w:val="none"/>
              </w:rPr>
              <w:t>（</w:t>
            </w:r>
            <w:r>
              <w:rPr>
                <w:rFonts w:eastAsia="Times New Roman"/>
                <w:color w:val="auto"/>
                <w:sz w:val="22"/>
                <w:szCs w:val="24"/>
                <w:highlight w:val="none"/>
              </w:rPr>
              <w:t>A</w:t>
            </w:r>
            <w:r>
              <w:rPr>
                <w:rFonts w:hint="eastAsia" w:ascii="宋体" w:hAnsi="宋体"/>
                <w:color w:val="auto"/>
                <w:sz w:val="22"/>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vMerge w:val="continue"/>
            <w:tcBorders>
              <w:tl2br w:val="nil"/>
              <w:tr2bl w:val="nil"/>
            </w:tcBorders>
            <w:vAlign w:val="center"/>
          </w:tcPr>
          <w:p>
            <w:pPr>
              <w:pStyle w:val="28"/>
              <w:widowControl w:val="0"/>
              <w:rPr>
                <w:color w:val="auto"/>
                <w:highlight w:val="none"/>
              </w:rPr>
            </w:pPr>
          </w:p>
        </w:tc>
        <w:tc>
          <w:tcPr>
            <w:tcW w:w="3208"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夜间</w:t>
            </w:r>
            <w:r>
              <w:rPr>
                <w:rFonts w:eastAsia="Times New Roman"/>
                <w:color w:val="auto"/>
                <w:sz w:val="22"/>
                <w:szCs w:val="24"/>
                <w:highlight w:val="none"/>
              </w:rPr>
              <w:t>50dB</w:t>
            </w:r>
            <w:r>
              <w:rPr>
                <w:rFonts w:hint="eastAsia" w:ascii="宋体" w:hAnsi="宋体"/>
                <w:color w:val="auto"/>
                <w:sz w:val="22"/>
                <w:szCs w:val="24"/>
                <w:highlight w:val="none"/>
              </w:rPr>
              <w:t>（</w:t>
            </w:r>
            <w:r>
              <w:rPr>
                <w:rFonts w:eastAsia="Times New Roman"/>
                <w:color w:val="auto"/>
                <w:sz w:val="22"/>
                <w:szCs w:val="24"/>
                <w:highlight w:val="none"/>
              </w:rPr>
              <w:t>A</w:t>
            </w:r>
            <w:r>
              <w:rPr>
                <w:rFonts w:hint="eastAsia" w:ascii="宋体" w:hAnsi="宋体"/>
                <w:color w:val="auto"/>
                <w:sz w:val="22"/>
                <w:szCs w:val="24"/>
                <w:highlight w:val="none"/>
              </w:rPr>
              <w:t>）</w:t>
            </w:r>
          </w:p>
        </w:tc>
      </w:tr>
    </w:tbl>
    <w:p>
      <w:pPr>
        <w:pStyle w:val="6"/>
        <w:widowControl w:val="0"/>
        <w:ind w:left="-160" w:firstLineChars="0"/>
        <w:rPr>
          <w:color w:val="auto"/>
          <w:highlight w:val="none"/>
        </w:rPr>
      </w:pPr>
      <w:r>
        <w:rPr>
          <w:rFonts w:hint="eastAsia"/>
          <w:color w:val="auto"/>
          <w:highlight w:val="none"/>
        </w:rPr>
        <w:t>污染物排放标准</w:t>
      </w:r>
    </w:p>
    <w:p>
      <w:pPr>
        <w:widowControl w:val="0"/>
        <w:ind w:firstLine="482"/>
        <w:rPr>
          <w:b/>
          <w:bCs/>
          <w:color w:val="auto"/>
          <w:highlight w:val="none"/>
        </w:rPr>
      </w:pPr>
      <w:r>
        <w:rPr>
          <w:rFonts w:hint="eastAsia"/>
          <w:b/>
          <w:bCs/>
          <w:color w:val="auto"/>
          <w:highlight w:val="none"/>
        </w:rPr>
        <w:t>（1）大气污染物</w:t>
      </w:r>
    </w:p>
    <w:p>
      <w:pPr>
        <w:widowControl w:val="0"/>
        <w:ind w:firstLine="480"/>
        <w:rPr>
          <w:color w:val="auto"/>
          <w:highlight w:val="none"/>
        </w:rPr>
      </w:pPr>
      <w:r>
        <w:rPr>
          <w:rFonts w:hint="eastAsia"/>
          <w:color w:val="auto"/>
          <w:highlight w:val="none"/>
        </w:rPr>
        <w:t>本项目废气主要是氨、硫化氢，执行《恶臭污染物排放标准》（</w:t>
      </w:r>
      <w:r>
        <w:rPr>
          <w:color w:val="auto"/>
          <w:highlight w:val="none"/>
        </w:rPr>
        <w:t>GB14554-93</w:t>
      </w:r>
      <w:r>
        <w:rPr>
          <w:rFonts w:hint="eastAsia"/>
          <w:color w:val="auto"/>
          <w:highlight w:val="none"/>
        </w:rPr>
        <w:t>）表</w:t>
      </w:r>
      <w:r>
        <w:rPr>
          <w:color w:val="auto"/>
          <w:highlight w:val="none"/>
        </w:rPr>
        <w:t>1</w:t>
      </w:r>
      <w:r>
        <w:rPr>
          <w:rFonts w:hint="eastAsia"/>
          <w:color w:val="auto"/>
          <w:highlight w:val="none"/>
        </w:rPr>
        <w:t>表</w:t>
      </w:r>
      <w:r>
        <w:rPr>
          <w:color w:val="auto"/>
          <w:highlight w:val="none"/>
        </w:rPr>
        <w:t>2</w:t>
      </w:r>
      <w:r>
        <w:rPr>
          <w:rFonts w:hint="eastAsia"/>
          <w:color w:val="auto"/>
          <w:highlight w:val="none"/>
        </w:rPr>
        <w:t>中相应标准，排放标准值见表</w:t>
      </w:r>
      <w:r>
        <w:rPr>
          <w:color w:val="auto"/>
          <w:highlight w:val="none"/>
        </w:rPr>
        <w:t>1.5-5</w:t>
      </w:r>
      <w:r>
        <w:rPr>
          <w:rFonts w:hint="eastAsia"/>
          <w:color w:val="auto"/>
          <w:highlight w:val="none"/>
        </w:rPr>
        <w:t>。</w:t>
      </w:r>
    </w:p>
    <w:p>
      <w:pPr>
        <w:pStyle w:val="27"/>
        <w:widowControl w:val="0"/>
        <w:rPr>
          <w:color w:val="auto"/>
          <w:highlight w:val="none"/>
        </w:rPr>
      </w:pPr>
      <w:r>
        <w:rPr>
          <w:rFonts w:hint="eastAsia"/>
          <w:color w:val="auto"/>
          <w:highlight w:val="none"/>
        </w:rPr>
        <w:t>恶臭污染物排放标准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2610"/>
        <w:gridCol w:w="2040"/>
        <w:gridCol w:w="3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控制项目</w:t>
            </w:r>
          </w:p>
        </w:tc>
        <w:tc>
          <w:tcPr>
            <w:tcW w:w="4650"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有组织排放</w:t>
            </w:r>
          </w:p>
        </w:tc>
        <w:tc>
          <w:tcPr>
            <w:tcW w:w="3407" w:type="dxa"/>
            <w:tcBorders>
              <w:tl2br w:val="nil"/>
              <w:tr2bl w:val="nil"/>
            </w:tcBorders>
            <w:vAlign w:val="center"/>
          </w:tcPr>
          <w:p>
            <w:pPr>
              <w:pStyle w:val="28"/>
              <w:widowControl w:val="0"/>
              <w:rPr>
                <w:b/>
                <w:bCs/>
                <w:color w:val="auto"/>
                <w:highlight w:val="none"/>
              </w:rPr>
            </w:pPr>
            <w:r>
              <w:rPr>
                <w:rFonts w:hint="eastAsia"/>
                <w:b/>
                <w:bCs/>
                <w:color w:val="auto"/>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vMerge w:val="continue"/>
            <w:tcBorders>
              <w:tl2br w:val="nil"/>
              <w:tr2bl w:val="nil"/>
            </w:tcBorders>
            <w:vAlign w:val="center"/>
          </w:tcPr>
          <w:p>
            <w:pPr>
              <w:pStyle w:val="28"/>
              <w:widowControl w:val="0"/>
              <w:rPr>
                <w:b/>
                <w:bCs/>
                <w:color w:val="auto"/>
                <w:highlight w:val="none"/>
              </w:rPr>
            </w:pPr>
          </w:p>
        </w:tc>
        <w:tc>
          <w:tcPr>
            <w:tcW w:w="2610" w:type="dxa"/>
            <w:tcBorders>
              <w:tl2br w:val="nil"/>
              <w:tr2bl w:val="nil"/>
            </w:tcBorders>
            <w:vAlign w:val="center"/>
          </w:tcPr>
          <w:p>
            <w:pPr>
              <w:pStyle w:val="28"/>
              <w:widowControl w:val="0"/>
              <w:rPr>
                <w:b/>
                <w:bCs/>
                <w:color w:val="auto"/>
                <w:highlight w:val="none"/>
              </w:rPr>
            </w:pPr>
            <w:r>
              <w:rPr>
                <w:rFonts w:hint="eastAsia"/>
                <w:b/>
                <w:bCs/>
                <w:color w:val="auto"/>
                <w:highlight w:val="none"/>
              </w:rPr>
              <w:t>排气筒高度（m）</w:t>
            </w:r>
          </w:p>
        </w:tc>
        <w:tc>
          <w:tcPr>
            <w:tcW w:w="2040" w:type="dxa"/>
            <w:tcBorders>
              <w:tl2br w:val="nil"/>
              <w:tr2bl w:val="nil"/>
            </w:tcBorders>
            <w:vAlign w:val="center"/>
          </w:tcPr>
          <w:p>
            <w:pPr>
              <w:pStyle w:val="28"/>
              <w:widowControl w:val="0"/>
              <w:rPr>
                <w:b/>
                <w:bCs/>
                <w:color w:val="auto"/>
                <w:highlight w:val="none"/>
              </w:rPr>
            </w:pPr>
            <w:r>
              <w:rPr>
                <w:rFonts w:hint="eastAsia"/>
                <w:b/>
                <w:bCs/>
                <w:color w:val="auto"/>
                <w:highlight w:val="none"/>
              </w:rPr>
              <w:t>标准值（kg/h）</w:t>
            </w:r>
          </w:p>
        </w:tc>
        <w:tc>
          <w:tcPr>
            <w:tcW w:w="3407" w:type="dxa"/>
            <w:tcBorders>
              <w:tl2br w:val="nil"/>
              <w:tr2bl w:val="nil"/>
            </w:tcBorders>
            <w:vAlign w:val="center"/>
          </w:tcPr>
          <w:p>
            <w:pPr>
              <w:pStyle w:val="28"/>
              <w:widowControl w:val="0"/>
              <w:rPr>
                <w:b/>
                <w:bCs/>
                <w:color w:val="auto"/>
                <w:highlight w:val="none"/>
              </w:rPr>
            </w:pPr>
            <w:r>
              <w:rPr>
                <w:rFonts w:hint="eastAsia"/>
                <w:b/>
                <w:bCs/>
                <w:color w:val="auto"/>
                <w:highlight w:val="none"/>
              </w:rPr>
              <w:t>二级（新改扩建，mg/m</w:t>
            </w:r>
            <w:r>
              <w:rPr>
                <w:rFonts w:hint="eastAsia"/>
                <w:b/>
                <w:bCs/>
                <w:color w:val="auto"/>
                <w:highlight w:val="none"/>
                <w:vertAlign w:val="superscript"/>
              </w:rPr>
              <w:t>3</w:t>
            </w:r>
            <w:r>
              <w:rPr>
                <w:rFonts w:hint="eastAsia"/>
                <w:b/>
                <w:bCs/>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tcBorders>
              <w:tl2br w:val="nil"/>
              <w:tr2bl w:val="nil"/>
            </w:tcBorders>
            <w:vAlign w:val="center"/>
          </w:tcPr>
          <w:p>
            <w:pPr>
              <w:pStyle w:val="28"/>
              <w:widowControl w:val="0"/>
              <w:rPr>
                <w:color w:val="auto"/>
                <w:highlight w:val="none"/>
              </w:rPr>
            </w:pPr>
            <w:r>
              <w:rPr>
                <w:rFonts w:hint="eastAsia"/>
                <w:color w:val="auto"/>
                <w:highlight w:val="none"/>
              </w:rPr>
              <w:t>氨</w:t>
            </w:r>
          </w:p>
        </w:tc>
        <w:tc>
          <w:tcPr>
            <w:tcW w:w="2610"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2040" w:type="dxa"/>
            <w:tcBorders>
              <w:tl2br w:val="nil"/>
              <w:tr2bl w:val="nil"/>
            </w:tcBorders>
            <w:vAlign w:val="center"/>
          </w:tcPr>
          <w:p>
            <w:pPr>
              <w:pStyle w:val="28"/>
              <w:widowControl w:val="0"/>
              <w:rPr>
                <w:color w:val="auto"/>
                <w:highlight w:val="none"/>
              </w:rPr>
            </w:pPr>
            <w:r>
              <w:rPr>
                <w:rFonts w:hint="eastAsia"/>
                <w:color w:val="auto"/>
                <w:highlight w:val="none"/>
              </w:rPr>
              <w:t>4.9</w:t>
            </w:r>
          </w:p>
        </w:tc>
        <w:tc>
          <w:tcPr>
            <w:tcW w:w="3407" w:type="dxa"/>
            <w:tcBorders>
              <w:tl2br w:val="nil"/>
              <w:tr2bl w:val="nil"/>
            </w:tcBorders>
            <w:vAlign w:val="center"/>
          </w:tcPr>
          <w:p>
            <w:pPr>
              <w:pStyle w:val="28"/>
              <w:widowControl w:val="0"/>
              <w:rPr>
                <w:color w:val="auto"/>
                <w:highlight w:val="none"/>
              </w:rPr>
            </w:pPr>
            <w:r>
              <w:rPr>
                <w:rFonts w:hint="eastAsia"/>
                <w:color w:val="auto"/>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tcBorders>
              <w:tl2br w:val="nil"/>
              <w:tr2bl w:val="nil"/>
            </w:tcBorders>
            <w:vAlign w:val="center"/>
          </w:tcPr>
          <w:p>
            <w:pPr>
              <w:pStyle w:val="28"/>
              <w:widowControl w:val="0"/>
              <w:rPr>
                <w:color w:val="auto"/>
                <w:highlight w:val="none"/>
              </w:rPr>
            </w:pPr>
            <w:r>
              <w:rPr>
                <w:rFonts w:hint="eastAsia"/>
                <w:color w:val="auto"/>
                <w:highlight w:val="none"/>
              </w:rPr>
              <w:t>硫化氢</w:t>
            </w:r>
          </w:p>
        </w:tc>
        <w:tc>
          <w:tcPr>
            <w:tcW w:w="2610"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2040" w:type="dxa"/>
            <w:tcBorders>
              <w:tl2br w:val="nil"/>
              <w:tr2bl w:val="nil"/>
            </w:tcBorders>
            <w:vAlign w:val="center"/>
          </w:tcPr>
          <w:p>
            <w:pPr>
              <w:pStyle w:val="28"/>
              <w:widowControl w:val="0"/>
              <w:rPr>
                <w:color w:val="auto"/>
                <w:highlight w:val="none"/>
              </w:rPr>
            </w:pPr>
            <w:r>
              <w:rPr>
                <w:rFonts w:hint="eastAsia"/>
                <w:color w:val="auto"/>
                <w:highlight w:val="none"/>
              </w:rPr>
              <w:t>0.33</w:t>
            </w:r>
          </w:p>
        </w:tc>
        <w:tc>
          <w:tcPr>
            <w:tcW w:w="3407" w:type="dxa"/>
            <w:tcBorders>
              <w:tl2br w:val="nil"/>
              <w:tr2bl w:val="nil"/>
            </w:tcBorders>
            <w:vAlign w:val="center"/>
          </w:tcPr>
          <w:p>
            <w:pPr>
              <w:pStyle w:val="28"/>
              <w:widowControl w:val="0"/>
              <w:rPr>
                <w:color w:val="auto"/>
                <w:highlight w:val="none"/>
              </w:rPr>
            </w:pPr>
            <w:r>
              <w:rPr>
                <w:rFonts w:hint="eastAsia"/>
                <w:color w:val="auto"/>
                <w:highlight w:val="none"/>
              </w:rPr>
              <w:t>0.06</w:t>
            </w:r>
          </w:p>
        </w:tc>
      </w:tr>
    </w:tbl>
    <w:p>
      <w:pPr>
        <w:widowControl w:val="0"/>
        <w:ind w:firstLine="482"/>
        <w:rPr>
          <w:b/>
          <w:bCs/>
          <w:color w:val="auto"/>
          <w:highlight w:val="none"/>
        </w:rPr>
      </w:pPr>
    </w:p>
    <w:p>
      <w:pPr>
        <w:widowControl w:val="0"/>
        <w:ind w:firstLine="482"/>
        <w:rPr>
          <w:b/>
          <w:bCs/>
          <w:color w:val="auto"/>
          <w:highlight w:val="none"/>
        </w:rPr>
      </w:pPr>
      <w:r>
        <w:rPr>
          <w:rFonts w:hint="eastAsia"/>
          <w:b/>
          <w:bCs/>
          <w:color w:val="auto"/>
          <w:highlight w:val="none"/>
        </w:rPr>
        <w:t>（2）废水</w:t>
      </w:r>
    </w:p>
    <w:p>
      <w:pPr>
        <w:widowControl w:val="0"/>
        <w:ind w:firstLine="480"/>
        <w:rPr>
          <w:color w:val="auto"/>
          <w:highlight w:val="none"/>
        </w:rPr>
      </w:pPr>
      <w:r>
        <w:rPr>
          <w:rFonts w:hint="eastAsia"/>
          <w:color w:val="auto"/>
          <w:highlight w:val="none"/>
        </w:rPr>
        <w:t>本项目综合废水经自建污水处理站处理达到《肉类加工工业水污染物排放标准》（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w:t>
      </w:r>
      <w:r>
        <w:rPr>
          <w:rFonts w:hint="eastAsia"/>
          <w:color w:val="auto"/>
          <w:highlight w:val="none"/>
          <w:lang w:val="en-US" w:eastAsia="zh-CN"/>
        </w:rPr>
        <w:t>且满足</w:t>
      </w:r>
      <w:r>
        <w:rPr>
          <w:rFonts w:hint="eastAsia"/>
          <w:color w:val="auto"/>
          <w:highlight w:val="none"/>
        </w:rPr>
        <w:t>《污水综合排放标准》（GB8978-1996）</w:t>
      </w:r>
      <w:r>
        <w:rPr>
          <w:rFonts w:hint="eastAsia"/>
          <w:color w:val="auto"/>
          <w:highlight w:val="none"/>
          <w:lang w:val="en-US" w:eastAsia="zh-CN"/>
        </w:rPr>
        <w:t>三级排放标准</w:t>
      </w:r>
      <w:r>
        <w:rPr>
          <w:rFonts w:hint="eastAsia"/>
          <w:color w:val="auto"/>
          <w:highlight w:val="none"/>
        </w:rPr>
        <w:t>后排入元坨社区市政污水管网，通过市政污水管网汇入响滩镇污水处理厂处理，经污水处理厂处理达标后排入濛溪河。</w:t>
      </w:r>
    </w:p>
    <w:p>
      <w:pPr>
        <w:pStyle w:val="27"/>
        <w:widowControl w:val="0"/>
        <w:rPr>
          <w:color w:val="auto"/>
          <w:highlight w:val="none"/>
        </w:rPr>
      </w:pPr>
      <w:r>
        <w:rPr>
          <w:rFonts w:hint="eastAsia"/>
          <w:color w:val="auto"/>
          <w:highlight w:val="none"/>
        </w:rPr>
        <w:t>项目废水执行标准一览表</w:t>
      </w:r>
    </w:p>
    <w:tbl>
      <w:tblPr>
        <w:tblStyle w:val="23"/>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906"/>
        <w:gridCol w:w="1090"/>
        <w:gridCol w:w="866"/>
        <w:gridCol w:w="646"/>
        <w:gridCol w:w="749"/>
        <w:gridCol w:w="570"/>
        <w:gridCol w:w="631"/>
        <w:gridCol w:w="687"/>
        <w:gridCol w:w="924"/>
        <w:gridCol w:w="1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c>
          <w:tcPr>
            <w:tcW w:w="1591" w:type="pct"/>
            <w:gridSpan w:val="2"/>
            <w:vAlign w:val="center"/>
          </w:tcPr>
          <w:p>
            <w:pPr>
              <w:pStyle w:val="28"/>
              <w:widowControl w:val="0"/>
              <w:rPr>
                <w:color w:val="auto"/>
                <w:highlight w:val="none"/>
              </w:rPr>
            </w:pPr>
            <w:r>
              <w:rPr>
                <w:rFonts w:hint="eastAsia"/>
                <w:color w:val="auto"/>
                <w:highlight w:val="none"/>
              </w:rPr>
              <w:t>污染物</w:t>
            </w:r>
          </w:p>
        </w:tc>
        <w:tc>
          <w:tcPr>
            <w:tcW w:w="460" w:type="pct"/>
            <w:tcBorders>
              <w:tl2br w:val="nil"/>
              <w:tr2bl w:val="nil"/>
            </w:tcBorders>
            <w:vAlign w:val="center"/>
          </w:tcPr>
          <w:p>
            <w:pPr>
              <w:pStyle w:val="28"/>
              <w:widowControl w:val="0"/>
              <w:rPr>
                <w:color w:val="auto"/>
                <w:highlight w:val="none"/>
              </w:rPr>
            </w:pPr>
            <w:r>
              <w:rPr>
                <w:rFonts w:hint="eastAsia"/>
                <w:color w:val="auto"/>
                <w:highlight w:val="none"/>
              </w:rPr>
              <w:t>pH</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397"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氨氮</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490" w:type="pct"/>
            <w:tcBorders>
              <w:tl2br w:val="nil"/>
              <w:tr2bl w:val="nil"/>
            </w:tcBorders>
            <w:vAlign w:val="center"/>
          </w:tcPr>
          <w:p>
            <w:pPr>
              <w:pStyle w:val="28"/>
              <w:widowControl w:val="0"/>
              <w:rPr>
                <w:color w:val="auto"/>
                <w:highlight w:val="none"/>
              </w:rPr>
            </w:pPr>
            <w:r>
              <w:rPr>
                <w:rFonts w:hint="eastAsia"/>
                <w:color w:val="auto"/>
                <w:highlight w:val="none"/>
              </w:rPr>
              <w:t>粪大肠菌群数(个/L)</w:t>
            </w:r>
          </w:p>
        </w:tc>
        <w:tc>
          <w:tcPr>
            <w:tcW w:w="713" w:type="pct"/>
            <w:tcBorders>
              <w:tl2br w:val="nil"/>
              <w:tr2bl w:val="nil"/>
            </w:tcBorders>
            <w:vAlign w:val="center"/>
          </w:tcPr>
          <w:p>
            <w:pPr>
              <w:pStyle w:val="28"/>
              <w:widowControl w:val="0"/>
              <w:rPr>
                <w:color w:val="auto"/>
                <w:highlight w:val="none"/>
              </w:rPr>
            </w:pPr>
            <w:r>
              <w:rPr>
                <w:rFonts w:hint="eastAsia"/>
                <w:color w:val="auto"/>
                <w:highlight w:val="none"/>
              </w:rPr>
              <w:t>排水量</w:t>
            </w:r>
          </w:p>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/t(活屠量)</w:t>
            </w:r>
          </w:p>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/t(原料肉)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012" w:type="pct"/>
            <w:vMerge w:val="restart"/>
            <w:tcBorders>
              <w:tl2br w:val="nil"/>
              <w:tr2bl w:val="nil"/>
            </w:tcBorders>
            <w:vAlign w:val="center"/>
          </w:tcPr>
          <w:p>
            <w:pPr>
              <w:pStyle w:val="28"/>
              <w:widowControl w:val="0"/>
              <w:wordWrap w:val="0"/>
              <w:rPr>
                <w:color w:val="auto"/>
                <w:highlight w:val="none"/>
              </w:rPr>
            </w:pPr>
            <w:r>
              <w:rPr>
                <w:rFonts w:hint="eastAsia"/>
                <w:color w:val="auto"/>
                <w:highlight w:val="none"/>
              </w:rPr>
              <w:t>《肉类加工工业水污染物排放标准》（GB13457-92）三级标准</w:t>
            </w: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排放浓度(mg/L)</w:t>
            </w:r>
          </w:p>
        </w:tc>
        <w:tc>
          <w:tcPr>
            <w:tcW w:w="460" w:type="pct"/>
            <w:vMerge w:val="restart"/>
            <w:tcBorders>
              <w:tl2br w:val="nil"/>
              <w:tr2bl w:val="nil"/>
            </w:tcBorders>
            <w:vAlign w:val="center"/>
          </w:tcPr>
          <w:p>
            <w:pPr>
              <w:pStyle w:val="28"/>
              <w:widowControl w:val="0"/>
              <w:rPr>
                <w:color w:val="auto"/>
                <w:highlight w:val="none"/>
              </w:rPr>
            </w:pPr>
            <w:r>
              <w:rPr>
                <w:rFonts w:hint="eastAsia"/>
                <w:color w:val="auto"/>
                <w:highlight w:val="none"/>
              </w:rPr>
              <w:t>6.0~8.5</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400</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45*</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60</w:t>
            </w:r>
          </w:p>
        </w:tc>
        <w:tc>
          <w:tcPr>
            <w:tcW w:w="490"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713" w:type="pct"/>
            <w:vMerge w:val="restart"/>
            <w:tcBorders>
              <w:tl2br w:val="nil"/>
              <w:tr2bl w:val="nil"/>
            </w:tcBorders>
            <w:vAlign w:val="center"/>
          </w:tcPr>
          <w:p>
            <w:pPr>
              <w:pStyle w:val="28"/>
              <w:widowControl w:val="0"/>
              <w:rPr>
                <w:color w:val="auto"/>
                <w:highlight w:val="none"/>
              </w:rPr>
            </w:pPr>
            <w:r>
              <w:rPr>
                <w:rFonts w:hint="eastAsia"/>
                <w:color w:val="auto"/>
                <w:highlight w:val="none"/>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012" w:type="pct"/>
            <w:vMerge w:val="continue"/>
            <w:tcBorders>
              <w:tl2br w:val="nil"/>
              <w:tr2bl w:val="nil"/>
            </w:tcBorders>
            <w:vAlign w:val="center"/>
          </w:tcPr>
          <w:p>
            <w:pPr>
              <w:pStyle w:val="28"/>
              <w:widowControl w:val="0"/>
              <w:wordWrap w:val="0"/>
              <w:rPr>
                <w:color w:val="auto"/>
                <w:highlight w:val="none"/>
              </w:rPr>
            </w:pP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排放总量</w:t>
            </w:r>
          </w:p>
          <w:p>
            <w:pPr>
              <w:pStyle w:val="28"/>
              <w:widowControl w:val="0"/>
              <w:rPr>
                <w:color w:val="auto"/>
                <w:highlight w:val="none"/>
              </w:rPr>
            </w:pPr>
            <w:r>
              <w:rPr>
                <w:rFonts w:hint="eastAsia"/>
                <w:color w:val="auto"/>
                <w:highlight w:val="none"/>
              </w:rPr>
              <w:t>kg/t(活屠量)</w:t>
            </w:r>
          </w:p>
        </w:tc>
        <w:tc>
          <w:tcPr>
            <w:tcW w:w="460" w:type="pct"/>
            <w:vMerge w:val="continue"/>
            <w:tcBorders>
              <w:tl2br w:val="nil"/>
              <w:tr2bl w:val="nil"/>
            </w:tcBorders>
            <w:vAlign w:val="center"/>
          </w:tcPr>
          <w:p>
            <w:pPr>
              <w:pStyle w:val="28"/>
              <w:widowControl w:val="0"/>
              <w:rPr>
                <w:color w:val="auto"/>
                <w:highlight w:val="none"/>
              </w:rPr>
            </w:pP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3.3</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2.6</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0.4</w:t>
            </w:r>
          </w:p>
        </w:tc>
        <w:tc>
          <w:tcPr>
            <w:tcW w:w="490" w:type="pct"/>
            <w:vMerge w:val="continue"/>
            <w:tcBorders>
              <w:tl2br w:val="nil"/>
              <w:tr2bl w:val="nil"/>
            </w:tcBorders>
            <w:vAlign w:val="center"/>
          </w:tcPr>
          <w:p>
            <w:pPr>
              <w:pStyle w:val="28"/>
              <w:widowControl w:val="0"/>
              <w:rPr>
                <w:color w:val="auto"/>
                <w:highlight w:val="none"/>
              </w:rPr>
            </w:pPr>
          </w:p>
        </w:tc>
        <w:tc>
          <w:tcPr>
            <w:tcW w:w="71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591" w:type="pct"/>
            <w:gridSpan w:val="2"/>
            <w:tcBorders>
              <w:tl2br w:val="nil"/>
              <w:tr2bl w:val="nil"/>
            </w:tcBorders>
            <w:vAlign w:val="center"/>
          </w:tcPr>
          <w:p>
            <w:pPr>
              <w:pStyle w:val="28"/>
              <w:widowControl w:val="0"/>
              <w:rPr>
                <w:rFonts w:hint="eastAsia"/>
                <w:color w:val="auto"/>
                <w:highlight w:val="none"/>
              </w:rPr>
            </w:pPr>
            <w:r>
              <w:rPr>
                <w:rFonts w:hint="eastAsia"/>
                <w:color w:val="auto"/>
                <w:highlight w:val="none"/>
              </w:rPr>
              <w:t>《污水综合排放标准》（GB8978-1996）</w:t>
            </w:r>
            <w:r>
              <w:rPr>
                <w:rFonts w:hint="eastAsia"/>
                <w:color w:val="auto"/>
                <w:highlight w:val="none"/>
                <w:lang w:val="en-US" w:eastAsia="zh-CN"/>
              </w:rPr>
              <w:t>三级排放标准</w:t>
            </w:r>
          </w:p>
        </w:tc>
        <w:tc>
          <w:tcPr>
            <w:tcW w:w="460"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6~9</w:t>
            </w:r>
          </w:p>
        </w:tc>
        <w:tc>
          <w:tcPr>
            <w:tcW w:w="343"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500</w:t>
            </w:r>
          </w:p>
        </w:tc>
        <w:tc>
          <w:tcPr>
            <w:tcW w:w="397"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300</w:t>
            </w:r>
          </w:p>
        </w:tc>
        <w:tc>
          <w:tcPr>
            <w:tcW w:w="30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400</w:t>
            </w:r>
          </w:p>
        </w:tc>
        <w:tc>
          <w:tcPr>
            <w:tcW w:w="335"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lang w:val="en-US" w:eastAsia="zh-CN"/>
              </w:rPr>
              <w:t>-</w:t>
            </w:r>
          </w:p>
        </w:tc>
        <w:tc>
          <w:tcPr>
            <w:tcW w:w="364"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100</w:t>
            </w:r>
          </w:p>
        </w:tc>
        <w:tc>
          <w:tcPr>
            <w:tcW w:w="490"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w:t>
            </w:r>
          </w:p>
        </w:tc>
        <w:tc>
          <w:tcPr>
            <w:tcW w:w="713"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5000" w:type="pct"/>
            <w:gridSpan w:val="10"/>
            <w:tcBorders>
              <w:tl2br w:val="nil"/>
              <w:tr2bl w:val="nil"/>
            </w:tcBorders>
            <w:vAlign w:val="center"/>
          </w:tcPr>
          <w:p>
            <w:pPr>
              <w:pStyle w:val="28"/>
              <w:widowControl w:val="0"/>
              <w:rPr>
                <w:color w:val="auto"/>
                <w:highlight w:val="none"/>
              </w:rPr>
            </w:pPr>
            <w:r>
              <w:rPr>
                <w:rFonts w:hint="eastAsia"/>
                <w:color w:val="auto"/>
                <w:highlight w:val="none"/>
              </w:rPr>
              <w:t>注：*参展《污水排入城镇下水道水质标准》（GB/T 31962-2015）</w:t>
            </w:r>
          </w:p>
        </w:tc>
      </w:tr>
    </w:tbl>
    <w:p>
      <w:pPr>
        <w:widowControl w:val="0"/>
        <w:ind w:firstLine="482"/>
        <w:rPr>
          <w:b/>
          <w:bCs/>
          <w:color w:val="auto"/>
          <w:highlight w:val="none"/>
        </w:rPr>
      </w:pPr>
      <w:r>
        <w:rPr>
          <w:rFonts w:hint="eastAsia"/>
          <w:b/>
          <w:bCs/>
          <w:color w:val="auto"/>
          <w:highlight w:val="none"/>
        </w:rPr>
        <w:t>（3）噪声</w:t>
      </w:r>
    </w:p>
    <w:p>
      <w:pPr>
        <w:widowControl w:val="0"/>
        <w:ind w:firstLine="480"/>
        <w:rPr>
          <w:color w:val="auto"/>
          <w:highlight w:val="none"/>
        </w:rPr>
      </w:pPr>
      <w:r>
        <w:rPr>
          <w:rFonts w:hint="eastAsia"/>
          <w:color w:val="auto"/>
          <w:highlight w:val="none"/>
        </w:rPr>
        <w:t>施工期噪声执行《建筑施工场界环境噪声排放标准》（</w:t>
      </w:r>
      <w:r>
        <w:rPr>
          <w:color w:val="auto"/>
          <w:highlight w:val="none"/>
        </w:rPr>
        <w:t>GB12523-2011</w:t>
      </w:r>
      <w:r>
        <w:rPr>
          <w:rFonts w:hint="eastAsia"/>
          <w:color w:val="auto"/>
          <w:highlight w:val="none"/>
        </w:rPr>
        <w:t>）相应标准，即昼间</w:t>
      </w:r>
      <w:r>
        <w:rPr>
          <w:color w:val="auto"/>
          <w:highlight w:val="none"/>
        </w:rPr>
        <w:t>70dB</w:t>
      </w:r>
      <w:r>
        <w:rPr>
          <w:rFonts w:hint="eastAsia"/>
          <w:color w:val="auto"/>
          <w:highlight w:val="none"/>
        </w:rPr>
        <w:t>（</w:t>
      </w:r>
      <w:r>
        <w:rPr>
          <w:color w:val="auto"/>
          <w:highlight w:val="none"/>
        </w:rPr>
        <w:t>A</w:t>
      </w:r>
      <w:r>
        <w:rPr>
          <w:rFonts w:hint="eastAsia"/>
          <w:color w:val="auto"/>
          <w:highlight w:val="none"/>
        </w:rPr>
        <w:t>）、夜间</w:t>
      </w:r>
      <w:r>
        <w:rPr>
          <w:color w:val="auto"/>
          <w:highlight w:val="none"/>
        </w:rPr>
        <w:t>55dB</w:t>
      </w:r>
      <w:r>
        <w:rPr>
          <w:rFonts w:hint="eastAsia"/>
          <w:color w:val="auto"/>
          <w:highlight w:val="none"/>
        </w:rPr>
        <w:t>（</w:t>
      </w:r>
      <w:r>
        <w:rPr>
          <w:color w:val="auto"/>
          <w:highlight w:val="none"/>
        </w:rPr>
        <w:t>A</w:t>
      </w:r>
      <w:r>
        <w:rPr>
          <w:rFonts w:hint="eastAsia"/>
          <w:color w:val="auto"/>
          <w:highlight w:val="none"/>
        </w:rPr>
        <w:t>）。</w:t>
      </w:r>
    </w:p>
    <w:p>
      <w:pPr>
        <w:widowControl w:val="0"/>
        <w:ind w:firstLine="480"/>
        <w:rPr>
          <w:color w:val="auto"/>
          <w:highlight w:val="none"/>
        </w:rPr>
      </w:pPr>
      <w:r>
        <w:rPr>
          <w:rFonts w:hint="eastAsia"/>
          <w:color w:val="auto"/>
          <w:highlight w:val="none"/>
        </w:rPr>
        <w:t>营运期项目执行《工业企业厂界环境噪声排放标准》（</w:t>
      </w:r>
      <w:r>
        <w:rPr>
          <w:color w:val="auto"/>
          <w:highlight w:val="none"/>
        </w:rPr>
        <w:t>GB12348-2008</w:t>
      </w:r>
      <w:r>
        <w:rPr>
          <w:rFonts w:hint="eastAsia"/>
          <w:color w:val="auto"/>
          <w:highlight w:val="none"/>
        </w:rPr>
        <w:t>）中的</w:t>
      </w:r>
      <w:r>
        <w:rPr>
          <w:color w:val="auto"/>
          <w:highlight w:val="none"/>
        </w:rPr>
        <w:t>2</w:t>
      </w:r>
      <w:r>
        <w:rPr>
          <w:rFonts w:hint="eastAsia"/>
          <w:color w:val="auto"/>
          <w:highlight w:val="none"/>
        </w:rPr>
        <w:t>类标准，即昼间</w:t>
      </w:r>
      <w:r>
        <w:rPr>
          <w:color w:val="auto"/>
          <w:highlight w:val="none"/>
        </w:rPr>
        <w:t>60dB</w:t>
      </w:r>
      <w:r>
        <w:rPr>
          <w:rFonts w:hint="eastAsia"/>
          <w:color w:val="auto"/>
          <w:highlight w:val="none"/>
        </w:rPr>
        <w:t>（</w:t>
      </w:r>
      <w:r>
        <w:rPr>
          <w:color w:val="auto"/>
          <w:highlight w:val="none"/>
        </w:rPr>
        <w:t>A</w:t>
      </w:r>
      <w:r>
        <w:rPr>
          <w:rFonts w:hint="eastAsia"/>
          <w:color w:val="auto"/>
          <w:highlight w:val="none"/>
        </w:rPr>
        <w:t>），夜间</w:t>
      </w:r>
      <w:r>
        <w:rPr>
          <w:color w:val="auto"/>
          <w:highlight w:val="none"/>
        </w:rPr>
        <w:t>50dB</w:t>
      </w:r>
      <w:r>
        <w:rPr>
          <w:rFonts w:hint="eastAsia"/>
          <w:color w:val="auto"/>
          <w:highlight w:val="none"/>
        </w:rPr>
        <w:t>（</w:t>
      </w:r>
      <w:r>
        <w:rPr>
          <w:color w:val="auto"/>
          <w:highlight w:val="none"/>
        </w:rPr>
        <w:t>A</w:t>
      </w:r>
      <w:r>
        <w:rPr>
          <w:rFonts w:hint="eastAsia"/>
          <w:color w:val="auto"/>
          <w:highlight w:val="none"/>
        </w:rPr>
        <w:t>）。</w:t>
      </w:r>
    </w:p>
    <w:p>
      <w:pPr>
        <w:pStyle w:val="27"/>
        <w:widowControl w:val="0"/>
        <w:rPr>
          <w:color w:val="auto"/>
          <w:highlight w:val="none"/>
        </w:rPr>
      </w:pPr>
      <w:r>
        <w:rPr>
          <w:rFonts w:hint="eastAsia"/>
          <w:color w:val="auto"/>
          <w:highlight w:val="none"/>
        </w:rPr>
        <w:t>项目噪声排放标准一览表  单位：</w:t>
      </w:r>
      <w:r>
        <w:rPr>
          <w:color w:val="auto"/>
          <w:highlight w:val="none"/>
        </w:rPr>
        <w:t>50dB</w:t>
      </w:r>
      <w:r>
        <w:rPr>
          <w:rFonts w:hint="eastAsia"/>
          <w:color w:val="auto"/>
          <w:highlight w:val="none"/>
        </w:rPr>
        <w:t>（</w:t>
      </w:r>
      <w:r>
        <w:rPr>
          <w:color w:val="auto"/>
          <w:highlight w:val="none"/>
        </w:rPr>
        <w:t>A</w:t>
      </w:r>
      <w:r>
        <w:rPr>
          <w:rFonts w:hint="eastAsia"/>
          <w:color w:val="auto"/>
          <w:highlight w:val="none"/>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6765"/>
        <w:gridCol w:w="934"/>
        <w:gridCol w:w="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6765" w:type="dxa"/>
            <w:tcBorders>
              <w:tl2br w:val="nil"/>
              <w:tr2bl w:val="nil"/>
            </w:tcBorders>
            <w:vAlign w:val="center"/>
          </w:tcPr>
          <w:p>
            <w:pPr>
              <w:pStyle w:val="28"/>
              <w:widowControl w:val="0"/>
              <w:rPr>
                <w:b/>
                <w:bCs/>
                <w:color w:val="auto"/>
                <w:highlight w:val="none"/>
              </w:rPr>
            </w:pPr>
            <w:r>
              <w:rPr>
                <w:rFonts w:hint="eastAsia"/>
                <w:b/>
                <w:bCs/>
                <w:color w:val="auto"/>
                <w:highlight w:val="none"/>
              </w:rPr>
              <w:t>执行标准</w:t>
            </w:r>
          </w:p>
        </w:tc>
        <w:tc>
          <w:tcPr>
            <w:tcW w:w="934" w:type="dxa"/>
            <w:tcBorders>
              <w:tl2br w:val="nil"/>
              <w:tr2bl w:val="nil"/>
            </w:tcBorders>
            <w:vAlign w:val="center"/>
          </w:tcPr>
          <w:p>
            <w:pPr>
              <w:pStyle w:val="28"/>
              <w:widowControl w:val="0"/>
              <w:rPr>
                <w:b/>
                <w:bCs/>
                <w:color w:val="auto"/>
                <w:highlight w:val="none"/>
              </w:rPr>
            </w:pPr>
            <w:r>
              <w:rPr>
                <w:rFonts w:hint="eastAsia"/>
                <w:b/>
                <w:bCs/>
                <w:color w:val="auto"/>
                <w:highlight w:val="none"/>
              </w:rPr>
              <w:t>昼间</w:t>
            </w:r>
          </w:p>
        </w:tc>
        <w:tc>
          <w:tcPr>
            <w:tcW w:w="935" w:type="dxa"/>
            <w:tcBorders>
              <w:tl2br w:val="nil"/>
              <w:tr2bl w:val="nil"/>
            </w:tcBorders>
            <w:vAlign w:val="center"/>
          </w:tcPr>
          <w:p>
            <w:pPr>
              <w:pStyle w:val="28"/>
              <w:widowControl w:val="0"/>
              <w:rPr>
                <w:b/>
                <w:bCs/>
                <w:color w:val="auto"/>
                <w:highlight w:val="none"/>
              </w:rPr>
            </w:pPr>
            <w:r>
              <w:rPr>
                <w:rFonts w:hint="eastAsia"/>
                <w:b/>
                <w:bCs/>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28"/>
              <w:widowControl w:val="0"/>
              <w:rPr>
                <w:color w:val="auto"/>
                <w:highlight w:val="none"/>
              </w:rPr>
            </w:pPr>
            <w:r>
              <w:rPr>
                <w:rFonts w:hint="eastAsia"/>
                <w:color w:val="auto"/>
                <w:highlight w:val="none"/>
              </w:rPr>
              <w:t>施工期</w:t>
            </w:r>
          </w:p>
        </w:tc>
        <w:tc>
          <w:tcPr>
            <w:tcW w:w="6765" w:type="dxa"/>
            <w:tcBorders>
              <w:tl2br w:val="nil"/>
              <w:tr2bl w:val="nil"/>
            </w:tcBorders>
            <w:vAlign w:val="center"/>
          </w:tcPr>
          <w:p>
            <w:pPr>
              <w:pStyle w:val="28"/>
              <w:widowControl w:val="0"/>
              <w:rPr>
                <w:color w:val="auto"/>
                <w:highlight w:val="none"/>
              </w:rPr>
            </w:pPr>
            <w:r>
              <w:rPr>
                <w:rFonts w:hint="eastAsia"/>
                <w:color w:val="auto"/>
                <w:highlight w:val="none"/>
              </w:rPr>
              <w:t>《建筑施工场界环境噪声排放标准》（</w:t>
            </w:r>
            <w:r>
              <w:rPr>
                <w:color w:val="auto"/>
                <w:highlight w:val="none"/>
              </w:rPr>
              <w:t>GB12523-2011</w:t>
            </w:r>
            <w:r>
              <w:rPr>
                <w:rFonts w:hint="eastAsia"/>
                <w:color w:val="auto"/>
                <w:highlight w:val="none"/>
              </w:rPr>
              <w:t>）</w:t>
            </w:r>
          </w:p>
        </w:tc>
        <w:tc>
          <w:tcPr>
            <w:tcW w:w="934" w:type="dxa"/>
            <w:tcBorders>
              <w:tl2br w:val="nil"/>
              <w:tr2bl w:val="nil"/>
            </w:tcBorders>
            <w:vAlign w:val="center"/>
          </w:tcPr>
          <w:p>
            <w:pPr>
              <w:pStyle w:val="28"/>
              <w:widowControl w:val="0"/>
              <w:rPr>
                <w:color w:val="auto"/>
                <w:highlight w:val="none"/>
              </w:rPr>
            </w:pPr>
            <w:r>
              <w:rPr>
                <w:rFonts w:hint="eastAsia"/>
                <w:color w:val="auto"/>
                <w:highlight w:val="none"/>
              </w:rPr>
              <w:t>70</w:t>
            </w:r>
          </w:p>
        </w:tc>
        <w:tc>
          <w:tcPr>
            <w:tcW w:w="935" w:type="dxa"/>
            <w:tcBorders>
              <w:tl2br w:val="nil"/>
              <w:tr2bl w:val="nil"/>
            </w:tcBorders>
            <w:vAlign w:val="center"/>
          </w:tcPr>
          <w:p>
            <w:pPr>
              <w:pStyle w:val="28"/>
              <w:widowControl w:val="0"/>
              <w:rPr>
                <w:color w:val="auto"/>
                <w:highlight w:val="none"/>
              </w:rPr>
            </w:pPr>
            <w:r>
              <w:rPr>
                <w:rFonts w:hint="eastAsia"/>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28"/>
              <w:widowControl w:val="0"/>
              <w:rPr>
                <w:color w:val="auto"/>
                <w:highlight w:val="none"/>
              </w:rPr>
            </w:pPr>
            <w:r>
              <w:rPr>
                <w:rFonts w:hint="eastAsia"/>
                <w:color w:val="auto"/>
                <w:highlight w:val="none"/>
              </w:rPr>
              <w:t>营运期</w:t>
            </w:r>
          </w:p>
        </w:tc>
        <w:tc>
          <w:tcPr>
            <w:tcW w:w="6765" w:type="dxa"/>
            <w:tcBorders>
              <w:tl2br w:val="nil"/>
              <w:tr2bl w:val="nil"/>
            </w:tcBorders>
            <w:vAlign w:val="center"/>
          </w:tcPr>
          <w:p>
            <w:pPr>
              <w:pStyle w:val="28"/>
              <w:widowControl w:val="0"/>
              <w:rPr>
                <w:color w:val="auto"/>
                <w:highlight w:val="none"/>
              </w:rPr>
            </w:pPr>
            <w:r>
              <w:rPr>
                <w:rFonts w:hint="eastAsia"/>
                <w:color w:val="auto"/>
                <w:highlight w:val="none"/>
              </w:rPr>
              <w:t>《工业企业厂界环境噪声排放标准》（</w:t>
            </w:r>
            <w:r>
              <w:rPr>
                <w:color w:val="auto"/>
                <w:highlight w:val="none"/>
              </w:rPr>
              <w:t>GB12348-2008</w:t>
            </w:r>
            <w:r>
              <w:rPr>
                <w:rFonts w:hint="eastAsia"/>
                <w:color w:val="auto"/>
                <w:highlight w:val="none"/>
              </w:rPr>
              <w:t>）中的</w:t>
            </w:r>
            <w:r>
              <w:rPr>
                <w:color w:val="auto"/>
                <w:highlight w:val="none"/>
              </w:rPr>
              <w:t>2</w:t>
            </w:r>
            <w:r>
              <w:rPr>
                <w:rFonts w:hint="eastAsia"/>
                <w:color w:val="auto"/>
                <w:highlight w:val="none"/>
              </w:rPr>
              <w:t>类标准</w:t>
            </w:r>
          </w:p>
        </w:tc>
        <w:tc>
          <w:tcPr>
            <w:tcW w:w="934"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935" w:type="dxa"/>
            <w:tcBorders>
              <w:tl2br w:val="nil"/>
              <w:tr2bl w:val="nil"/>
            </w:tcBorders>
            <w:vAlign w:val="center"/>
          </w:tcPr>
          <w:p>
            <w:pPr>
              <w:pStyle w:val="28"/>
              <w:widowControl w:val="0"/>
              <w:rPr>
                <w:color w:val="auto"/>
                <w:highlight w:val="none"/>
              </w:rPr>
            </w:pPr>
            <w:r>
              <w:rPr>
                <w:rFonts w:hint="eastAsia"/>
                <w:color w:val="auto"/>
                <w:highlight w:val="none"/>
              </w:rPr>
              <w:t>50</w:t>
            </w:r>
          </w:p>
        </w:tc>
      </w:tr>
    </w:tbl>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）固体废物</w:t>
      </w:r>
    </w:p>
    <w:p>
      <w:pPr>
        <w:widowControl w:val="0"/>
        <w:ind w:firstLine="480"/>
        <w:rPr>
          <w:color w:val="auto"/>
          <w:highlight w:val="none"/>
        </w:rPr>
      </w:pPr>
      <w:r>
        <w:rPr>
          <w:rFonts w:hint="eastAsia"/>
          <w:color w:val="auto"/>
          <w:highlight w:val="none"/>
        </w:rPr>
        <w:t>对进厂检验与检疫不合格的畜禽及其产品按《病害动物和病害动物产品生物安全处理规程》（</w:t>
      </w:r>
      <w:r>
        <w:rPr>
          <w:color w:val="auto"/>
          <w:highlight w:val="none"/>
        </w:rPr>
        <w:t>GB16548-2006</w:t>
      </w:r>
      <w:r>
        <w:rPr>
          <w:rFonts w:hint="eastAsia"/>
          <w:color w:val="auto"/>
          <w:highlight w:val="none"/>
        </w:rPr>
        <w:t>）执行。一般工业固体废物在厂区的贮存执行《一般工业固体废物贮存和填埋污染控制标准》（</w:t>
      </w:r>
      <w:r>
        <w:rPr>
          <w:color w:val="auto"/>
          <w:highlight w:val="none"/>
        </w:rPr>
        <w:t>GB18599-2</w:t>
      </w:r>
      <w:r>
        <w:rPr>
          <w:rFonts w:hint="eastAsia"/>
          <w:color w:val="auto"/>
          <w:highlight w:val="none"/>
        </w:rPr>
        <w:t>020）。</w:t>
      </w:r>
    </w:p>
    <w:p>
      <w:pPr>
        <w:widowControl w:val="0"/>
        <w:ind w:firstLine="480"/>
        <w:rPr>
          <w:color w:val="auto"/>
          <w:highlight w:val="none"/>
        </w:rPr>
      </w:pPr>
      <w:r>
        <w:rPr>
          <w:rFonts w:hint="eastAsia"/>
          <w:color w:val="auto"/>
          <w:highlight w:val="none"/>
        </w:rPr>
        <w:t>危险废物《危险废物贮存污染控制标准》（</w:t>
      </w:r>
      <w:r>
        <w:rPr>
          <w:color w:val="auto"/>
          <w:highlight w:val="none"/>
        </w:rPr>
        <w:t>GB18597-2001</w:t>
      </w:r>
      <w:r>
        <w:rPr>
          <w:rFonts w:hint="eastAsia"/>
          <w:color w:val="auto"/>
          <w:highlight w:val="none"/>
        </w:rPr>
        <w:t>）及其修改清单标准。</w:t>
      </w:r>
    </w:p>
    <w:p>
      <w:pPr>
        <w:pStyle w:val="4"/>
        <w:widowControl w:val="0"/>
        <w:rPr>
          <w:color w:val="auto"/>
          <w:highlight w:val="none"/>
        </w:rPr>
      </w:pPr>
      <w:bookmarkStart w:id="36" w:name="_Toc2087"/>
      <w:r>
        <w:rPr>
          <w:rFonts w:hint="eastAsia"/>
          <w:color w:val="auto"/>
          <w:highlight w:val="none"/>
        </w:rPr>
        <w:t>评价工作等级和评价范围</w:t>
      </w:r>
      <w:bookmarkEnd w:id="36"/>
    </w:p>
    <w:p>
      <w:pPr>
        <w:pStyle w:val="5"/>
        <w:widowControl w:val="0"/>
        <w:ind w:firstLine="120"/>
        <w:rPr>
          <w:color w:val="auto"/>
          <w:highlight w:val="none"/>
        </w:rPr>
      </w:pPr>
      <w:r>
        <w:rPr>
          <w:rFonts w:hint="eastAsia"/>
          <w:color w:val="auto"/>
          <w:highlight w:val="none"/>
        </w:rPr>
        <w:t>评价工作等级</w:t>
      </w:r>
    </w:p>
    <w:p>
      <w:pPr>
        <w:pStyle w:val="6"/>
        <w:widowControl w:val="0"/>
        <w:ind w:left="-160" w:firstLineChars="0"/>
        <w:rPr>
          <w:color w:val="auto"/>
          <w:highlight w:val="none"/>
        </w:rPr>
      </w:pPr>
      <w:r>
        <w:rPr>
          <w:rFonts w:hint="eastAsia"/>
          <w:color w:val="auto"/>
          <w:highlight w:val="none"/>
        </w:rPr>
        <w:t>大气环境</w:t>
      </w:r>
    </w:p>
    <w:p>
      <w:pPr>
        <w:widowControl w:val="0"/>
        <w:ind w:firstLine="480"/>
        <w:rPr>
          <w:color w:val="auto"/>
          <w:highlight w:val="none"/>
        </w:rPr>
      </w:pPr>
      <w:r>
        <w:rPr>
          <w:rFonts w:hint="eastAsia"/>
          <w:color w:val="auto"/>
          <w:highlight w:val="none"/>
        </w:rPr>
        <w:t>项目运行期间产生的大气污染物主要为待宰圈、屠宰车间以及污水处理设施臭气。</w:t>
      </w:r>
    </w:p>
    <w:p>
      <w:pPr>
        <w:widowControl w:val="0"/>
        <w:ind w:firstLine="482"/>
        <w:rPr>
          <w:b/>
          <w:bCs/>
          <w:color w:val="auto"/>
          <w:highlight w:val="none"/>
        </w:rPr>
      </w:pPr>
      <w:r>
        <w:rPr>
          <w:rFonts w:hint="eastAsia"/>
          <w:b/>
          <w:bCs/>
          <w:color w:val="auto"/>
          <w:highlight w:val="none"/>
        </w:rPr>
        <w:t>（1）污染源强</w:t>
      </w:r>
    </w:p>
    <w:p>
      <w:pPr>
        <w:widowControl w:val="0"/>
        <w:ind w:firstLine="480"/>
        <w:rPr>
          <w:color w:val="auto"/>
          <w:highlight w:val="none"/>
        </w:rPr>
      </w:pPr>
      <w:r>
        <w:rPr>
          <w:rFonts w:hint="eastAsia"/>
          <w:color w:val="auto"/>
          <w:highlight w:val="none"/>
        </w:rPr>
        <w:t>项目预测污染源情况统计见下表。</w:t>
      </w:r>
    </w:p>
    <w:p>
      <w:pPr>
        <w:pStyle w:val="27"/>
        <w:widowControl w:val="0"/>
        <w:rPr>
          <w:color w:val="auto"/>
          <w:highlight w:val="none"/>
        </w:rPr>
      </w:pPr>
      <w:r>
        <w:rPr>
          <w:rFonts w:hint="eastAsia"/>
          <w:color w:val="auto"/>
          <w:highlight w:val="none"/>
        </w:rPr>
        <w:t>恶臭废气污染源参数一览表（点源）</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56"/>
        <w:gridCol w:w="1050"/>
        <w:gridCol w:w="1277"/>
        <w:gridCol w:w="975"/>
        <w:gridCol w:w="883"/>
        <w:gridCol w:w="1111"/>
        <w:gridCol w:w="675"/>
        <w:gridCol w:w="1030"/>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60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54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排气筒高度（m）</w:t>
            </w:r>
          </w:p>
        </w:tc>
        <w:tc>
          <w:tcPr>
            <w:tcW w:w="66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排气筒出口内径（m）</w:t>
            </w:r>
          </w:p>
        </w:tc>
        <w:tc>
          <w:tcPr>
            <w:tcW w:w="50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烟气流速（m/s）</w:t>
            </w:r>
          </w:p>
        </w:tc>
        <w:tc>
          <w:tcPr>
            <w:tcW w:w="45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烟气温度（</w:t>
            </w:r>
            <w:r>
              <w:rPr>
                <w:b/>
                <w:bCs/>
                <w:color w:val="auto"/>
                <w:highlight w:val="none"/>
              </w:rPr>
              <w:t>℃</w:t>
            </w:r>
            <w:r>
              <w:rPr>
                <w:rFonts w:hint="eastAsia"/>
                <w:b/>
                <w:bCs/>
                <w:color w:val="auto"/>
                <w:highlight w:val="none"/>
              </w:rPr>
              <w:t>）</w:t>
            </w:r>
          </w:p>
        </w:tc>
        <w:tc>
          <w:tcPr>
            <w:tcW w:w="57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年排放小时数（h）</w:t>
            </w:r>
          </w:p>
        </w:tc>
        <w:tc>
          <w:tcPr>
            <w:tcW w:w="35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1075"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vMerge w:val="continue"/>
            <w:tcBorders>
              <w:tl2br w:val="nil"/>
              <w:tr2bl w:val="nil"/>
            </w:tcBorders>
            <w:vAlign w:val="center"/>
          </w:tcPr>
          <w:p>
            <w:pPr>
              <w:pStyle w:val="28"/>
              <w:widowControl w:val="0"/>
              <w:rPr>
                <w:b/>
                <w:bCs/>
                <w:color w:val="auto"/>
                <w:highlight w:val="none"/>
              </w:rPr>
            </w:pPr>
          </w:p>
        </w:tc>
        <w:tc>
          <w:tcPr>
            <w:tcW w:w="601" w:type="pct"/>
            <w:vMerge w:val="continue"/>
            <w:tcBorders>
              <w:tl2br w:val="nil"/>
              <w:tr2bl w:val="nil"/>
            </w:tcBorders>
            <w:vAlign w:val="center"/>
          </w:tcPr>
          <w:p>
            <w:pPr>
              <w:pStyle w:val="28"/>
              <w:widowControl w:val="0"/>
              <w:rPr>
                <w:b/>
                <w:bCs/>
                <w:color w:val="auto"/>
                <w:highlight w:val="none"/>
              </w:rPr>
            </w:pPr>
          </w:p>
        </w:tc>
        <w:tc>
          <w:tcPr>
            <w:tcW w:w="546" w:type="pct"/>
            <w:vMerge w:val="continue"/>
            <w:tcBorders>
              <w:tl2br w:val="nil"/>
              <w:tr2bl w:val="nil"/>
            </w:tcBorders>
            <w:vAlign w:val="center"/>
          </w:tcPr>
          <w:p>
            <w:pPr>
              <w:pStyle w:val="28"/>
              <w:widowControl w:val="0"/>
              <w:rPr>
                <w:b/>
                <w:bCs/>
                <w:color w:val="auto"/>
                <w:highlight w:val="none"/>
              </w:rPr>
            </w:pPr>
          </w:p>
        </w:tc>
        <w:tc>
          <w:tcPr>
            <w:tcW w:w="663" w:type="pct"/>
            <w:vMerge w:val="continue"/>
            <w:tcBorders>
              <w:tl2br w:val="nil"/>
              <w:tr2bl w:val="nil"/>
            </w:tcBorders>
            <w:vAlign w:val="center"/>
          </w:tcPr>
          <w:p>
            <w:pPr>
              <w:pStyle w:val="28"/>
              <w:widowControl w:val="0"/>
              <w:rPr>
                <w:b/>
                <w:bCs/>
                <w:color w:val="auto"/>
                <w:highlight w:val="none"/>
              </w:rPr>
            </w:pPr>
          </w:p>
        </w:tc>
        <w:tc>
          <w:tcPr>
            <w:tcW w:w="507" w:type="pct"/>
            <w:vMerge w:val="continue"/>
            <w:tcBorders>
              <w:tl2br w:val="nil"/>
              <w:tr2bl w:val="nil"/>
            </w:tcBorders>
            <w:vAlign w:val="center"/>
          </w:tcPr>
          <w:p>
            <w:pPr>
              <w:pStyle w:val="28"/>
              <w:widowControl w:val="0"/>
              <w:rPr>
                <w:b/>
                <w:bCs/>
                <w:color w:val="auto"/>
                <w:highlight w:val="none"/>
              </w:rPr>
            </w:pPr>
          </w:p>
        </w:tc>
        <w:tc>
          <w:tcPr>
            <w:tcW w:w="459" w:type="pct"/>
            <w:vMerge w:val="continue"/>
            <w:tcBorders>
              <w:tl2br w:val="nil"/>
              <w:tr2bl w:val="nil"/>
            </w:tcBorders>
            <w:vAlign w:val="center"/>
          </w:tcPr>
          <w:p>
            <w:pPr>
              <w:pStyle w:val="28"/>
              <w:widowControl w:val="0"/>
              <w:rPr>
                <w:b/>
                <w:bCs/>
                <w:color w:val="auto"/>
                <w:highlight w:val="none"/>
              </w:rPr>
            </w:pPr>
          </w:p>
        </w:tc>
        <w:tc>
          <w:tcPr>
            <w:tcW w:w="578" w:type="pct"/>
            <w:vMerge w:val="continue"/>
            <w:tcBorders>
              <w:tl2br w:val="nil"/>
              <w:tr2bl w:val="nil"/>
            </w:tcBorders>
            <w:vAlign w:val="center"/>
          </w:tcPr>
          <w:p>
            <w:pPr>
              <w:pStyle w:val="28"/>
              <w:widowControl w:val="0"/>
              <w:rPr>
                <w:b/>
                <w:bCs/>
                <w:color w:val="auto"/>
                <w:highlight w:val="none"/>
              </w:rPr>
            </w:pPr>
          </w:p>
        </w:tc>
        <w:tc>
          <w:tcPr>
            <w:tcW w:w="351" w:type="pct"/>
            <w:vMerge w:val="continue"/>
            <w:tcBorders>
              <w:tl2br w:val="nil"/>
              <w:tr2bl w:val="nil"/>
            </w:tcBorders>
            <w:vAlign w:val="center"/>
          </w:tcPr>
          <w:p>
            <w:pPr>
              <w:pStyle w:val="28"/>
              <w:widowControl w:val="0"/>
              <w:rPr>
                <w:b/>
                <w:bCs/>
                <w:color w:val="auto"/>
                <w:highlight w:val="none"/>
              </w:rPr>
            </w:pPr>
          </w:p>
        </w:tc>
        <w:tc>
          <w:tcPr>
            <w:tcW w:w="536"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NH</w:t>
            </w:r>
            <w:r>
              <w:rPr>
                <w:rFonts w:hint="eastAsia"/>
                <w:b/>
                <w:bCs/>
                <w:color w:val="auto"/>
                <w:highlight w:val="none"/>
                <w:vertAlign w:val="subscript"/>
              </w:rPr>
              <w:t>3</w:t>
            </w:r>
          </w:p>
        </w:tc>
        <w:tc>
          <w:tcPr>
            <w:tcW w:w="539" w:type="pct"/>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601" w:type="pct"/>
            <w:tcBorders>
              <w:tl2br w:val="nil"/>
              <w:tr2bl w:val="nil"/>
            </w:tcBorders>
            <w:vAlign w:val="center"/>
          </w:tcPr>
          <w:p>
            <w:pPr>
              <w:pStyle w:val="28"/>
              <w:widowControl w:val="0"/>
              <w:rPr>
                <w:color w:val="auto"/>
                <w:highlight w:val="none"/>
              </w:rPr>
            </w:pPr>
            <w:r>
              <w:rPr>
                <w:rFonts w:hint="eastAsia"/>
                <w:color w:val="auto"/>
                <w:highlight w:val="none"/>
              </w:rPr>
              <w:t>P1排气筒</w:t>
            </w: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663" w:type="pct"/>
            <w:tcBorders>
              <w:tl2br w:val="nil"/>
              <w:tr2bl w:val="nil"/>
            </w:tcBorders>
            <w:vAlign w:val="center"/>
          </w:tcPr>
          <w:p>
            <w:pPr>
              <w:pStyle w:val="28"/>
              <w:widowControl w:val="0"/>
              <w:rPr>
                <w:color w:val="auto"/>
                <w:highlight w:val="none"/>
              </w:rPr>
            </w:pPr>
            <w:r>
              <w:rPr>
                <w:rFonts w:hint="eastAsia"/>
                <w:color w:val="auto"/>
                <w:highlight w:val="none"/>
              </w:rPr>
              <w:t>0.8</w:t>
            </w:r>
          </w:p>
        </w:tc>
        <w:tc>
          <w:tcPr>
            <w:tcW w:w="507" w:type="pct"/>
            <w:tcBorders>
              <w:tl2br w:val="nil"/>
              <w:tr2bl w:val="nil"/>
            </w:tcBorders>
            <w:vAlign w:val="center"/>
          </w:tcPr>
          <w:p>
            <w:pPr>
              <w:pStyle w:val="28"/>
              <w:widowControl w:val="0"/>
              <w:rPr>
                <w:color w:val="auto"/>
                <w:highlight w:val="none"/>
              </w:rPr>
            </w:pPr>
            <w:r>
              <w:rPr>
                <w:rFonts w:hint="eastAsia"/>
                <w:color w:val="auto"/>
                <w:highlight w:val="none"/>
              </w:rPr>
              <w:t>8.84</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8400</w:t>
            </w:r>
          </w:p>
        </w:tc>
        <w:tc>
          <w:tcPr>
            <w:tcW w:w="351"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033" w:type="dxa"/>
            <w:tcBorders>
              <w:tl2br w:val="nil"/>
              <w:tr2bl w:val="nil"/>
            </w:tcBorders>
            <w:vAlign w:val="center"/>
          </w:tcPr>
          <w:p>
            <w:pPr>
              <w:pStyle w:val="28"/>
              <w:widowControl w:val="0"/>
              <w:rPr>
                <w:color w:val="auto"/>
                <w:highlight w:val="none"/>
              </w:rPr>
            </w:pPr>
            <w:r>
              <w:rPr>
                <w:rFonts w:hint="eastAsia"/>
                <w:color w:val="auto"/>
                <w:highlight w:val="none"/>
              </w:rPr>
              <w:t>0.0054</w:t>
            </w:r>
          </w:p>
        </w:tc>
        <w:tc>
          <w:tcPr>
            <w:tcW w:w="1036" w:type="dxa"/>
            <w:tcBorders>
              <w:tl2br w:val="nil"/>
              <w:tr2bl w:val="nil"/>
            </w:tcBorders>
            <w:vAlign w:val="center"/>
          </w:tcPr>
          <w:p>
            <w:pPr>
              <w:pStyle w:val="28"/>
              <w:widowControl w:val="0"/>
              <w:rPr>
                <w:color w:val="auto"/>
                <w:highlight w:val="none"/>
              </w:rPr>
            </w:pPr>
            <w:r>
              <w:rPr>
                <w:rFonts w:hint="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601" w:type="pct"/>
            <w:tcBorders>
              <w:tl2br w:val="nil"/>
              <w:tr2bl w:val="nil"/>
            </w:tcBorders>
            <w:vAlign w:val="center"/>
          </w:tcPr>
          <w:p>
            <w:pPr>
              <w:pStyle w:val="28"/>
              <w:widowControl w:val="0"/>
              <w:rPr>
                <w:color w:val="auto"/>
                <w:highlight w:val="none"/>
              </w:rPr>
            </w:pPr>
            <w:r>
              <w:rPr>
                <w:rFonts w:hint="eastAsia"/>
                <w:color w:val="auto"/>
                <w:highlight w:val="none"/>
              </w:rPr>
              <w:t>P2排气筒</w:t>
            </w: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663"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507" w:type="pct"/>
            <w:tcBorders>
              <w:tl2br w:val="nil"/>
              <w:tr2bl w:val="nil"/>
            </w:tcBorders>
            <w:vAlign w:val="center"/>
          </w:tcPr>
          <w:p>
            <w:pPr>
              <w:pStyle w:val="28"/>
              <w:widowControl w:val="0"/>
              <w:rPr>
                <w:color w:val="auto"/>
                <w:highlight w:val="none"/>
              </w:rPr>
            </w:pPr>
            <w:r>
              <w:rPr>
                <w:rFonts w:hint="eastAsia"/>
                <w:color w:val="auto"/>
                <w:highlight w:val="none"/>
              </w:rPr>
              <w:t>11.3</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2800</w:t>
            </w:r>
          </w:p>
        </w:tc>
        <w:tc>
          <w:tcPr>
            <w:tcW w:w="351"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033" w:type="dxa"/>
            <w:tcBorders>
              <w:tl2br w:val="nil"/>
              <w:tr2bl w:val="nil"/>
            </w:tcBorders>
            <w:vAlign w:val="center"/>
          </w:tcPr>
          <w:p>
            <w:pPr>
              <w:pStyle w:val="28"/>
              <w:widowControl w:val="0"/>
              <w:rPr>
                <w:color w:val="auto"/>
                <w:highlight w:val="none"/>
              </w:rPr>
            </w:pPr>
            <w:r>
              <w:rPr>
                <w:rFonts w:hint="eastAsia"/>
                <w:color w:val="auto"/>
                <w:highlight w:val="none"/>
              </w:rPr>
              <w:t>0.0035</w:t>
            </w:r>
          </w:p>
        </w:tc>
        <w:tc>
          <w:tcPr>
            <w:tcW w:w="1036" w:type="dxa"/>
            <w:tcBorders>
              <w:tl2br w:val="nil"/>
              <w:tr2bl w:val="nil"/>
            </w:tcBorders>
            <w:vAlign w:val="center"/>
          </w:tcPr>
          <w:p>
            <w:pPr>
              <w:pStyle w:val="28"/>
              <w:widowControl w:val="0"/>
              <w:rPr>
                <w:color w:val="auto"/>
                <w:highlight w:val="none"/>
              </w:rPr>
            </w:pPr>
            <w:r>
              <w:rPr>
                <w:rFonts w:hint="eastAsia"/>
                <w:color w:val="auto"/>
                <w:highlight w:val="none"/>
              </w:rPr>
              <w:t>0.0002</w:t>
            </w:r>
          </w:p>
        </w:tc>
      </w:tr>
    </w:tbl>
    <w:p>
      <w:pPr>
        <w:pStyle w:val="27"/>
        <w:widowControl w:val="0"/>
        <w:rPr>
          <w:color w:val="auto"/>
          <w:highlight w:val="none"/>
        </w:rPr>
      </w:pPr>
      <w:r>
        <w:rPr>
          <w:rFonts w:hint="eastAsia"/>
          <w:color w:val="auto"/>
          <w:highlight w:val="none"/>
        </w:rPr>
        <w:t>天然气燃烧废气污染源参数一览表（点源）</w:t>
      </w:r>
    </w:p>
    <w:tbl>
      <w:tblPr>
        <w:tblStyle w:val="22"/>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10"/>
        <w:gridCol w:w="1020"/>
        <w:gridCol w:w="1021"/>
        <w:gridCol w:w="1156"/>
        <w:gridCol w:w="1006"/>
        <w:gridCol w:w="839"/>
        <w:gridCol w:w="1021"/>
        <w:gridCol w:w="704"/>
        <w:gridCol w:w="854"/>
        <w:gridCol w:w="660"/>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9" w:hRule="atLeast"/>
        </w:trPr>
        <w:tc>
          <w:tcPr>
            <w:tcW w:w="21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排气筒高度（m）</w:t>
            </w:r>
          </w:p>
        </w:tc>
        <w:tc>
          <w:tcPr>
            <w:tcW w:w="60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排气筒出口内径（m）</w:t>
            </w:r>
          </w:p>
        </w:tc>
        <w:tc>
          <w:tcPr>
            <w:tcW w:w="52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烟气流速（m/s）</w:t>
            </w:r>
          </w:p>
        </w:tc>
        <w:tc>
          <w:tcPr>
            <w:tcW w:w="44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烟气温度（</w:t>
            </w:r>
            <w:r>
              <w:rPr>
                <w:b/>
                <w:bCs/>
                <w:color w:val="auto"/>
                <w:highlight w:val="none"/>
              </w:rPr>
              <w:t>℃</w:t>
            </w:r>
            <w:r>
              <w:rPr>
                <w:rFonts w:hint="eastAsia"/>
                <w:b/>
                <w:bCs/>
                <w:color w:val="auto"/>
                <w:highlight w:val="none"/>
              </w:rPr>
              <w:t>）</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年排放小时数（h）</w:t>
            </w:r>
          </w:p>
        </w:tc>
        <w:tc>
          <w:tcPr>
            <w:tcW w:w="37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1225"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16"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607" w:type="pct"/>
            <w:vMerge w:val="continue"/>
            <w:tcBorders>
              <w:tl2br w:val="nil"/>
              <w:tr2bl w:val="nil"/>
            </w:tcBorders>
            <w:vAlign w:val="center"/>
          </w:tcPr>
          <w:p>
            <w:pPr>
              <w:pStyle w:val="28"/>
              <w:widowControl w:val="0"/>
              <w:rPr>
                <w:b/>
                <w:bCs/>
                <w:color w:val="auto"/>
                <w:highlight w:val="none"/>
              </w:rPr>
            </w:pPr>
          </w:p>
        </w:tc>
        <w:tc>
          <w:tcPr>
            <w:tcW w:w="528" w:type="pct"/>
            <w:vMerge w:val="continue"/>
            <w:tcBorders>
              <w:tl2br w:val="nil"/>
              <w:tr2bl w:val="nil"/>
            </w:tcBorders>
            <w:vAlign w:val="center"/>
          </w:tcPr>
          <w:p>
            <w:pPr>
              <w:pStyle w:val="28"/>
              <w:widowControl w:val="0"/>
              <w:rPr>
                <w:b/>
                <w:bCs/>
                <w:color w:val="auto"/>
                <w:highlight w:val="none"/>
              </w:rPr>
            </w:pPr>
          </w:p>
        </w:tc>
        <w:tc>
          <w:tcPr>
            <w:tcW w:w="441"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370" w:type="pct"/>
            <w:vMerge w:val="continue"/>
            <w:tcBorders>
              <w:tl2br w:val="nil"/>
              <w:tr2bl w:val="nil"/>
            </w:tcBorders>
            <w:vAlign w:val="center"/>
          </w:tcPr>
          <w:p>
            <w:pPr>
              <w:pStyle w:val="28"/>
              <w:widowControl w:val="0"/>
              <w:rPr>
                <w:b/>
                <w:bCs/>
                <w:color w:val="auto"/>
                <w:highlight w:val="none"/>
              </w:rPr>
            </w:pPr>
          </w:p>
        </w:tc>
        <w:tc>
          <w:tcPr>
            <w:tcW w:w="449"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SO</w:t>
            </w:r>
            <w:r>
              <w:rPr>
                <w:rFonts w:hint="eastAsia"/>
                <w:b/>
                <w:bCs/>
                <w:color w:val="auto"/>
                <w:highlight w:val="none"/>
                <w:vertAlign w:val="subscript"/>
              </w:rPr>
              <w:t>2</w:t>
            </w:r>
          </w:p>
        </w:tc>
        <w:tc>
          <w:tcPr>
            <w:tcW w:w="347" w:type="pct"/>
            <w:tcBorders>
              <w:tl2br w:val="nil"/>
              <w:tr2bl w:val="nil"/>
            </w:tcBorders>
            <w:vAlign w:val="center"/>
          </w:tcPr>
          <w:p>
            <w:pPr>
              <w:pStyle w:val="28"/>
              <w:widowControl w:val="0"/>
              <w:rPr>
                <w:b/>
                <w:bCs/>
                <w:color w:val="auto"/>
                <w:highlight w:val="none"/>
              </w:rPr>
            </w:pPr>
            <w:r>
              <w:rPr>
                <w:rFonts w:hint="eastAsia"/>
                <w:b/>
                <w:bCs/>
                <w:color w:val="auto"/>
                <w:highlight w:val="none"/>
              </w:rPr>
              <w:t>NOx</w:t>
            </w:r>
          </w:p>
        </w:tc>
        <w:tc>
          <w:tcPr>
            <w:tcW w:w="429" w:type="pct"/>
            <w:tcBorders>
              <w:tl2br w:val="nil"/>
              <w:tr2bl w:val="nil"/>
            </w:tcBorders>
            <w:vAlign w:val="center"/>
          </w:tcPr>
          <w:p>
            <w:pPr>
              <w:pStyle w:val="28"/>
              <w:widowControl w:val="0"/>
              <w:rPr>
                <w:b/>
                <w:bCs/>
                <w:color w:val="auto"/>
                <w:highlight w:val="none"/>
              </w:rPr>
            </w:pPr>
            <w:r>
              <w:rPr>
                <w:rFonts w:hint="eastAsia"/>
                <w:b/>
                <w:bCs/>
                <w:color w:val="auto"/>
                <w:highlight w:val="none"/>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16"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P3排气筒</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lang w:val="en-US" w:eastAsia="zh-CN"/>
              </w:rPr>
              <w:t>8</w:t>
            </w:r>
          </w:p>
        </w:tc>
        <w:tc>
          <w:tcPr>
            <w:tcW w:w="607" w:type="pct"/>
            <w:tcBorders>
              <w:tl2br w:val="nil"/>
              <w:tr2bl w:val="nil"/>
            </w:tcBorders>
            <w:vAlign w:val="center"/>
          </w:tcPr>
          <w:p>
            <w:pPr>
              <w:pStyle w:val="28"/>
              <w:widowControl w:val="0"/>
              <w:rPr>
                <w:color w:val="auto"/>
                <w:highlight w:val="none"/>
              </w:rPr>
            </w:pPr>
            <w:r>
              <w:rPr>
                <w:rFonts w:hint="eastAsia"/>
                <w:color w:val="auto"/>
                <w:highlight w:val="none"/>
              </w:rPr>
              <w:t>0.4</w:t>
            </w:r>
          </w:p>
        </w:tc>
        <w:tc>
          <w:tcPr>
            <w:tcW w:w="528"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50</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8400</w:t>
            </w:r>
          </w:p>
        </w:tc>
        <w:tc>
          <w:tcPr>
            <w:tcW w:w="370"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449" w:type="pct"/>
            <w:tcBorders>
              <w:tl2br w:val="nil"/>
              <w:tr2bl w:val="nil"/>
            </w:tcBorders>
            <w:vAlign w:val="center"/>
          </w:tcPr>
          <w:p>
            <w:pPr>
              <w:pStyle w:val="28"/>
              <w:widowControl w:val="0"/>
              <w:rPr>
                <w:color w:val="auto"/>
                <w:highlight w:val="none"/>
              </w:rPr>
            </w:pPr>
            <w:r>
              <w:rPr>
                <w:rFonts w:hint="eastAsia"/>
                <w:color w:val="auto"/>
                <w:highlight w:val="none"/>
              </w:rPr>
              <w:t>0.02</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0.089</w:t>
            </w:r>
          </w:p>
        </w:tc>
        <w:tc>
          <w:tcPr>
            <w:tcW w:w="429" w:type="pct"/>
            <w:tcBorders>
              <w:tl2br w:val="nil"/>
              <w:tr2bl w:val="nil"/>
            </w:tcBorders>
            <w:vAlign w:val="center"/>
          </w:tcPr>
          <w:p>
            <w:pPr>
              <w:pStyle w:val="28"/>
              <w:widowControl w:val="0"/>
              <w:rPr>
                <w:color w:val="auto"/>
                <w:highlight w:val="none"/>
              </w:rPr>
            </w:pPr>
            <w:r>
              <w:rPr>
                <w:rFonts w:hint="eastAsia"/>
                <w:color w:val="auto"/>
                <w:highlight w:val="none"/>
              </w:rPr>
              <w:t>0.012</w:t>
            </w:r>
          </w:p>
        </w:tc>
      </w:tr>
    </w:tbl>
    <w:p>
      <w:pPr>
        <w:pStyle w:val="27"/>
        <w:widowControl w:val="0"/>
        <w:rPr>
          <w:color w:val="auto"/>
          <w:highlight w:val="none"/>
        </w:rPr>
      </w:pPr>
      <w:r>
        <w:rPr>
          <w:rFonts w:hint="eastAsia"/>
          <w:color w:val="auto"/>
          <w:highlight w:val="none"/>
        </w:rPr>
        <w:t>恶臭废气污染源参数一览表（面源）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7"/>
        <w:gridCol w:w="1069"/>
        <w:gridCol w:w="880"/>
        <w:gridCol w:w="880"/>
        <w:gridCol w:w="880"/>
        <w:gridCol w:w="1065"/>
        <w:gridCol w:w="750"/>
        <w:gridCol w:w="1407"/>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1926" w:type="dxa"/>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2640" w:type="dxa"/>
            <w:gridSpan w:val="3"/>
            <w:tcBorders>
              <w:tl2br w:val="nil"/>
              <w:tr2bl w:val="nil"/>
            </w:tcBorders>
            <w:vAlign w:val="center"/>
          </w:tcPr>
          <w:p>
            <w:pPr>
              <w:pStyle w:val="28"/>
              <w:widowControl w:val="0"/>
              <w:rPr>
                <w:b/>
                <w:bCs/>
                <w:color w:val="auto"/>
                <w:highlight w:val="none"/>
              </w:rPr>
            </w:pPr>
            <w:r>
              <w:rPr>
                <w:rFonts w:hint="eastAsia"/>
                <w:b/>
                <w:bCs/>
                <w:color w:val="auto"/>
                <w:highlight w:val="none"/>
              </w:rPr>
              <w:t>面源参数</w:t>
            </w:r>
          </w:p>
        </w:tc>
        <w:tc>
          <w:tcPr>
            <w:tcW w:w="106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年排放小时数（h）</w:t>
            </w:r>
          </w:p>
        </w:tc>
        <w:tc>
          <w:tcPr>
            <w:tcW w:w="75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2814"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continue"/>
            <w:tcBorders>
              <w:tl2br w:val="nil"/>
              <w:tr2bl w:val="nil"/>
            </w:tcBorders>
            <w:vAlign w:val="center"/>
          </w:tcPr>
          <w:p>
            <w:pPr>
              <w:pStyle w:val="28"/>
              <w:widowControl w:val="0"/>
              <w:rPr>
                <w:b/>
                <w:bCs/>
                <w:color w:val="auto"/>
                <w:highlight w:val="none"/>
              </w:rPr>
            </w:pPr>
          </w:p>
        </w:tc>
        <w:tc>
          <w:tcPr>
            <w:tcW w:w="1926" w:type="dxa"/>
            <w:gridSpan w:val="2"/>
            <w:vMerge w:val="continue"/>
            <w:tcBorders>
              <w:tl2br w:val="nil"/>
              <w:tr2bl w:val="nil"/>
            </w:tcBorders>
            <w:vAlign w:val="center"/>
          </w:tcPr>
          <w:p>
            <w:pPr>
              <w:pStyle w:val="28"/>
              <w:widowControl w:val="0"/>
              <w:rPr>
                <w:b/>
                <w:bCs/>
                <w:color w:val="auto"/>
                <w:highlight w:val="none"/>
              </w:rPr>
            </w:pP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长（m）</w:t>
            </w: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宽（m）</w:t>
            </w: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高（m）</w:t>
            </w:r>
          </w:p>
        </w:tc>
        <w:tc>
          <w:tcPr>
            <w:tcW w:w="1065" w:type="dxa"/>
            <w:vMerge w:val="continue"/>
            <w:tcBorders>
              <w:tl2br w:val="nil"/>
              <w:tr2bl w:val="nil"/>
            </w:tcBorders>
            <w:vAlign w:val="center"/>
          </w:tcPr>
          <w:p>
            <w:pPr>
              <w:pStyle w:val="28"/>
              <w:widowControl w:val="0"/>
              <w:rPr>
                <w:b/>
                <w:bCs/>
                <w:color w:val="auto"/>
                <w:highlight w:val="none"/>
              </w:rPr>
            </w:pPr>
          </w:p>
        </w:tc>
        <w:tc>
          <w:tcPr>
            <w:tcW w:w="750" w:type="dxa"/>
            <w:vMerge w:val="continue"/>
            <w:tcBorders>
              <w:tl2br w:val="nil"/>
              <w:tr2bl w:val="nil"/>
            </w:tcBorders>
            <w:vAlign w:val="center"/>
          </w:tcPr>
          <w:p>
            <w:pPr>
              <w:pStyle w:val="28"/>
              <w:widowControl w:val="0"/>
              <w:rPr>
                <w:b/>
                <w:bCs/>
                <w:color w:val="auto"/>
                <w:highlight w:val="none"/>
              </w:rPr>
            </w:pPr>
          </w:p>
        </w:tc>
        <w:tc>
          <w:tcPr>
            <w:tcW w:w="1407" w:type="dxa"/>
            <w:tcBorders>
              <w:tl2br w:val="nil"/>
              <w:tr2bl w:val="nil"/>
            </w:tcBorders>
            <w:vAlign w:val="center"/>
          </w:tcPr>
          <w:p>
            <w:pPr>
              <w:pStyle w:val="28"/>
              <w:widowControl w:val="0"/>
              <w:rPr>
                <w:b/>
                <w:bCs/>
                <w:color w:val="auto"/>
                <w:highlight w:val="none"/>
              </w:rPr>
            </w:pPr>
            <w:r>
              <w:rPr>
                <w:rFonts w:hint="eastAsia"/>
                <w:b/>
                <w:bCs/>
                <w:color w:val="auto"/>
                <w:highlight w:val="none"/>
              </w:rPr>
              <w:t>NH</w:t>
            </w:r>
            <w:r>
              <w:rPr>
                <w:rFonts w:hint="eastAsia"/>
                <w:b/>
                <w:bCs/>
                <w:color w:val="auto"/>
                <w:highlight w:val="none"/>
                <w:vertAlign w:val="subscript"/>
              </w:rPr>
              <w:t>3</w:t>
            </w:r>
          </w:p>
        </w:tc>
        <w:tc>
          <w:tcPr>
            <w:tcW w:w="1407" w:type="dxa"/>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857" w:type="dxa"/>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1069" w:type="dxa"/>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150</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64</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8</w:t>
            </w:r>
          </w:p>
        </w:tc>
        <w:tc>
          <w:tcPr>
            <w:tcW w:w="1065" w:type="dxa"/>
            <w:vMerge w:val="restart"/>
            <w:tcBorders>
              <w:tl2br w:val="nil"/>
              <w:tr2bl w:val="nil"/>
            </w:tcBorders>
            <w:vAlign w:val="center"/>
          </w:tcPr>
          <w:p>
            <w:pPr>
              <w:pStyle w:val="28"/>
              <w:widowControl w:val="0"/>
              <w:rPr>
                <w:color w:val="auto"/>
                <w:highlight w:val="none"/>
              </w:rPr>
            </w:pPr>
            <w:r>
              <w:rPr>
                <w:rFonts w:hint="eastAsia"/>
                <w:color w:val="auto"/>
                <w:highlight w:val="none"/>
              </w:rPr>
              <w:t>2800</w:t>
            </w:r>
          </w:p>
        </w:tc>
        <w:tc>
          <w:tcPr>
            <w:tcW w:w="750" w:type="dxa"/>
            <w:vMerge w:val="restar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857" w:type="dxa"/>
            <w:vMerge w:val="continue"/>
            <w:tcBorders>
              <w:tl2br w:val="nil"/>
              <w:tr2bl w:val="nil"/>
            </w:tcBorders>
            <w:vAlign w:val="center"/>
          </w:tcPr>
          <w:p>
            <w:pPr>
              <w:pStyle w:val="28"/>
              <w:widowControl w:val="0"/>
              <w:rPr>
                <w:color w:val="auto"/>
                <w:highlight w:val="none"/>
              </w:rPr>
            </w:pPr>
          </w:p>
        </w:tc>
        <w:tc>
          <w:tcPr>
            <w:tcW w:w="1069" w:type="dxa"/>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65</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1200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0.0036</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926" w:type="dxa"/>
            <w:gridSpan w:val="2"/>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90</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32</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8400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0.004</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1926" w:type="dxa"/>
            <w:gridSpan w:val="2"/>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41</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8400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0.0001</w:t>
            </w:r>
          </w:p>
        </w:tc>
      </w:tr>
    </w:tbl>
    <w:p>
      <w:pPr>
        <w:widowControl w:val="0"/>
        <w:ind w:firstLine="482"/>
        <w:rPr>
          <w:color w:val="auto"/>
          <w:highlight w:val="none"/>
        </w:rPr>
      </w:pPr>
      <w:r>
        <w:rPr>
          <w:rFonts w:hint="eastAsia"/>
          <w:b/>
          <w:bCs/>
          <w:color w:val="auto"/>
          <w:highlight w:val="none"/>
        </w:rPr>
        <w:t>（2）核实大气评价等级及范围</w:t>
      </w:r>
    </w:p>
    <w:p>
      <w:pPr>
        <w:widowControl w:val="0"/>
        <w:ind w:firstLine="480"/>
        <w:rPr>
          <w:color w:val="auto"/>
          <w:highlight w:val="none"/>
        </w:rPr>
      </w:pPr>
      <w:r>
        <w:rPr>
          <w:rFonts w:hint="eastAsia"/>
          <w:color w:val="auto"/>
          <w:highlight w:val="none"/>
        </w:rPr>
        <w:t>根据《环境影响评价技术导则 大气环境》（</w:t>
      </w:r>
      <w:r>
        <w:rPr>
          <w:color w:val="auto"/>
          <w:highlight w:val="none"/>
        </w:rPr>
        <w:t>HJ 2.2-2018</w:t>
      </w:r>
      <w:r>
        <w:rPr>
          <w:rFonts w:hint="eastAsia"/>
          <w:color w:val="auto"/>
          <w:highlight w:val="none"/>
        </w:rPr>
        <w:t>），选择项目污染源正常排放的主要污染物及排放参数，采用附录</w:t>
      </w:r>
      <w:r>
        <w:rPr>
          <w:color w:val="auto"/>
          <w:highlight w:val="none"/>
        </w:rPr>
        <w:t>A</w:t>
      </w:r>
      <w:r>
        <w:rPr>
          <w:rFonts w:hint="eastAsia"/>
          <w:color w:val="auto"/>
          <w:highlight w:val="none"/>
        </w:rPr>
        <w:t>推荐模型中估算模型</w:t>
      </w:r>
      <w:r>
        <w:rPr>
          <w:color w:val="auto"/>
          <w:highlight w:val="none"/>
        </w:rPr>
        <w:t>AERSCREEN</w:t>
      </w:r>
      <w:r>
        <w:rPr>
          <w:rFonts w:hint="eastAsia"/>
          <w:color w:val="auto"/>
          <w:highlight w:val="none"/>
        </w:rPr>
        <w:t>分别计算项目污染源的大环境影响，然后按评价工作分级判据进行分级。</w:t>
      </w:r>
    </w:p>
    <w:p>
      <w:pPr>
        <w:widowControl w:val="0"/>
        <w:ind w:firstLine="480"/>
        <w:rPr>
          <w:color w:val="auto"/>
          <w:highlight w:val="none"/>
        </w:rPr>
      </w:pPr>
      <w:r>
        <w:rPr>
          <w:rFonts w:hint="eastAsia"/>
          <w:color w:val="auto"/>
          <w:highlight w:val="none"/>
        </w:rPr>
        <w:t>根据《环境影响评价技术导则 大气环境》（</w:t>
      </w:r>
      <w:r>
        <w:rPr>
          <w:color w:val="auto"/>
          <w:highlight w:val="none"/>
        </w:rPr>
        <w:t>HJ 2.2-2018</w:t>
      </w:r>
      <w:r>
        <w:rPr>
          <w:rFonts w:hint="eastAsia"/>
          <w:color w:val="auto"/>
          <w:highlight w:val="none"/>
        </w:rPr>
        <w:t>）中推荐模式中的估算模式进行大气环境影响评价工作分级。</w:t>
      </w:r>
    </w:p>
    <w:p>
      <w:pPr>
        <w:widowControl w:val="0"/>
        <w:ind w:firstLine="480"/>
        <w:rPr>
          <w:color w:val="auto"/>
          <w:highlight w:val="none"/>
        </w:rPr>
      </w:pPr>
      <w:r>
        <w:rPr>
          <w:rFonts w:hint="eastAsia"/>
          <w:color w:val="auto"/>
          <w:highlight w:val="none"/>
        </w:rPr>
        <w:t>计算公式如下：</w:t>
      </w:r>
    </w:p>
    <w:p>
      <w:pPr>
        <w:widowControl w:val="0"/>
        <w:ind w:firstLine="0" w:firstLineChars="0"/>
        <w:jc w:val="center"/>
        <w:rPr>
          <w:color w:val="auto"/>
          <w:highlight w:val="none"/>
        </w:rPr>
      </w:pPr>
      <w:r>
        <w:rPr>
          <w:rFonts w:hint="eastAsia"/>
          <w:color w:val="auto"/>
          <w:position w:val="-30"/>
          <w:highlight w:val="none"/>
        </w:rPr>
        <w:object>
          <v:shape id="_x0000_i1025" o:spt="75" type="#_x0000_t75" style="height:34pt;width:77.7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p>
    <w:p>
      <w:pPr>
        <w:widowControl w:val="0"/>
        <w:ind w:firstLine="480"/>
        <w:rPr>
          <w:color w:val="auto"/>
          <w:highlight w:val="none"/>
        </w:rPr>
      </w:pPr>
      <w:r>
        <w:rPr>
          <w:rFonts w:hint="eastAsia"/>
          <w:color w:val="auto"/>
          <w:highlight w:val="none"/>
        </w:rPr>
        <w:t>式中：</w:t>
      </w:r>
    </w:p>
    <w:p>
      <w:pPr>
        <w:widowControl w:val="0"/>
        <w:ind w:firstLine="480"/>
        <w:rPr>
          <w:color w:val="auto"/>
          <w:highlight w:val="none"/>
        </w:rPr>
      </w:pPr>
      <w:r>
        <w:rPr>
          <w:rFonts w:hint="eastAsia"/>
          <w:color w:val="auto"/>
          <w:highlight w:val="none"/>
        </w:rPr>
        <w:t xml:space="preserve">      </w:t>
      </w:r>
      <w:r>
        <w:rPr>
          <w:color w:val="auto"/>
          <w:highlight w:val="none"/>
        </w:rPr>
        <w:t>P</w:t>
      </w:r>
      <w:r>
        <w:rPr>
          <w:color w:val="auto"/>
          <w:highlight w:val="none"/>
          <w:vertAlign w:val="subscript"/>
        </w:rPr>
        <w:t>i</w:t>
      </w:r>
      <w:r>
        <w:rPr>
          <w:rFonts w:hint="eastAsia"/>
          <w:color w:val="auto"/>
          <w:highlight w:val="none"/>
        </w:rPr>
        <w:t>——第</w:t>
      </w:r>
      <w:r>
        <w:rPr>
          <w:color w:val="auto"/>
          <w:highlight w:val="none"/>
        </w:rPr>
        <w:t>i</w:t>
      </w:r>
      <w:r>
        <w:rPr>
          <w:rFonts w:hint="eastAsia"/>
          <w:color w:val="auto"/>
          <w:highlight w:val="none"/>
        </w:rPr>
        <w:t>个污染物的最大地面空气质量浓度占标率，</w:t>
      </w:r>
      <w:r>
        <w:rPr>
          <w:color w:val="auto"/>
          <w:highlight w:val="none"/>
        </w:rPr>
        <w:t>%</w:t>
      </w:r>
      <w:r>
        <w:rPr>
          <w:rFonts w:hint="eastAsia"/>
          <w:color w:val="auto"/>
          <w:highlight w:val="none"/>
        </w:rPr>
        <w:t>；</w:t>
      </w:r>
    </w:p>
    <w:p>
      <w:pPr>
        <w:widowControl w:val="0"/>
        <w:ind w:firstLine="1200" w:firstLineChars="500"/>
        <w:rPr>
          <w:color w:val="auto"/>
          <w:highlight w:val="none"/>
        </w:rPr>
      </w:pPr>
      <w:r>
        <w:rPr>
          <w:color w:val="auto"/>
          <w:highlight w:val="none"/>
        </w:rPr>
        <w:t>C</w:t>
      </w:r>
      <w:r>
        <w:rPr>
          <w:color w:val="auto"/>
          <w:highlight w:val="none"/>
          <w:vertAlign w:val="subscript"/>
        </w:rPr>
        <w:t>i</w:t>
      </w:r>
      <w:r>
        <w:rPr>
          <w:rFonts w:hint="eastAsia"/>
          <w:color w:val="auto"/>
          <w:highlight w:val="none"/>
        </w:rPr>
        <w:t>——采用估算模式计算出的第</w:t>
      </w:r>
      <w:r>
        <w:rPr>
          <w:color w:val="auto"/>
          <w:highlight w:val="none"/>
        </w:rPr>
        <w:t>i</w:t>
      </w:r>
      <w:r>
        <w:rPr>
          <w:rFonts w:hint="eastAsia"/>
          <w:color w:val="auto"/>
          <w:highlight w:val="none"/>
        </w:rPr>
        <w:t>个污染物的最大</w:t>
      </w:r>
      <w:r>
        <w:rPr>
          <w:color w:val="auto"/>
          <w:highlight w:val="none"/>
        </w:rPr>
        <w:t>1h</w:t>
      </w:r>
      <w:r>
        <w:rPr>
          <w:rFonts w:hint="eastAsia"/>
          <w:color w:val="auto"/>
          <w:highlight w:val="none"/>
        </w:rPr>
        <w:t>地面空气质量浓度，</w:t>
      </w:r>
      <w:r>
        <w:rPr>
          <w:color w:val="auto"/>
          <w:highlight w:val="none"/>
        </w:rPr>
        <w:t>μ</w:t>
      </w:r>
      <w:r>
        <w:rPr>
          <w:rFonts w:hint="eastAsia"/>
          <w:color w:val="auto"/>
          <w:highlight w:val="none"/>
        </w:rPr>
        <w:t>g/m</w:t>
      </w:r>
      <w:r>
        <w:rPr>
          <w:color w:val="auto"/>
          <w:highlight w:val="none"/>
          <w:vertAlign w:val="superscript"/>
        </w:rPr>
        <w:t>3</w:t>
      </w:r>
      <w:r>
        <w:rPr>
          <w:rFonts w:hint="eastAsia"/>
          <w:color w:val="auto"/>
          <w:highlight w:val="none"/>
        </w:rPr>
        <w:t>；</w:t>
      </w:r>
    </w:p>
    <w:p>
      <w:pPr>
        <w:widowControl w:val="0"/>
        <w:ind w:firstLine="1200" w:firstLineChars="500"/>
        <w:rPr>
          <w:color w:val="auto"/>
          <w:highlight w:val="none"/>
        </w:rPr>
      </w:pPr>
      <w:r>
        <w:rPr>
          <w:color w:val="auto"/>
          <w:highlight w:val="none"/>
        </w:rPr>
        <w:t>C</w:t>
      </w:r>
      <w:r>
        <w:rPr>
          <w:rFonts w:hint="eastAsia"/>
          <w:color w:val="auto"/>
          <w:highlight w:val="none"/>
          <w:vertAlign w:val="subscript"/>
        </w:rPr>
        <w:t>0</w:t>
      </w:r>
      <w:r>
        <w:rPr>
          <w:color w:val="auto"/>
          <w:highlight w:val="none"/>
          <w:vertAlign w:val="subscript"/>
        </w:rPr>
        <w:t>i</w:t>
      </w:r>
      <w:r>
        <w:rPr>
          <w:rFonts w:hint="eastAsia"/>
          <w:color w:val="auto"/>
          <w:highlight w:val="none"/>
        </w:rPr>
        <w:t>——第</w:t>
      </w:r>
      <w:r>
        <w:rPr>
          <w:color w:val="auto"/>
          <w:highlight w:val="none"/>
        </w:rPr>
        <w:t>i</w:t>
      </w:r>
      <w:r>
        <w:rPr>
          <w:rFonts w:hint="eastAsia"/>
          <w:color w:val="auto"/>
          <w:highlight w:val="none"/>
        </w:rPr>
        <w:t>个污染物的环境空气质量浓度标准，</w:t>
      </w:r>
      <w:r>
        <w:rPr>
          <w:color w:val="auto"/>
          <w:highlight w:val="none"/>
        </w:rPr>
        <w:t>μ</w:t>
      </w:r>
      <w:r>
        <w:rPr>
          <w:rFonts w:hint="eastAsia"/>
          <w:color w:val="auto"/>
          <w:highlight w:val="none"/>
        </w:rPr>
        <w:t>g/m</w:t>
      </w:r>
      <w:r>
        <w:rPr>
          <w:color w:val="auto"/>
          <w:highlight w:val="none"/>
          <w:vertAlign w:val="superscript"/>
        </w:rPr>
        <w:t>3</w:t>
      </w:r>
      <w:r>
        <w:rPr>
          <w:rFonts w:hint="eastAsia"/>
          <w:color w:val="auto"/>
          <w:highlight w:val="none"/>
        </w:rPr>
        <w:t>。</w:t>
      </w:r>
    </w:p>
    <w:p>
      <w:pPr>
        <w:widowControl w:val="0"/>
        <w:ind w:firstLine="480"/>
        <w:rPr>
          <w:color w:val="auto"/>
          <w:highlight w:val="none"/>
        </w:rPr>
      </w:pPr>
      <w:r>
        <w:rPr>
          <w:rFonts w:hint="eastAsia"/>
          <w:color w:val="auto"/>
          <w:highlight w:val="none"/>
        </w:rPr>
        <w:t>评价工作等级按下表的分级判据进行划分，如果污染物数</w:t>
      </w:r>
      <w:r>
        <w:rPr>
          <w:color w:val="auto"/>
          <w:highlight w:val="none"/>
        </w:rPr>
        <w:t>i</w:t>
      </w:r>
      <w:r>
        <w:rPr>
          <w:rFonts w:hint="eastAsia"/>
          <w:color w:val="auto"/>
          <w:highlight w:val="none"/>
        </w:rPr>
        <w:t>大于</w:t>
      </w:r>
      <w:r>
        <w:rPr>
          <w:color w:val="auto"/>
          <w:highlight w:val="none"/>
        </w:rPr>
        <w:t>1</w:t>
      </w:r>
      <w:r>
        <w:rPr>
          <w:rFonts w:hint="eastAsia"/>
          <w:color w:val="auto"/>
          <w:highlight w:val="none"/>
        </w:rPr>
        <w:t>，取</w:t>
      </w:r>
      <w:r>
        <w:rPr>
          <w:color w:val="auto"/>
          <w:highlight w:val="none"/>
        </w:rPr>
        <w:t>P</w:t>
      </w:r>
      <w:r>
        <w:rPr>
          <w:rFonts w:hint="eastAsia"/>
          <w:color w:val="auto"/>
          <w:highlight w:val="none"/>
        </w:rPr>
        <w:t>值中大者</w:t>
      </w:r>
      <w:r>
        <w:rPr>
          <w:color w:val="auto"/>
          <w:highlight w:val="none"/>
        </w:rPr>
        <w:t>Pmax</w:t>
      </w:r>
      <w:r>
        <w:rPr>
          <w:rFonts w:hint="eastAsia"/>
          <w:color w:val="auto"/>
          <w:highlight w:val="none"/>
        </w:rPr>
        <w:t>。同一项目有多个污染源（两个级以上）时，则按各污染源分别确定其评价等级，并取评价等级高者作为项目的评价等级。</w:t>
      </w:r>
    </w:p>
    <w:p>
      <w:pPr>
        <w:pStyle w:val="27"/>
        <w:widowControl w:val="0"/>
        <w:rPr>
          <w:color w:val="auto"/>
          <w:highlight w:val="none"/>
        </w:rPr>
      </w:pPr>
      <w:r>
        <w:rPr>
          <w:rFonts w:hint="eastAsia"/>
          <w:color w:val="auto"/>
          <w:highlight w:val="none"/>
        </w:rPr>
        <w:t>评价等级判别表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1"/>
        <w:gridCol w:w="4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28"/>
              <w:widowControl w:val="0"/>
              <w:rPr>
                <w:b/>
                <w:bCs/>
                <w:color w:val="auto"/>
                <w:highlight w:val="none"/>
              </w:rPr>
            </w:pPr>
            <w:r>
              <w:rPr>
                <w:rFonts w:hint="eastAsia"/>
                <w:b/>
                <w:bCs/>
                <w:color w:val="auto"/>
                <w:highlight w:val="none"/>
              </w:rPr>
              <w:t>评价工作等级</w:t>
            </w:r>
          </w:p>
        </w:tc>
        <w:tc>
          <w:tcPr>
            <w:tcW w:w="4811" w:type="dxa"/>
            <w:tcBorders>
              <w:tl2br w:val="nil"/>
              <w:tr2bl w:val="nil"/>
            </w:tcBorders>
            <w:vAlign w:val="center"/>
          </w:tcPr>
          <w:p>
            <w:pPr>
              <w:pStyle w:val="28"/>
              <w:widowControl w:val="0"/>
              <w:rPr>
                <w:b/>
                <w:bCs/>
                <w:color w:val="auto"/>
                <w:highlight w:val="none"/>
              </w:rPr>
            </w:pPr>
            <w:r>
              <w:rPr>
                <w:rFonts w:hint="eastAsia"/>
                <w:b/>
                <w:bCs/>
                <w:color w:val="auto"/>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28"/>
              <w:widowControl w:val="0"/>
              <w:rPr>
                <w:color w:val="auto"/>
                <w:highlight w:val="none"/>
              </w:rPr>
            </w:pPr>
            <w:r>
              <w:rPr>
                <w:rFonts w:hint="eastAsia"/>
                <w:color w:val="auto"/>
                <w:highlight w:val="none"/>
              </w:rPr>
              <w:t>一级</w:t>
            </w:r>
          </w:p>
        </w:tc>
        <w:tc>
          <w:tcPr>
            <w:tcW w:w="4811" w:type="dxa"/>
            <w:tcBorders>
              <w:tl2br w:val="nil"/>
              <w:tr2bl w:val="nil"/>
            </w:tcBorders>
            <w:vAlign w:val="center"/>
          </w:tcPr>
          <w:p>
            <w:pPr>
              <w:pStyle w:val="28"/>
              <w:widowControl w:val="0"/>
              <w:rPr>
                <w:color w:val="auto"/>
                <w:highlight w:val="none"/>
              </w:rPr>
            </w:pPr>
            <w:r>
              <w:rPr>
                <w:rFonts w:hint="eastAsia"/>
                <w:color w:val="auto"/>
                <w:highlight w:val="none"/>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28"/>
              <w:widowControl w:val="0"/>
              <w:rPr>
                <w:color w:val="auto"/>
                <w:highlight w:val="none"/>
              </w:rPr>
            </w:pPr>
            <w:r>
              <w:rPr>
                <w:rFonts w:hint="eastAsia"/>
                <w:color w:val="auto"/>
                <w:highlight w:val="none"/>
              </w:rPr>
              <w:t>二级</w:t>
            </w:r>
          </w:p>
        </w:tc>
        <w:tc>
          <w:tcPr>
            <w:tcW w:w="4811" w:type="dxa"/>
            <w:tcBorders>
              <w:tl2br w:val="nil"/>
              <w:tr2bl w:val="nil"/>
            </w:tcBorders>
            <w:vAlign w:val="center"/>
          </w:tcPr>
          <w:p>
            <w:pPr>
              <w:pStyle w:val="28"/>
              <w:widowControl w:val="0"/>
              <w:rPr>
                <w:color w:val="auto"/>
                <w:highlight w:val="none"/>
              </w:rPr>
            </w:pPr>
            <w:r>
              <w:rPr>
                <w:rFonts w:hint="eastAsia"/>
                <w:color w:val="auto"/>
                <w:highlight w:val="none"/>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28"/>
              <w:widowControl w:val="0"/>
              <w:rPr>
                <w:color w:val="auto"/>
                <w:highlight w:val="none"/>
              </w:rPr>
            </w:pPr>
            <w:r>
              <w:rPr>
                <w:rFonts w:hint="eastAsia"/>
                <w:color w:val="auto"/>
                <w:highlight w:val="none"/>
              </w:rPr>
              <w:t>三级</w:t>
            </w:r>
          </w:p>
        </w:tc>
        <w:tc>
          <w:tcPr>
            <w:tcW w:w="4811" w:type="dxa"/>
            <w:tcBorders>
              <w:tl2br w:val="nil"/>
              <w:tr2bl w:val="nil"/>
            </w:tcBorders>
            <w:vAlign w:val="center"/>
          </w:tcPr>
          <w:p>
            <w:pPr>
              <w:pStyle w:val="28"/>
              <w:widowControl w:val="0"/>
              <w:rPr>
                <w:color w:val="auto"/>
                <w:highlight w:val="none"/>
              </w:rPr>
            </w:pPr>
            <w:r>
              <w:rPr>
                <w:rFonts w:hint="eastAsia"/>
                <w:color w:val="auto"/>
                <w:highlight w:val="none"/>
              </w:rPr>
              <w:t>Pmax&lt;1%</w:t>
            </w:r>
          </w:p>
        </w:tc>
      </w:tr>
    </w:tbl>
    <w:p>
      <w:pPr>
        <w:widowControl w:val="0"/>
        <w:ind w:firstLine="480"/>
        <w:rPr>
          <w:color w:val="auto"/>
          <w:highlight w:val="none"/>
        </w:rPr>
      </w:pPr>
      <w:r>
        <w:rPr>
          <w:rFonts w:hint="eastAsia"/>
          <w:color w:val="auto"/>
          <w:highlight w:val="none"/>
        </w:rPr>
        <w:t>同一项目有多个污染源（两个及以上，下同）时，则按各污染源分别确定评价等级，并取评价等级高者作为项目的评价等级。</w:t>
      </w:r>
    </w:p>
    <w:p>
      <w:pPr>
        <w:pStyle w:val="27"/>
        <w:widowControl w:val="0"/>
        <w:rPr>
          <w:color w:val="auto"/>
          <w:highlight w:val="none"/>
        </w:rPr>
      </w:pPr>
      <w:r>
        <w:rPr>
          <w:rFonts w:hint="eastAsia"/>
          <w:color w:val="auto"/>
          <w:highlight w:val="none"/>
        </w:rPr>
        <w:t>估算模型参数</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参数</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城市/农村选项</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城市/农村</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人口数（城市选项时）</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最高环境温度/</w:t>
            </w:r>
            <w:r>
              <w:rPr>
                <w:color w:val="auto"/>
                <w:highlight w:val="none"/>
              </w:rPr>
              <w:t>℃</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40.6</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最低环境温度/</w:t>
            </w:r>
            <w:r>
              <w:rPr>
                <w:color w:val="auto"/>
                <w:highlight w:val="none"/>
              </w:rPr>
              <w:t>℃</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-5.3</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土地利用类型</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区域湿度条件</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是否考虑地形</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考虑地形</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地形数据分辨率/m</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是否考虑岸线熏烟</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考虑岸线熏烟</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岸线距离/km</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岸线方向/°</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27"/>
        <w:widowControl w:val="0"/>
        <w:rPr>
          <w:color w:val="auto"/>
          <w:highlight w:val="none"/>
        </w:rPr>
      </w:pPr>
      <w:r>
        <w:rPr>
          <w:rFonts w:hint="eastAsia"/>
          <w:color w:val="auto"/>
          <w:highlight w:val="none"/>
        </w:rPr>
        <w:t>评价因子和评价标准表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335"/>
        <w:gridCol w:w="2130"/>
        <w:gridCol w:w="5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pStyle w:val="28"/>
              <w:widowControl w:val="0"/>
              <w:rPr>
                <w:b/>
                <w:bCs/>
                <w:color w:val="auto"/>
                <w:highlight w:val="none"/>
              </w:rPr>
            </w:pPr>
            <w:r>
              <w:rPr>
                <w:rFonts w:hint="eastAsia"/>
                <w:b/>
                <w:bCs/>
                <w:color w:val="auto"/>
                <w:highlight w:val="none"/>
              </w:rPr>
              <w:t>评价因子</w:t>
            </w:r>
          </w:p>
        </w:tc>
        <w:tc>
          <w:tcPr>
            <w:tcW w:w="1335" w:type="dxa"/>
            <w:tcBorders>
              <w:tl2br w:val="nil"/>
              <w:tr2bl w:val="nil"/>
            </w:tcBorders>
            <w:vAlign w:val="center"/>
          </w:tcPr>
          <w:p>
            <w:pPr>
              <w:pStyle w:val="28"/>
              <w:widowControl w:val="0"/>
              <w:rPr>
                <w:b/>
                <w:bCs/>
                <w:color w:val="auto"/>
                <w:highlight w:val="none"/>
              </w:rPr>
            </w:pPr>
            <w:r>
              <w:rPr>
                <w:rFonts w:hint="eastAsia"/>
                <w:b/>
                <w:bCs/>
                <w:color w:val="auto"/>
                <w:highlight w:val="none"/>
              </w:rPr>
              <w:t>评价时段</w:t>
            </w:r>
          </w:p>
        </w:tc>
        <w:tc>
          <w:tcPr>
            <w:tcW w:w="2130" w:type="dxa"/>
            <w:tcBorders>
              <w:tl2br w:val="nil"/>
              <w:tr2bl w:val="nil"/>
            </w:tcBorders>
            <w:vAlign w:val="center"/>
          </w:tcPr>
          <w:p>
            <w:pPr>
              <w:pStyle w:val="28"/>
              <w:widowControl w:val="0"/>
              <w:rPr>
                <w:b/>
                <w:bCs/>
                <w:color w:val="auto"/>
                <w:highlight w:val="none"/>
              </w:rPr>
            </w:pPr>
            <w:r>
              <w:rPr>
                <w:rFonts w:hint="eastAsia"/>
                <w:b/>
                <w:bCs/>
                <w:color w:val="auto"/>
                <w:highlight w:val="none"/>
              </w:rPr>
              <w:t>标准值（mg/m</w:t>
            </w:r>
            <w:r>
              <w:rPr>
                <w:b/>
                <w:bCs/>
                <w:color w:val="auto"/>
                <w:highlight w:val="none"/>
                <w:vertAlign w:val="superscript"/>
              </w:rPr>
              <w:t>3</w:t>
            </w:r>
            <w:r>
              <w:rPr>
                <w:rFonts w:hint="eastAsia"/>
                <w:b/>
                <w:bCs/>
                <w:color w:val="auto"/>
                <w:highlight w:val="none"/>
              </w:rPr>
              <w:t>）</w:t>
            </w:r>
          </w:p>
        </w:tc>
        <w:tc>
          <w:tcPr>
            <w:tcW w:w="5034" w:type="dxa"/>
            <w:tcBorders>
              <w:tl2br w:val="nil"/>
              <w:tr2bl w:val="nil"/>
            </w:tcBorders>
            <w:vAlign w:val="center"/>
          </w:tcPr>
          <w:p>
            <w:pPr>
              <w:pStyle w:val="28"/>
              <w:widowControl w:val="0"/>
              <w:rPr>
                <w:b/>
                <w:bCs/>
                <w:color w:val="auto"/>
                <w:highlight w:val="none"/>
              </w:rPr>
            </w:pPr>
            <w:r>
              <w:rPr>
                <w:rFonts w:hint="eastAsia"/>
                <w:b/>
                <w:bCs/>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23" w:type="dxa"/>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1335" w:type="dxa"/>
            <w:tcBorders>
              <w:tl2br w:val="nil"/>
              <w:tr2bl w:val="nil"/>
            </w:tcBorders>
            <w:vAlign w:val="center"/>
          </w:tcPr>
          <w:p>
            <w:pPr>
              <w:pStyle w:val="28"/>
              <w:widowControl w:val="0"/>
              <w:rPr>
                <w:color w:val="auto"/>
                <w:highlight w:val="none"/>
              </w:rPr>
            </w:pPr>
            <w:r>
              <w:rPr>
                <w:rFonts w:hint="eastAsia"/>
                <w:color w:val="auto"/>
                <w:highlight w:val="none"/>
              </w:rPr>
              <w:t>1小时平均</w:t>
            </w:r>
          </w:p>
        </w:tc>
        <w:tc>
          <w:tcPr>
            <w:tcW w:w="2130" w:type="dxa"/>
            <w:tcBorders>
              <w:tl2br w:val="nil"/>
              <w:tr2bl w:val="nil"/>
            </w:tcBorders>
            <w:vAlign w:val="center"/>
          </w:tcPr>
          <w:p>
            <w:pPr>
              <w:pStyle w:val="28"/>
              <w:widowControl w:val="0"/>
              <w:rPr>
                <w:color w:val="auto"/>
                <w:highlight w:val="none"/>
              </w:rPr>
            </w:pPr>
            <w:r>
              <w:rPr>
                <w:rFonts w:hint="eastAsia"/>
                <w:color w:val="auto"/>
                <w:highlight w:val="none"/>
              </w:rPr>
              <w:t>0.2</w:t>
            </w:r>
          </w:p>
        </w:tc>
        <w:tc>
          <w:tcPr>
            <w:tcW w:w="5034" w:type="dxa"/>
            <w:vMerge w:val="restart"/>
            <w:tcBorders>
              <w:tl2br w:val="nil"/>
              <w:tr2bl w:val="nil"/>
            </w:tcBorders>
            <w:vAlign w:val="center"/>
          </w:tcPr>
          <w:p>
            <w:pPr>
              <w:pStyle w:val="28"/>
              <w:widowControl w:val="0"/>
              <w:rPr>
                <w:color w:val="auto"/>
                <w:highlight w:val="none"/>
              </w:rPr>
            </w:pPr>
            <w:r>
              <w:rPr>
                <w:rFonts w:hint="eastAsia"/>
                <w:color w:val="auto"/>
                <w:highlight w:val="none"/>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335" w:type="dxa"/>
            <w:tcBorders>
              <w:tl2br w:val="nil"/>
              <w:tr2bl w:val="nil"/>
            </w:tcBorders>
            <w:vAlign w:val="center"/>
          </w:tcPr>
          <w:p>
            <w:pPr>
              <w:pStyle w:val="28"/>
              <w:widowControl w:val="0"/>
              <w:rPr>
                <w:color w:val="auto"/>
                <w:highlight w:val="none"/>
              </w:rPr>
            </w:pPr>
            <w:r>
              <w:rPr>
                <w:rFonts w:hint="eastAsia"/>
                <w:color w:val="auto"/>
                <w:highlight w:val="none"/>
              </w:rPr>
              <w:t>1小时平均</w:t>
            </w:r>
          </w:p>
        </w:tc>
        <w:tc>
          <w:tcPr>
            <w:tcW w:w="2130"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5034"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widowControl w:val="0"/>
              <w:adjustRightInd w:val="0"/>
              <w:snapToGrid w:val="0"/>
              <w:spacing w:line="240" w:lineRule="auto"/>
              <w:ind w:firstLine="0" w:firstLineChars="0"/>
              <w:jc w:val="center"/>
              <w:rPr>
                <w:color w:val="auto"/>
                <w:highlight w:val="none"/>
                <w:vertAlign w:val="subscript"/>
              </w:rPr>
            </w:pPr>
            <w:r>
              <w:rPr>
                <w:color w:val="auto"/>
                <w:sz w:val="21"/>
                <w:szCs w:val="21"/>
                <w:highlight w:val="none"/>
              </w:rPr>
              <w:t>SO</w:t>
            </w:r>
            <w:r>
              <w:rPr>
                <w:color w:val="auto"/>
                <w:sz w:val="21"/>
                <w:szCs w:val="21"/>
                <w:highlight w:val="none"/>
                <w:vertAlign w:val="subscript"/>
              </w:rPr>
              <w:t>2</w:t>
            </w:r>
          </w:p>
        </w:tc>
        <w:tc>
          <w:tcPr>
            <w:tcW w:w="1335"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24</w:t>
            </w:r>
            <w:r>
              <w:rPr>
                <w:rFonts w:hint="eastAsia"/>
                <w:color w:val="auto"/>
                <w:highlight w:val="none"/>
              </w:rPr>
              <w:t>小时平均</w:t>
            </w:r>
          </w:p>
        </w:tc>
        <w:tc>
          <w:tcPr>
            <w:tcW w:w="2130" w:type="dxa"/>
            <w:tcBorders>
              <w:tl2br w:val="nil"/>
              <w:tr2bl w:val="nil"/>
            </w:tcBorders>
            <w:vAlign w:val="center"/>
          </w:tcPr>
          <w:p>
            <w:pPr>
              <w:pStyle w:val="28"/>
              <w:widowControl w:val="0"/>
              <w:rPr>
                <w:rFonts w:hint="default"/>
                <w:color w:val="auto"/>
                <w:highlight w:val="none"/>
              </w:rPr>
            </w:pPr>
            <w:r>
              <w:rPr>
                <w:rFonts w:hint="eastAsia"/>
                <w:color w:val="auto"/>
                <w:highlight w:val="none"/>
                <w:lang w:eastAsia="zh-CN"/>
              </w:rPr>
              <w:t>0</w:t>
            </w:r>
            <w:r>
              <w:rPr>
                <w:rFonts w:hint="eastAsia"/>
                <w:color w:val="auto"/>
                <w:highlight w:val="none"/>
                <w:lang w:val="en-US" w:eastAsia="zh-CN"/>
              </w:rPr>
              <w:t>.15</w:t>
            </w:r>
          </w:p>
        </w:tc>
        <w:tc>
          <w:tcPr>
            <w:tcW w:w="5034" w:type="dxa"/>
            <w:vMerge w:val="restart"/>
            <w:tcBorders>
              <w:tl2br w:val="nil"/>
              <w:tr2bl w:val="nil"/>
            </w:tcBorders>
            <w:vAlign w:val="center"/>
          </w:tcPr>
          <w:p>
            <w:pPr>
              <w:pStyle w:val="28"/>
              <w:widowControl w:val="0"/>
              <w:rPr>
                <w:color w:val="auto"/>
                <w:highlight w:val="none"/>
              </w:rPr>
            </w:pPr>
            <w:r>
              <w:rPr>
                <w:rFonts w:hint="eastAsia"/>
                <w:color w:val="auto"/>
                <w:highlight w:val="none"/>
              </w:rPr>
              <w:t>《</w:t>
            </w:r>
            <w:r>
              <w:rPr>
                <w:rFonts w:hint="eastAsia"/>
                <w:color w:val="auto"/>
                <w:highlight w:val="none"/>
                <w:lang w:val="en-US" w:eastAsia="zh-CN"/>
              </w:rPr>
              <w:t>环境空气质量标准</w:t>
            </w:r>
            <w:r>
              <w:rPr>
                <w:rFonts w:hint="eastAsia"/>
                <w:color w:val="auto"/>
                <w:highlight w:val="none"/>
              </w:rPr>
              <w:t xml:space="preserve">》（GB </w:t>
            </w:r>
            <w:r>
              <w:rPr>
                <w:rFonts w:hint="eastAsia"/>
                <w:color w:val="auto"/>
                <w:highlight w:val="none"/>
                <w:lang w:val="en-US" w:eastAsia="zh-CN"/>
              </w:rPr>
              <w:t>3095-2012</w:t>
            </w: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NOx</w:t>
            </w:r>
          </w:p>
        </w:tc>
        <w:tc>
          <w:tcPr>
            <w:tcW w:w="1335"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24</w:t>
            </w:r>
            <w:r>
              <w:rPr>
                <w:rFonts w:hint="eastAsia"/>
                <w:color w:val="auto"/>
                <w:highlight w:val="none"/>
              </w:rPr>
              <w:t>小时平均</w:t>
            </w:r>
          </w:p>
        </w:tc>
        <w:tc>
          <w:tcPr>
            <w:tcW w:w="2130" w:type="dxa"/>
            <w:tcBorders>
              <w:tl2br w:val="nil"/>
              <w:tr2bl w:val="nil"/>
            </w:tcBorders>
            <w:vAlign w:val="center"/>
          </w:tcPr>
          <w:p>
            <w:pPr>
              <w:pStyle w:val="28"/>
              <w:widowControl w:val="0"/>
              <w:rPr>
                <w:rFonts w:hint="default"/>
                <w:color w:val="auto"/>
                <w:highlight w:val="none"/>
              </w:rPr>
            </w:pPr>
            <w:r>
              <w:rPr>
                <w:rFonts w:hint="eastAsia"/>
                <w:color w:val="auto"/>
                <w:highlight w:val="none"/>
                <w:lang w:eastAsia="zh-CN"/>
              </w:rPr>
              <w:t>0</w:t>
            </w:r>
            <w:r>
              <w:rPr>
                <w:rFonts w:hint="eastAsia"/>
                <w:color w:val="auto"/>
                <w:highlight w:val="none"/>
                <w:lang w:val="en-US" w:eastAsia="zh-CN"/>
              </w:rPr>
              <w:t>.1</w:t>
            </w:r>
          </w:p>
        </w:tc>
        <w:tc>
          <w:tcPr>
            <w:tcW w:w="5034"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widowControl w:val="0"/>
              <w:adjustRightInd w:val="0"/>
              <w:snapToGrid w:val="0"/>
              <w:spacing w:line="240" w:lineRule="auto"/>
              <w:ind w:firstLine="0" w:firstLineChars="0"/>
              <w:jc w:val="center"/>
              <w:rPr>
                <w:rFonts w:hint="default" w:eastAsia="宋体"/>
                <w:color w:val="auto"/>
                <w:highlight w:val="none"/>
                <w:vertAlign w:val="subscript"/>
                <w:lang w:val="en-US" w:eastAsia="zh-CN"/>
              </w:rPr>
            </w:pPr>
            <w:r>
              <w:rPr>
                <w:rFonts w:hint="eastAsia"/>
                <w:color w:val="auto"/>
                <w:sz w:val="21"/>
                <w:szCs w:val="21"/>
                <w:highlight w:val="none"/>
                <w:lang w:val="en-US" w:eastAsia="zh-CN"/>
              </w:rPr>
              <w:t>TSP</w:t>
            </w:r>
          </w:p>
        </w:tc>
        <w:tc>
          <w:tcPr>
            <w:tcW w:w="1335"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24</w:t>
            </w:r>
            <w:r>
              <w:rPr>
                <w:rFonts w:hint="eastAsia"/>
                <w:color w:val="auto"/>
                <w:highlight w:val="none"/>
              </w:rPr>
              <w:t>小时平均</w:t>
            </w:r>
          </w:p>
        </w:tc>
        <w:tc>
          <w:tcPr>
            <w:tcW w:w="2130" w:type="dxa"/>
            <w:tcBorders>
              <w:tl2br w:val="nil"/>
              <w:tr2bl w:val="nil"/>
            </w:tcBorders>
            <w:vAlign w:val="center"/>
          </w:tcPr>
          <w:p>
            <w:pPr>
              <w:pStyle w:val="28"/>
              <w:widowControl w:val="0"/>
              <w:rPr>
                <w:rFonts w:hint="default"/>
                <w:color w:val="auto"/>
                <w:highlight w:val="none"/>
              </w:rPr>
            </w:pPr>
            <w:r>
              <w:rPr>
                <w:rFonts w:hint="eastAsia"/>
                <w:color w:val="auto"/>
                <w:highlight w:val="none"/>
                <w:lang w:eastAsia="zh-CN"/>
              </w:rPr>
              <w:t>0</w:t>
            </w:r>
            <w:r>
              <w:rPr>
                <w:rFonts w:hint="eastAsia"/>
                <w:color w:val="auto"/>
                <w:highlight w:val="none"/>
                <w:lang w:val="en-US" w:eastAsia="zh-CN"/>
              </w:rPr>
              <w:t>.3</w:t>
            </w:r>
          </w:p>
        </w:tc>
        <w:tc>
          <w:tcPr>
            <w:tcW w:w="5034" w:type="dxa"/>
            <w:vMerge w:val="continue"/>
            <w:tcBorders>
              <w:tl2br w:val="nil"/>
              <w:tr2bl w:val="nil"/>
            </w:tcBorders>
            <w:vAlign w:val="center"/>
          </w:tcPr>
          <w:p>
            <w:pPr>
              <w:pStyle w:val="28"/>
              <w:widowControl w:val="0"/>
              <w:rPr>
                <w:color w:val="auto"/>
                <w:highlight w:val="none"/>
              </w:rPr>
            </w:pPr>
          </w:p>
        </w:tc>
      </w:tr>
    </w:tbl>
    <w:p>
      <w:pPr>
        <w:pStyle w:val="27"/>
        <w:widowControl w:val="0"/>
        <w:rPr>
          <w:color w:val="auto"/>
          <w:highlight w:val="none"/>
        </w:rPr>
      </w:pPr>
      <w:r>
        <w:rPr>
          <w:rFonts w:hint="eastAsia"/>
          <w:color w:val="auto"/>
          <w:highlight w:val="none"/>
        </w:rPr>
        <w:t>有组织废气排放估算结果</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55"/>
        <w:gridCol w:w="856"/>
        <w:gridCol w:w="1229"/>
        <w:gridCol w:w="1950"/>
        <w:gridCol w:w="1959"/>
        <w:gridCol w:w="1121"/>
        <w:gridCol w:w="1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93" w:type="pct"/>
            <w:tcBorders>
              <w:tl2br w:val="nil"/>
              <w:tr2bl w:val="nil"/>
            </w:tcBorders>
            <w:vAlign w:val="center"/>
          </w:tcPr>
          <w:p>
            <w:pPr>
              <w:pStyle w:val="28"/>
              <w:widowControl w:val="0"/>
              <w:rPr>
                <w:b/>
                <w:bCs/>
                <w:color w:val="auto"/>
                <w:highlight w:val="none"/>
              </w:rPr>
            </w:pPr>
            <w:r>
              <w:rPr>
                <w:b/>
                <w:bCs/>
                <w:color w:val="auto"/>
                <w:highlight w:val="none"/>
              </w:rPr>
              <w:t>序号</w:t>
            </w:r>
          </w:p>
        </w:tc>
        <w:tc>
          <w:tcPr>
            <w:tcW w:w="785"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排放源</w:t>
            </w:r>
          </w:p>
        </w:tc>
        <w:tc>
          <w:tcPr>
            <w:tcW w:w="639" w:type="pct"/>
            <w:tcBorders>
              <w:tl2br w:val="nil"/>
              <w:tr2bl w:val="nil"/>
            </w:tcBorders>
            <w:vAlign w:val="center"/>
          </w:tcPr>
          <w:p>
            <w:pPr>
              <w:pStyle w:val="28"/>
              <w:widowControl w:val="0"/>
              <w:rPr>
                <w:b/>
                <w:bCs/>
                <w:color w:val="auto"/>
                <w:highlight w:val="none"/>
              </w:rPr>
            </w:pPr>
            <w:r>
              <w:rPr>
                <w:rFonts w:hint="eastAsia"/>
                <w:b/>
                <w:bCs/>
                <w:color w:val="auto"/>
                <w:highlight w:val="none"/>
              </w:rPr>
              <w:t>评价因子</w:t>
            </w:r>
          </w:p>
        </w:tc>
        <w:tc>
          <w:tcPr>
            <w:tcW w:w="1014" w:type="pct"/>
            <w:tcBorders>
              <w:tl2br w:val="nil"/>
              <w:tr2bl w:val="nil"/>
            </w:tcBorders>
            <w:vAlign w:val="center"/>
          </w:tcPr>
          <w:p>
            <w:pPr>
              <w:pStyle w:val="28"/>
              <w:widowControl w:val="0"/>
              <w:rPr>
                <w:b/>
                <w:bCs/>
                <w:color w:val="auto"/>
                <w:highlight w:val="none"/>
              </w:rPr>
            </w:pPr>
            <w:r>
              <w:rPr>
                <w:b/>
                <w:bCs/>
                <w:color w:val="auto"/>
                <w:highlight w:val="none"/>
              </w:rPr>
              <w:t>最大落地浓度</w:t>
            </w:r>
          </w:p>
          <w:p>
            <w:pPr>
              <w:pStyle w:val="28"/>
              <w:widowControl w:val="0"/>
              <w:rPr>
                <w:b/>
                <w:bCs/>
                <w:color w:val="auto"/>
                <w:highlight w:val="none"/>
              </w:rPr>
            </w:pPr>
            <w:r>
              <w:rPr>
                <w:b/>
                <w:bCs/>
                <w:color w:val="auto"/>
                <w:highlight w:val="none"/>
              </w:rPr>
              <w:t>μ</w:t>
            </w:r>
            <w:r>
              <w:rPr>
                <w:rFonts w:hint="eastAsia"/>
                <w:b/>
                <w:bCs/>
                <w:color w:val="auto"/>
                <w:highlight w:val="none"/>
              </w:rPr>
              <w:t>g</w:t>
            </w:r>
            <w:r>
              <w:rPr>
                <w:b/>
                <w:bCs/>
                <w:color w:val="auto"/>
                <w:highlight w:val="none"/>
              </w:rPr>
              <w:t>/m</w:t>
            </w:r>
            <w:r>
              <w:rPr>
                <w:b/>
                <w:bCs/>
                <w:color w:val="auto"/>
                <w:highlight w:val="none"/>
                <w:vertAlign w:val="superscript"/>
              </w:rPr>
              <w:t>3</w:t>
            </w:r>
          </w:p>
        </w:tc>
        <w:tc>
          <w:tcPr>
            <w:tcW w:w="1019" w:type="pct"/>
            <w:tcBorders>
              <w:tl2br w:val="nil"/>
              <w:tr2bl w:val="nil"/>
            </w:tcBorders>
            <w:vAlign w:val="center"/>
          </w:tcPr>
          <w:p>
            <w:pPr>
              <w:pStyle w:val="28"/>
              <w:widowControl w:val="0"/>
              <w:rPr>
                <w:b/>
                <w:bCs/>
                <w:color w:val="auto"/>
                <w:highlight w:val="none"/>
              </w:rPr>
            </w:pPr>
            <w:r>
              <w:rPr>
                <w:b/>
                <w:bCs/>
                <w:color w:val="auto"/>
                <w:highlight w:val="none"/>
              </w:rPr>
              <w:t>最大占标率%</w:t>
            </w:r>
          </w:p>
        </w:tc>
        <w:tc>
          <w:tcPr>
            <w:tcW w:w="583" w:type="pct"/>
            <w:tcBorders>
              <w:tl2br w:val="nil"/>
              <w:tr2bl w:val="nil"/>
            </w:tcBorders>
            <w:vAlign w:val="center"/>
          </w:tcPr>
          <w:p>
            <w:pPr>
              <w:pStyle w:val="28"/>
              <w:widowControl w:val="0"/>
              <w:rPr>
                <w:b/>
                <w:bCs/>
                <w:color w:val="auto"/>
                <w:highlight w:val="none"/>
              </w:rPr>
            </w:pPr>
            <w:r>
              <w:rPr>
                <w:rFonts w:hint="eastAsia"/>
                <w:b/>
                <w:bCs/>
                <w:color w:val="auto"/>
                <w:highlight w:val="none"/>
              </w:rPr>
              <w:t>D10%</w:t>
            </w:r>
          </w:p>
        </w:tc>
        <w:tc>
          <w:tcPr>
            <w:tcW w:w="665" w:type="pct"/>
            <w:tcBorders>
              <w:tl2br w:val="nil"/>
              <w:tr2bl w:val="nil"/>
            </w:tcBorders>
            <w:vAlign w:val="center"/>
          </w:tcPr>
          <w:p>
            <w:pPr>
              <w:pStyle w:val="28"/>
              <w:widowControl w:val="0"/>
              <w:rPr>
                <w:b/>
                <w:bCs/>
                <w:color w:val="auto"/>
                <w:highlight w:val="none"/>
              </w:rPr>
            </w:pPr>
            <w:r>
              <w:rPr>
                <w:rFonts w:hint="eastAsia"/>
                <w:b/>
                <w:bCs/>
                <w:color w:val="auto"/>
                <w:highlight w:val="none"/>
              </w:rPr>
              <w:t>推荐评价等级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78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P1排气筒</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1.9856</w:t>
            </w:r>
          </w:p>
        </w:tc>
        <w:tc>
          <w:tcPr>
            <w:tcW w:w="1961" w:type="dxa"/>
            <w:tcBorders>
              <w:tl2br w:val="nil"/>
              <w:tr2bl w:val="nil"/>
            </w:tcBorders>
            <w:vAlign w:val="center"/>
          </w:tcPr>
          <w:p>
            <w:pPr>
              <w:pStyle w:val="28"/>
              <w:bidi w:val="0"/>
              <w:ind w:firstLine="0" w:firstLineChars="0"/>
              <w:rPr>
                <w:color w:val="auto"/>
                <w:highlight w:val="none"/>
              </w:rPr>
            </w:pPr>
            <w:r>
              <w:rPr>
                <w:color w:val="auto"/>
                <w:highlight w:val="none"/>
              </w:rPr>
              <w:t>0.9928</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lang w:val="en-US" w:eastAsia="zh-CN"/>
              </w:rPr>
              <w:t>三</w:t>
            </w:r>
            <w:r>
              <w:rPr>
                <w:rFonts w:hint="eastAsia"/>
                <w:color w:val="auto"/>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0.1986</w:t>
            </w:r>
          </w:p>
        </w:tc>
        <w:tc>
          <w:tcPr>
            <w:tcW w:w="1961" w:type="dxa"/>
            <w:tcBorders>
              <w:tl2br w:val="nil"/>
              <w:tr2bl w:val="nil"/>
            </w:tcBorders>
            <w:vAlign w:val="center"/>
          </w:tcPr>
          <w:p>
            <w:pPr>
              <w:pStyle w:val="28"/>
              <w:bidi w:val="0"/>
              <w:ind w:firstLine="0" w:firstLineChars="0"/>
              <w:rPr>
                <w:color w:val="auto"/>
                <w:highlight w:val="none"/>
              </w:rPr>
            </w:pPr>
            <w:r>
              <w:rPr>
                <w:color w:val="auto"/>
                <w:highlight w:val="none"/>
              </w:rPr>
              <w:t>1.9856</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2</w:t>
            </w:r>
          </w:p>
        </w:tc>
        <w:tc>
          <w:tcPr>
            <w:tcW w:w="78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P2排气筒</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1.8613</w:t>
            </w:r>
          </w:p>
        </w:tc>
        <w:tc>
          <w:tcPr>
            <w:tcW w:w="1961" w:type="dxa"/>
            <w:tcBorders>
              <w:tl2br w:val="nil"/>
              <w:tr2bl w:val="nil"/>
            </w:tcBorders>
            <w:vAlign w:val="center"/>
          </w:tcPr>
          <w:p>
            <w:pPr>
              <w:pStyle w:val="28"/>
              <w:bidi w:val="0"/>
              <w:ind w:firstLine="0" w:firstLineChars="0"/>
              <w:rPr>
                <w:color w:val="auto"/>
                <w:highlight w:val="none"/>
              </w:rPr>
            </w:pPr>
            <w:r>
              <w:rPr>
                <w:color w:val="auto"/>
                <w:highlight w:val="none"/>
              </w:rPr>
              <w:t>0.9307</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0.3723</w:t>
            </w:r>
          </w:p>
        </w:tc>
        <w:tc>
          <w:tcPr>
            <w:tcW w:w="1961" w:type="dxa"/>
            <w:tcBorders>
              <w:tl2br w:val="nil"/>
              <w:tr2bl w:val="nil"/>
            </w:tcBorders>
            <w:vAlign w:val="center"/>
          </w:tcPr>
          <w:p>
            <w:pPr>
              <w:pStyle w:val="28"/>
              <w:bidi w:val="0"/>
              <w:ind w:firstLine="0" w:firstLineChars="0"/>
              <w:rPr>
                <w:color w:val="auto"/>
                <w:highlight w:val="none"/>
              </w:rPr>
            </w:pPr>
            <w:r>
              <w:rPr>
                <w:color w:val="auto"/>
                <w:highlight w:val="none"/>
              </w:rPr>
              <w:t>3.7226</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二</w:t>
            </w:r>
            <w:r>
              <w:rPr>
                <w:rFonts w:hint="eastAsia"/>
                <w:color w:val="auto"/>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3</w:t>
            </w:r>
          </w:p>
        </w:tc>
        <w:tc>
          <w:tcPr>
            <w:tcW w:w="78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P3排气筒</w:t>
            </w:r>
          </w:p>
        </w:tc>
        <w:tc>
          <w:tcPr>
            <w:tcW w:w="639" w:type="pct"/>
            <w:tcBorders>
              <w:tl2br w:val="nil"/>
              <w:tr2bl w:val="nil"/>
            </w:tcBorders>
            <w:vAlign w:val="center"/>
          </w:tcPr>
          <w:p>
            <w:pPr>
              <w:pStyle w:val="28"/>
              <w:widowControl w:val="0"/>
              <w:rPr>
                <w:color w:val="auto"/>
                <w:highlight w:val="none"/>
              </w:rPr>
            </w:pPr>
            <w:r>
              <w:rPr>
                <w:rFonts w:hint="eastAsia"/>
                <w:color w:val="auto"/>
                <w:highlight w:val="none"/>
              </w:rPr>
              <w:t>SO</w:t>
            </w:r>
            <w:r>
              <w:rPr>
                <w:rFonts w:hint="eastAsia"/>
                <w:color w:val="auto"/>
                <w:highlight w:val="none"/>
                <w:vertAlign w:val="subscript"/>
              </w:rPr>
              <w:t>2</w:t>
            </w:r>
          </w:p>
        </w:tc>
        <w:tc>
          <w:tcPr>
            <w:tcW w:w="1950" w:type="dxa"/>
            <w:tcBorders>
              <w:tl2br w:val="nil"/>
              <w:tr2bl w:val="nil"/>
            </w:tcBorders>
            <w:vAlign w:val="center"/>
          </w:tcPr>
          <w:p>
            <w:pPr>
              <w:pStyle w:val="28"/>
              <w:widowControl w:val="0"/>
              <w:rPr>
                <w:color w:val="auto"/>
                <w:highlight w:val="none"/>
              </w:rPr>
            </w:pPr>
            <w:r>
              <w:rPr>
                <w:color w:val="auto"/>
                <w:highlight w:val="none"/>
              </w:rPr>
              <w:t>3.6054</w:t>
            </w:r>
          </w:p>
        </w:tc>
        <w:tc>
          <w:tcPr>
            <w:tcW w:w="1961" w:type="dxa"/>
            <w:tcBorders>
              <w:tl2br w:val="nil"/>
              <w:tr2bl w:val="nil"/>
            </w:tcBorders>
            <w:vAlign w:val="center"/>
          </w:tcPr>
          <w:p>
            <w:pPr>
              <w:pStyle w:val="28"/>
              <w:widowControl w:val="0"/>
              <w:rPr>
                <w:color w:val="auto"/>
                <w:highlight w:val="none"/>
              </w:rPr>
            </w:pPr>
            <w:r>
              <w:rPr>
                <w:color w:val="auto"/>
                <w:highlight w:val="none"/>
              </w:rPr>
              <w:t>0.7211</w:t>
            </w:r>
          </w:p>
        </w:tc>
        <w:tc>
          <w:tcPr>
            <w:tcW w:w="1121"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rFonts w:hint="eastAsia"/>
                <w:color w:val="auto"/>
                <w:highlight w:val="none"/>
              </w:rPr>
              <w:t>NOx</w:t>
            </w:r>
          </w:p>
        </w:tc>
        <w:tc>
          <w:tcPr>
            <w:tcW w:w="1950" w:type="dxa"/>
            <w:tcBorders>
              <w:tl2br w:val="nil"/>
              <w:tr2bl w:val="nil"/>
            </w:tcBorders>
            <w:vAlign w:val="center"/>
          </w:tcPr>
          <w:p>
            <w:pPr>
              <w:pStyle w:val="28"/>
              <w:widowControl w:val="0"/>
              <w:rPr>
                <w:color w:val="auto"/>
                <w:highlight w:val="none"/>
              </w:rPr>
            </w:pPr>
            <w:r>
              <w:rPr>
                <w:color w:val="auto"/>
                <w:highlight w:val="none"/>
              </w:rPr>
              <w:t>10.6359</w:t>
            </w:r>
          </w:p>
        </w:tc>
        <w:tc>
          <w:tcPr>
            <w:tcW w:w="1961" w:type="dxa"/>
            <w:tcBorders>
              <w:tl2br w:val="nil"/>
              <w:tr2bl w:val="nil"/>
            </w:tcBorders>
            <w:vAlign w:val="center"/>
          </w:tcPr>
          <w:p>
            <w:pPr>
              <w:pStyle w:val="28"/>
              <w:widowControl w:val="0"/>
              <w:rPr>
                <w:color w:val="auto"/>
                <w:highlight w:val="none"/>
              </w:rPr>
            </w:pPr>
            <w:r>
              <w:rPr>
                <w:color w:val="auto"/>
                <w:highlight w:val="none"/>
              </w:rPr>
              <w:t>4.2544</w:t>
            </w:r>
          </w:p>
        </w:tc>
        <w:tc>
          <w:tcPr>
            <w:tcW w:w="1121"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rFonts w:hint="eastAsia"/>
                <w:color w:val="auto"/>
                <w:highlight w:val="none"/>
              </w:rPr>
              <w:t>颗粒物</w:t>
            </w:r>
          </w:p>
        </w:tc>
        <w:tc>
          <w:tcPr>
            <w:tcW w:w="1950" w:type="dxa"/>
            <w:tcBorders>
              <w:tl2br w:val="nil"/>
              <w:tr2bl w:val="nil"/>
            </w:tcBorders>
            <w:vAlign w:val="center"/>
          </w:tcPr>
          <w:p>
            <w:pPr>
              <w:pStyle w:val="28"/>
              <w:widowControl w:val="0"/>
              <w:rPr>
                <w:color w:val="auto"/>
                <w:highlight w:val="none"/>
              </w:rPr>
            </w:pPr>
            <w:r>
              <w:rPr>
                <w:color w:val="auto"/>
                <w:highlight w:val="none"/>
              </w:rPr>
              <w:t>2.1632</w:t>
            </w:r>
          </w:p>
        </w:tc>
        <w:tc>
          <w:tcPr>
            <w:tcW w:w="1961" w:type="dxa"/>
            <w:tcBorders>
              <w:tl2br w:val="nil"/>
              <w:tr2bl w:val="nil"/>
            </w:tcBorders>
            <w:vAlign w:val="center"/>
          </w:tcPr>
          <w:p>
            <w:pPr>
              <w:pStyle w:val="28"/>
              <w:widowControl w:val="0"/>
              <w:rPr>
                <w:color w:val="auto"/>
                <w:highlight w:val="none"/>
              </w:rPr>
            </w:pPr>
            <w:r>
              <w:rPr>
                <w:color w:val="auto"/>
                <w:highlight w:val="none"/>
              </w:rPr>
              <w:t>0.2404</w:t>
            </w:r>
          </w:p>
        </w:tc>
        <w:tc>
          <w:tcPr>
            <w:tcW w:w="1121"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4</w:t>
            </w:r>
          </w:p>
        </w:tc>
        <w:tc>
          <w:tcPr>
            <w:tcW w:w="340"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445"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950" w:type="dxa"/>
            <w:tcBorders>
              <w:tl2br w:val="nil"/>
              <w:tr2bl w:val="nil"/>
            </w:tcBorders>
            <w:vAlign w:val="center"/>
          </w:tcPr>
          <w:p>
            <w:pPr>
              <w:pStyle w:val="28"/>
              <w:widowControl w:val="0"/>
              <w:rPr>
                <w:color w:val="auto"/>
                <w:highlight w:val="none"/>
              </w:rPr>
            </w:pPr>
            <w:r>
              <w:rPr>
                <w:rFonts w:hint="eastAsia"/>
                <w:color w:val="auto"/>
                <w:highlight w:val="none"/>
              </w:rPr>
              <w:t>0.0716</w:t>
            </w:r>
          </w:p>
        </w:tc>
        <w:tc>
          <w:tcPr>
            <w:tcW w:w="1961" w:type="dxa"/>
            <w:tcBorders>
              <w:tl2br w:val="nil"/>
              <w:tr2bl w:val="nil"/>
            </w:tcBorders>
            <w:vAlign w:val="center"/>
          </w:tcPr>
          <w:p>
            <w:pPr>
              <w:pStyle w:val="28"/>
              <w:widowControl w:val="0"/>
              <w:rPr>
                <w:color w:val="auto"/>
                <w:highlight w:val="none"/>
              </w:rPr>
            </w:pPr>
            <w:r>
              <w:rPr>
                <w:rFonts w:hint="eastAsia"/>
                <w:color w:val="auto"/>
                <w:highlight w:val="none"/>
              </w:rPr>
              <w:t>0.0358</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340" w:type="pct"/>
            <w:vMerge w:val="continue"/>
            <w:tcBorders>
              <w:tl2br w:val="nil"/>
              <w:tr2bl w:val="nil"/>
            </w:tcBorders>
            <w:vAlign w:val="center"/>
          </w:tcPr>
          <w:p>
            <w:pPr>
              <w:pStyle w:val="28"/>
              <w:widowControl w:val="0"/>
              <w:rPr>
                <w:color w:val="auto"/>
                <w:highlight w:val="none"/>
              </w:rPr>
            </w:pPr>
          </w:p>
        </w:tc>
        <w:tc>
          <w:tcPr>
            <w:tcW w:w="445" w:type="pct"/>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950" w:type="dxa"/>
            <w:tcBorders>
              <w:tl2br w:val="nil"/>
              <w:tr2bl w:val="nil"/>
            </w:tcBorders>
            <w:vAlign w:val="center"/>
          </w:tcPr>
          <w:p>
            <w:pPr>
              <w:pStyle w:val="28"/>
              <w:widowControl w:val="0"/>
              <w:rPr>
                <w:color w:val="auto"/>
                <w:highlight w:val="none"/>
              </w:rPr>
            </w:pPr>
            <w:r>
              <w:rPr>
                <w:rFonts w:hint="eastAsia"/>
                <w:color w:val="auto"/>
                <w:highlight w:val="none"/>
              </w:rPr>
              <w:t>0.0014</w:t>
            </w:r>
          </w:p>
        </w:tc>
        <w:tc>
          <w:tcPr>
            <w:tcW w:w="1961" w:type="dxa"/>
            <w:tcBorders>
              <w:tl2br w:val="nil"/>
              <w:tr2bl w:val="nil"/>
            </w:tcBorders>
            <w:vAlign w:val="center"/>
          </w:tcPr>
          <w:p>
            <w:pPr>
              <w:pStyle w:val="28"/>
              <w:widowControl w:val="0"/>
              <w:rPr>
                <w:color w:val="auto"/>
                <w:highlight w:val="none"/>
              </w:rPr>
            </w:pPr>
            <w:r>
              <w:rPr>
                <w:rFonts w:hint="eastAsia"/>
                <w:color w:val="auto"/>
                <w:highlight w:val="none"/>
              </w:rPr>
              <w:t>0.0143</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5</w:t>
            </w:r>
          </w:p>
        </w:tc>
        <w:tc>
          <w:tcPr>
            <w:tcW w:w="340" w:type="pct"/>
            <w:vMerge w:val="continue"/>
            <w:tcBorders>
              <w:tl2br w:val="nil"/>
              <w:tr2bl w:val="nil"/>
            </w:tcBorders>
            <w:vAlign w:val="center"/>
          </w:tcPr>
          <w:p>
            <w:pPr>
              <w:pStyle w:val="28"/>
              <w:widowControl w:val="0"/>
              <w:rPr>
                <w:color w:val="auto"/>
                <w:highlight w:val="none"/>
              </w:rPr>
            </w:pPr>
          </w:p>
        </w:tc>
        <w:tc>
          <w:tcPr>
            <w:tcW w:w="445"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3.6570</w:t>
            </w:r>
          </w:p>
        </w:tc>
        <w:tc>
          <w:tcPr>
            <w:tcW w:w="1961" w:type="dxa"/>
            <w:tcBorders>
              <w:tl2br w:val="nil"/>
              <w:tr2bl w:val="nil"/>
            </w:tcBorders>
            <w:vAlign w:val="center"/>
          </w:tcPr>
          <w:p>
            <w:pPr>
              <w:pStyle w:val="28"/>
              <w:bidi w:val="0"/>
              <w:ind w:firstLine="0" w:firstLineChars="0"/>
              <w:rPr>
                <w:color w:val="auto"/>
                <w:highlight w:val="none"/>
              </w:rPr>
            </w:pPr>
            <w:r>
              <w:rPr>
                <w:color w:val="auto"/>
                <w:highlight w:val="none"/>
              </w:rPr>
              <w:t>1.8285</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340" w:type="pct"/>
            <w:vMerge w:val="continue"/>
            <w:tcBorders>
              <w:tl2br w:val="nil"/>
              <w:tr2bl w:val="nil"/>
            </w:tcBorders>
            <w:vAlign w:val="center"/>
          </w:tcPr>
          <w:p>
            <w:pPr>
              <w:pStyle w:val="28"/>
              <w:widowControl w:val="0"/>
              <w:rPr>
                <w:color w:val="auto"/>
                <w:highlight w:val="none"/>
              </w:rPr>
            </w:pPr>
          </w:p>
        </w:tc>
        <w:tc>
          <w:tcPr>
            <w:tcW w:w="445" w:type="pct"/>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950" w:type="dxa"/>
            <w:tcBorders>
              <w:tl2br w:val="nil"/>
              <w:tr2bl w:val="nil"/>
            </w:tcBorders>
            <w:vAlign w:val="center"/>
          </w:tcPr>
          <w:p>
            <w:pPr>
              <w:pStyle w:val="28"/>
              <w:bidi w:val="0"/>
              <w:ind w:firstLine="0" w:firstLineChars="0"/>
              <w:rPr>
                <w:color w:val="auto"/>
                <w:highlight w:val="none"/>
              </w:rPr>
            </w:pPr>
            <w:r>
              <w:rPr>
                <w:color w:val="auto"/>
                <w:highlight w:val="none"/>
              </w:rPr>
              <w:t>1.1755</w:t>
            </w:r>
          </w:p>
        </w:tc>
        <w:tc>
          <w:tcPr>
            <w:tcW w:w="1961" w:type="dxa"/>
            <w:tcBorders>
              <w:tl2br w:val="nil"/>
              <w:tr2bl w:val="nil"/>
            </w:tcBorders>
            <w:vAlign w:val="center"/>
          </w:tcPr>
          <w:p>
            <w:pPr>
              <w:pStyle w:val="28"/>
              <w:bidi w:val="0"/>
              <w:ind w:firstLine="0" w:firstLineChars="0"/>
              <w:rPr>
                <w:color w:val="auto"/>
                <w:highlight w:val="none"/>
              </w:rPr>
            </w:pPr>
            <w:r>
              <w:rPr>
                <w:rFonts w:hint="eastAsia"/>
                <w:color w:val="auto"/>
                <w:highlight w:val="none"/>
                <w:lang w:val="en-US" w:eastAsia="zh-CN"/>
              </w:rPr>
              <w:t>9</w:t>
            </w:r>
            <w:r>
              <w:rPr>
                <w:color w:val="auto"/>
                <w:highlight w:val="none"/>
              </w:rPr>
              <w:t>.7546</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7</w:t>
            </w:r>
          </w:p>
        </w:tc>
        <w:tc>
          <w:tcPr>
            <w:tcW w:w="78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950" w:type="dxa"/>
            <w:tcBorders>
              <w:tl2br w:val="nil"/>
              <w:tr2bl w:val="nil"/>
            </w:tcBorders>
            <w:vAlign w:val="center"/>
          </w:tcPr>
          <w:p>
            <w:pPr>
              <w:pStyle w:val="28"/>
              <w:widowControl w:val="0"/>
              <w:rPr>
                <w:color w:val="auto"/>
                <w:highlight w:val="none"/>
              </w:rPr>
            </w:pPr>
            <w:r>
              <w:rPr>
                <w:rFonts w:hint="eastAsia"/>
                <w:color w:val="auto"/>
                <w:highlight w:val="none"/>
              </w:rPr>
              <w:t>1.4444</w:t>
            </w:r>
          </w:p>
        </w:tc>
        <w:tc>
          <w:tcPr>
            <w:tcW w:w="1961" w:type="dxa"/>
            <w:tcBorders>
              <w:tl2br w:val="nil"/>
              <w:tr2bl w:val="nil"/>
            </w:tcBorders>
            <w:vAlign w:val="center"/>
          </w:tcPr>
          <w:p>
            <w:pPr>
              <w:pStyle w:val="28"/>
              <w:widowControl w:val="0"/>
              <w:rPr>
                <w:color w:val="auto"/>
                <w:highlight w:val="none"/>
              </w:rPr>
            </w:pPr>
            <w:r>
              <w:rPr>
                <w:rFonts w:hint="eastAsia"/>
                <w:color w:val="auto"/>
                <w:highlight w:val="none"/>
              </w:rPr>
              <w:t>0.7222</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950" w:type="dxa"/>
            <w:tcBorders>
              <w:tl2br w:val="nil"/>
              <w:tr2bl w:val="nil"/>
            </w:tcBorders>
            <w:vAlign w:val="center"/>
          </w:tcPr>
          <w:p>
            <w:pPr>
              <w:pStyle w:val="28"/>
              <w:widowControl w:val="0"/>
              <w:rPr>
                <w:color w:val="auto"/>
                <w:highlight w:val="none"/>
              </w:rPr>
            </w:pPr>
            <w:r>
              <w:rPr>
                <w:rFonts w:hint="eastAsia"/>
                <w:color w:val="auto"/>
                <w:highlight w:val="none"/>
              </w:rPr>
              <w:t>0.1444</w:t>
            </w:r>
          </w:p>
        </w:tc>
        <w:tc>
          <w:tcPr>
            <w:tcW w:w="1961" w:type="dxa"/>
            <w:tcBorders>
              <w:tl2br w:val="nil"/>
              <w:tr2bl w:val="nil"/>
            </w:tcBorders>
            <w:vAlign w:val="center"/>
          </w:tcPr>
          <w:p>
            <w:pPr>
              <w:pStyle w:val="28"/>
              <w:widowControl w:val="0"/>
              <w:rPr>
                <w:color w:val="auto"/>
                <w:highlight w:val="none"/>
              </w:rPr>
            </w:pPr>
            <w:r>
              <w:rPr>
                <w:rFonts w:hint="eastAsia"/>
                <w:color w:val="auto"/>
                <w:highlight w:val="none"/>
              </w:rPr>
              <w:t>1.4444</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28"/>
              <w:widowControl w:val="0"/>
              <w:rPr>
                <w:color w:val="auto"/>
                <w:highlight w:val="none"/>
              </w:rPr>
            </w:pPr>
            <w:r>
              <w:rPr>
                <w:rFonts w:hint="eastAsia"/>
                <w:color w:val="auto"/>
                <w:highlight w:val="none"/>
              </w:rPr>
              <w:t>8</w:t>
            </w:r>
          </w:p>
        </w:tc>
        <w:tc>
          <w:tcPr>
            <w:tcW w:w="78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639"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014" w:type="pct"/>
            <w:tcBorders>
              <w:tl2br w:val="nil"/>
              <w:tr2bl w:val="nil"/>
            </w:tcBorders>
            <w:vAlign w:val="center"/>
          </w:tcPr>
          <w:p>
            <w:pPr>
              <w:pStyle w:val="28"/>
              <w:widowControl w:val="0"/>
              <w:rPr>
                <w:color w:val="auto"/>
                <w:highlight w:val="none"/>
              </w:rPr>
            </w:pPr>
            <w:r>
              <w:rPr>
                <w:rFonts w:hint="eastAsia"/>
                <w:color w:val="auto"/>
                <w:highlight w:val="none"/>
              </w:rPr>
              <w:t>1.4339</w:t>
            </w:r>
          </w:p>
        </w:tc>
        <w:tc>
          <w:tcPr>
            <w:tcW w:w="1019" w:type="pct"/>
            <w:tcBorders>
              <w:tl2br w:val="nil"/>
              <w:tr2bl w:val="nil"/>
            </w:tcBorders>
            <w:vAlign w:val="center"/>
          </w:tcPr>
          <w:p>
            <w:pPr>
              <w:pStyle w:val="28"/>
              <w:widowControl w:val="0"/>
              <w:rPr>
                <w:color w:val="auto"/>
                <w:highlight w:val="none"/>
              </w:rPr>
            </w:pPr>
            <w:r>
              <w:rPr>
                <w:rFonts w:hint="eastAsia"/>
                <w:color w:val="auto"/>
                <w:highlight w:val="none"/>
              </w:rPr>
              <w:t>0.7169</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28"/>
              <w:widowControl w:val="0"/>
              <w:rPr>
                <w:color w:val="auto"/>
                <w:highlight w:val="none"/>
              </w:rPr>
            </w:pPr>
          </w:p>
        </w:tc>
        <w:tc>
          <w:tcPr>
            <w:tcW w:w="785" w:type="pct"/>
            <w:gridSpan w:val="2"/>
            <w:vMerge w:val="continue"/>
            <w:tcBorders>
              <w:tl2br w:val="nil"/>
              <w:tr2bl w:val="nil"/>
            </w:tcBorders>
            <w:vAlign w:val="center"/>
          </w:tcPr>
          <w:p>
            <w:pPr>
              <w:pStyle w:val="28"/>
              <w:widowControl w:val="0"/>
              <w:rPr>
                <w:color w:val="auto"/>
                <w:highlight w:val="none"/>
              </w:rPr>
            </w:pPr>
          </w:p>
        </w:tc>
        <w:tc>
          <w:tcPr>
            <w:tcW w:w="639" w:type="pct"/>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014" w:type="pct"/>
            <w:tcBorders>
              <w:tl2br w:val="nil"/>
              <w:tr2bl w:val="nil"/>
            </w:tcBorders>
            <w:vAlign w:val="center"/>
          </w:tcPr>
          <w:p>
            <w:pPr>
              <w:pStyle w:val="28"/>
              <w:widowControl w:val="0"/>
              <w:rPr>
                <w:color w:val="auto"/>
                <w:highlight w:val="none"/>
              </w:rPr>
            </w:pPr>
            <w:r>
              <w:rPr>
                <w:rFonts w:hint="eastAsia"/>
                <w:color w:val="auto"/>
                <w:highlight w:val="none"/>
              </w:rPr>
              <w:t>0.0478</w:t>
            </w:r>
          </w:p>
        </w:tc>
        <w:tc>
          <w:tcPr>
            <w:tcW w:w="1019" w:type="pct"/>
            <w:tcBorders>
              <w:tl2br w:val="nil"/>
              <w:tr2bl w:val="nil"/>
            </w:tcBorders>
            <w:vAlign w:val="center"/>
          </w:tcPr>
          <w:p>
            <w:pPr>
              <w:pStyle w:val="28"/>
              <w:widowControl w:val="0"/>
              <w:rPr>
                <w:color w:val="auto"/>
                <w:highlight w:val="none"/>
              </w:rPr>
            </w:pPr>
            <w:r>
              <w:rPr>
                <w:rFonts w:hint="eastAsia"/>
                <w:color w:val="auto"/>
                <w:highlight w:val="none"/>
              </w:rPr>
              <w:t>0.4780</w:t>
            </w:r>
          </w:p>
        </w:tc>
        <w:tc>
          <w:tcPr>
            <w:tcW w:w="583"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65" w:type="pct"/>
            <w:tcBorders>
              <w:tl2br w:val="nil"/>
              <w:tr2bl w:val="nil"/>
            </w:tcBorders>
            <w:vAlign w:val="center"/>
          </w:tcPr>
          <w:p>
            <w:pPr>
              <w:pStyle w:val="28"/>
              <w:widowControl w:val="0"/>
              <w:rPr>
                <w:color w:val="auto"/>
                <w:highlight w:val="none"/>
              </w:rPr>
            </w:pPr>
            <w:r>
              <w:rPr>
                <w:rFonts w:hint="eastAsia"/>
                <w:color w:val="auto"/>
                <w:highlight w:val="none"/>
              </w:rPr>
              <w:t>三级</w:t>
            </w:r>
          </w:p>
        </w:tc>
      </w:tr>
    </w:tbl>
    <w:p>
      <w:pPr>
        <w:widowControl w:val="0"/>
        <w:ind w:firstLine="480"/>
        <w:rPr>
          <w:color w:val="auto"/>
          <w:highlight w:val="none"/>
        </w:rPr>
      </w:pPr>
      <w:r>
        <w:rPr>
          <w:rFonts w:hint="eastAsia"/>
          <w:color w:val="auto"/>
          <w:highlight w:val="none"/>
        </w:rPr>
        <w:t>根据</w:t>
      </w:r>
      <w:r>
        <w:rPr>
          <w:color w:val="auto"/>
          <w:highlight w:val="none"/>
        </w:rPr>
        <w:t>AERSCREEN</w:t>
      </w:r>
      <w:r>
        <w:rPr>
          <w:rFonts w:hint="eastAsia"/>
          <w:color w:val="auto"/>
          <w:highlight w:val="none"/>
        </w:rPr>
        <w:t>估算模式计算结果显示可知，本项目</w:t>
      </w:r>
      <w:r>
        <w:rPr>
          <w:color w:val="auto"/>
          <w:highlight w:val="none"/>
        </w:rPr>
        <w:t>P</w:t>
      </w:r>
      <w:r>
        <w:rPr>
          <w:color w:val="auto"/>
          <w:highlight w:val="none"/>
          <w:vertAlign w:val="subscript"/>
        </w:rPr>
        <w:t>max</w:t>
      </w:r>
      <w:r>
        <w:rPr>
          <w:color w:val="auto"/>
          <w:highlight w:val="none"/>
        </w:rPr>
        <w:t>=</w:t>
      </w:r>
      <w:r>
        <w:rPr>
          <w:rFonts w:hint="eastAsia"/>
          <w:color w:val="auto"/>
          <w:highlight w:val="none"/>
          <w:lang w:eastAsia="zh-CN"/>
        </w:rPr>
        <w:t>9.7546</w:t>
      </w:r>
      <w:r>
        <w:rPr>
          <w:color w:val="auto"/>
          <w:highlight w:val="none"/>
        </w:rPr>
        <w:t>%</w:t>
      </w:r>
      <w:r>
        <w:rPr>
          <w:rFonts w:hint="eastAsia"/>
          <w:color w:val="auto"/>
          <w:highlight w:val="none"/>
        </w:rPr>
        <w:t>，小于</w:t>
      </w:r>
      <w:r>
        <w:rPr>
          <w:color w:val="auto"/>
          <w:highlight w:val="none"/>
        </w:rPr>
        <w:t>10%</w:t>
      </w:r>
      <w:r>
        <w:rPr>
          <w:rFonts w:hint="eastAsia"/>
          <w:color w:val="auto"/>
          <w:highlight w:val="none"/>
        </w:rPr>
        <w:t>，根据上述等级划分原则，本项目大气环境预测评价工作等级为二级。</w:t>
      </w:r>
    </w:p>
    <w:p>
      <w:pPr>
        <w:pStyle w:val="6"/>
        <w:widowControl w:val="0"/>
        <w:ind w:left="-160" w:firstLineChars="0"/>
        <w:rPr>
          <w:color w:val="auto"/>
          <w:highlight w:val="none"/>
        </w:rPr>
      </w:pPr>
      <w:r>
        <w:rPr>
          <w:rFonts w:hint="eastAsia"/>
          <w:color w:val="auto"/>
          <w:highlight w:val="none"/>
        </w:rPr>
        <w:t>地表水环境</w:t>
      </w:r>
    </w:p>
    <w:p>
      <w:pPr>
        <w:widowControl w:val="0"/>
        <w:ind w:firstLine="480"/>
        <w:rPr>
          <w:color w:val="auto"/>
          <w:highlight w:val="none"/>
        </w:rPr>
      </w:pPr>
      <w:r>
        <w:rPr>
          <w:color w:val="auto"/>
          <w:highlight w:val="none"/>
        </w:rPr>
        <w:t>本项目污水主要为</w:t>
      </w:r>
      <w:r>
        <w:rPr>
          <w:rFonts w:hint="eastAsia"/>
          <w:color w:val="auto"/>
          <w:highlight w:val="none"/>
        </w:rPr>
        <w:t>屠宰废水、地面及车辆冲洗废水及生活污水</w:t>
      </w:r>
      <w:r>
        <w:rPr>
          <w:color w:val="auto"/>
          <w:highlight w:val="none"/>
        </w:rPr>
        <w:t>。</w:t>
      </w:r>
      <w:r>
        <w:rPr>
          <w:rFonts w:hint="eastAsia"/>
          <w:color w:val="auto"/>
          <w:highlight w:val="none"/>
          <w:lang w:val="en-US" w:eastAsia="zh-CN"/>
        </w:rPr>
        <w:t>本项目</w:t>
      </w:r>
      <w:r>
        <w:rPr>
          <w:color w:val="auto"/>
          <w:highlight w:val="none"/>
        </w:rPr>
        <w:t>废水属于高浓度有机废水，废水中主要污染物pH、COD、BOD</w:t>
      </w:r>
      <w:r>
        <w:rPr>
          <w:color w:val="auto"/>
          <w:highlight w:val="none"/>
          <w:vertAlign w:val="subscript"/>
        </w:rPr>
        <w:t>5</w:t>
      </w:r>
      <w:r>
        <w:rPr>
          <w:color w:val="auto"/>
          <w:highlight w:val="none"/>
        </w:rPr>
        <w:t>、SS和NH</w:t>
      </w:r>
      <w:r>
        <w:rPr>
          <w:color w:val="auto"/>
          <w:highlight w:val="none"/>
          <w:vertAlign w:val="subscript"/>
        </w:rPr>
        <w:t>3</w:t>
      </w:r>
      <w:r>
        <w:rPr>
          <w:color w:val="auto"/>
          <w:highlight w:val="none"/>
        </w:rPr>
        <w:t>-N均很高，且含有大量的大肠杆菌及蛔虫卵等</w:t>
      </w:r>
      <w:r>
        <w:rPr>
          <w:rFonts w:hint="eastAsia"/>
          <w:color w:val="auto"/>
          <w:highlight w:val="none"/>
        </w:rPr>
        <w:t>。污水首先通过“格栅池+沉渣池+多功能生物调节池+气浮沉渣池+厌氧池+初沉池+缺氧池1+好氧池1+紫外线消毒+清水池”处理工艺处理后达到《肉类加工工业水污染物排放标准》（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畜类屠宰三级排放标准排入元坨社区市政污水管网，通过市政污水管网汇入响滩镇污水处理厂处理处理。</w:t>
      </w:r>
    </w:p>
    <w:p>
      <w:pPr>
        <w:widowControl w:val="0"/>
        <w:ind w:firstLine="480"/>
        <w:rPr>
          <w:color w:val="auto"/>
          <w:highlight w:val="none"/>
        </w:rPr>
      </w:pPr>
      <w:r>
        <w:rPr>
          <w:rFonts w:hint="eastAsia"/>
          <w:color w:val="auto"/>
          <w:highlight w:val="none"/>
        </w:rPr>
        <w:t>根据《环境影响评价技术导则－－地表水环境》（</w:t>
      </w:r>
      <w:r>
        <w:rPr>
          <w:color w:val="auto"/>
          <w:highlight w:val="none"/>
        </w:rPr>
        <w:t>HJ/T2.3-2018</w:t>
      </w:r>
      <w:r>
        <w:rPr>
          <w:rFonts w:hint="eastAsia"/>
          <w:color w:val="auto"/>
          <w:highlight w:val="none"/>
        </w:rPr>
        <w:t>），地表水环境影响评价等级划分如下表。</w:t>
      </w:r>
    </w:p>
    <w:p>
      <w:pPr>
        <w:pStyle w:val="27"/>
        <w:widowControl w:val="0"/>
        <w:rPr>
          <w:color w:val="auto"/>
          <w:highlight w:val="none"/>
        </w:rPr>
      </w:pPr>
      <w:r>
        <w:rPr>
          <w:rFonts w:hint="eastAsia"/>
          <w:color w:val="auto"/>
          <w:highlight w:val="none"/>
        </w:rPr>
        <w:t>水污染影响型建设项目评级等级判定表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890"/>
        <w:gridCol w:w="5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vMerge w:val="restart"/>
            <w:tcBorders>
              <w:tl2br w:val="nil"/>
              <w:tr2bl w:val="nil"/>
            </w:tcBorders>
            <w:vAlign w:val="center"/>
          </w:tcPr>
          <w:p>
            <w:pPr>
              <w:pStyle w:val="28"/>
              <w:widowControl w:val="0"/>
              <w:rPr>
                <w:color w:val="auto"/>
                <w:highlight w:val="none"/>
              </w:rPr>
            </w:pPr>
            <w:r>
              <w:rPr>
                <w:rFonts w:hint="eastAsia"/>
                <w:color w:val="auto"/>
                <w:highlight w:val="none"/>
              </w:rPr>
              <w:t>评价等级</w:t>
            </w:r>
          </w:p>
        </w:tc>
        <w:tc>
          <w:tcPr>
            <w:tcW w:w="7652" w:type="dxa"/>
            <w:gridSpan w:val="2"/>
            <w:tcBorders>
              <w:tl2br w:val="nil"/>
              <w:tr2bl w:val="nil"/>
            </w:tcBorders>
            <w:vAlign w:val="center"/>
          </w:tcPr>
          <w:p>
            <w:pPr>
              <w:pStyle w:val="28"/>
              <w:widowControl w:val="0"/>
              <w:rPr>
                <w:color w:val="auto"/>
                <w:highlight w:val="none"/>
              </w:rPr>
            </w:pPr>
            <w:r>
              <w:rPr>
                <w:rFonts w:hint="eastAsia"/>
                <w:color w:val="auto"/>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vMerge w:val="continue"/>
            <w:tcBorders>
              <w:tl2br w:val="nil"/>
              <w:tr2bl w:val="nil"/>
            </w:tcBorders>
            <w:vAlign w:val="center"/>
          </w:tcPr>
          <w:p>
            <w:pPr>
              <w:pStyle w:val="28"/>
              <w:widowControl w:val="0"/>
              <w:rPr>
                <w:color w:val="auto"/>
                <w:highlight w:val="none"/>
              </w:rPr>
            </w:pPr>
          </w:p>
        </w:tc>
        <w:tc>
          <w:tcPr>
            <w:tcW w:w="1890" w:type="dxa"/>
            <w:tcBorders>
              <w:tl2br w:val="nil"/>
              <w:tr2bl w:val="nil"/>
            </w:tcBorders>
            <w:vAlign w:val="center"/>
          </w:tcPr>
          <w:p>
            <w:pPr>
              <w:pStyle w:val="28"/>
              <w:widowControl w:val="0"/>
              <w:rPr>
                <w:color w:val="auto"/>
                <w:highlight w:val="none"/>
              </w:rPr>
            </w:pPr>
            <w:r>
              <w:rPr>
                <w:rFonts w:hint="eastAsia"/>
                <w:color w:val="auto"/>
                <w:highlight w:val="none"/>
              </w:rPr>
              <w:t>排放方式</w:t>
            </w:r>
          </w:p>
        </w:tc>
        <w:tc>
          <w:tcPr>
            <w:tcW w:w="5762" w:type="dxa"/>
            <w:tcBorders>
              <w:tl2br w:val="nil"/>
              <w:tr2bl w:val="nil"/>
            </w:tcBorders>
            <w:vAlign w:val="center"/>
          </w:tcPr>
          <w:p>
            <w:pPr>
              <w:pStyle w:val="28"/>
              <w:widowControl w:val="0"/>
              <w:rPr>
                <w:color w:val="auto"/>
                <w:highlight w:val="none"/>
              </w:rPr>
            </w:pPr>
            <w:r>
              <w:rPr>
                <w:rFonts w:hint="eastAsia"/>
                <w:color w:val="auto"/>
                <w:highlight w:val="none"/>
              </w:rPr>
              <w:t>废水排放量</w:t>
            </w:r>
            <w:r>
              <w:rPr>
                <w:color w:val="auto"/>
                <w:highlight w:val="none"/>
              </w:rPr>
              <w:t>Q/</w:t>
            </w:r>
            <w:r>
              <w:rPr>
                <w:rFonts w:hint="eastAsia"/>
                <w:color w:val="auto"/>
                <w:highlight w:val="none"/>
              </w:rPr>
              <w:t>（</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）；水污染物当量数</w:t>
            </w:r>
            <w:r>
              <w:rPr>
                <w:color w:val="auto"/>
                <w:highlight w:val="none"/>
              </w:rPr>
              <w:t>W/</w:t>
            </w:r>
            <w:r>
              <w:rPr>
                <w:rFonts w:hint="eastAsia"/>
                <w:color w:val="auto"/>
                <w:highlight w:val="none"/>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28"/>
              <w:widowControl w:val="0"/>
              <w:rPr>
                <w:color w:val="auto"/>
                <w:highlight w:val="none"/>
              </w:rPr>
            </w:pPr>
            <w:r>
              <w:rPr>
                <w:rFonts w:hint="eastAsia"/>
                <w:color w:val="auto"/>
                <w:highlight w:val="none"/>
              </w:rPr>
              <w:t>一级</w:t>
            </w:r>
          </w:p>
        </w:tc>
        <w:tc>
          <w:tcPr>
            <w:tcW w:w="1890" w:type="dxa"/>
            <w:tcBorders>
              <w:tl2br w:val="nil"/>
              <w:tr2bl w:val="nil"/>
            </w:tcBorders>
            <w:vAlign w:val="center"/>
          </w:tcPr>
          <w:p>
            <w:pPr>
              <w:pStyle w:val="28"/>
              <w:widowControl w:val="0"/>
              <w:rPr>
                <w:color w:val="auto"/>
                <w:highlight w:val="none"/>
              </w:rPr>
            </w:pPr>
            <w:r>
              <w:rPr>
                <w:rFonts w:hint="eastAsia"/>
                <w:color w:val="auto"/>
                <w:highlight w:val="none"/>
              </w:rPr>
              <w:t>直接排放</w:t>
            </w:r>
          </w:p>
        </w:tc>
        <w:tc>
          <w:tcPr>
            <w:tcW w:w="5762" w:type="dxa"/>
            <w:tcBorders>
              <w:tl2br w:val="nil"/>
              <w:tr2bl w:val="nil"/>
            </w:tcBorders>
            <w:vAlign w:val="center"/>
          </w:tcPr>
          <w:p>
            <w:pPr>
              <w:pStyle w:val="28"/>
              <w:widowControl w:val="0"/>
              <w:rPr>
                <w:color w:val="auto"/>
                <w:highlight w:val="none"/>
              </w:rPr>
            </w:pPr>
            <w:r>
              <w:rPr>
                <w:rFonts w:eastAsia="Times New Roman"/>
                <w:color w:val="auto"/>
                <w:sz w:val="22"/>
                <w:szCs w:val="24"/>
                <w:highlight w:val="none"/>
              </w:rPr>
              <w:t>Q</w:t>
            </w:r>
            <w:r>
              <w:rPr>
                <w:rFonts w:hint="eastAsia" w:ascii="宋体" w:hAnsi="宋体"/>
                <w:color w:val="auto"/>
                <w:sz w:val="22"/>
                <w:szCs w:val="24"/>
                <w:highlight w:val="none"/>
              </w:rPr>
              <w:t>≥</w:t>
            </w:r>
            <w:r>
              <w:rPr>
                <w:rFonts w:eastAsia="Times New Roman"/>
                <w:color w:val="auto"/>
                <w:sz w:val="22"/>
                <w:szCs w:val="24"/>
                <w:highlight w:val="none"/>
              </w:rPr>
              <w:t>20000</w:t>
            </w:r>
            <w:r>
              <w:rPr>
                <w:rFonts w:hint="eastAsia" w:ascii="宋体" w:hAnsi="宋体"/>
                <w:color w:val="auto"/>
                <w:sz w:val="22"/>
                <w:szCs w:val="24"/>
                <w:highlight w:val="none"/>
              </w:rPr>
              <w:t>或</w:t>
            </w:r>
            <w:r>
              <w:rPr>
                <w:rFonts w:eastAsia="Times New Roman"/>
                <w:color w:val="auto"/>
                <w:sz w:val="22"/>
                <w:szCs w:val="24"/>
                <w:highlight w:val="none"/>
              </w:rPr>
              <w:t>W</w:t>
            </w:r>
            <w:r>
              <w:rPr>
                <w:rFonts w:hint="eastAsia" w:ascii="宋体" w:hAnsi="宋体"/>
                <w:color w:val="auto"/>
                <w:sz w:val="22"/>
                <w:szCs w:val="24"/>
                <w:highlight w:val="none"/>
              </w:rPr>
              <w:t>≥</w:t>
            </w:r>
            <w:r>
              <w:rPr>
                <w:rFonts w:eastAsia="Times New Roman"/>
                <w:color w:val="auto"/>
                <w:sz w:val="22"/>
                <w:szCs w:val="24"/>
                <w:highlight w:val="none"/>
              </w:rPr>
              <w:t>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28"/>
              <w:widowControl w:val="0"/>
              <w:rPr>
                <w:color w:val="auto"/>
                <w:highlight w:val="none"/>
              </w:rPr>
            </w:pPr>
            <w:r>
              <w:rPr>
                <w:rFonts w:hint="eastAsia"/>
                <w:color w:val="auto"/>
                <w:highlight w:val="none"/>
              </w:rPr>
              <w:t>二级</w:t>
            </w:r>
          </w:p>
        </w:tc>
        <w:tc>
          <w:tcPr>
            <w:tcW w:w="1890" w:type="dxa"/>
            <w:tcBorders>
              <w:tl2br w:val="nil"/>
              <w:tr2bl w:val="nil"/>
            </w:tcBorders>
            <w:vAlign w:val="center"/>
          </w:tcPr>
          <w:p>
            <w:pPr>
              <w:pStyle w:val="28"/>
              <w:widowControl w:val="0"/>
              <w:rPr>
                <w:color w:val="auto"/>
                <w:highlight w:val="none"/>
              </w:rPr>
            </w:pPr>
            <w:r>
              <w:rPr>
                <w:rFonts w:hint="eastAsia"/>
                <w:color w:val="auto"/>
                <w:highlight w:val="none"/>
              </w:rPr>
              <w:t>直接排放</w:t>
            </w:r>
          </w:p>
        </w:tc>
        <w:tc>
          <w:tcPr>
            <w:tcW w:w="5762"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28"/>
              <w:widowControl w:val="0"/>
              <w:rPr>
                <w:color w:val="auto"/>
                <w:highlight w:val="none"/>
              </w:rPr>
            </w:pPr>
            <w:r>
              <w:rPr>
                <w:rFonts w:hint="eastAsia"/>
                <w:color w:val="auto"/>
                <w:highlight w:val="none"/>
              </w:rPr>
              <w:t>三级A</w:t>
            </w:r>
          </w:p>
        </w:tc>
        <w:tc>
          <w:tcPr>
            <w:tcW w:w="1890" w:type="dxa"/>
            <w:tcBorders>
              <w:tl2br w:val="nil"/>
              <w:tr2bl w:val="nil"/>
            </w:tcBorders>
            <w:vAlign w:val="center"/>
          </w:tcPr>
          <w:p>
            <w:pPr>
              <w:pStyle w:val="28"/>
              <w:widowControl w:val="0"/>
              <w:rPr>
                <w:color w:val="auto"/>
                <w:highlight w:val="none"/>
              </w:rPr>
            </w:pPr>
            <w:r>
              <w:rPr>
                <w:rFonts w:hint="eastAsia"/>
                <w:color w:val="auto"/>
                <w:highlight w:val="none"/>
              </w:rPr>
              <w:t>直接排放</w:t>
            </w:r>
          </w:p>
        </w:tc>
        <w:tc>
          <w:tcPr>
            <w:tcW w:w="5762" w:type="dxa"/>
            <w:tcBorders>
              <w:tl2br w:val="nil"/>
              <w:tr2bl w:val="nil"/>
            </w:tcBorders>
            <w:vAlign w:val="center"/>
          </w:tcPr>
          <w:p>
            <w:pPr>
              <w:pStyle w:val="28"/>
              <w:widowControl w:val="0"/>
              <w:rPr>
                <w:color w:val="auto"/>
                <w:highlight w:val="none"/>
              </w:rPr>
            </w:pPr>
            <w:r>
              <w:rPr>
                <w:rFonts w:eastAsia="Times New Roman"/>
                <w:color w:val="auto"/>
                <w:sz w:val="22"/>
                <w:szCs w:val="24"/>
                <w:highlight w:val="none"/>
              </w:rPr>
              <w:t>Q</w:t>
            </w:r>
            <w:r>
              <w:rPr>
                <w:rFonts w:hint="eastAsia" w:ascii="宋体" w:hAnsi="宋体"/>
                <w:color w:val="auto"/>
                <w:sz w:val="22"/>
                <w:szCs w:val="24"/>
                <w:highlight w:val="none"/>
              </w:rPr>
              <w:t>＜</w:t>
            </w:r>
            <w:r>
              <w:rPr>
                <w:rFonts w:eastAsia="Times New Roman"/>
                <w:color w:val="auto"/>
                <w:sz w:val="22"/>
                <w:szCs w:val="24"/>
                <w:highlight w:val="none"/>
              </w:rPr>
              <w:t>200</w:t>
            </w:r>
            <w:r>
              <w:rPr>
                <w:rFonts w:hint="eastAsia" w:ascii="宋体" w:hAnsi="宋体"/>
                <w:color w:val="auto"/>
                <w:sz w:val="22"/>
                <w:szCs w:val="24"/>
                <w:highlight w:val="none"/>
              </w:rPr>
              <w:t>或</w:t>
            </w:r>
            <w:r>
              <w:rPr>
                <w:rFonts w:eastAsia="Times New Roman"/>
                <w:color w:val="auto"/>
                <w:sz w:val="22"/>
                <w:szCs w:val="24"/>
                <w:highlight w:val="none"/>
              </w:rPr>
              <w:t>W</w:t>
            </w:r>
            <w:r>
              <w:rPr>
                <w:rFonts w:hint="eastAsia" w:ascii="宋体" w:hAnsi="宋体"/>
                <w:color w:val="auto"/>
                <w:sz w:val="22"/>
                <w:szCs w:val="24"/>
                <w:highlight w:val="none"/>
              </w:rPr>
              <w:t>＜</w:t>
            </w:r>
            <w:r>
              <w:rPr>
                <w:rFonts w:eastAsia="Times New Roman"/>
                <w:color w:val="auto"/>
                <w:sz w:val="22"/>
                <w:szCs w:val="24"/>
                <w:highlight w:val="none"/>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28"/>
              <w:widowControl w:val="0"/>
              <w:rPr>
                <w:b/>
                <w:bCs/>
                <w:color w:val="auto"/>
                <w:highlight w:val="none"/>
              </w:rPr>
            </w:pPr>
            <w:r>
              <w:rPr>
                <w:rFonts w:hint="eastAsia"/>
                <w:b/>
                <w:bCs/>
                <w:color w:val="auto"/>
                <w:highlight w:val="none"/>
              </w:rPr>
              <w:t>三级B</w:t>
            </w:r>
          </w:p>
        </w:tc>
        <w:tc>
          <w:tcPr>
            <w:tcW w:w="1890" w:type="dxa"/>
            <w:tcBorders>
              <w:tl2br w:val="nil"/>
              <w:tr2bl w:val="nil"/>
            </w:tcBorders>
            <w:vAlign w:val="center"/>
          </w:tcPr>
          <w:p>
            <w:pPr>
              <w:pStyle w:val="28"/>
              <w:widowControl w:val="0"/>
              <w:rPr>
                <w:b/>
                <w:bCs/>
                <w:color w:val="auto"/>
                <w:highlight w:val="none"/>
              </w:rPr>
            </w:pPr>
            <w:r>
              <w:rPr>
                <w:rFonts w:hint="eastAsia"/>
                <w:b/>
                <w:bCs/>
                <w:color w:val="auto"/>
                <w:highlight w:val="none"/>
              </w:rPr>
              <w:t>间接排放</w:t>
            </w:r>
          </w:p>
        </w:tc>
        <w:tc>
          <w:tcPr>
            <w:tcW w:w="5762" w:type="dxa"/>
            <w:tcBorders>
              <w:tl2br w:val="nil"/>
              <w:tr2bl w:val="nil"/>
            </w:tcBorders>
            <w:vAlign w:val="center"/>
          </w:tcPr>
          <w:p>
            <w:pPr>
              <w:pStyle w:val="28"/>
              <w:widowControl w:val="0"/>
              <w:rPr>
                <w:b/>
                <w:bCs/>
                <w:color w:val="auto"/>
                <w:highlight w:val="none"/>
              </w:rPr>
            </w:pPr>
            <w:r>
              <w:rPr>
                <w:rFonts w:hint="eastAsia" w:ascii="宋体" w:hAnsi="宋体"/>
                <w:b/>
                <w:bCs/>
                <w:color w:val="auto"/>
                <w:sz w:val="22"/>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3"/>
            <w:tcBorders>
              <w:tl2br w:val="nil"/>
              <w:tr2bl w:val="nil"/>
            </w:tcBorders>
            <w:vAlign w:val="center"/>
          </w:tcPr>
          <w:p>
            <w:pPr>
              <w:pStyle w:val="28"/>
              <w:widowControl w:val="0"/>
              <w:jc w:val="left"/>
              <w:rPr>
                <w:color w:val="auto"/>
                <w:highlight w:val="none"/>
              </w:rPr>
            </w:pPr>
            <w:r>
              <w:rPr>
                <w:color w:val="auto"/>
                <w:highlight w:val="none"/>
              </w:rPr>
              <w:t>注1：水污染物当量数等于该污染物的年排放量除以该污染物的污染当量值，计算排放污染物的污染物当量数，应区分第一类水污染物和其他类水污染物，统计第一类污染物当量数总和，然后与其他类污染物按照污染物当量从大到小排序，取最大当量数作为建设项目评价等级确定的依据。</w:t>
            </w:r>
          </w:p>
          <w:p>
            <w:pPr>
              <w:pStyle w:val="28"/>
              <w:widowControl w:val="0"/>
              <w:jc w:val="left"/>
              <w:rPr>
                <w:color w:val="auto"/>
                <w:highlight w:val="none"/>
              </w:rPr>
            </w:pPr>
            <w:r>
              <w:rPr>
                <w:color w:val="auto"/>
                <w:highlight w:val="none"/>
              </w:rPr>
              <w:t>注2：废水排放量按行业排放标准中规定的废水种类统计，没有相关行业排放标准要求的通过工程分析合理确定，应统计含热量大的冷却水的排放量，可不统计间歇冷却水，循环水以及其他含污染物极少的清净下水的排放量。</w:t>
            </w:r>
          </w:p>
          <w:p>
            <w:pPr>
              <w:pStyle w:val="28"/>
              <w:widowControl w:val="0"/>
              <w:jc w:val="left"/>
              <w:rPr>
                <w:color w:val="auto"/>
                <w:highlight w:val="none"/>
              </w:rPr>
            </w:pPr>
            <w:r>
              <w:rPr>
                <w:color w:val="auto"/>
                <w:highlight w:val="none"/>
              </w:rPr>
              <w:t>注3：厂区存在堆积物（露天堆放的原料，燃料、废渣等以及垃圾堆放场）、降尘污染的，应将初期雨水纳入废水排放量，相应的主要污染物纳入水污染当量计算。</w:t>
            </w:r>
          </w:p>
          <w:p>
            <w:pPr>
              <w:pStyle w:val="28"/>
              <w:widowControl w:val="0"/>
              <w:jc w:val="left"/>
              <w:rPr>
                <w:color w:val="auto"/>
                <w:highlight w:val="none"/>
              </w:rPr>
            </w:pPr>
            <w:r>
              <w:rPr>
                <w:color w:val="auto"/>
                <w:highlight w:val="none"/>
              </w:rPr>
              <w:t>注4：建设项目直接排放第一类污染物的，其评价等级为一级；建设项目直接排放的污染物为受纳水体超标因子的，评价等级不低于二级。</w:t>
            </w:r>
          </w:p>
          <w:p>
            <w:pPr>
              <w:pStyle w:val="28"/>
              <w:widowControl w:val="0"/>
              <w:jc w:val="left"/>
              <w:rPr>
                <w:color w:val="auto"/>
                <w:highlight w:val="none"/>
              </w:rPr>
            </w:pPr>
            <w:r>
              <w:rPr>
                <w:color w:val="auto"/>
                <w:highlight w:val="none"/>
              </w:rPr>
              <w:t>注5：直接排放受纳水体影响范围涉及饮用水水源保护区、饮用水取水口、重点保护与</w:t>
            </w:r>
            <w:r>
              <w:rPr>
                <w:rFonts w:hint="eastAsia"/>
                <w:color w:val="auto"/>
                <w:highlight w:val="none"/>
              </w:rPr>
              <w:t>珍稀</w:t>
            </w:r>
            <w:r>
              <w:rPr>
                <w:color w:val="auto"/>
                <w:highlight w:val="none"/>
              </w:rPr>
              <w:t>水生生物的栖息地、重要水生生物的自然产卵场等保护目标时，评价等级不低于二级。</w:t>
            </w:r>
          </w:p>
          <w:p>
            <w:pPr>
              <w:pStyle w:val="28"/>
              <w:widowControl w:val="0"/>
              <w:jc w:val="left"/>
              <w:rPr>
                <w:color w:val="auto"/>
                <w:highlight w:val="none"/>
              </w:rPr>
            </w:pPr>
            <w:r>
              <w:rPr>
                <w:color w:val="auto"/>
                <w:highlight w:val="none"/>
              </w:rPr>
              <w:t>注6：建设项目向河流、湖库排放温排水引起收纳水体水文变化超过水环境质量标准要求，且评价范围有水温敏感目标时，评价等级为一级。</w:t>
            </w:r>
          </w:p>
          <w:p>
            <w:pPr>
              <w:pStyle w:val="28"/>
              <w:widowControl w:val="0"/>
              <w:jc w:val="left"/>
              <w:rPr>
                <w:color w:val="auto"/>
                <w:highlight w:val="none"/>
              </w:rPr>
            </w:pPr>
            <w:r>
              <w:rPr>
                <w:color w:val="auto"/>
                <w:highlight w:val="none"/>
              </w:rPr>
              <w:t>注7：建设项目利用海水未做调节温度介质，排水≥500万m</w:t>
            </w:r>
            <w:r>
              <w:rPr>
                <w:color w:val="auto"/>
                <w:highlight w:val="none"/>
                <w:vertAlign w:val="superscript"/>
              </w:rPr>
              <w:t>3</w:t>
            </w:r>
            <w:r>
              <w:rPr>
                <w:color w:val="auto"/>
                <w:highlight w:val="none"/>
              </w:rPr>
              <w:t>/d，评价等级为一级排水量﹤500万m</w:t>
            </w:r>
            <w:r>
              <w:rPr>
                <w:color w:val="auto"/>
                <w:highlight w:val="none"/>
                <w:vertAlign w:val="superscript"/>
              </w:rPr>
              <w:t>3</w:t>
            </w:r>
            <w:r>
              <w:rPr>
                <w:color w:val="auto"/>
                <w:highlight w:val="none"/>
              </w:rPr>
              <w:t>/d，评价等级为二级。</w:t>
            </w:r>
          </w:p>
          <w:p>
            <w:pPr>
              <w:pStyle w:val="28"/>
              <w:widowControl w:val="0"/>
              <w:jc w:val="left"/>
              <w:rPr>
                <w:color w:val="auto"/>
                <w:highlight w:val="none"/>
              </w:rPr>
            </w:pPr>
            <w:r>
              <w:rPr>
                <w:color w:val="auto"/>
                <w:highlight w:val="none"/>
              </w:rPr>
              <w:t>注8：仅涉及清净下水排放的，如其排水水质满足收纳水体水环境质量要求的，评价等级为三级A。</w:t>
            </w:r>
          </w:p>
          <w:p>
            <w:pPr>
              <w:pStyle w:val="28"/>
              <w:widowControl w:val="0"/>
              <w:jc w:val="left"/>
              <w:rPr>
                <w:color w:val="auto"/>
                <w:highlight w:val="none"/>
              </w:rPr>
            </w:pPr>
            <w:r>
              <w:rPr>
                <w:color w:val="auto"/>
                <w:highlight w:val="none"/>
              </w:rPr>
              <w:t>注9：依托现有排放口，且对外环境未新增污染物的直接排放建设项目，评价等级参照间接排放，定位三级B。</w:t>
            </w:r>
          </w:p>
          <w:p>
            <w:pPr>
              <w:pStyle w:val="28"/>
              <w:widowControl w:val="0"/>
              <w:jc w:val="left"/>
              <w:rPr>
                <w:rFonts w:ascii="宋体" w:hAnsi="宋体"/>
                <w:color w:val="auto"/>
                <w:szCs w:val="24"/>
                <w:highlight w:val="none"/>
              </w:rPr>
            </w:pPr>
            <w:r>
              <w:rPr>
                <w:color w:val="auto"/>
                <w:highlight w:val="none"/>
              </w:rPr>
              <w:t>注10：建设项目生产工艺中有废水产生，但作为回水利用，不排放到外环境的，按三级B评价。</w:t>
            </w:r>
          </w:p>
        </w:tc>
      </w:tr>
    </w:tbl>
    <w:p>
      <w:pPr>
        <w:widowControl w:val="0"/>
        <w:ind w:firstLine="480"/>
        <w:jc w:val="left"/>
        <w:rPr>
          <w:b/>
          <w:bCs/>
          <w:color w:val="auto"/>
          <w:highlight w:val="none"/>
        </w:rPr>
      </w:pPr>
      <w:r>
        <w:rPr>
          <w:rFonts w:hint="eastAsia"/>
          <w:color w:val="auto"/>
          <w:highlight w:val="none"/>
        </w:rPr>
        <w:t>本项目投产后，本项目污废水经处理后排入元坨社区市政污水管网，通过市政污水管网汇入响滩镇污水处理厂处理。</w:t>
      </w:r>
      <w:r>
        <w:rPr>
          <w:color w:val="auto"/>
          <w:kern w:val="0"/>
          <w:highlight w:val="none"/>
        </w:rPr>
        <w:t>根据《环境影响评价技术导则  地表水环境》（HJ2.3-2018）中相关环境影响评价工作等级划分原则，</w:t>
      </w:r>
      <w:r>
        <w:rPr>
          <w:b/>
          <w:bCs/>
          <w:color w:val="auto"/>
          <w:kern w:val="0"/>
          <w:highlight w:val="none"/>
        </w:rPr>
        <w:t>确定本项目地表水环境评价等级为三级B，只需进行简要分析。</w:t>
      </w:r>
    </w:p>
    <w:p>
      <w:pPr>
        <w:pStyle w:val="6"/>
        <w:widowControl w:val="0"/>
        <w:ind w:left="-160" w:firstLineChars="0"/>
        <w:rPr>
          <w:color w:val="auto"/>
          <w:highlight w:val="none"/>
        </w:rPr>
      </w:pPr>
      <w:r>
        <w:rPr>
          <w:rFonts w:hint="eastAsia"/>
          <w:color w:val="auto"/>
          <w:highlight w:val="none"/>
        </w:rPr>
        <w:t>地下水环境</w:t>
      </w:r>
    </w:p>
    <w:p>
      <w:pPr>
        <w:widowControl w:val="0"/>
        <w:ind w:firstLine="480"/>
        <w:jc w:val="left"/>
        <w:rPr>
          <w:rFonts w:ascii="宋体" w:hAnsi="宋体"/>
          <w:color w:val="auto"/>
          <w:szCs w:val="24"/>
          <w:highlight w:val="none"/>
        </w:rPr>
      </w:pPr>
      <w:r>
        <w:rPr>
          <w:rFonts w:hint="eastAsia" w:ascii="宋体" w:hAnsi="宋体"/>
          <w:color w:val="auto"/>
          <w:szCs w:val="24"/>
          <w:highlight w:val="none"/>
        </w:rPr>
        <w:t>根据《环境影响评价技术导则 地下水环境》（</w:t>
      </w:r>
      <w:r>
        <w:rPr>
          <w:rFonts w:eastAsia="Times New Roman"/>
          <w:color w:val="auto"/>
          <w:szCs w:val="24"/>
          <w:highlight w:val="none"/>
        </w:rPr>
        <w:t>HJ610-2016</w:t>
      </w:r>
      <w:r>
        <w:rPr>
          <w:rFonts w:hint="eastAsia" w:ascii="宋体" w:hAnsi="宋体"/>
          <w:color w:val="auto"/>
          <w:szCs w:val="24"/>
          <w:highlight w:val="none"/>
        </w:rPr>
        <w:t>）中附录</w:t>
      </w:r>
      <w:r>
        <w:rPr>
          <w:rFonts w:eastAsia="Times New Roman"/>
          <w:color w:val="auto"/>
          <w:szCs w:val="24"/>
          <w:highlight w:val="none"/>
        </w:rPr>
        <w:t>A</w:t>
      </w:r>
      <w:r>
        <w:rPr>
          <w:rFonts w:hint="eastAsia" w:ascii="宋体" w:hAnsi="宋体"/>
          <w:color w:val="auto"/>
          <w:szCs w:val="24"/>
          <w:highlight w:val="none"/>
        </w:rPr>
        <w:t>确定本项目所属地下水环境影响类别，本项目属于屠宰企业，属于地下水环境影响评价</w:t>
      </w:r>
      <w:r>
        <w:rPr>
          <w:color w:val="auto"/>
          <w:szCs w:val="24"/>
          <w:highlight w:val="none"/>
        </w:rPr>
        <w:t>Ⅲ</w:t>
      </w:r>
      <w:r>
        <w:rPr>
          <w:rFonts w:hint="eastAsia" w:ascii="宋体" w:hAnsi="宋体"/>
          <w:color w:val="auto"/>
          <w:szCs w:val="24"/>
          <w:highlight w:val="none"/>
        </w:rPr>
        <w:t>类项目。根据导则中表</w:t>
      </w:r>
      <w:r>
        <w:rPr>
          <w:rFonts w:eastAsia="Times New Roman"/>
          <w:color w:val="auto"/>
          <w:szCs w:val="24"/>
          <w:highlight w:val="none"/>
        </w:rPr>
        <w:t>1</w:t>
      </w:r>
      <w:r>
        <w:rPr>
          <w:rFonts w:hint="eastAsia" w:ascii="宋体" w:hAnsi="宋体"/>
          <w:color w:val="auto"/>
          <w:szCs w:val="24"/>
          <w:highlight w:val="none"/>
        </w:rPr>
        <w:t>确定本项目地下水环境敏感程度，分级原则见下表。</w:t>
      </w:r>
    </w:p>
    <w:p>
      <w:pPr>
        <w:pStyle w:val="27"/>
        <w:widowControl w:val="0"/>
        <w:rPr>
          <w:color w:val="auto"/>
          <w:highlight w:val="none"/>
        </w:rPr>
      </w:pPr>
      <w:r>
        <w:rPr>
          <w:rFonts w:hint="eastAsia"/>
          <w:color w:val="auto"/>
          <w:highlight w:val="none"/>
        </w:rPr>
        <w:t>地下水环境敏感程度分级表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28"/>
              <w:widowControl w:val="0"/>
              <w:rPr>
                <w:b/>
                <w:bCs/>
                <w:color w:val="auto"/>
                <w:highlight w:val="none"/>
              </w:rPr>
            </w:pPr>
            <w:r>
              <w:rPr>
                <w:rFonts w:hint="eastAsia"/>
                <w:b/>
                <w:bCs/>
                <w:color w:val="auto"/>
                <w:highlight w:val="none"/>
              </w:rPr>
              <w:t>敏感程度</w:t>
            </w:r>
          </w:p>
        </w:tc>
        <w:tc>
          <w:tcPr>
            <w:tcW w:w="8402" w:type="dxa"/>
            <w:tcBorders>
              <w:tl2br w:val="nil"/>
              <w:tr2bl w:val="nil"/>
            </w:tcBorders>
            <w:vAlign w:val="center"/>
          </w:tcPr>
          <w:p>
            <w:pPr>
              <w:pStyle w:val="28"/>
              <w:widowControl w:val="0"/>
              <w:rPr>
                <w:b/>
                <w:bCs/>
                <w:color w:val="auto"/>
                <w:highlight w:val="none"/>
              </w:rPr>
            </w:pPr>
            <w:r>
              <w:rPr>
                <w:rFonts w:hint="eastAsia"/>
                <w:b/>
                <w:bCs/>
                <w:color w:val="auto"/>
                <w:highlight w:val="non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28"/>
              <w:widowControl w:val="0"/>
              <w:rPr>
                <w:color w:val="auto"/>
                <w:highlight w:val="none"/>
              </w:rPr>
            </w:pPr>
            <w:r>
              <w:rPr>
                <w:rFonts w:hint="eastAsia"/>
                <w:color w:val="auto"/>
                <w:highlight w:val="none"/>
              </w:rPr>
              <w:t>敏感</w:t>
            </w:r>
          </w:p>
        </w:tc>
        <w:tc>
          <w:tcPr>
            <w:tcW w:w="8402" w:type="dxa"/>
            <w:tcBorders>
              <w:tl2br w:val="nil"/>
              <w:tr2bl w:val="nil"/>
            </w:tcBorders>
            <w:vAlign w:val="center"/>
          </w:tcPr>
          <w:p>
            <w:pPr>
              <w:pStyle w:val="28"/>
              <w:widowControl w:val="0"/>
              <w:rPr>
                <w:color w:val="auto"/>
                <w:highlight w:val="none"/>
              </w:rPr>
            </w:pPr>
            <w:r>
              <w:rPr>
                <w:rFonts w:hint="eastAsia"/>
                <w:color w:val="auto"/>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28"/>
              <w:widowControl w:val="0"/>
              <w:rPr>
                <w:color w:val="auto"/>
                <w:highlight w:val="none"/>
              </w:rPr>
            </w:pPr>
            <w:r>
              <w:rPr>
                <w:rFonts w:hint="eastAsia"/>
                <w:color w:val="auto"/>
                <w:highlight w:val="none"/>
              </w:rPr>
              <w:t>较敏感</w:t>
            </w:r>
          </w:p>
        </w:tc>
        <w:tc>
          <w:tcPr>
            <w:tcW w:w="8402" w:type="dxa"/>
            <w:tcBorders>
              <w:tl2br w:val="nil"/>
              <w:tr2bl w:val="nil"/>
            </w:tcBorders>
            <w:vAlign w:val="center"/>
          </w:tcPr>
          <w:p>
            <w:pPr>
              <w:pStyle w:val="28"/>
              <w:widowControl w:val="0"/>
              <w:rPr>
                <w:color w:val="auto"/>
                <w:highlight w:val="none"/>
              </w:rPr>
            </w:pPr>
            <w:r>
              <w:rPr>
                <w:rFonts w:hint="eastAsia"/>
                <w:color w:val="auto"/>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28"/>
              <w:widowControl w:val="0"/>
              <w:rPr>
                <w:color w:val="auto"/>
                <w:highlight w:val="none"/>
              </w:rPr>
            </w:pPr>
            <w:r>
              <w:rPr>
                <w:rFonts w:hint="eastAsia"/>
                <w:color w:val="auto"/>
                <w:highlight w:val="none"/>
              </w:rPr>
              <w:t>不敏感</w:t>
            </w:r>
          </w:p>
        </w:tc>
        <w:tc>
          <w:tcPr>
            <w:tcW w:w="8402" w:type="dxa"/>
            <w:tcBorders>
              <w:tl2br w:val="nil"/>
              <w:tr2bl w:val="nil"/>
            </w:tcBorders>
            <w:vAlign w:val="center"/>
          </w:tcPr>
          <w:p>
            <w:pPr>
              <w:pStyle w:val="28"/>
              <w:widowControl w:val="0"/>
              <w:rPr>
                <w:color w:val="auto"/>
                <w:highlight w:val="none"/>
              </w:rPr>
            </w:pPr>
            <w:r>
              <w:rPr>
                <w:rFonts w:hint="eastAsia"/>
                <w:color w:val="auto"/>
                <w:highlight w:val="none"/>
              </w:rPr>
              <w:t>上述地区之外的其它地区。</w:t>
            </w:r>
          </w:p>
        </w:tc>
      </w:tr>
    </w:tbl>
    <w:p>
      <w:pPr>
        <w:widowControl w:val="0"/>
        <w:ind w:firstLine="480"/>
        <w:rPr>
          <w:color w:val="auto"/>
          <w:highlight w:val="none"/>
        </w:rPr>
      </w:pPr>
      <w:r>
        <w:rPr>
          <w:rFonts w:hint="eastAsia"/>
          <w:color w:val="auto"/>
          <w:highlight w:val="none"/>
        </w:rPr>
        <w:t>本项目所在地为平昌县响滩镇，周边村民均接有自来水，居民</w:t>
      </w:r>
      <w:r>
        <w:rPr>
          <w:rFonts w:hint="eastAsia"/>
          <w:color w:val="auto"/>
          <w:highlight w:val="none"/>
          <w:lang w:val="en-US" w:eastAsia="zh-CN"/>
        </w:rPr>
        <w:t>均未</w:t>
      </w:r>
      <w:r>
        <w:rPr>
          <w:rFonts w:hint="eastAsia"/>
          <w:color w:val="auto"/>
          <w:highlight w:val="none"/>
        </w:rPr>
        <w:t>使用</w:t>
      </w:r>
      <w:r>
        <w:rPr>
          <w:rFonts w:hint="eastAsia"/>
          <w:color w:val="auto"/>
          <w:highlight w:val="none"/>
          <w:lang w:val="en-US" w:eastAsia="zh-CN"/>
        </w:rPr>
        <w:t>地下水</w:t>
      </w:r>
      <w:r>
        <w:rPr>
          <w:rFonts w:hint="eastAsia"/>
          <w:color w:val="auto"/>
          <w:highlight w:val="none"/>
        </w:rPr>
        <w:t>水源生活</w:t>
      </w:r>
      <w:r>
        <w:rPr>
          <w:rFonts w:hint="eastAsia"/>
          <w:color w:val="auto"/>
          <w:highlight w:val="none"/>
          <w:lang w:eastAsia="zh-CN"/>
        </w:rPr>
        <w:t>；</w:t>
      </w:r>
      <w:r>
        <w:rPr>
          <w:rFonts w:hint="eastAsia"/>
          <w:color w:val="auto"/>
          <w:highlight w:val="none"/>
          <w:lang w:val="en-US" w:eastAsia="zh-CN"/>
        </w:rPr>
        <w:t>本项目范围不涉及</w:t>
      </w:r>
      <w:r>
        <w:rPr>
          <w:rFonts w:hint="eastAsia"/>
          <w:color w:val="auto"/>
          <w:highlight w:val="none"/>
        </w:rPr>
        <w:t>集中式饮用水水源保护区以外的补给径流区</w:t>
      </w:r>
      <w:r>
        <w:rPr>
          <w:rFonts w:hint="eastAsia"/>
          <w:color w:val="auto"/>
          <w:highlight w:val="none"/>
          <w:lang w:eastAsia="zh-CN"/>
        </w:rPr>
        <w:t>、</w:t>
      </w:r>
      <w:r>
        <w:rPr>
          <w:rFonts w:hint="eastAsia"/>
          <w:color w:val="auto"/>
          <w:highlight w:val="none"/>
        </w:rPr>
        <w:t>未划定准保护区的集中式饮用水水源</w:t>
      </w:r>
      <w:r>
        <w:rPr>
          <w:rFonts w:hint="eastAsia"/>
          <w:color w:val="auto"/>
          <w:highlight w:val="none"/>
          <w:lang w:eastAsia="zh-CN"/>
        </w:rPr>
        <w:t>、</w:t>
      </w:r>
      <w:r>
        <w:rPr>
          <w:rFonts w:hint="eastAsia"/>
          <w:color w:val="auto"/>
          <w:highlight w:val="none"/>
        </w:rPr>
        <w:t>分散式饮用水水源地</w:t>
      </w:r>
      <w:r>
        <w:rPr>
          <w:rFonts w:hint="eastAsia"/>
          <w:color w:val="auto"/>
          <w:highlight w:val="none"/>
          <w:lang w:eastAsia="zh-CN"/>
        </w:rPr>
        <w:t>、</w:t>
      </w:r>
      <w:r>
        <w:rPr>
          <w:rFonts w:hint="eastAsia"/>
          <w:color w:val="auto"/>
          <w:highlight w:val="none"/>
        </w:rPr>
        <w:t>特殊地下水资源（如矿泉水、温泉等）保护区以外的分布区等</w:t>
      </w:r>
      <w:r>
        <w:rPr>
          <w:rFonts w:hint="eastAsia"/>
          <w:color w:val="auto"/>
          <w:highlight w:val="none"/>
          <w:lang w:eastAsia="zh-CN"/>
        </w:rPr>
        <w:t>，</w:t>
      </w:r>
      <w:r>
        <w:rPr>
          <w:rFonts w:hint="eastAsia"/>
          <w:color w:val="auto"/>
          <w:highlight w:val="none"/>
        </w:rPr>
        <w:t>因此其地下水环境敏感特征为</w:t>
      </w:r>
      <w:r>
        <w:rPr>
          <w:rFonts w:hint="eastAsia"/>
          <w:color w:val="auto"/>
          <w:highlight w:val="none"/>
          <w:lang w:val="en-US" w:eastAsia="zh-CN"/>
        </w:rPr>
        <w:t>不敏感</w:t>
      </w:r>
      <w:r>
        <w:rPr>
          <w:rFonts w:hint="eastAsia"/>
          <w:color w:val="auto"/>
          <w:highlight w:val="none"/>
        </w:rPr>
        <w:t>。根据导则中的评价工作等级划分，具体见下表。</w:t>
      </w:r>
    </w:p>
    <w:p>
      <w:pPr>
        <w:pStyle w:val="27"/>
        <w:widowControl w:val="0"/>
        <w:rPr>
          <w:color w:val="auto"/>
          <w:highlight w:val="none"/>
        </w:rPr>
      </w:pPr>
      <w:r>
        <w:rPr>
          <w:rFonts w:hint="eastAsia"/>
          <w:color w:val="auto"/>
          <w:highlight w:val="none"/>
        </w:rPr>
        <w:t>地下水环境影响评价等级划分一览表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6"/>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b/>
                <w:bCs/>
                <w:color w:val="auto"/>
                <w:highlight w:val="none"/>
              </w:rPr>
            </w:pPr>
            <w:r>
              <w:rPr>
                <w:rFonts w:hint="eastAsia"/>
                <w:b/>
                <w:bCs/>
                <w:color w:val="auto"/>
                <w:highlight w:val="none"/>
              </w:rPr>
              <w:t>环境敏感程度</w:t>
            </w:r>
          </w:p>
        </w:tc>
        <w:tc>
          <w:tcPr>
            <w:tcW w:w="2405" w:type="dxa"/>
            <w:tcBorders>
              <w:tl2br w:val="nil"/>
              <w:tr2bl w:val="nil"/>
            </w:tcBorders>
            <w:vAlign w:val="center"/>
          </w:tcPr>
          <w:p>
            <w:pPr>
              <w:pStyle w:val="28"/>
              <w:widowControl w:val="0"/>
              <w:rPr>
                <w:b/>
                <w:bCs/>
                <w:color w:val="auto"/>
                <w:highlight w:val="none"/>
              </w:rPr>
            </w:pPr>
            <w:r>
              <w:rPr>
                <w:b/>
                <w:bCs/>
                <w:color w:val="auto"/>
                <w:highlight w:val="none"/>
              </w:rPr>
              <w:t>Ⅰ</w:t>
            </w:r>
            <w:r>
              <w:rPr>
                <w:rFonts w:hint="eastAsia"/>
                <w:b/>
                <w:bCs/>
                <w:color w:val="auto"/>
                <w:highlight w:val="none"/>
              </w:rPr>
              <w:t>类项目</w:t>
            </w:r>
          </w:p>
        </w:tc>
        <w:tc>
          <w:tcPr>
            <w:tcW w:w="2406" w:type="dxa"/>
            <w:tcBorders>
              <w:tl2br w:val="nil"/>
              <w:tr2bl w:val="nil"/>
            </w:tcBorders>
            <w:vAlign w:val="center"/>
          </w:tcPr>
          <w:p>
            <w:pPr>
              <w:pStyle w:val="28"/>
              <w:widowControl w:val="0"/>
              <w:rPr>
                <w:b/>
                <w:bCs/>
                <w:color w:val="auto"/>
                <w:highlight w:val="none"/>
              </w:rPr>
            </w:pPr>
            <w:r>
              <w:rPr>
                <w:b/>
                <w:bCs/>
                <w:color w:val="auto"/>
                <w:highlight w:val="none"/>
              </w:rPr>
              <w:t>Ⅱ</w:t>
            </w:r>
            <w:r>
              <w:rPr>
                <w:rFonts w:hint="eastAsia"/>
                <w:b/>
                <w:bCs/>
                <w:color w:val="auto"/>
                <w:highlight w:val="none"/>
              </w:rPr>
              <w:t>项目</w:t>
            </w:r>
          </w:p>
        </w:tc>
        <w:tc>
          <w:tcPr>
            <w:tcW w:w="2406" w:type="dxa"/>
            <w:tcBorders>
              <w:tl2br w:val="nil"/>
              <w:tr2bl w:val="nil"/>
            </w:tcBorders>
            <w:vAlign w:val="center"/>
          </w:tcPr>
          <w:p>
            <w:pPr>
              <w:pStyle w:val="28"/>
              <w:widowControl w:val="0"/>
              <w:rPr>
                <w:b/>
                <w:bCs/>
                <w:color w:val="auto"/>
                <w:highlight w:val="none"/>
              </w:rPr>
            </w:pPr>
            <w:r>
              <w:rPr>
                <w:b/>
                <w:bCs/>
                <w:color w:val="auto"/>
                <w:highlight w:val="none"/>
              </w:rPr>
              <w:t>Ⅲ</w:t>
            </w:r>
            <w:r>
              <w:rPr>
                <w:rFonts w:hint="eastAsia"/>
                <w:b/>
                <w:bCs/>
                <w:color w:val="auto"/>
                <w:highlight w:val="none"/>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color w:val="auto"/>
                <w:highlight w:val="none"/>
              </w:rPr>
            </w:pPr>
            <w:r>
              <w:rPr>
                <w:rFonts w:hint="eastAsia"/>
                <w:color w:val="auto"/>
                <w:highlight w:val="none"/>
              </w:rPr>
              <w:t>敏感</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一</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一</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color w:val="auto"/>
                <w:highlight w:val="none"/>
              </w:rPr>
            </w:pPr>
            <w:r>
              <w:rPr>
                <w:rFonts w:hint="eastAsia"/>
                <w:color w:val="auto"/>
                <w:highlight w:val="none"/>
              </w:rPr>
              <w:t>较敏感</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一</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二</w:t>
            </w:r>
          </w:p>
        </w:tc>
        <w:tc>
          <w:tcPr>
            <w:tcW w:w="2406" w:type="dxa"/>
            <w:tcBorders>
              <w:tl2br w:val="nil"/>
              <w:tr2bl w:val="nil"/>
            </w:tcBorders>
            <w:shd w:val="clear" w:color="auto" w:fill="auto"/>
            <w:vAlign w:val="center"/>
          </w:tcPr>
          <w:p>
            <w:pPr>
              <w:pStyle w:val="28"/>
              <w:widowControl w:val="0"/>
              <w:rPr>
                <w:color w:val="auto"/>
                <w:highlight w:val="none"/>
              </w:rPr>
            </w:pPr>
            <w:r>
              <w:rPr>
                <w:rFonts w:hint="eastAsia"/>
                <w:color w:val="auto"/>
                <w:highlight w:val="none"/>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color w:val="auto"/>
                <w:highlight w:val="none"/>
              </w:rPr>
            </w:pPr>
            <w:r>
              <w:rPr>
                <w:rFonts w:hint="eastAsia"/>
                <w:color w:val="auto"/>
                <w:highlight w:val="none"/>
              </w:rPr>
              <w:t>不敏感</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二</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三</w:t>
            </w:r>
          </w:p>
        </w:tc>
        <w:tc>
          <w:tcPr>
            <w:tcW w:w="2406" w:type="dxa"/>
            <w:tcBorders>
              <w:tl2br w:val="nil"/>
              <w:tr2bl w:val="nil"/>
            </w:tcBorders>
            <w:shd w:val="clear" w:color="auto" w:fill="BEBEBE" w:themeFill="background1" w:themeFillShade="BF"/>
            <w:vAlign w:val="center"/>
          </w:tcPr>
          <w:p>
            <w:pPr>
              <w:pStyle w:val="28"/>
              <w:widowControl w:val="0"/>
              <w:rPr>
                <w:color w:val="auto"/>
                <w:highlight w:val="none"/>
              </w:rPr>
            </w:pPr>
            <w:r>
              <w:rPr>
                <w:rFonts w:hint="eastAsia"/>
                <w:color w:val="auto"/>
                <w:highlight w:val="none"/>
              </w:rPr>
              <w:t>三</w:t>
            </w:r>
          </w:p>
        </w:tc>
      </w:tr>
    </w:tbl>
    <w:p>
      <w:pPr>
        <w:widowControl w:val="0"/>
        <w:ind w:firstLine="480"/>
        <w:rPr>
          <w:color w:val="auto"/>
          <w:highlight w:val="none"/>
        </w:rPr>
      </w:pPr>
      <w:r>
        <w:rPr>
          <w:rFonts w:hint="eastAsia"/>
          <w:color w:val="auto"/>
          <w:highlight w:val="none"/>
        </w:rPr>
        <w:t>综上所述，本项目属于</w:t>
      </w:r>
      <w:r>
        <w:rPr>
          <w:color w:val="auto"/>
          <w:highlight w:val="none"/>
        </w:rPr>
        <w:t>Ⅲ</w:t>
      </w:r>
      <w:r>
        <w:rPr>
          <w:rFonts w:hint="eastAsia"/>
          <w:color w:val="auto"/>
          <w:highlight w:val="none"/>
        </w:rPr>
        <w:t>类项目，确定本项目地下水评价等级为三级。</w:t>
      </w:r>
    </w:p>
    <w:p>
      <w:pPr>
        <w:pStyle w:val="6"/>
        <w:widowControl w:val="0"/>
        <w:ind w:left="-160" w:firstLineChars="0"/>
        <w:rPr>
          <w:color w:val="auto"/>
          <w:highlight w:val="none"/>
        </w:rPr>
      </w:pPr>
      <w:r>
        <w:rPr>
          <w:rFonts w:hint="eastAsia"/>
          <w:color w:val="auto"/>
          <w:highlight w:val="none"/>
        </w:rPr>
        <w:t>声环境</w:t>
      </w:r>
    </w:p>
    <w:p>
      <w:pPr>
        <w:widowControl w:val="0"/>
        <w:ind w:firstLine="480"/>
        <w:rPr>
          <w:color w:val="auto"/>
          <w:highlight w:val="none"/>
        </w:rPr>
      </w:pPr>
      <w:r>
        <w:rPr>
          <w:rFonts w:hint="eastAsia"/>
          <w:color w:val="auto"/>
          <w:highlight w:val="none"/>
        </w:rPr>
        <w:t>本项目选址于平昌县响滩镇，为《声环境质量标准》（</w:t>
      </w:r>
      <w:r>
        <w:rPr>
          <w:color w:val="auto"/>
          <w:highlight w:val="none"/>
        </w:rPr>
        <w:t>GB3096-2008</w:t>
      </w:r>
      <w:r>
        <w:rPr>
          <w:rFonts w:hint="eastAsia"/>
          <w:color w:val="auto"/>
          <w:highlight w:val="none"/>
        </w:rPr>
        <w:t>）规定的</w:t>
      </w:r>
      <w:r>
        <w:rPr>
          <w:color w:val="auto"/>
          <w:highlight w:val="none"/>
        </w:rPr>
        <w:t>2</w:t>
      </w:r>
      <w:r>
        <w:rPr>
          <w:rFonts w:hint="eastAsia"/>
          <w:color w:val="auto"/>
          <w:highlight w:val="none"/>
        </w:rPr>
        <w:t>类声环境功能区，项目建成后评价范围内受影响人口数量不增加，敏感目标噪声级增加量低于</w:t>
      </w:r>
      <w:r>
        <w:rPr>
          <w:color w:val="auto"/>
          <w:highlight w:val="none"/>
        </w:rPr>
        <w:t>5dB</w:t>
      </w:r>
      <w:r>
        <w:rPr>
          <w:rFonts w:hint="eastAsia"/>
          <w:color w:val="auto"/>
          <w:highlight w:val="none"/>
        </w:rPr>
        <w:t>（</w:t>
      </w:r>
      <w:r>
        <w:rPr>
          <w:color w:val="auto"/>
          <w:highlight w:val="none"/>
        </w:rPr>
        <w:t>A</w:t>
      </w:r>
      <w:r>
        <w:rPr>
          <w:rFonts w:hint="eastAsia"/>
          <w:color w:val="auto"/>
          <w:highlight w:val="none"/>
        </w:rPr>
        <w:t>），依据《环境影响评价技术导则－声环境》（</w:t>
      </w:r>
      <w:r>
        <w:rPr>
          <w:rFonts w:hint="eastAsia"/>
          <w:color w:val="auto"/>
          <w:highlight w:val="none"/>
          <w:lang w:eastAsia="zh-CN"/>
        </w:rPr>
        <w:t>HJ2.4-2021</w:t>
      </w:r>
      <w:r>
        <w:rPr>
          <w:rFonts w:hint="eastAsia"/>
          <w:color w:val="auto"/>
          <w:highlight w:val="none"/>
        </w:rPr>
        <w:t>）中评价工作等级划分基本原则的规定，本项目噪声评价工作等级为二级。</w:t>
      </w:r>
    </w:p>
    <w:p>
      <w:pPr>
        <w:pStyle w:val="6"/>
        <w:widowControl w:val="0"/>
        <w:ind w:left="-160" w:firstLineChars="0"/>
        <w:rPr>
          <w:color w:val="auto"/>
          <w:highlight w:val="none"/>
        </w:rPr>
      </w:pPr>
      <w:r>
        <w:rPr>
          <w:rFonts w:hint="eastAsia"/>
          <w:color w:val="auto"/>
          <w:highlight w:val="none"/>
        </w:rPr>
        <w:t>生态环境</w:t>
      </w:r>
    </w:p>
    <w:p>
      <w:pPr>
        <w:widowControl w:val="0"/>
        <w:ind w:firstLine="480"/>
        <w:rPr>
          <w:color w:val="auto"/>
          <w:highlight w:val="none"/>
        </w:rPr>
      </w:pPr>
      <w:r>
        <w:rPr>
          <w:rFonts w:hint="eastAsia"/>
          <w:color w:val="auto"/>
          <w:highlight w:val="none"/>
        </w:rPr>
        <w:t>本项目</w:t>
      </w:r>
      <w:r>
        <w:rPr>
          <w:rFonts w:hint="eastAsia"/>
          <w:color w:val="auto"/>
          <w:highlight w:val="none"/>
          <w:lang w:val="en-US" w:eastAsia="zh-CN"/>
        </w:rPr>
        <w:t>为污染影响类项目，项目区域不涉及国家公园、自然保护区、世界自然遗产、重要生境、自然公园、生态保护红线等，项目总占地0.019km</w:t>
      </w:r>
      <w:r>
        <w:rPr>
          <w:rFonts w:hint="eastAsia"/>
          <w:color w:val="auto"/>
          <w:highlight w:val="none"/>
          <w:vertAlign w:val="superscript"/>
          <w:lang w:val="en-US" w:eastAsia="zh-CN"/>
        </w:rPr>
        <w:t>2</w:t>
      </w:r>
      <w:r>
        <w:rPr>
          <w:rFonts w:hint="eastAsia"/>
          <w:color w:val="auto"/>
          <w:highlight w:val="none"/>
          <w:vertAlign w:val="baseline"/>
          <w:lang w:val="en-US" w:eastAsia="zh-CN"/>
        </w:rPr>
        <w:t>&lt;20km</w:t>
      </w:r>
      <w:r>
        <w:rPr>
          <w:rFonts w:hint="eastAsia"/>
          <w:color w:val="auto"/>
          <w:highlight w:val="none"/>
          <w:vertAlign w:val="superscript"/>
          <w:lang w:val="en-US" w:eastAsia="zh-CN"/>
        </w:rPr>
        <w:t>2</w:t>
      </w:r>
      <w:r>
        <w:rPr>
          <w:rFonts w:hint="eastAsia"/>
          <w:color w:val="auto"/>
          <w:highlight w:val="none"/>
        </w:rPr>
        <w:t>。依据《环境影响评价技术导则－生态影响》（</w:t>
      </w:r>
      <w:r>
        <w:rPr>
          <w:rFonts w:hint="eastAsia"/>
          <w:color w:val="auto"/>
          <w:highlight w:val="none"/>
          <w:lang w:eastAsia="zh-CN"/>
        </w:rPr>
        <w:t>HJ19-2022</w:t>
      </w:r>
      <w:r>
        <w:rPr>
          <w:rFonts w:hint="eastAsia"/>
          <w:color w:val="auto"/>
          <w:highlight w:val="none"/>
        </w:rPr>
        <w:t>），确定本工程生态评价等级定为三级</w:t>
      </w:r>
      <w:r>
        <w:rPr>
          <w:rFonts w:hint="eastAsia"/>
          <w:color w:val="auto"/>
          <w:highlight w:val="none"/>
          <w:lang w:eastAsia="zh-CN"/>
        </w:rPr>
        <w:t>。</w:t>
      </w:r>
    </w:p>
    <w:p>
      <w:pPr>
        <w:pStyle w:val="6"/>
        <w:widowControl w:val="0"/>
        <w:ind w:left="-160" w:firstLineChars="0"/>
        <w:rPr>
          <w:color w:val="auto"/>
          <w:highlight w:val="none"/>
        </w:rPr>
      </w:pPr>
      <w:r>
        <w:rPr>
          <w:rFonts w:hint="eastAsia"/>
          <w:color w:val="auto"/>
          <w:highlight w:val="none"/>
        </w:rPr>
        <w:t>土壤环境</w:t>
      </w:r>
    </w:p>
    <w:p>
      <w:pPr>
        <w:widowControl w:val="0"/>
        <w:ind w:firstLine="480"/>
        <w:rPr>
          <w:color w:val="auto"/>
          <w:highlight w:val="none"/>
        </w:rPr>
      </w:pPr>
      <w:r>
        <w:rPr>
          <w:rFonts w:hint="eastAsia"/>
          <w:color w:val="auto"/>
          <w:highlight w:val="none"/>
          <w:lang w:val="en-US" w:eastAsia="zh-CN"/>
        </w:rPr>
        <w:t>本项目为生猪和肉牛屠宰项目，属农副食品加工行业，</w:t>
      </w:r>
      <w:r>
        <w:rPr>
          <w:rFonts w:hint="eastAsia"/>
          <w:color w:val="auto"/>
          <w:highlight w:val="none"/>
        </w:rPr>
        <w:t>根据《环境影响评价技术导则 土壤环境（试行）》（</w:t>
      </w:r>
      <w:r>
        <w:rPr>
          <w:color w:val="auto"/>
          <w:highlight w:val="none"/>
        </w:rPr>
        <w:t>HJ964-2018</w:t>
      </w:r>
      <w:r>
        <w:rPr>
          <w:rFonts w:hint="eastAsia"/>
          <w:color w:val="auto"/>
          <w:highlight w:val="none"/>
        </w:rPr>
        <w:t>），本项目属于附录</w:t>
      </w:r>
      <w:r>
        <w:rPr>
          <w:color w:val="auto"/>
          <w:highlight w:val="none"/>
        </w:rPr>
        <w:t>A</w:t>
      </w:r>
      <w:r>
        <w:rPr>
          <w:rFonts w:hint="eastAsia"/>
          <w:color w:val="auto"/>
          <w:highlight w:val="none"/>
        </w:rPr>
        <w:t>（土壤环境影响评价项目类别表）中“</w:t>
      </w:r>
      <w:r>
        <w:rPr>
          <w:rFonts w:hint="eastAsia"/>
          <w:color w:val="auto"/>
          <w:highlight w:val="none"/>
          <w:lang w:val="en-US" w:eastAsia="zh-CN"/>
        </w:rPr>
        <w:t>其他行业</w:t>
      </w:r>
      <w:r>
        <w:rPr>
          <w:rFonts w:hint="eastAsia"/>
          <w:color w:val="auto"/>
          <w:highlight w:val="none"/>
        </w:rPr>
        <w:t>”类别，为Ⅳ类项目，可不开展土壤环境影响评价工作。</w:t>
      </w:r>
    </w:p>
    <w:p>
      <w:pPr>
        <w:pStyle w:val="6"/>
        <w:widowControl w:val="0"/>
        <w:ind w:left="-160" w:firstLineChars="0"/>
        <w:rPr>
          <w:color w:val="auto"/>
          <w:highlight w:val="none"/>
        </w:rPr>
      </w:pPr>
      <w:r>
        <w:rPr>
          <w:rFonts w:hint="eastAsia"/>
          <w:color w:val="auto"/>
          <w:highlight w:val="none"/>
        </w:rPr>
        <w:t>环境风险</w:t>
      </w:r>
    </w:p>
    <w:p>
      <w:pPr>
        <w:widowControl w:val="0"/>
        <w:ind w:firstLine="480"/>
        <w:jc w:val="left"/>
        <w:rPr>
          <w:color w:val="auto"/>
          <w:highlight w:val="none"/>
        </w:rPr>
      </w:pPr>
      <w:r>
        <w:rPr>
          <w:rFonts w:hint="eastAsia" w:ascii="宋体" w:hAnsi="宋体"/>
          <w:color w:val="auto"/>
          <w:szCs w:val="24"/>
          <w:highlight w:val="none"/>
        </w:rPr>
        <w:t>根据《建设项目环境风险评价技术导则》（</w:t>
      </w:r>
      <w:r>
        <w:rPr>
          <w:rFonts w:eastAsia="Times New Roman"/>
          <w:color w:val="auto"/>
          <w:szCs w:val="24"/>
          <w:highlight w:val="none"/>
        </w:rPr>
        <w:t>HJ169</w:t>
      </w:r>
      <w:r>
        <w:rPr>
          <w:rFonts w:hint="eastAsia" w:ascii="宋体" w:hAnsi="宋体"/>
          <w:color w:val="auto"/>
          <w:szCs w:val="24"/>
          <w:highlight w:val="none"/>
        </w:rPr>
        <w:t>—</w:t>
      </w:r>
      <w:r>
        <w:rPr>
          <w:rFonts w:eastAsia="Times New Roman"/>
          <w:color w:val="auto"/>
          <w:szCs w:val="24"/>
          <w:highlight w:val="none"/>
        </w:rPr>
        <w:t>2018</w:t>
      </w:r>
      <w:r>
        <w:rPr>
          <w:rFonts w:hint="eastAsia" w:ascii="宋体" w:hAnsi="宋体"/>
          <w:color w:val="auto"/>
          <w:szCs w:val="24"/>
          <w:highlight w:val="none"/>
        </w:rPr>
        <w:t>），环境风险评价工作等级划分为一级、二级、三级。根据建设项目涉及的物质及工艺系统危险性和所在地的环境敏感性确定环境风险潜势。本项目生产过程中使用的原辅材料有柴油，根据《建设项目环境风险评价技术导则》（</w:t>
      </w:r>
      <w:r>
        <w:rPr>
          <w:rFonts w:eastAsia="Times New Roman"/>
          <w:color w:val="auto"/>
          <w:szCs w:val="24"/>
          <w:highlight w:val="none"/>
        </w:rPr>
        <w:t>HJ169-2018</w:t>
      </w:r>
      <w:r>
        <w:rPr>
          <w:rFonts w:hint="eastAsia" w:ascii="宋体" w:hAnsi="宋体"/>
          <w:color w:val="auto"/>
          <w:szCs w:val="24"/>
          <w:highlight w:val="none"/>
        </w:rPr>
        <w:t>）附录</w:t>
      </w:r>
      <w:r>
        <w:rPr>
          <w:rFonts w:eastAsia="Times New Roman"/>
          <w:color w:val="auto"/>
          <w:szCs w:val="24"/>
          <w:highlight w:val="none"/>
        </w:rPr>
        <w:t>B</w:t>
      </w:r>
      <w:r>
        <w:rPr>
          <w:rFonts w:hint="eastAsia" w:ascii="宋体" w:hAnsi="宋体"/>
          <w:color w:val="auto"/>
          <w:szCs w:val="24"/>
          <w:highlight w:val="none"/>
        </w:rPr>
        <w:t>，本项目涉及的环境风险物质为二氯异氰尿酸钠和柴油，经计算项目</w:t>
      </w:r>
      <w:r>
        <w:rPr>
          <w:rFonts w:eastAsia="Times New Roman"/>
          <w:color w:val="auto"/>
          <w:szCs w:val="24"/>
          <w:highlight w:val="none"/>
        </w:rPr>
        <w:t>Q</w:t>
      </w:r>
      <w:r>
        <w:rPr>
          <w:rFonts w:hint="eastAsia"/>
          <w:color w:val="auto"/>
          <w:szCs w:val="24"/>
          <w:highlight w:val="none"/>
        </w:rPr>
        <w:t>&lt;1.0，本项目环境风险潜势为</w:t>
      </w:r>
      <w:r>
        <w:rPr>
          <w:color w:val="auto"/>
          <w:szCs w:val="24"/>
          <w:highlight w:val="none"/>
        </w:rPr>
        <w:t>Ⅰ</w:t>
      </w:r>
      <w:r>
        <w:rPr>
          <w:rFonts w:hint="eastAsia"/>
          <w:color w:val="auto"/>
          <w:szCs w:val="24"/>
          <w:highlight w:val="none"/>
        </w:rPr>
        <w:t>。</w:t>
      </w:r>
    </w:p>
    <w:p>
      <w:pPr>
        <w:widowControl w:val="0"/>
        <w:ind w:firstLine="480"/>
        <w:rPr>
          <w:color w:val="auto"/>
          <w:highlight w:val="none"/>
        </w:rPr>
      </w:pPr>
      <w:r>
        <w:rPr>
          <w:rFonts w:hint="eastAsia" w:ascii="宋体" w:hAnsi="宋体"/>
          <w:color w:val="auto"/>
          <w:szCs w:val="24"/>
          <w:highlight w:val="none"/>
        </w:rPr>
        <w:t>根据《建设项目环境风险评价技术导则》（</w:t>
      </w:r>
      <w:r>
        <w:rPr>
          <w:rFonts w:eastAsia="Times New Roman"/>
          <w:color w:val="auto"/>
          <w:szCs w:val="24"/>
          <w:highlight w:val="none"/>
        </w:rPr>
        <w:t>HJ169</w:t>
      </w:r>
      <w:r>
        <w:rPr>
          <w:rFonts w:hint="eastAsia" w:ascii="宋体" w:hAnsi="宋体"/>
          <w:color w:val="auto"/>
          <w:szCs w:val="24"/>
          <w:highlight w:val="none"/>
        </w:rPr>
        <w:t>—</w:t>
      </w:r>
      <w:r>
        <w:rPr>
          <w:rFonts w:eastAsia="Times New Roman"/>
          <w:color w:val="auto"/>
          <w:szCs w:val="24"/>
          <w:highlight w:val="none"/>
        </w:rPr>
        <w:t>2018</w:t>
      </w:r>
      <w:r>
        <w:rPr>
          <w:rFonts w:hint="eastAsia" w:ascii="宋体" w:hAnsi="宋体"/>
          <w:color w:val="auto"/>
          <w:szCs w:val="24"/>
          <w:highlight w:val="none"/>
        </w:rPr>
        <w:t>）判定依据：</w:t>
      </w:r>
    </w:p>
    <w:p>
      <w:pPr>
        <w:pStyle w:val="27"/>
        <w:widowControl w:val="0"/>
        <w:rPr>
          <w:color w:val="auto"/>
          <w:highlight w:val="none"/>
        </w:rPr>
      </w:pPr>
      <w:r>
        <w:rPr>
          <w:rFonts w:hint="eastAsia"/>
          <w:color w:val="auto"/>
          <w:highlight w:val="none"/>
        </w:rPr>
        <w:t>环境风险评价工作等级划分表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755"/>
        <w:gridCol w:w="1755"/>
        <w:gridCol w:w="1756"/>
        <w:gridCol w:w="1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755" w:type="dxa"/>
            <w:tcBorders>
              <w:tl2br w:val="nil"/>
              <w:tr2bl w:val="nil"/>
            </w:tcBorders>
            <w:vAlign w:val="center"/>
          </w:tcPr>
          <w:p>
            <w:pPr>
              <w:pStyle w:val="28"/>
              <w:widowControl w:val="0"/>
              <w:rPr>
                <w:b/>
                <w:bCs/>
                <w:color w:val="auto"/>
                <w:highlight w:val="none"/>
              </w:rPr>
            </w:pPr>
            <w:r>
              <w:rPr>
                <w:rFonts w:hint="eastAsia"/>
                <w:b/>
                <w:bCs/>
                <w:color w:val="auto"/>
                <w:highlight w:val="none"/>
              </w:rPr>
              <w:t>环境风险潜势</w:t>
            </w:r>
          </w:p>
        </w:tc>
        <w:tc>
          <w:tcPr>
            <w:tcW w:w="1755" w:type="dxa"/>
            <w:tcBorders>
              <w:tl2br w:val="nil"/>
              <w:tr2bl w:val="nil"/>
            </w:tcBorders>
            <w:vAlign w:val="center"/>
          </w:tcPr>
          <w:p>
            <w:pPr>
              <w:pStyle w:val="28"/>
              <w:widowControl w:val="0"/>
              <w:rPr>
                <w:b/>
                <w:bCs/>
                <w:color w:val="auto"/>
                <w:highlight w:val="none"/>
              </w:rPr>
            </w:pPr>
            <w:r>
              <w:rPr>
                <w:b/>
                <w:bCs/>
                <w:color w:val="auto"/>
                <w:highlight w:val="none"/>
              </w:rPr>
              <w:t>Ⅳ、Ⅳ+</w:t>
            </w:r>
          </w:p>
        </w:tc>
        <w:tc>
          <w:tcPr>
            <w:tcW w:w="1755" w:type="dxa"/>
            <w:tcBorders>
              <w:tl2br w:val="nil"/>
              <w:tr2bl w:val="nil"/>
            </w:tcBorders>
            <w:vAlign w:val="center"/>
          </w:tcPr>
          <w:p>
            <w:pPr>
              <w:pStyle w:val="28"/>
              <w:widowControl w:val="0"/>
              <w:rPr>
                <w:b/>
                <w:bCs/>
                <w:color w:val="auto"/>
                <w:highlight w:val="none"/>
              </w:rPr>
            </w:pPr>
            <w:r>
              <w:rPr>
                <w:b/>
                <w:bCs/>
                <w:color w:val="auto"/>
                <w:highlight w:val="none"/>
              </w:rPr>
              <w:t>Ⅲ</w:t>
            </w:r>
          </w:p>
        </w:tc>
        <w:tc>
          <w:tcPr>
            <w:tcW w:w="1756" w:type="dxa"/>
            <w:tcBorders>
              <w:tl2br w:val="nil"/>
              <w:tr2bl w:val="nil"/>
            </w:tcBorders>
            <w:vAlign w:val="center"/>
          </w:tcPr>
          <w:p>
            <w:pPr>
              <w:pStyle w:val="28"/>
              <w:widowControl w:val="0"/>
              <w:rPr>
                <w:b/>
                <w:bCs/>
                <w:color w:val="auto"/>
                <w:highlight w:val="none"/>
              </w:rPr>
            </w:pPr>
            <w:r>
              <w:rPr>
                <w:b/>
                <w:bCs/>
                <w:color w:val="auto"/>
                <w:highlight w:val="none"/>
              </w:rPr>
              <w:t>Ⅱ</w:t>
            </w:r>
          </w:p>
        </w:tc>
        <w:tc>
          <w:tcPr>
            <w:tcW w:w="1756" w:type="dxa"/>
            <w:tcBorders>
              <w:tl2br w:val="nil"/>
              <w:tr2bl w:val="nil"/>
            </w:tcBorders>
            <w:vAlign w:val="center"/>
          </w:tcPr>
          <w:p>
            <w:pPr>
              <w:pStyle w:val="28"/>
              <w:widowControl w:val="0"/>
              <w:rPr>
                <w:b/>
                <w:bCs/>
                <w:color w:val="auto"/>
                <w:highlight w:val="none"/>
              </w:rPr>
            </w:pPr>
            <w:r>
              <w:rPr>
                <w:b/>
                <w:bCs/>
                <w:color w:val="auto"/>
                <w:highlight w:val="none"/>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7" w:hRule="atLeast"/>
          <w:jc w:val="center"/>
        </w:trPr>
        <w:tc>
          <w:tcPr>
            <w:tcW w:w="1755" w:type="dxa"/>
            <w:tcBorders>
              <w:tl2br w:val="nil"/>
              <w:tr2bl w:val="nil"/>
            </w:tcBorders>
            <w:vAlign w:val="center"/>
          </w:tcPr>
          <w:p>
            <w:pPr>
              <w:pStyle w:val="28"/>
              <w:widowControl w:val="0"/>
              <w:rPr>
                <w:color w:val="auto"/>
                <w:highlight w:val="none"/>
              </w:rPr>
            </w:pPr>
            <w:r>
              <w:rPr>
                <w:rFonts w:hint="eastAsia"/>
                <w:color w:val="auto"/>
                <w:highlight w:val="none"/>
              </w:rPr>
              <w:t>评价工作等级</w:t>
            </w:r>
          </w:p>
        </w:tc>
        <w:tc>
          <w:tcPr>
            <w:tcW w:w="1755" w:type="dxa"/>
            <w:tcBorders>
              <w:tl2br w:val="nil"/>
              <w:tr2bl w:val="nil"/>
            </w:tcBorders>
            <w:vAlign w:val="center"/>
          </w:tcPr>
          <w:p>
            <w:pPr>
              <w:pStyle w:val="28"/>
              <w:widowControl w:val="0"/>
              <w:rPr>
                <w:color w:val="auto"/>
                <w:highlight w:val="none"/>
              </w:rPr>
            </w:pPr>
            <w:r>
              <w:rPr>
                <w:rFonts w:hint="eastAsia"/>
                <w:color w:val="auto"/>
                <w:highlight w:val="none"/>
              </w:rPr>
              <w:t>一</w:t>
            </w:r>
          </w:p>
        </w:tc>
        <w:tc>
          <w:tcPr>
            <w:tcW w:w="1755" w:type="dxa"/>
            <w:tcBorders>
              <w:tl2br w:val="nil"/>
              <w:tr2bl w:val="nil"/>
            </w:tcBorders>
            <w:vAlign w:val="center"/>
          </w:tcPr>
          <w:p>
            <w:pPr>
              <w:pStyle w:val="28"/>
              <w:widowControl w:val="0"/>
              <w:rPr>
                <w:color w:val="auto"/>
                <w:highlight w:val="none"/>
              </w:rPr>
            </w:pPr>
            <w:r>
              <w:rPr>
                <w:rFonts w:hint="eastAsia"/>
                <w:color w:val="auto"/>
                <w:highlight w:val="none"/>
              </w:rPr>
              <w:t>二</w:t>
            </w:r>
          </w:p>
        </w:tc>
        <w:tc>
          <w:tcPr>
            <w:tcW w:w="1756" w:type="dxa"/>
            <w:tcBorders>
              <w:tl2br w:val="nil"/>
              <w:tr2bl w:val="nil"/>
            </w:tcBorders>
            <w:vAlign w:val="center"/>
          </w:tcPr>
          <w:p>
            <w:pPr>
              <w:pStyle w:val="28"/>
              <w:widowControl w:val="0"/>
              <w:rPr>
                <w:color w:val="auto"/>
                <w:highlight w:val="none"/>
              </w:rPr>
            </w:pPr>
            <w:r>
              <w:rPr>
                <w:rFonts w:hint="eastAsia"/>
                <w:color w:val="auto"/>
                <w:highlight w:val="none"/>
              </w:rPr>
              <w:t>三</w:t>
            </w:r>
          </w:p>
        </w:tc>
        <w:tc>
          <w:tcPr>
            <w:tcW w:w="1756" w:type="dxa"/>
            <w:tcBorders>
              <w:tl2br w:val="nil"/>
              <w:tr2bl w:val="nil"/>
            </w:tcBorders>
            <w:vAlign w:val="center"/>
          </w:tcPr>
          <w:p>
            <w:pPr>
              <w:pStyle w:val="28"/>
              <w:widowControl w:val="0"/>
              <w:rPr>
                <w:color w:val="auto"/>
                <w:highlight w:val="none"/>
              </w:rPr>
            </w:pPr>
            <w:r>
              <w:rPr>
                <w:rFonts w:hint="eastAsia"/>
                <w:color w:val="auto"/>
                <w:highlight w:val="none"/>
              </w:rPr>
              <w:t>简单分析</w:t>
            </w:r>
          </w:p>
        </w:tc>
      </w:tr>
    </w:tbl>
    <w:p>
      <w:pPr>
        <w:widowControl w:val="0"/>
        <w:ind w:firstLine="480"/>
        <w:rPr>
          <w:color w:val="auto"/>
          <w:highlight w:val="none"/>
        </w:rPr>
      </w:pPr>
      <w:r>
        <w:rPr>
          <w:rFonts w:hint="eastAsia"/>
          <w:color w:val="auto"/>
          <w:highlight w:val="none"/>
        </w:rPr>
        <w:t>综上判定，确定本项目为简单分析。</w:t>
      </w:r>
    </w:p>
    <w:p>
      <w:pPr>
        <w:pStyle w:val="5"/>
        <w:widowControl w:val="0"/>
        <w:ind w:firstLine="120"/>
        <w:rPr>
          <w:color w:val="auto"/>
          <w:highlight w:val="none"/>
        </w:rPr>
      </w:pPr>
      <w:r>
        <w:rPr>
          <w:rFonts w:hint="eastAsia"/>
          <w:color w:val="auto"/>
          <w:highlight w:val="none"/>
        </w:rPr>
        <w:t>评价范围</w:t>
      </w:r>
    </w:p>
    <w:p>
      <w:pPr>
        <w:widowControl w:val="0"/>
        <w:ind w:firstLine="480"/>
        <w:rPr>
          <w:color w:val="auto"/>
          <w:highlight w:val="none"/>
        </w:rPr>
      </w:pPr>
      <w:r>
        <w:rPr>
          <w:rFonts w:hint="eastAsia"/>
          <w:color w:val="auto"/>
          <w:highlight w:val="none"/>
        </w:rPr>
        <w:t>（1）环境空气</w:t>
      </w:r>
    </w:p>
    <w:p>
      <w:pPr>
        <w:widowControl w:val="0"/>
        <w:ind w:firstLine="480"/>
        <w:rPr>
          <w:color w:val="auto"/>
          <w:highlight w:val="none"/>
        </w:rPr>
      </w:pPr>
      <w:r>
        <w:rPr>
          <w:rFonts w:hint="eastAsia"/>
          <w:color w:val="auto"/>
          <w:highlight w:val="none"/>
        </w:rPr>
        <w:t>依据《环境影响评价技术导则大气环境》HJ2.2——2018，二级评价项目大气环境影响评价范围边长取5km。因此，确定本项目大气环境评价范围即以厂区中心为中心点，边长为5km的矩形区域，评价范围面积25km</w:t>
      </w:r>
      <w:r>
        <w:rPr>
          <w:rFonts w:hint="eastAsia"/>
          <w:color w:val="auto"/>
          <w:highlight w:val="none"/>
          <w:vertAlign w:val="superscript"/>
        </w:rPr>
        <w:t>2</w:t>
      </w:r>
      <w:r>
        <w:rPr>
          <w:rFonts w:hint="eastAsia"/>
          <w:color w:val="auto"/>
          <w:highlight w:val="none"/>
        </w:rPr>
        <w:t>。</w:t>
      </w:r>
    </w:p>
    <w:p>
      <w:pPr>
        <w:widowControl w:val="0"/>
        <w:ind w:firstLine="480"/>
        <w:rPr>
          <w:color w:val="auto"/>
          <w:highlight w:val="none"/>
        </w:rPr>
      </w:pPr>
      <w:r>
        <w:rPr>
          <w:rFonts w:hint="eastAsia"/>
          <w:color w:val="auto"/>
          <w:highlight w:val="none"/>
        </w:rPr>
        <w:t>（2）地表水环境</w:t>
      </w:r>
    </w:p>
    <w:p>
      <w:pPr>
        <w:widowControl w:val="0"/>
        <w:ind w:firstLine="480"/>
        <w:rPr>
          <w:color w:val="auto"/>
          <w:highlight w:val="none"/>
        </w:rPr>
      </w:pPr>
      <w:r>
        <w:rPr>
          <w:rFonts w:hint="eastAsia"/>
          <w:color w:val="auto"/>
          <w:highlight w:val="none"/>
        </w:rPr>
        <w:t>本项目综合废水经自建污水处理站处理达到《肉类加工工业水污染物排放标准》（GB13457-92）表3畜类屠宰三级排放标准后排入元坨社区市政污水管网，通过市政污水管网汇入响滩镇污水处理厂处理，经污水处理厂处理后排入濛溪河。</w:t>
      </w:r>
    </w:p>
    <w:p>
      <w:pPr>
        <w:widowControl w:val="0"/>
        <w:ind w:firstLine="480"/>
        <w:rPr>
          <w:color w:val="auto"/>
          <w:highlight w:val="none"/>
        </w:rPr>
      </w:pPr>
      <w:r>
        <w:rPr>
          <w:rFonts w:hint="eastAsia"/>
          <w:color w:val="auto"/>
          <w:highlight w:val="none"/>
        </w:rPr>
        <w:t>据HJ/T2.3-2018规定，本项目地表水环境评价工作等级为三级B。据HJ/T2.3-2018中5.3.2.2规定，地表水环境影响评价范围应符合以下要求：a）应满足其依托污水处理设施环境可行性分析的要求；b）涉及地表水环境风险的，应覆盖环境风险影响范围所及的水环境保护目标水域。</w:t>
      </w:r>
    </w:p>
    <w:p>
      <w:pPr>
        <w:widowControl w:val="0"/>
        <w:ind w:firstLine="480"/>
        <w:rPr>
          <w:color w:val="auto"/>
          <w:highlight w:val="none"/>
        </w:rPr>
      </w:pPr>
      <w:r>
        <w:rPr>
          <w:rFonts w:hint="eastAsia"/>
          <w:color w:val="auto"/>
          <w:highlight w:val="none"/>
        </w:rPr>
        <w:t>根据项目特点，本次评价重点对废水排入元坨社区市政污水管网，通过市政污水管网汇入响滩镇污水处理厂处理的可行性、可靠性进行分析，项目无地表水评价范围。</w:t>
      </w:r>
    </w:p>
    <w:p>
      <w:pPr>
        <w:widowControl w:val="0"/>
        <w:ind w:firstLine="480"/>
        <w:rPr>
          <w:color w:val="auto"/>
          <w:highlight w:val="none"/>
        </w:rPr>
      </w:pPr>
      <w:r>
        <w:rPr>
          <w:rFonts w:hint="eastAsia"/>
          <w:color w:val="auto"/>
          <w:highlight w:val="none"/>
        </w:rPr>
        <w:t>（3）地下水环境</w:t>
      </w:r>
    </w:p>
    <w:p>
      <w:pPr>
        <w:widowControl w:val="0"/>
        <w:ind w:firstLine="480"/>
        <w:rPr>
          <w:color w:val="auto"/>
          <w:highlight w:val="none"/>
        </w:rPr>
      </w:pPr>
      <w:r>
        <w:rPr>
          <w:color w:val="auto"/>
          <w:highlight w:val="none"/>
        </w:rPr>
        <w:t>根据《地下水环境影响评价技术导则</w:t>
      </w:r>
      <w:r>
        <w:rPr>
          <w:rFonts w:hint="eastAsia"/>
          <w:color w:val="auto"/>
          <w:highlight w:val="none"/>
        </w:rPr>
        <w:t xml:space="preserve"> </w:t>
      </w:r>
      <w:r>
        <w:rPr>
          <w:color w:val="auto"/>
          <w:highlight w:val="none"/>
        </w:rPr>
        <w:t>地下水环境》（HJ610-2016），地下水环境现状调查评价范围应包括</w:t>
      </w:r>
      <w:r>
        <w:rPr>
          <w:rFonts w:hint="eastAsia"/>
          <w:color w:val="auto"/>
          <w:highlight w:val="none"/>
        </w:rPr>
        <w:t>与</w:t>
      </w:r>
      <w:r>
        <w:rPr>
          <w:color w:val="auto"/>
          <w:highlight w:val="none"/>
        </w:rPr>
        <w:t>建设项目相关的地下水环境保护目标，以能说明地下水环境现状，反映调查评价区地下水基本渗流特征，满足地下水环境影响预测和评价为基本原则。建设项目地下水环境现状调查评价范围的确定可采用公式计算法、查表法及自定义法确定，其中：</w:t>
      </w:r>
    </w:p>
    <w:p>
      <w:pPr>
        <w:widowControl w:val="0"/>
        <w:ind w:firstLine="480"/>
        <w:rPr>
          <w:color w:val="auto"/>
          <w:highlight w:val="none"/>
        </w:rPr>
      </w:pPr>
      <w:r>
        <w:rPr>
          <w:rFonts w:hint="eastAsia"/>
          <w:color w:val="auto"/>
          <w:highlight w:val="none"/>
        </w:rPr>
        <w:t>①公式计算法</w:t>
      </w:r>
    </w:p>
    <w:p>
      <w:pPr>
        <w:widowControl w:val="0"/>
        <w:ind w:firstLine="480"/>
        <w:rPr>
          <w:color w:val="auto"/>
          <w:highlight w:val="none"/>
        </w:rPr>
      </w:pPr>
      <w:r>
        <w:rPr>
          <w:rFonts w:ascii="宋体" w:hAnsi="宋体" w:cs="宋体"/>
          <w:color w:val="auto"/>
          <w:szCs w:val="24"/>
          <w:highlight w:val="none"/>
        </w:rPr>
        <w:t>当建设项目所在地水文地质条件相对简单，且所掌握的资料能够满足公式计算法的要求时，应采用公式计算法确定：</w:t>
      </w:r>
    </w:p>
    <w:p>
      <w:pPr>
        <w:widowControl w:val="0"/>
        <w:ind w:firstLine="0" w:firstLineChars="0"/>
        <w:jc w:val="center"/>
        <w:rPr>
          <w:color w:val="auto"/>
          <w:highlight w:val="none"/>
        </w:rPr>
      </w:pPr>
      <w:r>
        <w:rPr>
          <w:rFonts w:hint="eastAsia"/>
          <w:color w:val="auto"/>
          <w:position w:val="-6"/>
          <w:highlight w:val="none"/>
        </w:rPr>
        <w:object>
          <v:shape id="_x0000_i1026" o:spt="75" type="#_x0000_t75" style="height:14.4pt;width:100.8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p>
    <w:p>
      <w:pPr>
        <w:widowControl w:val="0"/>
        <w:ind w:firstLine="480"/>
        <w:rPr>
          <w:color w:val="auto"/>
          <w:highlight w:val="none"/>
        </w:rPr>
      </w:pPr>
      <w:r>
        <w:rPr>
          <w:rFonts w:hint="eastAsia"/>
          <w:color w:val="auto"/>
          <w:highlight w:val="none"/>
        </w:rPr>
        <w:t>式中：</w:t>
      </w:r>
    </w:p>
    <w:p>
      <w:pPr>
        <w:widowControl w:val="0"/>
        <w:ind w:firstLine="480"/>
        <w:rPr>
          <w:color w:val="auto"/>
          <w:highlight w:val="none"/>
        </w:rPr>
      </w:pPr>
      <w:r>
        <w:rPr>
          <w:rFonts w:hint="eastAsia"/>
          <w:color w:val="auto"/>
          <w:highlight w:val="none"/>
        </w:rPr>
        <w:t xml:space="preserve">      L——下游迁移距离，m；</w:t>
      </w:r>
    </w:p>
    <w:p>
      <w:pPr>
        <w:widowControl w:val="0"/>
        <w:ind w:firstLine="480"/>
        <w:rPr>
          <w:color w:val="auto"/>
          <w:highlight w:val="none"/>
        </w:rPr>
      </w:pPr>
      <w:r>
        <w:rPr>
          <w:rFonts w:hint="eastAsia"/>
          <w:color w:val="auto"/>
          <w:highlight w:val="none"/>
        </w:rPr>
        <w:t xml:space="preserve">      a——变化系数，a</w:t>
      </w:r>
      <w:r>
        <w:rPr>
          <w:color w:val="auto"/>
          <w:highlight w:val="none"/>
        </w:rPr>
        <w:t>≥</w:t>
      </w:r>
      <w:r>
        <w:rPr>
          <w:rFonts w:hint="eastAsia"/>
          <w:color w:val="auto"/>
          <w:highlight w:val="none"/>
        </w:rPr>
        <w:t>1，一般取2；</w:t>
      </w:r>
    </w:p>
    <w:p>
      <w:pPr>
        <w:widowControl w:val="0"/>
        <w:ind w:firstLine="480"/>
        <w:jc w:val="left"/>
        <w:rPr>
          <w:rFonts w:ascii="宋体" w:hAnsi="宋体"/>
          <w:color w:val="auto"/>
          <w:highlight w:val="none"/>
        </w:rPr>
      </w:pPr>
      <w:r>
        <w:rPr>
          <w:rFonts w:hint="eastAsia"/>
          <w:color w:val="auto"/>
          <w:highlight w:val="none"/>
        </w:rPr>
        <w:t xml:space="preserve">      </w:t>
      </w:r>
      <w:r>
        <w:rPr>
          <w:rFonts w:eastAsia="Times New Roman"/>
          <w:color w:val="auto"/>
          <w:highlight w:val="none"/>
        </w:rPr>
        <w:t>K</w:t>
      </w:r>
      <w:r>
        <w:rPr>
          <w:rFonts w:hint="eastAsia"/>
          <w:color w:val="auto"/>
          <w:highlight w:val="none"/>
        </w:rPr>
        <w:t>——</w:t>
      </w:r>
      <w:r>
        <w:rPr>
          <w:rFonts w:hint="eastAsia" w:ascii="宋体" w:hAnsi="宋体"/>
          <w:color w:val="auto"/>
          <w:highlight w:val="none"/>
        </w:rPr>
        <w:t>渗透系数，</w:t>
      </w:r>
      <w:r>
        <w:rPr>
          <w:rFonts w:eastAsia="Times New Roman"/>
          <w:color w:val="auto"/>
          <w:highlight w:val="none"/>
        </w:rPr>
        <w:t>m/d</w:t>
      </w:r>
      <w:r>
        <w:rPr>
          <w:rFonts w:hint="eastAsia" w:ascii="宋体" w:hAnsi="宋体"/>
          <w:color w:val="auto"/>
          <w:highlight w:val="none"/>
        </w:rPr>
        <w:t>；常见渗透系数表见附录</w:t>
      </w:r>
      <w:r>
        <w:rPr>
          <w:rFonts w:eastAsia="Times New Roman"/>
          <w:color w:val="auto"/>
          <w:highlight w:val="none"/>
        </w:rPr>
        <w:t>B</w:t>
      </w:r>
      <w:r>
        <w:rPr>
          <w:rFonts w:hint="eastAsia" w:ascii="宋体" w:hAnsi="宋体"/>
          <w:color w:val="auto"/>
          <w:highlight w:val="none"/>
        </w:rPr>
        <w:t>表</w:t>
      </w:r>
      <w:r>
        <w:rPr>
          <w:rFonts w:eastAsia="Times New Roman"/>
          <w:color w:val="auto"/>
          <w:highlight w:val="none"/>
        </w:rPr>
        <w:t>B.1</w:t>
      </w:r>
      <w:r>
        <w:rPr>
          <w:rFonts w:hint="eastAsia" w:ascii="宋体" w:hAnsi="宋体"/>
          <w:color w:val="auto"/>
          <w:highlight w:val="none"/>
        </w:rPr>
        <w:t>（取</w:t>
      </w:r>
      <w:r>
        <w:rPr>
          <w:rFonts w:eastAsia="Times New Roman"/>
          <w:color w:val="auto"/>
          <w:highlight w:val="none"/>
        </w:rPr>
        <w:t>1.5m/d</w:t>
      </w:r>
      <w:r>
        <w:rPr>
          <w:rFonts w:hint="eastAsia" w:ascii="宋体" w:hAnsi="宋体"/>
          <w:color w:val="auto"/>
          <w:highlight w:val="none"/>
        </w:rPr>
        <w:t>）；</w:t>
      </w:r>
    </w:p>
    <w:p>
      <w:pPr>
        <w:widowControl w:val="0"/>
        <w:ind w:firstLine="1200" w:firstLineChars="500"/>
        <w:jc w:val="left"/>
        <w:rPr>
          <w:rFonts w:ascii="宋体" w:hAnsi="宋体"/>
          <w:color w:val="auto"/>
          <w:highlight w:val="none"/>
        </w:rPr>
      </w:pPr>
      <w:r>
        <w:rPr>
          <w:rFonts w:eastAsia="Times New Roman"/>
          <w:color w:val="auto"/>
          <w:highlight w:val="none"/>
        </w:rPr>
        <w:t>I</w:t>
      </w:r>
      <w:r>
        <w:rPr>
          <w:rFonts w:hint="eastAsia"/>
          <w:color w:val="auto"/>
          <w:highlight w:val="none"/>
        </w:rPr>
        <w:t>——</w:t>
      </w:r>
      <w:r>
        <w:rPr>
          <w:rFonts w:hint="eastAsia" w:ascii="宋体" w:hAnsi="宋体"/>
          <w:color w:val="auto"/>
          <w:highlight w:val="none"/>
        </w:rPr>
        <w:t>水力坡度，无量纲；（取</w:t>
      </w:r>
      <w:r>
        <w:rPr>
          <w:rFonts w:eastAsia="Times New Roman"/>
          <w:color w:val="auto"/>
          <w:highlight w:val="none"/>
        </w:rPr>
        <w:t>0.00</w:t>
      </w:r>
      <w:r>
        <w:rPr>
          <w:rFonts w:hint="eastAsia"/>
          <w:color w:val="auto"/>
          <w:highlight w:val="none"/>
        </w:rPr>
        <w:t>5</w:t>
      </w:r>
      <w:r>
        <w:rPr>
          <w:rFonts w:hint="eastAsia" w:ascii="宋体" w:hAnsi="宋体"/>
          <w:color w:val="auto"/>
          <w:highlight w:val="none"/>
        </w:rPr>
        <w:t>）</w:t>
      </w:r>
    </w:p>
    <w:p>
      <w:pPr>
        <w:widowControl w:val="0"/>
        <w:ind w:firstLine="1200" w:firstLineChars="500"/>
        <w:jc w:val="left"/>
        <w:rPr>
          <w:rFonts w:ascii="宋体" w:hAnsi="宋体"/>
          <w:color w:val="auto"/>
          <w:highlight w:val="none"/>
        </w:rPr>
      </w:pPr>
      <w:r>
        <w:rPr>
          <w:rFonts w:eastAsia="Times New Roman"/>
          <w:color w:val="auto"/>
          <w:highlight w:val="none"/>
        </w:rPr>
        <w:t>T</w:t>
      </w:r>
      <w:r>
        <w:rPr>
          <w:rFonts w:hint="eastAsia"/>
          <w:color w:val="auto"/>
          <w:highlight w:val="none"/>
        </w:rPr>
        <w:t>——</w:t>
      </w:r>
      <w:r>
        <w:rPr>
          <w:rFonts w:hint="eastAsia" w:ascii="宋体" w:hAnsi="宋体"/>
          <w:color w:val="auto"/>
          <w:highlight w:val="none"/>
        </w:rPr>
        <w:t>质点迁移天数，取值不小于</w:t>
      </w:r>
      <w:r>
        <w:rPr>
          <w:rFonts w:eastAsia="Times New Roman"/>
          <w:color w:val="auto"/>
          <w:highlight w:val="none"/>
        </w:rPr>
        <w:t>5000d</w:t>
      </w:r>
      <w:r>
        <w:rPr>
          <w:rFonts w:hint="eastAsia" w:ascii="宋体" w:hAnsi="宋体"/>
          <w:color w:val="auto"/>
          <w:highlight w:val="none"/>
        </w:rPr>
        <w:t>；</w:t>
      </w:r>
    </w:p>
    <w:p>
      <w:pPr>
        <w:widowControl w:val="0"/>
        <w:ind w:firstLine="1200" w:firstLineChars="500"/>
        <w:rPr>
          <w:rFonts w:ascii="宋体" w:hAnsi="宋体"/>
          <w:color w:val="auto"/>
          <w:highlight w:val="none"/>
        </w:rPr>
      </w:pPr>
      <w:r>
        <w:rPr>
          <w:rFonts w:eastAsia="Times New Roman"/>
          <w:color w:val="auto"/>
          <w:highlight w:val="none"/>
        </w:rPr>
        <w:t>n</w:t>
      </w:r>
      <w:r>
        <w:rPr>
          <w:rFonts w:eastAsia="Times New Roman"/>
          <w:color w:val="auto"/>
          <w:sz w:val="16"/>
          <w:highlight w:val="none"/>
        </w:rPr>
        <w:t>e</w:t>
      </w:r>
      <w:r>
        <w:rPr>
          <w:rFonts w:hint="eastAsia"/>
          <w:color w:val="auto"/>
          <w:highlight w:val="none"/>
        </w:rPr>
        <w:t>——</w:t>
      </w:r>
      <w:r>
        <w:rPr>
          <w:rFonts w:hint="eastAsia" w:ascii="宋体" w:hAnsi="宋体"/>
          <w:color w:val="auto"/>
          <w:highlight w:val="none"/>
        </w:rPr>
        <w:t>有效孔隙度，无量纲（取</w:t>
      </w:r>
      <w:r>
        <w:rPr>
          <w:rFonts w:eastAsia="Times New Roman"/>
          <w:color w:val="auto"/>
          <w:highlight w:val="none"/>
        </w:rPr>
        <w:t>0.</w:t>
      </w:r>
      <w:r>
        <w:rPr>
          <w:rFonts w:hint="eastAsia"/>
          <w:color w:val="auto"/>
          <w:highlight w:val="none"/>
        </w:rPr>
        <w:t>26</w:t>
      </w:r>
      <w:r>
        <w:rPr>
          <w:rFonts w:hint="eastAsia" w:ascii="宋体" w:hAnsi="宋体"/>
          <w:color w:val="auto"/>
          <w:highlight w:val="none"/>
        </w:rPr>
        <w:t>）。</w:t>
      </w:r>
    </w:p>
    <w:p>
      <w:pPr>
        <w:widowControl w:val="0"/>
        <w:ind w:firstLine="480"/>
        <w:rPr>
          <w:color w:val="auto"/>
          <w:highlight w:val="none"/>
        </w:rPr>
      </w:pPr>
      <w:r>
        <w:rPr>
          <w:rFonts w:hint="eastAsia"/>
          <w:color w:val="auto"/>
          <w:highlight w:val="none"/>
        </w:rPr>
        <w:t>本次地下水评价范围下游（南侧）迁移距离L为288，场地侧向东、 西两侧依据不小于1/2L的原则，则评价范围为150m，上游南侧取150m。</w:t>
      </w:r>
    </w:p>
    <w:p>
      <w:pPr>
        <w:widowControl w:val="0"/>
        <w:ind w:firstLine="480"/>
        <w:rPr>
          <w:color w:val="auto"/>
          <w:highlight w:val="none"/>
        </w:rPr>
      </w:pPr>
      <w:r>
        <w:rPr>
          <w:rFonts w:hint="eastAsia"/>
          <w:color w:val="auto"/>
          <w:highlight w:val="none"/>
        </w:rPr>
        <w:t>②查表法</w:t>
      </w:r>
    </w:p>
    <w:p>
      <w:pPr>
        <w:widowControl w:val="0"/>
        <w:ind w:firstLine="480"/>
        <w:rPr>
          <w:color w:val="auto"/>
          <w:highlight w:val="none"/>
        </w:rPr>
      </w:pPr>
      <w:r>
        <w:rPr>
          <w:rFonts w:ascii="宋体" w:hAnsi="宋体" w:cs="宋体"/>
          <w:color w:val="auto"/>
          <w:szCs w:val="24"/>
          <w:highlight w:val="none"/>
        </w:rPr>
        <w:t>当不满足公式计算法的要求时，可采用查表法确定。</w:t>
      </w:r>
    </w:p>
    <w:p>
      <w:pPr>
        <w:pStyle w:val="27"/>
        <w:widowControl w:val="0"/>
        <w:rPr>
          <w:color w:val="auto"/>
          <w:highlight w:val="none"/>
        </w:rPr>
      </w:pPr>
      <w:r>
        <w:rPr>
          <w:rFonts w:hint="eastAsia"/>
          <w:color w:val="auto"/>
          <w:highlight w:val="none"/>
        </w:rPr>
        <w:t>地下水环境现状评价范围参照表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3240"/>
        <w:gridCol w:w="4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28"/>
              <w:widowControl w:val="0"/>
              <w:rPr>
                <w:b/>
                <w:bCs/>
                <w:color w:val="auto"/>
                <w:highlight w:val="none"/>
              </w:rPr>
            </w:pPr>
            <w:r>
              <w:rPr>
                <w:rFonts w:hint="eastAsia"/>
                <w:b/>
                <w:bCs/>
                <w:color w:val="auto"/>
                <w:highlight w:val="none"/>
              </w:rPr>
              <w:t>评价等级</w:t>
            </w:r>
          </w:p>
        </w:tc>
        <w:tc>
          <w:tcPr>
            <w:tcW w:w="3240" w:type="dxa"/>
            <w:tcBorders>
              <w:tl2br w:val="nil"/>
              <w:tr2bl w:val="nil"/>
            </w:tcBorders>
            <w:vAlign w:val="center"/>
          </w:tcPr>
          <w:p>
            <w:pPr>
              <w:pStyle w:val="28"/>
              <w:widowControl w:val="0"/>
              <w:rPr>
                <w:b/>
                <w:bCs/>
                <w:color w:val="auto"/>
                <w:highlight w:val="none"/>
              </w:rPr>
            </w:pPr>
            <w:r>
              <w:rPr>
                <w:rFonts w:hint="eastAsia"/>
                <w:b/>
                <w:bCs/>
                <w:color w:val="auto"/>
                <w:highlight w:val="none"/>
              </w:rPr>
              <w:t>调查评价范围（km</w:t>
            </w:r>
            <w:r>
              <w:rPr>
                <w:rFonts w:hint="eastAsia"/>
                <w:b/>
                <w:bCs/>
                <w:color w:val="auto"/>
                <w:highlight w:val="none"/>
                <w:vertAlign w:val="superscript"/>
              </w:rPr>
              <w:t>2</w:t>
            </w:r>
            <w:r>
              <w:rPr>
                <w:rFonts w:hint="eastAsia"/>
                <w:b/>
                <w:bCs/>
                <w:color w:val="auto"/>
                <w:highlight w:val="none"/>
              </w:rPr>
              <w:t>）</w:t>
            </w:r>
          </w:p>
        </w:tc>
        <w:tc>
          <w:tcPr>
            <w:tcW w:w="4338"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28"/>
              <w:widowControl w:val="0"/>
              <w:rPr>
                <w:color w:val="auto"/>
                <w:highlight w:val="none"/>
              </w:rPr>
            </w:pPr>
            <w:r>
              <w:rPr>
                <w:rFonts w:hint="eastAsia"/>
                <w:color w:val="auto"/>
                <w:highlight w:val="none"/>
              </w:rPr>
              <w:t>一级</w:t>
            </w:r>
          </w:p>
        </w:tc>
        <w:tc>
          <w:tcPr>
            <w:tcW w:w="3240"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4338" w:type="dxa"/>
            <w:vMerge w:val="restart"/>
            <w:tcBorders>
              <w:tl2br w:val="nil"/>
              <w:tr2bl w:val="nil"/>
            </w:tcBorders>
            <w:vAlign w:val="center"/>
          </w:tcPr>
          <w:p>
            <w:pPr>
              <w:pStyle w:val="28"/>
              <w:widowControl w:val="0"/>
              <w:rPr>
                <w:color w:val="auto"/>
                <w:highlight w:val="none"/>
              </w:rPr>
            </w:pPr>
            <w:r>
              <w:rPr>
                <w:color w:val="auto"/>
                <w:highlight w:val="none"/>
              </w:rPr>
              <w:t>应包括重要的地下水环境保护目标，</w:t>
            </w:r>
            <w:r>
              <w:rPr>
                <w:rFonts w:hint="eastAsia"/>
                <w:color w:val="auto"/>
                <w:highlight w:val="none"/>
              </w:rPr>
              <w:t>必</w:t>
            </w:r>
            <w:r>
              <w:rPr>
                <w:color w:val="auto"/>
                <w:highlight w:val="none"/>
              </w:rPr>
              <w:t>要时适当扩大范围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28"/>
              <w:widowControl w:val="0"/>
              <w:rPr>
                <w:color w:val="auto"/>
                <w:highlight w:val="none"/>
              </w:rPr>
            </w:pPr>
            <w:r>
              <w:rPr>
                <w:rFonts w:hint="eastAsia"/>
                <w:color w:val="auto"/>
                <w:highlight w:val="none"/>
              </w:rPr>
              <w:t>二级</w:t>
            </w:r>
          </w:p>
        </w:tc>
        <w:tc>
          <w:tcPr>
            <w:tcW w:w="3240" w:type="dxa"/>
            <w:tcBorders>
              <w:tl2br w:val="nil"/>
              <w:tr2bl w:val="nil"/>
            </w:tcBorders>
            <w:vAlign w:val="center"/>
          </w:tcPr>
          <w:p>
            <w:pPr>
              <w:pStyle w:val="28"/>
              <w:widowControl w:val="0"/>
              <w:rPr>
                <w:color w:val="auto"/>
                <w:highlight w:val="none"/>
              </w:rPr>
            </w:pPr>
            <w:r>
              <w:rPr>
                <w:rFonts w:hint="eastAsia"/>
                <w:color w:val="auto"/>
                <w:highlight w:val="none"/>
              </w:rPr>
              <w:t>6-20</w:t>
            </w:r>
          </w:p>
        </w:tc>
        <w:tc>
          <w:tcPr>
            <w:tcW w:w="433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28"/>
              <w:widowControl w:val="0"/>
              <w:rPr>
                <w:color w:val="auto"/>
                <w:highlight w:val="none"/>
              </w:rPr>
            </w:pPr>
            <w:r>
              <w:rPr>
                <w:rFonts w:hint="eastAsia"/>
                <w:color w:val="auto"/>
                <w:highlight w:val="none"/>
              </w:rPr>
              <w:t>三级</w:t>
            </w:r>
          </w:p>
        </w:tc>
        <w:tc>
          <w:tcPr>
            <w:tcW w:w="3240"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4338"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③自定义法</w:t>
      </w:r>
    </w:p>
    <w:p>
      <w:pPr>
        <w:widowControl w:val="0"/>
        <w:ind w:firstLine="480"/>
        <w:rPr>
          <w:color w:val="auto"/>
          <w:highlight w:val="none"/>
        </w:rPr>
      </w:pPr>
      <w:r>
        <w:rPr>
          <w:color w:val="auto"/>
          <w:highlight w:val="none"/>
        </w:rPr>
        <w:t>根据建设项目所在地水文地质条件自行确定。本项目所在水文地质单元地下水流向为：项目所在区域以厂界</w:t>
      </w:r>
      <w:r>
        <w:rPr>
          <w:rFonts w:hint="eastAsia"/>
          <w:color w:val="auto"/>
          <w:highlight w:val="none"/>
        </w:rPr>
        <w:t>东、西、南濛溪河</w:t>
      </w:r>
      <w:r>
        <w:rPr>
          <w:color w:val="auto"/>
          <w:highlight w:val="none"/>
        </w:rPr>
        <w:t>为分水岭，分水岭东</w:t>
      </w:r>
      <w:r>
        <w:rPr>
          <w:rFonts w:hint="eastAsia"/>
          <w:color w:val="auto"/>
          <w:highlight w:val="none"/>
        </w:rPr>
        <w:t>北侧</w:t>
      </w:r>
      <w:r>
        <w:rPr>
          <w:color w:val="auto"/>
          <w:highlight w:val="none"/>
        </w:rPr>
        <w:t>的地下水流向为自</w:t>
      </w:r>
      <w:r>
        <w:rPr>
          <w:rFonts w:hint="eastAsia"/>
          <w:color w:val="auto"/>
          <w:highlight w:val="none"/>
        </w:rPr>
        <w:t>西北</w:t>
      </w:r>
      <w:r>
        <w:rPr>
          <w:color w:val="auto"/>
          <w:highlight w:val="none"/>
        </w:rPr>
        <w:t>向</w:t>
      </w:r>
      <w:r>
        <w:rPr>
          <w:rFonts w:hint="eastAsia"/>
          <w:color w:val="auto"/>
          <w:highlight w:val="none"/>
        </w:rPr>
        <w:t>西南</w:t>
      </w:r>
      <w:r>
        <w:rPr>
          <w:color w:val="auto"/>
          <w:highlight w:val="none"/>
        </w:rPr>
        <w:t>径流；分水岭西北侧的地下水流向为自</w:t>
      </w:r>
      <w:r>
        <w:rPr>
          <w:rFonts w:hint="eastAsia"/>
          <w:color w:val="auto"/>
          <w:highlight w:val="none"/>
        </w:rPr>
        <w:t>东北</w:t>
      </w:r>
      <w:r>
        <w:rPr>
          <w:color w:val="auto"/>
          <w:highlight w:val="none"/>
        </w:rPr>
        <w:t>向西北径流</w:t>
      </w:r>
      <w:r>
        <w:rPr>
          <w:rFonts w:hint="eastAsia"/>
          <w:color w:val="auto"/>
          <w:highlight w:val="none"/>
        </w:rPr>
        <w:t>。</w:t>
      </w:r>
      <w:r>
        <w:rPr>
          <w:color w:val="auto"/>
          <w:highlight w:val="none"/>
        </w:rPr>
        <w:br w:type="textWrapping"/>
      </w:r>
      <w:r>
        <w:rPr>
          <w:rFonts w:hint="eastAsia"/>
          <w:color w:val="auto"/>
          <w:highlight w:val="none"/>
        </w:rPr>
        <w:t xml:space="preserve">    因此，</w:t>
      </w:r>
      <w:r>
        <w:rPr>
          <w:color w:val="auto"/>
          <w:highlight w:val="none"/>
        </w:rPr>
        <w:t>本次评价</w:t>
      </w:r>
      <w:r>
        <w:rPr>
          <w:rFonts w:hint="eastAsia"/>
          <w:color w:val="auto"/>
          <w:highlight w:val="none"/>
        </w:rPr>
        <w:t>结合自定义法和公式计算法确定，以厂界上游北边界为150m，东、西、南以濛溪河为边界设置为本项目地下水评价范围，项目评价范围约0.177</w:t>
      </w:r>
      <w:r>
        <w:rPr>
          <w:color w:val="auto"/>
          <w:highlight w:val="none"/>
        </w:rPr>
        <w:t>km</w:t>
      </w:r>
      <w:r>
        <w:rPr>
          <w:color w:val="auto"/>
          <w:highlight w:val="none"/>
          <w:vertAlign w:val="superscript"/>
        </w:rPr>
        <w:t>2</w:t>
      </w:r>
      <w:r>
        <w:rPr>
          <w:color w:val="auto"/>
          <w:highlight w:val="none"/>
        </w:rPr>
        <w:t>。</w:t>
      </w:r>
    </w:p>
    <w:p>
      <w:pPr>
        <w:widowControl w:val="0"/>
        <w:ind w:firstLine="480"/>
        <w:rPr>
          <w:color w:val="auto"/>
          <w:highlight w:val="none"/>
        </w:rPr>
      </w:pPr>
      <w:r>
        <w:rPr>
          <w:rFonts w:hint="eastAsia"/>
          <w:color w:val="auto"/>
          <w:highlight w:val="none"/>
        </w:rPr>
        <w:t>（4）声环境</w:t>
      </w:r>
    </w:p>
    <w:p>
      <w:pPr>
        <w:widowControl w:val="0"/>
        <w:ind w:firstLine="480"/>
        <w:rPr>
          <w:color w:val="auto"/>
          <w:highlight w:val="none"/>
        </w:rPr>
      </w:pPr>
      <w:r>
        <w:rPr>
          <w:rFonts w:hint="eastAsia"/>
          <w:color w:val="auto"/>
          <w:highlight w:val="none"/>
        </w:rPr>
        <w:t>声环境评价范围为厂界200m范围。</w:t>
      </w:r>
    </w:p>
    <w:p>
      <w:pPr>
        <w:widowControl w:val="0"/>
        <w:ind w:firstLine="480"/>
        <w:rPr>
          <w:color w:val="auto"/>
          <w:highlight w:val="none"/>
        </w:rPr>
      </w:pPr>
      <w:r>
        <w:rPr>
          <w:rFonts w:hint="eastAsia"/>
          <w:color w:val="auto"/>
          <w:highlight w:val="none"/>
        </w:rPr>
        <w:t>（5）生态环境</w:t>
      </w:r>
    </w:p>
    <w:p>
      <w:pPr>
        <w:widowControl w:val="0"/>
        <w:ind w:firstLine="480"/>
        <w:rPr>
          <w:color w:val="auto"/>
          <w:highlight w:val="none"/>
        </w:rPr>
      </w:pPr>
      <w:r>
        <w:rPr>
          <w:rFonts w:hint="eastAsia"/>
          <w:color w:val="auto"/>
          <w:highlight w:val="none"/>
        </w:rPr>
        <w:t>生态环境评价范围项目占地区域及厂界外延</w:t>
      </w:r>
      <w:r>
        <w:rPr>
          <w:rFonts w:hint="eastAsia"/>
          <w:color w:val="auto"/>
          <w:highlight w:val="none"/>
          <w:lang w:val="en-US" w:eastAsia="zh-CN"/>
        </w:rPr>
        <w:t>300</w:t>
      </w:r>
      <w:r>
        <w:rPr>
          <w:rFonts w:hint="eastAsia"/>
          <w:color w:val="auto"/>
          <w:highlight w:val="none"/>
        </w:rPr>
        <w:t>m区域。</w:t>
      </w:r>
    </w:p>
    <w:p>
      <w:pPr>
        <w:widowControl w:val="0"/>
        <w:ind w:firstLine="480"/>
        <w:rPr>
          <w:color w:val="auto"/>
          <w:highlight w:val="none"/>
        </w:rPr>
      </w:pPr>
      <w:r>
        <w:rPr>
          <w:rFonts w:hint="eastAsia"/>
          <w:color w:val="auto"/>
          <w:highlight w:val="none"/>
        </w:rPr>
        <w:t>（6）固体废弃物</w:t>
      </w:r>
    </w:p>
    <w:p>
      <w:pPr>
        <w:widowControl w:val="0"/>
        <w:ind w:firstLine="480"/>
        <w:rPr>
          <w:color w:val="auto"/>
          <w:highlight w:val="none"/>
        </w:rPr>
      </w:pPr>
      <w:r>
        <w:rPr>
          <w:color w:val="auto"/>
          <w:highlight w:val="none"/>
        </w:rPr>
        <w:t>项目运营期产生固体废物有一般固废、危险废物，大部分外售或外委处置</w:t>
      </w:r>
      <w:r>
        <w:rPr>
          <w:rFonts w:hint="eastAsia"/>
          <w:color w:val="auto"/>
          <w:highlight w:val="none"/>
        </w:rPr>
        <w:t>，</w:t>
      </w:r>
      <w:r>
        <w:rPr>
          <w:color w:val="auto"/>
          <w:highlight w:val="none"/>
        </w:rPr>
        <w:t>少部分一般固废同生活垃圾一同处置，不在厂区内长久堆存。本评价将对固体的暂存场所的选址及处置去向合理性进行评价。</w:t>
      </w:r>
    </w:p>
    <w:p>
      <w:pPr>
        <w:widowControl w:val="0"/>
        <w:ind w:firstLine="480"/>
        <w:rPr>
          <w:color w:val="auto"/>
          <w:highlight w:val="none"/>
        </w:rPr>
      </w:pPr>
      <w:r>
        <w:rPr>
          <w:rFonts w:hint="eastAsia"/>
          <w:color w:val="auto"/>
          <w:highlight w:val="none"/>
        </w:rPr>
        <w:t>（7）土壤环境影响评价范围</w:t>
      </w:r>
    </w:p>
    <w:p>
      <w:pPr>
        <w:widowControl w:val="0"/>
        <w:ind w:firstLine="480"/>
        <w:rPr>
          <w:color w:val="auto"/>
          <w:highlight w:val="none"/>
        </w:rPr>
      </w:pPr>
      <w:r>
        <w:rPr>
          <w:rFonts w:hint="eastAsia"/>
          <w:color w:val="auto"/>
          <w:highlight w:val="none"/>
        </w:rPr>
        <w:t>本项目土壤环境不设评价等级，不设评价范围。</w:t>
      </w:r>
    </w:p>
    <w:p>
      <w:pPr>
        <w:pStyle w:val="4"/>
        <w:widowControl w:val="0"/>
        <w:rPr>
          <w:color w:val="auto"/>
          <w:highlight w:val="none"/>
        </w:rPr>
      </w:pPr>
      <w:bookmarkStart w:id="37" w:name="_Toc21781"/>
      <w:r>
        <w:rPr>
          <w:rFonts w:hint="eastAsia"/>
          <w:color w:val="auto"/>
          <w:highlight w:val="none"/>
        </w:rPr>
        <w:t>产业政策及规划的符合性分析</w:t>
      </w:r>
      <w:bookmarkEnd w:id="37"/>
    </w:p>
    <w:p>
      <w:pPr>
        <w:pStyle w:val="5"/>
        <w:widowControl w:val="0"/>
        <w:ind w:firstLine="120"/>
        <w:rPr>
          <w:color w:val="auto"/>
          <w:highlight w:val="none"/>
        </w:rPr>
      </w:pPr>
      <w:r>
        <w:rPr>
          <w:rFonts w:hint="eastAsia"/>
          <w:color w:val="auto"/>
          <w:highlight w:val="none"/>
        </w:rPr>
        <w:t>产业政策符合性分析</w:t>
      </w:r>
    </w:p>
    <w:p>
      <w:pPr>
        <w:widowControl w:val="0"/>
        <w:ind w:firstLine="480"/>
        <w:rPr>
          <w:color w:val="auto"/>
          <w:highlight w:val="none"/>
        </w:rPr>
      </w:pPr>
      <w:r>
        <w:rPr>
          <w:rFonts w:hint="eastAsia"/>
          <w:color w:val="auto"/>
          <w:highlight w:val="none"/>
        </w:rPr>
        <w:t>项目：根据《国民经济行业分类》（GB/T4754-2017）关于国民经济行业的分类，项目属于“牲畜屠宰（C1351）”，项目年屠宰生猪16万头、肉牛1万头，对照中华人民共和国国家发展和改革委员会令第29号《产业结构调整指导目录（2019年本）》中相关规定，本项目不属于规定的鼓励类、限制类和淘汰类。同时，依据国务院关于发布实施《促进产业结构调整暂行规定》的决定（国发[2005]40号），“第十三条《产业结构调整指导目录》由鼓励、限制和淘汰三类目录组成。不属于鼓励类、限制类和淘汰类，且符合国家有关法律、法规和政策规定的，为允许类。允许类不列入《产业结构调整指导目录》”。因此，本项目为允许类，项目的建设符合国家产业政策。</w:t>
      </w:r>
    </w:p>
    <w:p>
      <w:pPr>
        <w:widowControl w:val="0"/>
        <w:ind w:firstLine="480"/>
        <w:rPr>
          <w:color w:val="auto"/>
          <w:highlight w:val="none"/>
        </w:rPr>
      </w:pPr>
      <w:r>
        <w:rPr>
          <w:rFonts w:hint="eastAsia"/>
          <w:color w:val="auto"/>
          <w:highlight w:val="none"/>
        </w:rPr>
        <w:t>设备：本项目生产过程中使用的设备不属于《产业结构调整指导目录（2019年本）》中淘汰类的桥式劈半锯、敞式生猪烫毛机等设备。</w:t>
      </w:r>
    </w:p>
    <w:p>
      <w:pPr>
        <w:widowControl w:val="0"/>
        <w:ind w:firstLine="480"/>
        <w:rPr>
          <w:color w:val="auto"/>
          <w:highlight w:val="none"/>
        </w:rPr>
      </w:pPr>
      <w:r>
        <w:rPr>
          <w:rFonts w:hint="eastAsia"/>
          <w:color w:val="auto"/>
          <w:highlight w:val="none"/>
        </w:rPr>
        <w:t>工艺：本项目屠宰工艺为全自动机械式屠宰工艺，不属于《产业结构调整指导目录（2019年本）》中淘汰类的手工屠宰工艺。</w:t>
      </w:r>
    </w:p>
    <w:p>
      <w:pPr>
        <w:widowControl w:val="0"/>
        <w:ind w:firstLine="480"/>
        <w:rPr>
          <w:color w:val="auto"/>
          <w:highlight w:val="none"/>
        </w:rPr>
      </w:pPr>
      <w:r>
        <w:rPr>
          <w:rFonts w:hint="eastAsia"/>
          <w:color w:val="auto"/>
          <w:highlight w:val="none"/>
        </w:rPr>
        <w:t>冷冻剂：本项目冷藏库使用冷煤为R507A，不属于发改委第21号令《国家发展改革委关于修改&lt;产业结构调整指导目录（2011年本）&gt;有关条款的决定》及发改委第9号文《产业结构调整指导目录（2011年本）》中的鼓励类、限制类和淘汰类的设备，属于允许类。</w:t>
      </w:r>
    </w:p>
    <w:p>
      <w:pPr>
        <w:widowControl w:val="0"/>
        <w:ind w:firstLine="480"/>
        <w:rPr>
          <w:color w:val="auto"/>
          <w:highlight w:val="none"/>
        </w:rPr>
      </w:pPr>
      <w:r>
        <w:rPr>
          <w:rFonts w:hint="eastAsia"/>
          <w:color w:val="auto"/>
          <w:highlight w:val="none"/>
        </w:rPr>
        <w:t>本项目取得由平昌县发展和改革局审批下发的《关于平昌县乐顺现代牲畜屠宰冷链物流一体化建设项目可行性研究报告的批复》（平发改审[2020]283号）同意本项目建设。</w:t>
      </w:r>
    </w:p>
    <w:p>
      <w:pPr>
        <w:widowControl w:val="0"/>
        <w:ind w:firstLine="480"/>
        <w:rPr>
          <w:color w:val="auto"/>
          <w:highlight w:val="none"/>
        </w:rPr>
      </w:pPr>
      <w:r>
        <w:rPr>
          <w:rFonts w:hint="eastAsia"/>
          <w:color w:val="auto"/>
          <w:highlight w:val="none"/>
        </w:rPr>
        <w:t>因此，本项目符合国家现行产业政策。</w:t>
      </w:r>
    </w:p>
    <w:p>
      <w:pPr>
        <w:pStyle w:val="5"/>
        <w:widowControl w:val="0"/>
        <w:ind w:firstLine="120"/>
        <w:rPr>
          <w:color w:val="auto"/>
          <w:highlight w:val="none"/>
        </w:rPr>
      </w:pPr>
      <w:r>
        <w:rPr>
          <w:rFonts w:hint="eastAsia"/>
          <w:color w:val="auto"/>
          <w:highlight w:val="none"/>
        </w:rPr>
        <w:t>与相关规范符合性分析</w:t>
      </w:r>
    </w:p>
    <w:p>
      <w:pPr>
        <w:widowControl w:val="0"/>
        <w:ind w:firstLine="480"/>
        <w:rPr>
          <w:bCs/>
          <w:color w:val="auto"/>
          <w:szCs w:val="24"/>
          <w:highlight w:val="none"/>
        </w:rPr>
      </w:pPr>
      <w:r>
        <w:rPr>
          <w:color w:val="auto"/>
          <w:szCs w:val="24"/>
          <w:highlight w:val="none"/>
        </w:rPr>
        <w:t>本项目与</w:t>
      </w:r>
      <w:r>
        <w:rPr>
          <w:rFonts w:hint="eastAsia"/>
          <w:color w:val="auto"/>
          <w:szCs w:val="24"/>
          <w:highlight w:val="none"/>
        </w:rPr>
        <w:t>《生猪屠宰管理条例（2021年修订）》</w:t>
      </w:r>
      <w:r>
        <w:rPr>
          <w:color w:val="auto"/>
          <w:szCs w:val="24"/>
          <w:highlight w:val="none"/>
        </w:rPr>
        <w:t>、《生猪屠宰管理条例实施办法》、《四川省生猪屠宰管理办法》、《猪屠宰与分割车间设计规范》、</w:t>
      </w:r>
      <w:r>
        <w:rPr>
          <w:bCs/>
          <w:color w:val="auto"/>
          <w:szCs w:val="24"/>
          <w:highlight w:val="none"/>
        </w:rPr>
        <w:t>《牛羊屠宰与分割车间设计规范》、《食品生产通用卫生规范》</w:t>
      </w:r>
      <w:r>
        <w:rPr>
          <w:rFonts w:hint="eastAsia"/>
          <w:bCs/>
          <w:color w:val="auto"/>
          <w:szCs w:val="24"/>
          <w:highlight w:val="none"/>
        </w:rPr>
        <w:t>、</w:t>
      </w:r>
      <w:r>
        <w:rPr>
          <w:bCs/>
          <w:color w:val="auto"/>
          <w:szCs w:val="24"/>
          <w:highlight w:val="none"/>
        </w:rPr>
        <w:t>《屠宰和肉类加工企业卫生管理规范》符合性分析如下表。</w:t>
      </w:r>
    </w:p>
    <w:p>
      <w:pPr>
        <w:pStyle w:val="27"/>
        <w:widowControl w:val="0"/>
        <w:rPr>
          <w:color w:val="auto"/>
          <w:highlight w:val="none"/>
        </w:rPr>
      </w:pPr>
      <w:r>
        <w:rPr>
          <w:color w:val="auto"/>
          <w:highlight w:val="none"/>
        </w:rPr>
        <w:t>项目与屠宰相关条例符合性分析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3946"/>
        <w:gridCol w:w="3677"/>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color w:val="auto"/>
                <w:highlight w:val="none"/>
              </w:rPr>
              <w:t>相关条例</w:t>
            </w:r>
          </w:p>
        </w:tc>
        <w:tc>
          <w:tcPr>
            <w:tcW w:w="2053" w:type="pct"/>
            <w:tcBorders>
              <w:tl2br w:val="nil"/>
              <w:tr2bl w:val="nil"/>
            </w:tcBorders>
            <w:vAlign w:val="center"/>
          </w:tcPr>
          <w:p>
            <w:pPr>
              <w:pStyle w:val="28"/>
              <w:widowControl w:val="0"/>
              <w:rPr>
                <w:color w:val="auto"/>
                <w:highlight w:val="none"/>
              </w:rPr>
            </w:pPr>
            <w:r>
              <w:rPr>
                <w:color w:val="auto"/>
                <w:highlight w:val="none"/>
              </w:rPr>
              <w:t>具体内容</w:t>
            </w:r>
          </w:p>
        </w:tc>
        <w:tc>
          <w:tcPr>
            <w:tcW w:w="1913" w:type="pct"/>
            <w:tcBorders>
              <w:tl2br w:val="nil"/>
              <w:tr2bl w:val="nil"/>
            </w:tcBorders>
            <w:vAlign w:val="center"/>
          </w:tcPr>
          <w:p>
            <w:pPr>
              <w:pStyle w:val="28"/>
              <w:widowControl w:val="0"/>
              <w:rPr>
                <w:color w:val="auto"/>
                <w:highlight w:val="none"/>
              </w:rPr>
            </w:pPr>
            <w:r>
              <w:rPr>
                <w:color w:val="auto"/>
                <w:highlight w:val="none"/>
              </w:rPr>
              <w:t>本项目</w:t>
            </w:r>
          </w:p>
        </w:tc>
        <w:tc>
          <w:tcPr>
            <w:tcW w:w="465" w:type="pct"/>
            <w:tcBorders>
              <w:tl2br w:val="nil"/>
              <w:tr2bl w:val="nil"/>
            </w:tcBorders>
            <w:vAlign w:val="center"/>
          </w:tcPr>
          <w:p>
            <w:pPr>
              <w:pStyle w:val="28"/>
              <w:widowControl w:val="0"/>
              <w:rPr>
                <w:color w:val="auto"/>
                <w:highlight w:val="none"/>
              </w:rPr>
            </w:pPr>
            <w:r>
              <w:rPr>
                <w:color w:val="auto"/>
                <w:highlight w:val="none"/>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rFonts w:hint="eastAsia"/>
                <w:color w:val="auto"/>
                <w:highlight w:val="none"/>
              </w:rPr>
              <w:t>《生猪屠宰管理条例（2021年修订）》</w:t>
            </w:r>
            <w:r>
              <w:rPr>
                <w:color w:val="auto"/>
                <w:highlight w:val="none"/>
              </w:rPr>
              <w:t>、《生猪屠宰管理条例实施办法》</w:t>
            </w:r>
          </w:p>
        </w:tc>
        <w:tc>
          <w:tcPr>
            <w:tcW w:w="2053" w:type="pct"/>
            <w:tcBorders>
              <w:tl2br w:val="nil"/>
              <w:tr2bl w:val="nil"/>
            </w:tcBorders>
            <w:vAlign w:val="center"/>
          </w:tcPr>
          <w:p>
            <w:pPr>
              <w:pStyle w:val="28"/>
              <w:widowControl w:val="0"/>
              <w:jc w:val="both"/>
              <w:rPr>
                <w:color w:val="auto"/>
                <w:highlight w:val="none"/>
              </w:rPr>
            </w:pPr>
            <w:r>
              <w:rPr>
                <w:color w:val="auto"/>
                <w:highlight w:val="none"/>
              </w:rPr>
              <w:t>第五条：生猪定点屠宰厂（场）的设置规划（以下简称设置规划），由省、自治区、直辖市人民政府畜牧兽医行政主管部门会同环境保护主管部门以及其他有关部门，按照合理布局、适当集中、有利流通、方便群众的原则，结合本地实际情况制订，报本级人民政府批准后实施。</w:t>
            </w:r>
          </w:p>
          <w:p>
            <w:pPr>
              <w:pStyle w:val="28"/>
              <w:widowControl w:val="0"/>
              <w:jc w:val="both"/>
              <w:rPr>
                <w:color w:val="auto"/>
                <w:highlight w:val="none"/>
              </w:rPr>
            </w:pPr>
            <w:r>
              <w:rPr>
                <w:color w:val="auto"/>
                <w:highlight w:val="none"/>
              </w:rPr>
              <w:t>第八条：生猪定点屠宰厂（场）应当具备下列条件：</w:t>
            </w:r>
          </w:p>
          <w:p>
            <w:pPr>
              <w:pStyle w:val="28"/>
              <w:widowControl w:val="0"/>
              <w:jc w:val="both"/>
              <w:rPr>
                <w:color w:val="auto"/>
                <w:highlight w:val="none"/>
              </w:rPr>
            </w:pPr>
            <w:r>
              <w:rPr>
                <w:color w:val="auto"/>
                <w:highlight w:val="none"/>
              </w:rPr>
              <w:t>（一）有与屠宰规模相适应、水质符合国家规定标准的水源条件；</w:t>
            </w:r>
          </w:p>
          <w:p>
            <w:pPr>
              <w:pStyle w:val="28"/>
              <w:widowControl w:val="0"/>
              <w:jc w:val="both"/>
              <w:rPr>
                <w:color w:val="auto"/>
                <w:highlight w:val="none"/>
              </w:rPr>
            </w:pPr>
            <w:r>
              <w:rPr>
                <w:color w:val="auto"/>
                <w:highlight w:val="none"/>
              </w:rPr>
              <w:t>（二）有符合国家规定要求的待宰间、屠宰间、急宰间以及生猪屠宰设备和运载工具；</w:t>
            </w:r>
          </w:p>
          <w:p>
            <w:pPr>
              <w:pStyle w:val="28"/>
              <w:widowControl w:val="0"/>
              <w:jc w:val="both"/>
              <w:rPr>
                <w:color w:val="auto"/>
                <w:highlight w:val="none"/>
              </w:rPr>
            </w:pPr>
            <w:r>
              <w:rPr>
                <w:color w:val="auto"/>
                <w:highlight w:val="none"/>
              </w:rPr>
              <w:t>（三）有依法取得健康证明的屠宰技术人员；</w:t>
            </w:r>
          </w:p>
          <w:p>
            <w:pPr>
              <w:pStyle w:val="28"/>
              <w:widowControl w:val="0"/>
              <w:jc w:val="both"/>
              <w:rPr>
                <w:color w:val="auto"/>
                <w:highlight w:val="none"/>
              </w:rPr>
            </w:pPr>
            <w:r>
              <w:rPr>
                <w:color w:val="auto"/>
                <w:highlight w:val="none"/>
              </w:rPr>
              <w:t>（四）有经考核合格的肉品品质检验人员；</w:t>
            </w:r>
          </w:p>
          <w:p>
            <w:pPr>
              <w:pStyle w:val="28"/>
              <w:widowControl w:val="0"/>
              <w:jc w:val="both"/>
              <w:rPr>
                <w:color w:val="auto"/>
                <w:highlight w:val="none"/>
              </w:rPr>
            </w:pPr>
            <w:r>
              <w:rPr>
                <w:color w:val="auto"/>
                <w:highlight w:val="none"/>
              </w:rPr>
              <w:t>（五）有符合国家规定要求的检验设备、消毒设施以及符合环境保护要求的污染防治设施；</w:t>
            </w:r>
          </w:p>
          <w:p>
            <w:pPr>
              <w:pStyle w:val="28"/>
              <w:widowControl w:val="0"/>
              <w:jc w:val="both"/>
              <w:rPr>
                <w:color w:val="auto"/>
                <w:highlight w:val="none"/>
              </w:rPr>
            </w:pPr>
            <w:r>
              <w:rPr>
                <w:color w:val="auto"/>
                <w:highlight w:val="none"/>
              </w:rPr>
              <w:t>（六）有病害生猪及生猪产品无害化处理设施；</w:t>
            </w:r>
          </w:p>
          <w:p>
            <w:pPr>
              <w:pStyle w:val="28"/>
              <w:widowControl w:val="0"/>
              <w:jc w:val="both"/>
              <w:rPr>
                <w:color w:val="auto"/>
                <w:highlight w:val="none"/>
              </w:rPr>
            </w:pPr>
            <w:r>
              <w:rPr>
                <w:color w:val="auto"/>
                <w:highlight w:val="none"/>
              </w:rPr>
              <w:t>（七）依法取得动物防疫条件合格证</w:t>
            </w:r>
          </w:p>
        </w:tc>
        <w:tc>
          <w:tcPr>
            <w:tcW w:w="1913" w:type="pct"/>
            <w:tcBorders>
              <w:tl2br w:val="nil"/>
              <w:tr2bl w:val="nil"/>
            </w:tcBorders>
            <w:vAlign w:val="center"/>
          </w:tcPr>
          <w:p>
            <w:pPr>
              <w:pStyle w:val="28"/>
              <w:widowControl w:val="0"/>
              <w:jc w:val="both"/>
              <w:rPr>
                <w:color w:val="auto"/>
                <w:highlight w:val="none"/>
              </w:rPr>
            </w:pPr>
            <w:r>
              <w:rPr>
                <w:color w:val="auto"/>
                <w:highlight w:val="none"/>
              </w:rPr>
              <w:t>第五条：该屠宰厂建设经</w:t>
            </w:r>
            <w:r>
              <w:rPr>
                <w:rFonts w:hint="eastAsia"/>
                <w:color w:val="auto"/>
                <w:highlight w:val="none"/>
              </w:rPr>
              <w:t>平昌县发展和改革局</w:t>
            </w:r>
            <w:r>
              <w:rPr>
                <w:color w:val="auto"/>
                <w:highlight w:val="none"/>
              </w:rPr>
              <w:t>批准同意后实施的，</w:t>
            </w:r>
            <w:r>
              <w:rPr>
                <w:rFonts w:hint="eastAsia"/>
                <w:color w:val="auto"/>
                <w:highlight w:val="none"/>
              </w:rPr>
              <w:t>平昌县自然资源和规划局出具了项目规划意见的函，明确本项目不占基本农田，项目与用地属于工业用地；并根据中华人民共和国农业农村部公告第212号公布的1578家生猪屠宰企业，本项目属名单其中第1318个生猪屠宰企业。</w:t>
            </w:r>
          </w:p>
          <w:p>
            <w:pPr>
              <w:pStyle w:val="28"/>
              <w:widowControl w:val="0"/>
              <w:jc w:val="both"/>
              <w:rPr>
                <w:color w:val="auto"/>
                <w:highlight w:val="none"/>
              </w:rPr>
            </w:pPr>
            <w:r>
              <w:rPr>
                <w:color w:val="auto"/>
                <w:highlight w:val="none"/>
              </w:rPr>
              <w:t>第八条：项目建成后使用的城市自来水，水质符合标准要求；建成后按照国家规范建设完善的屠宰设备、设置相应的待宰间、屠宰车间等。评价要求聘用员工必须取得健康证。配备有相应的检疫设施和相关工作人员。对产生的三废提出严格的处理措施和要求</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color w:val="auto"/>
                <w:highlight w:val="none"/>
              </w:rPr>
              <w:t>《四川省生猪屠宰管理办法》</w:t>
            </w:r>
          </w:p>
        </w:tc>
        <w:tc>
          <w:tcPr>
            <w:tcW w:w="2053" w:type="pct"/>
            <w:tcBorders>
              <w:tl2br w:val="nil"/>
              <w:tr2bl w:val="nil"/>
            </w:tcBorders>
            <w:vAlign w:val="center"/>
          </w:tcPr>
          <w:p>
            <w:pPr>
              <w:pStyle w:val="28"/>
              <w:widowControl w:val="0"/>
              <w:rPr>
                <w:color w:val="auto"/>
                <w:highlight w:val="none"/>
              </w:rPr>
            </w:pPr>
            <w:r>
              <w:rPr>
                <w:color w:val="auto"/>
                <w:highlight w:val="none"/>
              </w:rPr>
              <w:t>禁止在饮用水源保护区、自然保护区等法定保护区域内设置生猪定点屠宰厂和小型生猪屠宰场点</w:t>
            </w:r>
          </w:p>
        </w:tc>
        <w:tc>
          <w:tcPr>
            <w:tcW w:w="1913" w:type="pct"/>
            <w:tcBorders>
              <w:tl2br w:val="nil"/>
              <w:tr2bl w:val="nil"/>
            </w:tcBorders>
            <w:vAlign w:val="center"/>
          </w:tcPr>
          <w:p>
            <w:pPr>
              <w:pStyle w:val="28"/>
              <w:widowControl w:val="0"/>
              <w:rPr>
                <w:color w:val="auto"/>
                <w:highlight w:val="none"/>
              </w:rPr>
            </w:pPr>
            <w:r>
              <w:rPr>
                <w:color w:val="auto"/>
                <w:highlight w:val="none"/>
              </w:rPr>
              <w:t>项目位置未在饮用水源保护区、自然保护区等法定保护范围内</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color w:val="auto"/>
                <w:highlight w:val="none"/>
              </w:rPr>
              <w:t>《猪屠宰与分割车间设计规范》</w:t>
            </w:r>
          </w:p>
        </w:tc>
        <w:tc>
          <w:tcPr>
            <w:tcW w:w="2053" w:type="pct"/>
            <w:tcBorders>
              <w:tl2br w:val="nil"/>
              <w:tr2bl w:val="nil"/>
            </w:tcBorders>
            <w:vAlign w:val="center"/>
          </w:tcPr>
          <w:p>
            <w:pPr>
              <w:pStyle w:val="28"/>
              <w:widowControl w:val="0"/>
              <w:numPr>
                <w:ilvl w:val="0"/>
                <w:numId w:val="6"/>
              </w:numPr>
              <w:jc w:val="both"/>
              <w:rPr>
                <w:color w:val="auto"/>
                <w:highlight w:val="none"/>
              </w:rPr>
            </w:pPr>
            <w:r>
              <w:rPr>
                <w:color w:val="auto"/>
                <w:highlight w:val="none"/>
              </w:rPr>
              <w:t>猪屠宰与分割车间所在厂址应远离供水水源地和自来水取水口，其附近应有城市污水排水管网或允许排入的最终受纳水体。厂内应满足有关卫生防护距离要求。</w:t>
            </w:r>
          </w:p>
          <w:p>
            <w:pPr>
              <w:pStyle w:val="28"/>
              <w:widowControl w:val="0"/>
              <w:numPr>
                <w:ilvl w:val="0"/>
                <w:numId w:val="6"/>
              </w:numPr>
              <w:jc w:val="both"/>
              <w:rPr>
                <w:color w:val="auto"/>
                <w:highlight w:val="none"/>
              </w:rPr>
            </w:pPr>
            <w:r>
              <w:rPr>
                <w:color w:val="auto"/>
                <w:highlight w:val="none"/>
              </w:rPr>
              <w:t>厂址周围应有良好的环境卫生条件。厂区应远离受污染的水体。应避开产生有害气体、烟雾、粉尘等污染源的工业企业或其他产生污染源的地区或场所。</w:t>
            </w:r>
          </w:p>
          <w:p>
            <w:pPr>
              <w:pStyle w:val="28"/>
              <w:widowControl w:val="0"/>
              <w:jc w:val="both"/>
              <w:rPr>
                <w:color w:val="auto"/>
                <w:highlight w:val="none"/>
              </w:rPr>
            </w:pPr>
            <w:r>
              <w:rPr>
                <w:color w:val="auto"/>
                <w:highlight w:val="none"/>
              </w:rPr>
              <w:t>3、屠宰和分割车间所在厂址必须具备符合要求的水源和电源，其位置应选择在交通运输方便、货源流向合理的地方，根据节约用地和不占农田的原则，根据加工工艺要求因地制宜地确定，应并符合规划的要求</w:t>
            </w:r>
          </w:p>
        </w:tc>
        <w:tc>
          <w:tcPr>
            <w:tcW w:w="1913" w:type="pct"/>
            <w:tcBorders>
              <w:tl2br w:val="nil"/>
              <w:tr2bl w:val="nil"/>
            </w:tcBorders>
            <w:vAlign w:val="center"/>
          </w:tcPr>
          <w:p>
            <w:pPr>
              <w:pStyle w:val="28"/>
              <w:widowControl w:val="0"/>
              <w:jc w:val="both"/>
              <w:rPr>
                <w:color w:val="auto"/>
                <w:highlight w:val="none"/>
              </w:rPr>
            </w:pPr>
            <w:r>
              <w:rPr>
                <w:color w:val="auto"/>
                <w:highlight w:val="none"/>
              </w:rPr>
              <w:t>1、猪屠宰与分割车间所在厂址范围内无供水水源地和自来水取水口</w:t>
            </w:r>
            <w:r>
              <w:rPr>
                <w:rFonts w:hint="eastAsia"/>
                <w:color w:val="auto"/>
                <w:highlight w:val="none"/>
              </w:rPr>
              <w:t>。本项目西北侧1.2km处为元坨社区，预计2022年完成覆盖市政污水管网，项目拟将污水管网接至元坨社区市政污水管网</w:t>
            </w:r>
            <w:r>
              <w:rPr>
                <w:color w:val="auto"/>
                <w:highlight w:val="none"/>
              </w:rPr>
              <w:t>。厂内满足卫生防护距离要求。</w:t>
            </w:r>
          </w:p>
          <w:p>
            <w:pPr>
              <w:pStyle w:val="28"/>
              <w:widowControl w:val="0"/>
              <w:jc w:val="both"/>
              <w:rPr>
                <w:color w:val="auto"/>
                <w:highlight w:val="none"/>
              </w:rPr>
            </w:pPr>
            <w:r>
              <w:rPr>
                <w:color w:val="auto"/>
                <w:highlight w:val="none"/>
              </w:rPr>
              <w:t>2、经监测，项目区大气、地表水、声环境质量较好 ，表明厂址周围具有良好的环境卫生条件。厂址周围主要以山地、耕地及未利用地为主，外环境关系相对简单，无产生有害气体、烟雾、粉尘等污染源的工业企业；</w:t>
            </w:r>
          </w:p>
          <w:p>
            <w:pPr>
              <w:pStyle w:val="28"/>
              <w:widowControl w:val="0"/>
              <w:jc w:val="both"/>
              <w:rPr>
                <w:color w:val="auto"/>
                <w:highlight w:val="none"/>
              </w:rPr>
            </w:pPr>
            <w:r>
              <w:rPr>
                <w:color w:val="auto"/>
                <w:highlight w:val="none"/>
              </w:rPr>
              <w:t>3、屠宰和分割车间所在厂址所在区域水源、电源均为市政用水和市政供电，项目附近有</w:t>
            </w:r>
            <w:r>
              <w:rPr>
                <w:rFonts w:hint="eastAsia"/>
                <w:color w:val="auto"/>
                <w:highlight w:val="none"/>
              </w:rPr>
              <w:t>县道</w:t>
            </w:r>
            <w:r>
              <w:rPr>
                <w:color w:val="auto"/>
                <w:highlight w:val="none"/>
              </w:rPr>
              <w:t>，其交通运输方便，用地符合规划要求</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color w:val="auto"/>
                <w:highlight w:val="none"/>
              </w:rPr>
              <w:t>《牛羊屠宰与分割车间设计规范》</w:t>
            </w:r>
          </w:p>
        </w:tc>
        <w:tc>
          <w:tcPr>
            <w:tcW w:w="2053" w:type="pct"/>
            <w:tcBorders>
              <w:tl2br w:val="nil"/>
              <w:tr2bl w:val="nil"/>
            </w:tcBorders>
            <w:vAlign w:val="center"/>
          </w:tcPr>
          <w:p>
            <w:pPr>
              <w:pStyle w:val="28"/>
              <w:widowControl w:val="0"/>
              <w:numPr>
                <w:ilvl w:val="0"/>
                <w:numId w:val="7"/>
              </w:numPr>
              <w:jc w:val="both"/>
              <w:rPr>
                <w:color w:val="auto"/>
                <w:highlight w:val="none"/>
              </w:rPr>
            </w:pPr>
            <w:r>
              <w:rPr>
                <w:color w:val="auto"/>
                <w:highlight w:val="none"/>
              </w:rPr>
              <w:t>屠宰与分割车间所在厂区必须具备可靠的水源和电源，周边交通运输方便，并符合当地城乡规划、卫生与环境保护部门的要求。</w:t>
            </w:r>
          </w:p>
          <w:p>
            <w:pPr>
              <w:pStyle w:val="28"/>
              <w:widowControl w:val="0"/>
              <w:numPr>
                <w:ilvl w:val="0"/>
                <w:numId w:val="7"/>
              </w:numPr>
              <w:jc w:val="both"/>
              <w:rPr>
                <w:color w:val="auto"/>
                <w:highlight w:val="none"/>
              </w:rPr>
            </w:pPr>
            <w:r>
              <w:rPr>
                <w:color w:val="auto"/>
                <w:highlight w:val="none"/>
              </w:rPr>
              <w:t>厂址周围应有良好的环境卫生条件。厂址应避开受污染的水体及产生有害气体、烟雾、粉尘或其他污染源的工业企业或场所。</w:t>
            </w:r>
          </w:p>
          <w:p>
            <w:pPr>
              <w:pStyle w:val="28"/>
              <w:widowControl w:val="0"/>
              <w:numPr>
                <w:ilvl w:val="0"/>
                <w:numId w:val="7"/>
              </w:numPr>
              <w:jc w:val="both"/>
              <w:rPr>
                <w:color w:val="auto"/>
                <w:highlight w:val="none"/>
              </w:rPr>
            </w:pPr>
            <w:r>
              <w:rPr>
                <w:color w:val="auto"/>
                <w:highlight w:val="none"/>
              </w:rPr>
              <w:t>厂址选择应减少厂区产生气味污染的区域对居住区、学校和医院的影响。待宰间和屠宰车间的非清洁区与居住区、学校和医院的卫生防护距离应符合现行国家标准《农副食品加工业卫生防护距离 第1部分：屠宰及肉类加工业》GB18078.1的规定。</w:t>
            </w:r>
          </w:p>
          <w:p>
            <w:pPr>
              <w:pStyle w:val="28"/>
              <w:widowControl w:val="0"/>
              <w:jc w:val="both"/>
              <w:rPr>
                <w:color w:val="auto"/>
                <w:highlight w:val="none"/>
              </w:rPr>
            </w:pPr>
            <w:r>
              <w:rPr>
                <w:color w:val="auto"/>
                <w:highlight w:val="none"/>
              </w:rPr>
              <w:t>4、厂址应远离城市水源地和城市给水、取水口，其附近应有城市污水排放管网或允许排入的最终受纳水体</w:t>
            </w:r>
          </w:p>
        </w:tc>
        <w:tc>
          <w:tcPr>
            <w:tcW w:w="1913" w:type="pct"/>
            <w:tcBorders>
              <w:tl2br w:val="nil"/>
              <w:tr2bl w:val="nil"/>
            </w:tcBorders>
            <w:vAlign w:val="center"/>
          </w:tcPr>
          <w:p>
            <w:pPr>
              <w:pStyle w:val="28"/>
              <w:widowControl w:val="0"/>
              <w:jc w:val="both"/>
              <w:rPr>
                <w:color w:val="auto"/>
                <w:highlight w:val="none"/>
              </w:rPr>
            </w:pPr>
            <w:r>
              <w:rPr>
                <w:color w:val="auto"/>
                <w:highlight w:val="none"/>
              </w:rPr>
              <w:t>1、项目用电、用水来源于市政用电、市政用水，水质符合生产及生活要求，水电供应有保证，交通运输方便，不占农田，符合当地规划要求。</w:t>
            </w:r>
          </w:p>
          <w:p>
            <w:pPr>
              <w:pStyle w:val="28"/>
              <w:widowControl w:val="0"/>
              <w:jc w:val="both"/>
              <w:rPr>
                <w:color w:val="auto"/>
                <w:highlight w:val="none"/>
              </w:rPr>
            </w:pPr>
            <w:r>
              <w:rPr>
                <w:color w:val="auto"/>
                <w:highlight w:val="none"/>
              </w:rPr>
              <w:t>2、经监测，项目区大气、地表水、声环境质量较好，表明厂址周围具有良好的环境卫生条件。厂址周围主要以山地、水体及未利用地为主，外环境关系相对简单，无产生有害气体、烟雾、粉尘等污染源的工业企业；</w:t>
            </w:r>
          </w:p>
          <w:p>
            <w:pPr>
              <w:pStyle w:val="28"/>
              <w:widowControl w:val="0"/>
              <w:jc w:val="both"/>
              <w:rPr>
                <w:color w:val="auto"/>
                <w:highlight w:val="none"/>
              </w:rPr>
            </w:pPr>
            <w:r>
              <w:rPr>
                <w:color w:val="auto"/>
                <w:highlight w:val="none"/>
              </w:rPr>
              <w:t>3、本项目设置了以</w:t>
            </w:r>
            <w:r>
              <w:rPr>
                <w:rFonts w:hint="eastAsia"/>
                <w:color w:val="auto"/>
                <w:highlight w:val="none"/>
              </w:rPr>
              <w:t>“</w:t>
            </w:r>
            <w:r>
              <w:rPr>
                <w:color w:val="auto"/>
                <w:highlight w:val="none"/>
              </w:rPr>
              <w:t>待宰圈、屠宰车间及污水站</w:t>
            </w:r>
            <w:r>
              <w:rPr>
                <w:rFonts w:hint="eastAsia"/>
                <w:color w:val="auto"/>
                <w:highlight w:val="none"/>
              </w:rPr>
              <w:t>”</w:t>
            </w:r>
            <w:r>
              <w:rPr>
                <w:color w:val="auto"/>
                <w:highlight w:val="none"/>
              </w:rPr>
              <w:t>为边界</w:t>
            </w:r>
            <w:r>
              <w:rPr>
                <w:rFonts w:hint="eastAsia"/>
                <w:color w:val="auto"/>
                <w:highlight w:val="none"/>
                <w:lang w:val="en-US" w:eastAsia="zh-CN"/>
              </w:rPr>
              <w:t>50</w:t>
            </w:r>
            <w:r>
              <w:rPr>
                <w:color w:val="auto"/>
                <w:highlight w:val="none"/>
              </w:rPr>
              <w:t>m卫生防护距离范围，根据勘测，卫生防护距离范围内无居民，同时，环评要求卫生防护距离内禁止建设居住区、学校、医院等环境敏感项目。</w:t>
            </w:r>
          </w:p>
          <w:p>
            <w:pPr>
              <w:pStyle w:val="28"/>
              <w:widowControl w:val="0"/>
              <w:jc w:val="both"/>
              <w:rPr>
                <w:color w:val="auto"/>
                <w:highlight w:val="none"/>
              </w:rPr>
            </w:pPr>
            <w:r>
              <w:rPr>
                <w:color w:val="auto"/>
                <w:highlight w:val="none"/>
              </w:rPr>
              <w:t>4、本项目污水直接进入城市管网，厂址范围内不涉及饮用水源保护区</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wordWrap w:val="0"/>
              <w:rPr>
                <w:color w:val="auto"/>
                <w:highlight w:val="none"/>
              </w:rPr>
            </w:pPr>
            <w:r>
              <w:rPr>
                <w:color w:val="auto"/>
                <w:highlight w:val="none"/>
              </w:rPr>
              <w:t>《食品生产通用卫生规范》</w:t>
            </w:r>
            <w:r>
              <w:rPr>
                <w:rFonts w:hint="eastAsia"/>
                <w:color w:val="auto"/>
                <w:highlight w:val="none"/>
              </w:rPr>
              <w:t>（GB14881-2013）</w:t>
            </w:r>
          </w:p>
        </w:tc>
        <w:tc>
          <w:tcPr>
            <w:tcW w:w="2053" w:type="pct"/>
            <w:tcBorders>
              <w:tl2br w:val="nil"/>
              <w:tr2bl w:val="nil"/>
            </w:tcBorders>
            <w:vAlign w:val="center"/>
          </w:tcPr>
          <w:p>
            <w:pPr>
              <w:pStyle w:val="28"/>
              <w:widowControl w:val="0"/>
              <w:numPr>
                <w:ilvl w:val="0"/>
                <w:numId w:val="8"/>
              </w:numPr>
              <w:jc w:val="both"/>
              <w:rPr>
                <w:color w:val="auto"/>
                <w:highlight w:val="none"/>
              </w:rPr>
            </w:pPr>
            <w:r>
              <w:rPr>
                <w:color w:val="auto"/>
                <w:highlight w:val="none"/>
              </w:rPr>
              <w:t>厂区不应选择对食品有显著污染的区域。如某地对食品安全和食品宜食用性存在明显的不利影响，且无法通过采取措施加以改善，应避免在该地址建厂。</w:t>
            </w:r>
          </w:p>
          <w:p>
            <w:pPr>
              <w:pStyle w:val="28"/>
              <w:widowControl w:val="0"/>
              <w:numPr>
                <w:ilvl w:val="0"/>
                <w:numId w:val="8"/>
              </w:numPr>
              <w:jc w:val="both"/>
              <w:rPr>
                <w:color w:val="auto"/>
                <w:highlight w:val="none"/>
              </w:rPr>
            </w:pPr>
            <w:r>
              <w:rPr>
                <w:color w:val="auto"/>
                <w:highlight w:val="none"/>
              </w:rPr>
              <w:t>厂区不应选择有害废弃物以及粉尘、有害气体、放射性物质和其他扩散性污染源不能有效清除的地址。</w:t>
            </w:r>
          </w:p>
          <w:p>
            <w:pPr>
              <w:pStyle w:val="28"/>
              <w:widowControl w:val="0"/>
              <w:numPr>
                <w:ilvl w:val="0"/>
                <w:numId w:val="8"/>
              </w:numPr>
              <w:jc w:val="both"/>
              <w:rPr>
                <w:color w:val="auto"/>
                <w:highlight w:val="none"/>
              </w:rPr>
            </w:pPr>
            <w:r>
              <w:rPr>
                <w:color w:val="auto"/>
                <w:highlight w:val="none"/>
              </w:rPr>
              <w:t>厂区不宜择易发生洪涝灾害的地区，难以避开时应设计必要的防范措施。</w:t>
            </w:r>
          </w:p>
          <w:p>
            <w:pPr>
              <w:pStyle w:val="28"/>
              <w:widowControl w:val="0"/>
              <w:jc w:val="both"/>
              <w:rPr>
                <w:color w:val="auto"/>
                <w:highlight w:val="none"/>
              </w:rPr>
            </w:pPr>
            <w:r>
              <w:rPr>
                <w:color w:val="auto"/>
                <w:highlight w:val="none"/>
              </w:rPr>
              <w:t>4、厂区周围不宜有虫害大量</w:t>
            </w:r>
            <w:r>
              <w:rPr>
                <w:rFonts w:hint="eastAsia"/>
                <w:color w:val="auto"/>
                <w:highlight w:val="none"/>
              </w:rPr>
              <w:t>滋生</w:t>
            </w:r>
            <w:r>
              <w:rPr>
                <w:color w:val="auto"/>
                <w:highlight w:val="none"/>
              </w:rPr>
              <w:t>的潜在场所，难以避开时应设计必要的防范措施</w:t>
            </w:r>
            <w:r>
              <w:rPr>
                <w:rFonts w:hint="eastAsia"/>
                <w:color w:val="auto"/>
                <w:highlight w:val="none"/>
              </w:rPr>
              <w:t>。</w:t>
            </w:r>
          </w:p>
        </w:tc>
        <w:tc>
          <w:tcPr>
            <w:tcW w:w="1913" w:type="pct"/>
            <w:tcBorders>
              <w:tl2br w:val="nil"/>
              <w:tr2bl w:val="nil"/>
            </w:tcBorders>
            <w:vAlign w:val="center"/>
          </w:tcPr>
          <w:p>
            <w:pPr>
              <w:pStyle w:val="28"/>
              <w:widowControl w:val="0"/>
              <w:jc w:val="both"/>
              <w:rPr>
                <w:color w:val="auto"/>
                <w:highlight w:val="none"/>
              </w:rPr>
            </w:pPr>
            <w:r>
              <w:rPr>
                <w:color w:val="auto"/>
                <w:highlight w:val="none"/>
              </w:rPr>
              <w:t>1、本项目选址范围，周边主要以山地、水体及未利用地为主。本项目屠宰车间采用全封闭抽风方式，在降低恶臭气体污染的同时，可以减少外环境对本项目影响。</w:t>
            </w:r>
          </w:p>
          <w:p>
            <w:pPr>
              <w:pStyle w:val="28"/>
              <w:widowControl w:val="0"/>
              <w:jc w:val="both"/>
              <w:rPr>
                <w:color w:val="auto"/>
                <w:highlight w:val="none"/>
              </w:rPr>
            </w:pPr>
            <w:r>
              <w:rPr>
                <w:color w:val="auto"/>
                <w:highlight w:val="none"/>
              </w:rPr>
              <w:t>2、厂址附近无有害废弃物以及粉尘、有害气体、放射性物质和其他扩散性污染源，区域环境质量好，且本项目屠宰车间采用全封闭抽风方式，在降低恶臭气体污染的同时，以减少外环境对本项目影响。</w:t>
            </w:r>
          </w:p>
          <w:p>
            <w:pPr>
              <w:pStyle w:val="28"/>
              <w:widowControl w:val="0"/>
              <w:jc w:val="both"/>
              <w:rPr>
                <w:color w:val="auto"/>
                <w:highlight w:val="none"/>
              </w:rPr>
            </w:pPr>
            <w:r>
              <w:rPr>
                <w:color w:val="auto"/>
                <w:highlight w:val="none"/>
              </w:rPr>
              <w:t>3、项目厂址周围</w:t>
            </w:r>
            <w:r>
              <w:rPr>
                <w:rFonts w:hint="eastAsia"/>
                <w:color w:val="auto"/>
                <w:highlight w:val="none"/>
              </w:rPr>
              <w:t>濛溪河</w:t>
            </w:r>
            <w:r>
              <w:rPr>
                <w:color w:val="auto"/>
                <w:highlight w:val="none"/>
              </w:rPr>
              <w:t>，</w:t>
            </w:r>
            <w:r>
              <w:rPr>
                <w:rFonts w:hint="eastAsia"/>
                <w:color w:val="auto"/>
                <w:highlight w:val="none"/>
              </w:rPr>
              <w:t>常年水位位于厂址最低处之下</w:t>
            </w:r>
            <w:r>
              <w:rPr>
                <w:color w:val="auto"/>
                <w:highlight w:val="none"/>
              </w:rPr>
              <w:t>，不受洪涝灾害威胁。</w:t>
            </w:r>
          </w:p>
          <w:p>
            <w:pPr>
              <w:pStyle w:val="28"/>
              <w:widowControl w:val="0"/>
              <w:jc w:val="both"/>
              <w:rPr>
                <w:color w:val="auto"/>
                <w:highlight w:val="none"/>
              </w:rPr>
            </w:pPr>
            <w:r>
              <w:rPr>
                <w:color w:val="auto"/>
                <w:highlight w:val="none"/>
              </w:rPr>
              <w:t>4、项目厂址附近无潜在滋生大量虫害</w:t>
            </w:r>
            <w:r>
              <w:rPr>
                <w:rFonts w:hint="eastAsia"/>
                <w:color w:val="auto"/>
                <w:highlight w:val="none"/>
              </w:rPr>
              <w:t>。</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28"/>
              <w:widowControl w:val="0"/>
              <w:rPr>
                <w:color w:val="auto"/>
                <w:highlight w:val="none"/>
              </w:rPr>
            </w:pPr>
            <w:r>
              <w:rPr>
                <w:color w:val="auto"/>
                <w:highlight w:val="none"/>
              </w:rPr>
              <w:t>《屠宰和肉类加工企业卫生管理规范》</w:t>
            </w:r>
          </w:p>
        </w:tc>
        <w:tc>
          <w:tcPr>
            <w:tcW w:w="2053" w:type="pct"/>
            <w:tcBorders>
              <w:tl2br w:val="nil"/>
              <w:tr2bl w:val="nil"/>
            </w:tcBorders>
            <w:vAlign w:val="center"/>
          </w:tcPr>
          <w:p>
            <w:pPr>
              <w:pStyle w:val="28"/>
              <w:widowControl w:val="0"/>
              <w:numPr>
                <w:ilvl w:val="0"/>
                <w:numId w:val="9"/>
              </w:numPr>
              <w:jc w:val="both"/>
              <w:rPr>
                <w:color w:val="auto"/>
                <w:highlight w:val="none"/>
              </w:rPr>
            </w:pPr>
            <w:r>
              <w:rPr>
                <w:color w:val="auto"/>
                <w:highlight w:val="none"/>
              </w:rPr>
              <w:t>企业的选址、设计应符合兽医防疫要求，建在远离污染源，周围环境清洁卫生的区域，不应有碍食品卫生；厂区内不应兼营、生产、存放有碍食品卫生的其他产品；交通方便，水源充足。</w:t>
            </w:r>
          </w:p>
          <w:p>
            <w:pPr>
              <w:pStyle w:val="28"/>
              <w:widowControl w:val="0"/>
              <w:numPr>
                <w:ilvl w:val="0"/>
                <w:numId w:val="9"/>
              </w:numPr>
              <w:jc w:val="both"/>
              <w:rPr>
                <w:color w:val="auto"/>
                <w:highlight w:val="none"/>
              </w:rPr>
            </w:pPr>
            <w:r>
              <w:rPr>
                <w:color w:val="auto"/>
                <w:highlight w:val="none"/>
              </w:rPr>
              <w:t>厂区主要道路应硬化（如混凝土或沥青路面等），路面平整、易冲洗，不积水。</w:t>
            </w:r>
          </w:p>
          <w:p>
            <w:pPr>
              <w:pStyle w:val="28"/>
              <w:widowControl w:val="0"/>
              <w:numPr>
                <w:ilvl w:val="0"/>
                <w:numId w:val="9"/>
              </w:numPr>
              <w:jc w:val="both"/>
              <w:rPr>
                <w:color w:val="auto"/>
                <w:highlight w:val="none"/>
              </w:rPr>
            </w:pPr>
            <w:r>
              <w:rPr>
                <w:rFonts w:hint="eastAsia"/>
                <w:color w:val="auto"/>
                <w:highlight w:val="none"/>
              </w:rPr>
              <w:t>屠宰场</w:t>
            </w:r>
            <w:r>
              <w:rPr>
                <w:color w:val="auto"/>
                <w:highlight w:val="none"/>
              </w:rPr>
              <w:t>应设有畜禽待宰圈（区）、可疑病畜隔离圈、急宰间和无害化处理设施，并在这些场所配备足够的清洗、消毒设施；应配备密闭不渗水、易清洗消毒的病畜（禽）专用运输工具；可疑病畜隔离圈和急宰间的位置不应对健康动物造成传染风险。</w:t>
            </w:r>
          </w:p>
          <w:p>
            <w:pPr>
              <w:pStyle w:val="28"/>
              <w:widowControl w:val="0"/>
              <w:numPr>
                <w:ilvl w:val="0"/>
                <w:numId w:val="9"/>
              </w:numPr>
              <w:jc w:val="both"/>
              <w:rPr>
                <w:color w:val="auto"/>
                <w:highlight w:val="none"/>
              </w:rPr>
            </w:pPr>
            <w:r>
              <w:rPr>
                <w:color w:val="auto"/>
                <w:highlight w:val="none"/>
              </w:rPr>
              <w:t>厂区卫生间应有冲水、洗手、防蝇、防虫、防鼠等设施，墙裙以浅色、平滑、不透水、耐腐蚀的材料修建，易于清洗并保持清洁。</w:t>
            </w:r>
          </w:p>
          <w:p>
            <w:pPr>
              <w:pStyle w:val="28"/>
              <w:widowControl w:val="0"/>
              <w:numPr>
                <w:ilvl w:val="0"/>
                <w:numId w:val="9"/>
              </w:numPr>
              <w:jc w:val="both"/>
              <w:rPr>
                <w:color w:val="auto"/>
                <w:highlight w:val="none"/>
              </w:rPr>
            </w:pPr>
            <w:r>
              <w:rPr>
                <w:color w:val="auto"/>
                <w:highlight w:val="none"/>
              </w:rPr>
              <w:t>厂区排水系统应保持畅通，生产中产生的废水、废料的处理和排放应符合国家有关规定。</w:t>
            </w:r>
          </w:p>
          <w:p>
            <w:pPr>
              <w:pStyle w:val="28"/>
              <w:widowControl w:val="0"/>
              <w:numPr>
                <w:ilvl w:val="0"/>
                <w:numId w:val="9"/>
              </w:numPr>
              <w:jc w:val="both"/>
              <w:rPr>
                <w:color w:val="auto"/>
                <w:highlight w:val="none"/>
              </w:rPr>
            </w:pPr>
            <w:r>
              <w:rPr>
                <w:color w:val="auto"/>
                <w:highlight w:val="none"/>
              </w:rPr>
              <w:t>厂区应设有废弃物、垃圾暂存或处理设施，废弃物应及时清除或处理，避免对厂区环境造成污染。厂区内不应堆放废旧设备和其他杂物。</w:t>
            </w:r>
          </w:p>
          <w:p>
            <w:pPr>
              <w:pStyle w:val="28"/>
              <w:widowControl w:val="0"/>
              <w:numPr>
                <w:ilvl w:val="0"/>
                <w:numId w:val="9"/>
              </w:numPr>
              <w:jc w:val="both"/>
              <w:rPr>
                <w:color w:val="auto"/>
                <w:highlight w:val="none"/>
              </w:rPr>
            </w:pPr>
            <w:r>
              <w:rPr>
                <w:color w:val="auto"/>
                <w:highlight w:val="none"/>
              </w:rPr>
              <w:t>无害化处理设施、锅炉房、储煤场所、污水及污物处理设施应与屠宰、分割、包装、肉制品加工车间和储存库相隔一定的距离，并位于主风向的下风处。</w:t>
            </w:r>
          </w:p>
          <w:p>
            <w:pPr>
              <w:pStyle w:val="28"/>
              <w:widowControl w:val="0"/>
              <w:jc w:val="both"/>
              <w:rPr>
                <w:color w:val="auto"/>
                <w:highlight w:val="none"/>
              </w:rPr>
            </w:pPr>
            <w:r>
              <w:rPr>
                <w:color w:val="auto"/>
                <w:highlight w:val="none"/>
              </w:rPr>
              <w:t>8、屠宰厂应分设活动物进厂、成品出厂的专用门或通道</w:t>
            </w:r>
          </w:p>
        </w:tc>
        <w:tc>
          <w:tcPr>
            <w:tcW w:w="1913" w:type="pct"/>
            <w:tcBorders>
              <w:tl2br w:val="nil"/>
              <w:tr2bl w:val="nil"/>
            </w:tcBorders>
            <w:vAlign w:val="center"/>
          </w:tcPr>
          <w:p>
            <w:pPr>
              <w:pStyle w:val="28"/>
              <w:widowControl w:val="0"/>
              <w:jc w:val="both"/>
              <w:rPr>
                <w:color w:val="auto"/>
                <w:highlight w:val="none"/>
              </w:rPr>
            </w:pPr>
            <w:r>
              <w:rPr>
                <w:color w:val="auto"/>
                <w:highlight w:val="none"/>
              </w:rPr>
              <w:t>1、项目选址、设计符合兽医防疫要求，周边企业对项目影响较小；厂区内不长期存放有碍食品卫生的其他产品；项目选址地交通方便，水源充足。</w:t>
            </w:r>
          </w:p>
          <w:p>
            <w:pPr>
              <w:pStyle w:val="28"/>
              <w:widowControl w:val="0"/>
              <w:jc w:val="both"/>
              <w:rPr>
                <w:color w:val="auto"/>
                <w:highlight w:val="none"/>
              </w:rPr>
            </w:pPr>
            <w:r>
              <w:rPr>
                <w:color w:val="auto"/>
                <w:highlight w:val="none"/>
              </w:rPr>
              <w:t>2、项目厂区道路均进行了硬化处理；</w:t>
            </w:r>
          </w:p>
          <w:p>
            <w:pPr>
              <w:pStyle w:val="28"/>
              <w:widowControl w:val="0"/>
              <w:jc w:val="both"/>
              <w:rPr>
                <w:color w:val="auto"/>
                <w:highlight w:val="none"/>
              </w:rPr>
            </w:pPr>
            <w:r>
              <w:rPr>
                <w:color w:val="auto"/>
                <w:highlight w:val="none"/>
              </w:rPr>
              <w:t>3、厂区已设立待宰圈及隔离圈，病死动物及不合格胴体交由资质单位无害化处理，并配备了清洗消毒设施；病畜的运输由资质单位负责，采用密闭不渗水、易清洗消毒的病畜专用运输工具；本项目</w:t>
            </w:r>
            <w:r>
              <w:rPr>
                <w:rFonts w:hint="eastAsia"/>
                <w:color w:val="auto"/>
                <w:highlight w:val="none"/>
              </w:rPr>
              <w:t>隔离间</w:t>
            </w:r>
            <w:r>
              <w:rPr>
                <w:color w:val="auto"/>
                <w:highlight w:val="none"/>
              </w:rPr>
              <w:t>和待宰圈分开设置，不会对健康动物造成传染风险。</w:t>
            </w:r>
          </w:p>
          <w:p>
            <w:pPr>
              <w:pStyle w:val="28"/>
              <w:widowControl w:val="0"/>
              <w:jc w:val="both"/>
              <w:rPr>
                <w:color w:val="auto"/>
                <w:highlight w:val="none"/>
              </w:rPr>
            </w:pPr>
            <w:r>
              <w:rPr>
                <w:color w:val="auto"/>
                <w:highlight w:val="none"/>
              </w:rPr>
              <w:t>4、厂区卫生间设有冲水、洗手、防蝇、防虫、防鼠等设施，采用不透水、耐腐蚀的材料修建，易于清洗并保持清洁。</w:t>
            </w:r>
          </w:p>
          <w:p>
            <w:pPr>
              <w:pStyle w:val="28"/>
              <w:widowControl w:val="0"/>
              <w:jc w:val="both"/>
              <w:rPr>
                <w:color w:val="auto"/>
                <w:highlight w:val="none"/>
              </w:rPr>
            </w:pPr>
            <w:r>
              <w:rPr>
                <w:color w:val="auto"/>
                <w:highlight w:val="none"/>
              </w:rPr>
              <w:t>5、项目废水采用《屠宰与肉类加工废水治理工程技术规范》中推荐的</w:t>
            </w:r>
            <w:r>
              <w:rPr>
                <w:rFonts w:hint="eastAsia"/>
                <w:color w:val="auto"/>
                <w:highlight w:val="none"/>
              </w:rPr>
              <w:t>“</w:t>
            </w:r>
            <w:r>
              <w:rPr>
                <w:rFonts w:hint="eastAsia"/>
                <w:color w:val="auto"/>
                <w:highlight w:val="none"/>
                <w:lang w:eastAsia="zh-CN"/>
              </w:rPr>
              <w:t>格栅池+沉渣池+多功能生物调节池+气浮沉渣池+厌氧池+初沉池+缺氧池1+好氧池1+紫外线消毒+清水池</w:t>
            </w:r>
            <w:r>
              <w:rPr>
                <w:rFonts w:hint="eastAsia"/>
                <w:color w:val="auto"/>
                <w:highlight w:val="none"/>
              </w:rPr>
              <w:t>”</w:t>
            </w:r>
            <w:r>
              <w:rPr>
                <w:color w:val="auto"/>
                <w:highlight w:val="none"/>
              </w:rPr>
              <w:t>工艺，能够达到</w:t>
            </w:r>
            <w:r>
              <w:rPr>
                <w:rFonts w:hint="eastAsia"/>
                <w:color w:val="auto"/>
                <w:highlight w:val="none"/>
              </w:rPr>
              <w:t>《肉类加工工业水污染物排放标准》（GB13457-92）中一级标准</w:t>
            </w:r>
            <w:r>
              <w:rPr>
                <w:color w:val="auto"/>
                <w:highlight w:val="none"/>
              </w:rPr>
              <w:t>；各类固废分类收集后处置，废水、废料的处理和排放符合国家有关规定。</w:t>
            </w:r>
          </w:p>
          <w:p>
            <w:pPr>
              <w:pStyle w:val="28"/>
              <w:widowControl w:val="0"/>
              <w:jc w:val="both"/>
              <w:rPr>
                <w:color w:val="auto"/>
                <w:highlight w:val="none"/>
              </w:rPr>
            </w:pPr>
            <w:r>
              <w:rPr>
                <w:color w:val="auto"/>
                <w:highlight w:val="none"/>
              </w:rPr>
              <w:t>6、厂区设置废弃物、垃圾暂存或处理设施，废弃物及时清除或处理。厂区内未堆放废旧设备和其他杂物。</w:t>
            </w:r>
          </w:p>
          <w:p>
            <w:pPr>
              <w:pStyle w:val="28"/>
              <w:widowControl w:val="0"/>
              <w:jc w:val="both"/>
              <w:rPr>
                <w:color w:val="auto"/>
                <w:highlight w:val="none"/>
              </w:rPr>
            </w:pPr>
            <w:r>
              <w:rPr>
                <w:color w:val="auto"/>
                <w:highlight w:val="none"/>
              </w:rPr>
              <w:t>7、项目污水及污物处理设施与屠宰、分割车间分开设置，并位于主风向的下风处。</w:t>
            </w:r>
          </w:p>
          <w:p>
            <w:pPr>
              <w:pStyle w:val="28"/>
              <w:widowControl w:val="0"/>
              <w:jc w:val="both"/>
              <w:rPr>
                <w:color w:val="auto"/>
                <w:highlight w:val="none"/>
              </w:rPr>
            </w:pPr>
            <w:r>
              <w:rPr>
                <w:color w:val="auto"/>
                <w:highlight w:val="none"/>
              </w:rPr>
              <w:t>8、厂区分别设置活动物进厂、成品出厂的专用门或通道</w:t>
            </w:r>
          </w:p>
        </w:tc>
        <w:tc>
          <w:tcPr>
            <w:tcW w:w="465" w:type="pct"/>
            <w:tcBorders>
              <w:tl2br w:val="nil"/>
              <w:tr2bl w:val="nil"/>
            </w:tcBorders>
            <w:vAlign w:val="center"/>
          </w:tcPr>
          <w:p>
            <w:pPr>
              <w:pStyle w:val="28"/>
              <w:widowControl w:val="0"/>
              <w:rPr>
                <w:color w:val="auto"/>
                <w:highlight w:val="none"/>
              </w:rPr>
            </w:pPr>
            <w:r>
              <w:rPr>
                <w:color w:val="auto"/>
                <w:highlight w:val="none"/>
              </w:rPr>
              <w:t>符合</w:t>
            </w:r>
          </w:p>
        </w:tc>
      </w:tr>
    </w:tbl>
    <w:p>
      <w:pPr>
        <w:widowControl w:val="0"/>
        <w:ind w:firstLine="480"/>
        <w:rPr>
          <w:color w:val="auto"/>
          <w:kern w:val="0"/>
          <w:szCs w:val="24"/>
          <w:highlight w:val="none"/>
        </w:rPr>
      </w:pPr>
      <w:r>
        <w:rPr>
          <w:rFonts w:hint="eastAsia"/>
          <w:color w:val="auto"/>
          <w:kern w:val="0"/>
          <w:szCs w:val="24"/>
          <w:highlight w:val="none"/>
        </w:rPr>
        <w:t>由此可见，本项目的建设与相关条例是相符的。</w:t>
      </w:r>
    </w:p>
    <w:p>
      <w:pPr>
        <w:pStyle w:val="5"/>
        <w:widowControl w:val="0"/>
        <w:ind w:firstLine="120"/>
        <w:rPr>
          <w:color w:val="auto"/>
          <w:highlight w:val="none"/>
        </w:rPr>
      </w:pPr>
      <w:r>
        <w:rPr>
          <w:rFonts w:hint="eastAsia"/>
          <w:color w:val="auto"/>
          <w:highlight w:val="none"/>
        </w:rPr>
        <w:t>本项目屠宰资质审核符合性分析</w:t>
      </w:r>
    </w:p>
    <w:p>
      <w:pPr>
        <w:widowControl w:val="0"/>
        <w:ind w:firstLine="480"/>
        <w:rPr>
          <w:color w:val="auto"/>
          <w:highlight w:val="none"/>
        </w:rPr>
      </w:pPr>
      <w:r>
        <w:rPr>
          <w:rFonts w:hint="eastAsia"/>
          <w:color w:val="auto"/>
          <w:highlight w:val="none"/>
        </w:rPr>
        <w:t>本项目取得由平昌县农业农村局出具的《关于变更生猪定点屠宰企业屠宰资质信息的批复》，其内容为：依据四川省农业厅《关于生猪定点屠宰企业资质问题的复函》（N[2021]-691号）和巴中市人民政府《关于同意变更生猪定点屠宰企业屠宰资质信息的批复》（巴府函[2021]64号）文件精神，同意平昌县响滩食品公司、平昌县云台食品公司整合扩建升级并变更相关资质信息，平昌县响滩食品公司变更为平昌县乐顺食品有限公司，法定代表人变更为朱建忠，该企业升级为A级......。因此，根据文件可知，本项目屠宰资质通过了平昌县农业农村局的审核。</w:t>
      </w:r>
    </w:p>
    <w:p>
      <w:pPr>
        <w:pStyle w:val="4"/>
        <w:widowControl w:val="0"/>
        <w:rPr>
          <w:color w:val="auto"/>
          <w:highlight w:val="none"/>
        </w:rPr>
      </w:pPr>
      <w:bookmarkStart w:id="38" w:name="_Toc17068"/>
      <w:r>
        <w:rPr>
          <w:rFonts w:hint="eastAsia"/>
          <w:color w:val="auto"/>
          <w:highlight w:val="none"/>
        </w:rPr>
        <w:t>项目用地符合性分析</w:t>
      </w:r>
      <w:bookmarkEnd w:id="38"/>
    </w:p>
    <w:p>
      <w:pPr>
        <w:widowControl w:val="0"/>
        <w:ind w:firstLine="480"/>
        <w:rPr>
          <w:color w:val="auto"/>
          <w:highlight w:val="none"/>
        </w:rPr>
      </w:pPr>
      <w:r>
        <w:rPr>
          <w:rFonts w:hint="eastAsia"/>
          <w:color w:val="auto"/>
          <w:highlight w:val="none"/>
        </w:rPr>
        <w:t>本项目选址于巴中市平昌县响滩镇石泉村，占地面积29亩，总建筑面积17825m</w:t>
      </w:r>
      <w:r>
        <w:rPr>
          <w:rFonts w:hint="eastAsia"/>
          <w:color w:val="auto"/>
          <w:highlight w:val="none"/>
          <w:vertAlign w:val="superscript"/>
        </w:rPr>
        <w:t>2</w:t>
      </w:r>
      <w:r>
        <w:rPr>
          <w:rFonts w:hint="eastAsia"/>
          <w:color w:val="auto"/>
          <w:highlight w:val="none"/>
        </w:rPr>
        <w:t>。项目已与平昌县响滩镇石泉村村民委员会签订了土地流转补偿协议，根据平昌县自然资源和规划局出具的《关于响滩镇石泉村六社黄角包AAA级牲畜屠宰场建设项目规划意见的函》本项目用地性质为二类工业用地，因此，本项目用地符合当地规划。</w:t>
      </w:r>
    </w:p>
    <w:p>
      <w:pPr>
        <w:pStyle w:val="4"/>
        <w:widowControl w:val="0"/>
        <w:rPr>
          <w:color w:val="auto"/>
          <w:highlight w:val="none"/>
        </w:rPr>
      </w:pPr>
      <w:bookmarkStart w:id="39" w:name="_Toc14580"/>
      <w:r>
        <w:rPr>
          <w:rFonts w:hint="eastAsia"/>
          <w:color w:val="auto"/>
          <w:highlight w:val="none"/>
        </w:rPr>
        <w:t>与“三线一单”符合性分析</w:t>
      </w:r>
      <w:bookmarkEnd w:id="39"/>
    </w:p>
    <w:p>
      <w:pPr>
        <w:widowControl w:val="0"/>
        <w:ind w:firstLine="480"/>
        <w:rPr>
          <w:color w:val="auto"/>
          <w:highlight w:val="none"/>
        </w:rPr>
      </w:pPr>
      <w:r>
        <w:rPr>
          <w:rFonts w:hint="eastAsia"/>
          <w:color w:val="auto"/>
          <w:highlight w:val="none"/>
        </w:rPr>
        <w:t>2</w:t>
      </w:r>
      <w:r>
        <w:rPr>
          <w:color w:val="auto"/>
          <w:highlight w:val="none"/>
        </w:rPr>
        <w:t>021年</w:t>
      </w:r>
      <w:r>
        <w:rPr>
          <w:rFonts w:hint="eastAsia"/>
          <w:color w:val="auto"/>
          <w:highlight w:val="none"/>
        </w:rPr>
        <w:t>1</w:t>
      </w:r>
      <w:r>
        <w:rPr>
          <w:color w:val="auto"/>
          <w:highlight w:val="none"/>
        </w:rPr>
        <w:t>2月</w:t>
      </w:r>
      <w:r>
        <w:rPr>
          <w:rFonts w:hint="eastAsia"/>
          <w:color w:val="auto"/>
          <w:highlight w:val="none"/>
        </w:rPr>
        <w:t>2</w:t>
      </w:r>
      <w:r>
        <w:rPr>
          <w:color w:val="auto"/>
          <w:highlight w:val="none"/>
        </w:rPr>
        <w:t>7日，四川省生态环境厅办公室发布了</w:t>
      </w:r>
      <w:r>
        <w:rPr>
          <w:rFonts w:hint="eastAsia"/>
          <w:color w:val="auto"/>
          <w:highlight w:val="none"/>
        </w:rPr>
        <w:t>&lt;关于印发《产业园区规划环评“三线一单”符合性分析技术要点》和《项目环评“三线一单”符合性分析技术要点（试行）》的通知</w:t>
      </w:r>
      <w:r>
        <w:rPr>
          <w:color w:val="auto"/>
          <w:highlight w:val="none"/>
        </w:rPr>
        <w:t>&gt;（川环办函</w:t>
      </w:r>
      <w:r>
        <w:rPr>
          <w:rFonts w:hint="eastAsia"/>
          <w:color w:val="auto"/>
          <w:highlight w:val="none"/>
        </w:rPr>
        <w:t>[</w:t>
      </w:r>
      <w:r>
        <w:rPr>
          <w:color w:val="auto"/>
          <w:highlight w:val="none"/>
        </w:rPr>
        <w:t>2021]469号），根据文件要求</w:t>
      </w:r>
      <w:r>
        <w:rPr>
          <w:rFonts w:hint="eastAsia"/>
          <w:color w:val="auto"/>
          <w:highlight w:val="none"/>
        </w:rPr>
        <w:t>，建设项目位于巴中市平昌县响滩镇石泉村，本项目需分析与“三线一单”符合性分析。本项目位于平昌县响滩镇石泉村</w:t>
      </w:r>
      <w:r>
        <w:rPr>
          <w:rFonts w:hint="eastAsia" w:ascii="宋体" w:hAnsi="Calibri" w:cs="宋体"/>
          <w:color w:val="auto"/>
          <w:kern w:val="0"/>
          <w:highlight w:val="none"/>
        </w:rPr>
        <w:t>，属于一般管控单元（一般</w:t>
      </w:r>
      <w:r>
        <w:rPr>
          <w:rFonts w:hint="eastAsia"/>
          <w:color w:val="auto"/>
          <w:highlight w:val="none"/>
        </w:rPr>
        <w:t>管控编码为</w:t>
      </w:r>
      <w:r>
        <w:rPr>
          <w:color w:val="auto"/>
          <w:highlight w:val="none"/>
        </w:rPr>
        <w:t>ZH51192330001</w:t>
      </w:r>
      <w:r>
        <w:rPr>
          <w:rFonts w:hint="eastAsia"/>
          <w:color w:val="auto"/>
          <w:highlight w:val="none"/>
        </w:rPr>
        <w:t>）</w:t>
      </w:r>
      <w:r>
        <w:rPr>
          <w:color w:val="auto"/>
          <w:highlight w:val="none"/>
        </w:rPr>
        <w:t>。</w:t>
      </w:r>
    </w:p>
    <w:p>
      <w:pPr>
        <w:widowControl w:val="0"/>
        <w:ind w:firstLine="480"/>
        <w:rPr>
          <w:color w:val="auto"/>
          <w:highlight w:val="none"/>
        </w:rPr>
      </w:pPr>
      <w:r>
        <w:rPr>
          <w:rFonts w:hint="eastAsia"/>
          <w:color w:val="auto"/>
          <w:highlight w:val="none"/>
        </w:rPr>
        <w:t>根据《四川省巴中市“三线一单”生态环境分区管控优化完善研究报告成果》，项目与“三线一单”符合性分析如下：</w:t>
      </w:r>
    </w:p>
    <w:p>
      <w:pPr>
        <w:pStyle w:val="5"/>
        <w:widowControl w:val="0"/>
        <w:ind w:firstLine="120"/>
        <w:rPr>
          <w:color w:val="auto"/>
          <w:highlight w:val="none"/>
        </w:rPr>
      </w:pPr>
      <w:r>
        <w:rPr>
          <w:color w:val="auto"/>
          <w:highlight w:val="none"/>
        </w:rPr>
        <w:t>与生态保护红线的符合性分析</w:t>
      </w:r>
    </w:p>
    <w:p>
      <w:pPr>
        <w:widowControl w:val="0"/>
        <w:ind w:firstLine="480"/>
        <w:rPr>
          <w:color w:val="auto"/>
          <w:highlight w:val="none"/>
        </w:rPr>
      </w:pPr>
      <w:r>
        <w:rPr>
          <w:color w:val="auto"/>
          <w:highlight w:val="none"/>
        </w:rPr>
        <w:t>根据《长江经济带战略环境评价四川省巴中市</w:t>
      </w:r>
      <w:r>
        <w:rPr>
          <w:rFonts w:hint="eastAsia"/>
          <w:color w:val="auto"/>
          <w:highlight w:val="none"/>
        </w:rPr>
        <w:t>“</w:t>
      </w:r>
      <w:r>
        <w:rPr>
          <w:color w:val="auto"/>
          <w:highlight w:val="none"/>
        </w:rPr>
        <w:t>三线一单</w:t>
      </w:r>
      <w:r>
        <w:rPr>
          <w:rFonts w:hint="eastAsia"/>
          <w:color w:val="auto"/>
          <w:highlight w:val="none"/>
        </w:rPr>
        <w:t>”</w:t>
      </w:r>
      <w:r>
        <w:rPr>
          <w:color w:val="auto"/>
          <w:highlight w:val="none"/>
        </w:rPr>
        <w:t>生态环境分区管控优化完善研究报告》，巴中市生态保护红线面积1685.62km</w:t>
      </w:r>
      <w:r>
        <w:rPr>
          <w:color w:val="auto"/>
          <w:highlight w:val="none"/>
          <w:vertAlign w:val="superscript"/>
        </w:rPr>
        <w:t>2</w:t>
      </w:r>
      <w:r>
        <w:rPr>
          <w:color w:val="auto"/>
          <w:highlight w:val="none"/>
        </w:rPr>
        <w:t>，占巴中市国土面积比例的13.71%。</w:t>
      </w:r>
    </w:p>
    <w:p>
      <w:pPr>
        <w:pStyle w:val="28"/>
        <w:widowControl w:val="0"/>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2215515</wp:posOffset>
                </wp:positionH>
                <wp:positionV relativeFrom="paragraph">
                  <wp:posOffset>2174240</wp:posOffset>
                </wp:positionV>
                <wp:extent cx="142875" cy="142875"/>
                <wp:effectExtent l="6350" t="6350" r="22225" b="22225"/>
                <wp:wrapNone/>
                <wp:docPr id="28" name="椭圆 28"/>
                <wp:cNvGraphicFramePr/>
                <a:graphic xmlns:a="http://schemas.openxmlformats.org/drawingml/2006/main">
                  <a:graphicData uri="http://schemas.microsoft.com/office/word/2010/wordprocessingShape">
                    <wps:wsp>
                      <wps:cNvSpPr/>
                      <wps:spPr>
                        <a:xfrm>
                          <a:off x="2820035" y="4713605"/>
                          <a:ext cx="142875" cy="1428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4.45pt;margin-top:171.2pt;height:11.25pt;width:11.25pt;z-index:251672576;v-text-anchor:middle;mso-width-relative:page;mso-height-relative:page;" fillcolor="#FF0000" filled="t" stroked="t" coordsize="21600,21600" o:gfxdata="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pOXIj1gAAAAsBAAAPAAAAAAAAAAEAIAAAACIA&#10;AABkcnMvZG93bnJldi54bWxQSwECFAAUAAAACACHTuJAJNLwwH0CAAAPBQAADgAAAAAAAAABACAA&#10;AAAlAQAAZHJzL2Uyb0RvYy54bWxQSwUGAAAAAAYABgBZAQAAFAYAAAAA&#10;">
                <v:fill on="t" focussize="0,0"/>
                <v:stroke weight="1pt" color="#FF0000 [3204]" miterlimit="8" joinstyle="miter"/>
                <v:imagedata o:title=""/>
                <o:lock v:ext="edit" aspectratio="f"/>
                <v:textbox>
                  <w:txbxContent>
                    <w:p>
                      <w:pPr>
                        <w:ind w:firstLine="480"/>
                        <w:jc w:val="center"/>
                      </w:pPr>
                    </w:p>
                  </w:txbxContent>
                </v:textbox>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3025775</wp:posOffset>
                </wp:positionH>
                <wp:positionV relativeFrom="paragraph">
                  <wp:posOffset>1993900</wp:posOffset>
                </wp:positionV>
                <wp:extent cx="1209040" cy="503555"/>
                <wp:effectExtent l="767715" t="6350" r="23495" b="23495"/>
                <wp:wrapNone/>
                <wp:docPr id="30" name="矩形标注 30"/>
                <wp:cNvGraphicFramePr/>
                <a:graphic xmlns:a="http://schemas.openxmlformats.org/drawingml/2006/main">
                  <a:graphicData uri="http://schemas.microsoft.com/office/word/2010/wordprocessingShape">
                    <wps:wsp>
                      <wps:cNvSpPr/>
                      <wps:spPr>
                        <a:xfrm>
                          <a:off x="3725545" y="4218940"/>
                          <a:ext cx="1209040" cy="503555"/>
                        </a:xfrm>
                        <a:prstGeom prst="wedgeRectCallout">
                          <a:avLst>
                            <a:gd name="adj1" fmla="val -109296"/>
                            <a:gd name="adj2" fmla="val 447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b/>
                                <w:bCs/>
                                <w:color w:val="FF0000"/>
                                <w:sz w:val="32"/>
                                <w:szCs w:val="22"/>
                              </w:rPr>
                            </w:pPr>
                            <w:r>
                              <w:rPr>
                                <w:rFonts w:hint="eastAsia"/>
                                <w:b/>
                                <w:bCs/>
                                <w:color w:val="FF0000"/>
                                <w:sz w:val="32"/>
                                <w:szCs w:val="22"/>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8.25pt;margin-top:157pt;height:39.65pt;width:95.2pt;z-index:251673600;v-text-anchor:middle;mso-width-relative:page;mso-height-relative:page;" filled="f" stroked="t" coordsize="21600,21600" o:gfxdata="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GqGTPWAAAACwEAAA8AAAAAAAAAAQAgAAAAIgAA&#10;AGRycy9kb3ducmV2LnhtbFBLAQIUABQAAAAIAIdO4kAgqeIatQIAAEgFAAAOAAAAAAAAAAEAIAAA&#10;ACUBAABkcnMvZTJvRG9jLnhtbFBLBQYAAAAABgAGAFkBAABMBgAAAAA=&#10;" adj="-12808,11767">
                <v:fill on="f" focussize="0,0"/>
                <v:stroke weight="1pt" color="#FF0000 [3204]" miterlimit="8" joinstyle="miter"/>
                <v:imagedata o:title=""/>
                <o:lock v:ext="edit" aspectratio="f"/>
                <v:textbox>
                  <w:txbxContent>
                    <w:p>
                      <w:pPr>
                        <w:spacing w:line="240" w:lineRule="auto"/>
                        <w:ind w:firstLine="0" w:firstLineChars="0"/>
                        <w:jc w:val="center"/>
                        <w:rPr>
                          <w:b/>
                          <w:bCs/>
                          <w:color w:val="FF0000"/>
                          <w:sz w:val="32"/>
                          <w:szCs w:val="22"/>
                        </w:rPr>
                      </w:pPr>
                      <w:r>
                        <w:rPr>
                          <w:rFonts w:hint="eastAsia"/>
                          <w:b/>
                          <w:bCs/>
                          <w:color w:val="FF0000"/>
                          <w:sz w:val="32"/>
                          <w:szCs w:val="22"/>
                        </w:rPr>
                        <w:t>本项目</w:t>
                      </w:r>
                    </w:p>
                  </w:txbxContent>
                </v:textbox>
              </v:shape>
            </w:pict>
          </mc:Fallback>
        </mc:AlternateContent>
      </w:r>
      <w:r>
        <w:rPr>
          <w:color w:val="auto"/>
          <w:highlight w:val="none"/>
        </w:rPr>
        <w:drawing>
          <wp:inline distT="0" distB="0" distL="0" distR="0">
            <wp:extent cx="4135120" cy="2677795"/>
            <wp:effectExtent l="0" t="0" r="17780" b="825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35120" cy="2677795"/>
                    </a:xfrm>
                    <a:prstGeom prst="rect">
                      <a:avLst/>
                    </a:prstGeom>
                    <a:noFill/>
                    <a:ln>
                      <a:noFill/>
                    </a:ln>
                    <a:effectLst/>
                  </pic:spPr>
                </pic:pic>
              </a:graphicData>
            </a:graphic>
          </wp:inline>
        </w:drawing>
      </w:r>
    </w:p>
    <w:p>
      <w:pPr>
        <w:pStyle w:val="32"/>
        <w:widowControl w:val="0"/>
        <w:ind w:firstLine="422"/>
        <w:rPr>
          <w:rFonts w:hint="default"/>
          <w:color w:val="auto"/>
          <w:highlight w:val="none"/>
        </w:rPr>
      </w:pPr>
      <w:r>
        <w:rPr>
          <w:color w:val="auto"/>
          <w:highlight w:val="none"/>
        </w:rPr>
        <w:t>图1.9-1  巴中市生态保护红线图</w:t>
      </w:r>
    </w:p>
    <w:p>
      <w:pPr>
        <w:widowControl w:val="0"/>
        <w:ind w:firstLine="480"/>
        <w:rPr>
          <w:color w:val="auto"/>
          <w:highlight w:val="none"/>
        </w:rPr>
      </w:pPr>
      <w:r>
        <w:rPr>
          <w:rFonts w:hint="eastAsia"/>
          <w:color w:val="auto"/>
          <w:highlight w:val="none"/>
        </w:rPr>
        <w:t>根据上图可知，本项目不涉及生态保护红线。</w:t>
      </w:r>
    </w:p>
    <w:p>
      <w:pPr>
        <w:pStyle w:val="5"/>
        <w:widowControl w:val="0"/>
        <w:ind w:firstLine="120"/>
        <w:rPr>
          <w:color w:val="auto"/>
          <w:highlight w:val="none"/>
        </w:rPr>
      </w:pPr>
      <w:r>
        <w:rPr>
          <w:color w:val="auto"/>
          <w:highlight w:val="none"/>
        </w:rPr>
        <w:t>与总体生态环境管控要求符合性分析</w:t>
      </w:r>
    </w:p>
    <w:p>
      <w:pPr>
        <w:widowControl w:val="0"/>
        <w:ind w:firstLine="480"/>
        <w:rPr>
          <w:color w:val="auto"/>
          <w:highlight w:val="none"/>
        </w:rPr>
      </w:pPr>
      <w:r>
        <w:rPr>
          <w:color w:val="auto"/>
          <w:highlight w:val="none"/>
        </w:rPr>
        <w:t>本项目与《巴中市人民政府关于实施“三线一单”生态环境分区管控的通知》（巴府发﹝2021﹞5号）中总体生态环境管控要求符合性分析如下。</w:t>
      </w:r>
    </w:p>
    <w:p>
      <w:pPr>
        <w:pStyle w:val="27"/>
        <w:widowControl w:val="0"/>
        <w:rPr>
          <w:color w:val="auto"/>
          <w:highlight w:val="none"/>
        </w:rPr>
      </w:pPr>
      <w:r>
        <w:rPr>
          <w:color w:val="auto"/>
          <w:highlight w:val="none"/>
        </w:rPr>
        <w:t>与总体生态环境管控要求符合性分析</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026"/>
        <w:gridCol w:w="3876"/>
        <w:gridCol w:w="3663"/>
        <w:gridCol w:w="105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tcBorders>
              <w:tl2br w:val="nil"/>
              <w:tr2bl w:val="nil"/>
            </w:tcBorders>
            <w:vAlign w:val="center"/>
          </w:tcPr>
          <w:p>
            <w:pPr>
              <w:pStyle w:val="28"/>
              <w:widowControl w:val="0"/>
              <w:rPr>
                <w:b/>
                <w:bCs/>
                <w:color w:val="auto"/>
                <w:highlight w:val="none"/>
              </w:rPr>
            </w:pPr>
            <w:r>
              <w:rPr>
                <w:b/>
                <w:bCs/>
                <w:color w:val="auto"/>
                <w:highlight w:val="none"/>
              </w:rPr>
              <w:t>行政区划</w:t>
            </w:r>
          </w:p>
        </w:tc>
        <w:tc>
          <w:tcPr>
            <w:tcW w:w="3876" w:type="dxa"/>
            <w:tcBorders>
              <w:tl2br w:val="nil"/>
              <w:tr2bl w:val="nil"/>
            </w:tcBorders>
            <w:vAlign w:val="center"/>
          </w:tcPr>
          <w:p>
            <w:pPr>
              <w:pStyle w:val="28"/>
              <w:widowControl w:val="0"/>
              <w:rPr>
                <w:b/>
                <w:bCs/>
                <w:color w:val="auto"/>
                <w:highlight w:val="none"/>
              </w:rPr>
            </w:pPr>
            <w:r>
              <w:rPr>
                <w:b/>
                <w:bCs/>
                <w:color w:val="auto"/>
                <w:highlight w:val="none"/>
              </w:rPr>
              <w:t>总体生态环境管控要求</w:t>
            </w:r>
          </w:p>
        </w:tc>
        <w:tc>
          <w:tcPr>
            <w:tcW w:w="3663" w:type="dxa"/>
            <w:tcBorders>
              <w:tl2br w:val="nil"/>
              <w:tr2bl w:val="nil"/>
            </w:tcBorders>
            <w:vAlign w:val="center"/>
          </w:tcPr>
          <w:p>
            <w:pPr>
              <w:pStyle w:val="28"/>
              <w:widowControl w:val="0"/>
              <w:rPr>
                <w:b/>
                <w:bCs/>
                <w:color w:val="auto"/>
                <w:highlight w:val="none"/>
              </w:rPr>
            </w:pPr>
            <w:r>
              <w:rPr>
                <w:b/>
                <w:bCs/>
                <w:color w:val="auto"/>
                <w:highlight w:val="none"/>
              </w:rPr>
              <w:t>本项目实际情况</w:t>
            </w:r>
          </w:p>
        </w:tc>
        <w:tc>
          <w:tcPr>
            <w:tcW w:w="1057" w:type="dxa"/>
            <w:tcBorders>
              <w:tl2br w:val="nil"/>
              <w:tr2bl w:val="nil"/>
            </w:tcBorders>
            <w:vAlign w:val="center"/>
          </w:tcPr>
          <w:p>
            <w:pPr>
              <w:pStyle w:val="28"/>
              <w:widowControl w:val="0"/>
              <w:rPr>
                <w:b/>
                <w:bCs/>
                <w:color w:val="auto"/>
                <w:highlight w:val="none"/>
              </w:rPr>
            </w:pPr>
            <w:r>
              <w:rPr>
                <w:b/>
                <w:bCs/>
                <w:color w:val="auto"/>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restart"/>
            <w:tcBorders>
              <w:tl2br w:val="nil"/>
              <w:tr2bl w:val="nil"/>
            </w:tcBorders>
            <w:vAlign w:val="center"/>
          </w:tcPr>
          <w:p>
            <w:pPr>
              <w:pStyle w:val="28"/>
              <w:widowControl w:val="0"/>
              <w:rPr>
                <w:color w:val="auto"/>
                <w:highlight w:val="none"/>
              </w:rPr>
            </w:pPr>
            <w:r>
              <w:rPr>
                <w:color w:val="auto"/>
                <w:highlight w:val="none"/>
              </w:rPr>
              <w:t>巴中市</w:t>
            </w:r>
          </w:p>
        </w:tc>
        <w:tc>
          <w:tcPr>
            <w:tcW w:w="3876" w:type="dxa"/>
            <w:tcBorders>
              <w:tl2br w:val="nil"/>
              <w:tr2bl w:val="nil"/>
            </w:tcBorders>
            <w:vAlign w:val="center"/>
          </w:tcPr>
          <w:p>
            <w:pPr>
              <w:pStyle w:val="28"/>
              <w:widowControl w:val="0"/>
              <w:jc w:val="left"/>
              <w:rPr>
                <w:color w:val="auto"/>
                <w:highlight w:val="none"/>
              </w:rPr>
            </w:pPr>
            <w:r>
              <w:rPr>
                <w:color w:val="auto"/>
                <w:highlight w:val="none"/>
              </w:rPr>
              <w:t>培育和引入产业必须符合国家产业政策，严控新建、扩建“两高”项目，强化企业环境管理</w:t>
            </w:r>
          </w:p>
        </w:tc>
        <w:tc>
          <w:tcPr>
            <w:tcW w:w="3663" w:type="dxa"/>
            <w:tcBorders>
              <w:tl2br w:val="nil"/>
              <w:tr2bl w:val="nil"/>
            </w:tcBorders>
            <w:vAlign w:val="center"/>
          </w:tcPr>
          <w:p>
            <w:pPr>
              <w:pStyle w:val="28"/>
              <w:widowControl w:val="0"/>
              <w:rPr>
                <w:color w:val="auto"/>
                <w:highlight w:val="none"/>
              </w:rPr>
            </w:pPr>
            <w:r>
              <w:rPr>
                <w:color w:val="auto"/>
                <w:highlight w:val="none"/>
              </w:rPr>
              <w:t>本项目不属于《产业结构调整指导目录（2019年本）》中的鼓励类、限制类及淘汰类项目，为允许类，符合国家产业政策，不属于“两高”项目。</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09"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强化水、大气、土壤等污染源头管控，深化环境污染治理，完善污染治理基础设施，巩固提升环境质量</w:t>
            </w:r>
          </w:p>
        </w:tc>
        <w:tc>
          <w:tcPr>
            <w:tcW w:w="3663" w:type="dxa"/>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综合污水通过自建污水处理站处理后排入元坨社区市政污水管网，通过市政污水管网汇入响滩镇污水处理厂处理</w:t>
            </w:r>
            <w:r>
              <w:rPr>
                <w:color w:val="auto"/>
                <w:highlight w:val="none"/>
              </w:rPr>
              <w:t>；</w:t>
            </w:r>
            <w:r>
              <w:rPr>
                <w:rFonts w:hint="eastAsia"/>
                <w:color w:val="auto"/>
                <w:highlight w:val="none"/>
              </w:rPr>
              <w:t>恶臭经生物喷淋+UV光解</w:t>
            </w:r>
            <w:r>
              <w:rPr>
                <w:color w:val="auto"/>
                <w:highlight w:val="none"/>
              </w:rPr>
              <w:t>处理后有组织排放；</w:t>
            </w:r>
            <w:r>
              <w:rPr>
                <w:rFonts w:hint="eastAsia"/>
                <w:color w:val="auto"/>
                <w:highlight w:val="none"/>
              </w:rPr>
              <w:t>厂区各构筑物</w:t>
            </w:r>
            <w:r>
              <w:rPr>
                <w:color w:val="auto"/>
                <w:highlight w:val="none"/>
              </w:rPr>
              <w:t>做好分区防渗后能避免污染土壤。</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合理控制并优化生态环境敏感区内的旅游开发建设活动，合理开发利用水利资源，大力发展生态康养旅游产业。严格落实自然保护地、生态保护红线、集中式饮用水水源保护区等管控要求</w:t>
            </w:r>
          </w:p>
        </w:tc>
        <w:tc>
          <w:tcPr>
            <w:tcW w:w="3663" w:type="dxa"/>
            <w:tcBorders>
              <w:tl2br w:val="nil"/>
              <w:tr2bl w:val="nil"/>
            </w:tcBorders>
            <w:vAlign w:val="center"/>
          </w:tcPr>
          <w:p>
            <w:pPr>
              <w:pStyle w:val="28"/>
              <w:widowControl w:val="0"/>
              <w:rPr>
                <w:color w:val="auto"/>
                <w:highlight w:val="none"/>
              </w:rPr>
            </w:pPr>
            <w:r>
              <w:rPr>
                <w:color w:val="auto"/>
                <w:highlight w:val="none"/>
              </w:rPr>
              <w:t>本项目选址于</w:t>
            </w:r>
            <w:r>
              <w:rPr>
                <w:rFonts w:hint="eastAsia"/>
                <w:color w:val="auto"/>
                <w:highlight w:val="none"/>
              </w:rPr>
              <w:t>巴中市平昌县响滩镇石泉村</w:t>
            </w:r>
            <w:r>
              <w:rPr>
                <w:color w:val="auto"/>
                <w:highlight w:val="none"/>
              </w:rPr>
              <w:t>，不位于自然保护地、生态保护红线、集中式饮用水水源保护区等区域。</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加强农村环境综合治理，积极发展生态农业和有机农业，严格控制化肥、农药、农膜使用量，合理布局畜禽养殖，持续推进畜禽粪污综合利用</w:t>
            </w:r>
          </w:p>
        </w:tc>
        <w:tc>
          <w:tcPr>
            <w:tcW w:w="3663" w:type="dxa"/>
            <w:tcBorders>
              <w:tl2br w:val="nil"/>
              <w:tr2bl w:val="nil"/>
            </w:tcBorders>
            <w:vAlign w:val="center"/>
          </w:tcPr>
          <w:p>
            <w:pPr>
              <w:pStyle w:val="28"/>
              <w:widowControl w:val="0"/>
              <w:rPr>
                <w:color w:val="auto"/>
                <w:highlight w:val="none"/>
              </w:rPr>
            </w:pPr>
            <w:r>
              <w:rPr>
                <w:color w:val="auto"/>
                <w:highlight w:val="none"/>
              </w:rPr>
              <w:t>不涉及</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加强城乡集中式饮用水水源保护，确保饮用水水源安全</w:t>
            </w:r>
          </w:p>
        </w:tc>
        <w:tc>
          <w:tcPr>
            <w:tcW w:w="3663" w:type="dxa"/>
            <w:tcBorders>
              <w:tl2br w:val="nil"/>
              <w:tr2bl w:val="nil"/>
            </w:tcBorders>
            <w:vAlign w:val="center"/>
          </w:tcPr>
          <w:p>
            <w:pPr>
              <w:pStyle w:val="28"/>
              <w:widowControl w:val="0"/>
              <w:rPr>
                <w:color w:val="auto"/>
                <w:highlight w:val="none"/>
              </w:rPr>
            </w:pPr>
            <w:r>
              <w:rPr>
                <w:color w:val="auto"/>
                <w:highlight w:val="none"/>
              </w:rPr>
              <w:t>不涉及</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加强与相邻省、市的环境风险联防联控</w:t>
            </w:r>
          </w:p>
        </w:tc>
        <w:tc>
          <w:tcPr>
            <w:tcW w:w="3663" w:type="dxa"/>
            <w:tcBorders>
              <w:tl2br w:val="nil"/>
              <w:tr2bl w:val="nil"/>
            </w:tcBorders>
            <w:vAlign w:val="center"/>
          </w:tcPr>
          <w:p>
            <w:pPr>
              <w:pStyle w:val="28"/>
              <w:widowControl w:val="0"/>
              <w:rPr>
                <w:color w:val="auto"/>
                <w:highlight w:val="none"/>
              </w:rPr>
            </w:pPr>
            <w:r>
              <w:rPr>
                <w:color w:val="auto"/>
                <w:highlight w:val="none"/>
              </w:rPr>
              <w:t>本项目建成后加强环境风险管控，制定应急预案，可加强与相邻省、市的环境风险联防联控。</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restart"/>
            <w:tcBorders>
              <w:tl2br w:val="nil"/>
              <w:tr2bl w:val="nil"/>
            </w:tcBorders>
            <w:vAlign w:val="center"/>
          </w:tcPr>
          <w:p>
            <w:pPr>
              <w:pStyle w:val="28"/>
              <w:widowControl w:val="0"/>
              <w:rPr>
                <w:color w:val="auto"/>
                <w:highlight w:val="none"/>
              </w:rPr>
            </w:pPr>
            <w:r>
              <w:rPr>
                <w:rFonts w:hint="eastAsia"/>
                <w:color w:val="auto"/>
                <w:highlight w:val="none"/>
              </w:rPr>
              <w:t>平昌县</w:t>
            </w:r>
          </w:p>
        </w:tc>
        <w:tc>
          <w:tcPr>
            <w:tcW w:w="3876" w:type="dxa"/>
            <w:tcBorders>
              <w:tl2br w:val="nil"/>
              <w:tr2bl w:val="nil"/>
            </w:tcBorders>
            <w:vAlign w:val="center"/>
          </w:tcPr>
          <w:p>
            <w:pPr>
              <w:pStyle w:val="28"/>
              <w:widowControl w:val="0"/>
              <w:jc w:val="left"/>
              <w:rPr>
                <w:color w:val="auto"/>
                <w:highlight w:val="none"/>
              </w:rPr>
            </w:pPr>
            <w:r>
              <w:rPr>
                <w:color w:val="auto"/>
                <w:highlight w:val="none"/>
              </w:rPr>
              <w:t>统筹生态环境保护与经济社会发展的关系，落实农产品主产区的功能定位要求</w:t>
            </w:r>
          </w:p>
        </w:tc>
        <w:tc>
          <w:tcPr>
            <w:tcW w:w="3663" w:type="dxa"/>
            <w:tcBorders>
              <w:tl2br w:val="nil"/>
              <w:tr2bl w:val="nil"/>
            </w:tcBorders>
            <w:vAlign w:val="center"/>
          </w:tcPr>
          <w:p>
            <w:pPr>
              <w:pStyle w:val="28"/>
              <w:widowControl w:val="0"/>
              <w:rPr>
                <w:color w:val="auto"/>
                <w:highlight w:val="none"/>
              </w:rPr>
            </w:pPr>
            <w:r>
              <w:rPr>
                <w:rFonts w:hint="eastAsia"/>
                <w:color w:val="auto"/>
                <w:highlight w:val="none"/>
              </w:rPr>
              <w:t>本项目为牲畜屠宰项目，</w:t>
            </w:r>
            <w:r>
              <w:rPr>
                <w:rStyle w:val="25"/>
                <w:rFonts w:hint="eastAsia"/>
                <w:color w:val="auto"/>
                <w:highlight w:val="none"/>
                <w:lang w:val="en-US" w:eastAsia="zh-CN"/>
              </w:rPr>
              <w:t>本项目区域设有生猪养殖场</w:t>
            </w:r>
            <w:r>
              <w:rPr>
                <w:rFonts w:hint="eastAsia"/>
                <w:color w:val="auto"/>
                <w:highlight w:val="none"/>
              </w:rPr>
              <w:t>，</w:t>
            </w:r>
            <w:r>
              <w:rPr>
                <w:rFonts w:hint="eastAsia"/>
                <w:color w:val="auto"/>
                <w:highlight w:val="none"/>
                <w:lang w:val="en-US" w:eastAsia="zh-CN"/>
              </w:rPr>
              <w:t>本项目可进行配套建设，</w:t>
            </w:r>
            <w:r>
              <w:rPr>
                <w:rFonts w:hint="eastAsia"/>
                <w:color w:val="auto"/>
                <w:highlight w:val="none"/>
              </w:rPr>
              <w:t>项目建成后能有效带动当地经济发展</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持续推进流域水生态环境修复与治理，更加注重城乡生态环境保护基础设施建设与管理</w:t>
            </w:r>
          </w:p>
        </w:tc>
        <w:tc>
          <w:tcPr>
            <w:tcW w:w="3663" w:type="dxa"/>
            <w:tcBorders>
              <w:tl2br w:val="nil"/>
              <w:tr2bl w:val="nil"/>
            </w:tcBorders>
            <w:vAlign w:val="center"/>
          </w:tcPr>
          <w:p>
            <w:pPr>
              <w:pStyle w:val="28"/>
              <w:widowControl w:val="0"/>
              <w:rPr>
                <w:color w:val="auto"/>
                <w:highlight w:val="none"/>
              </w:rPr>
            </w:pPr>
            <w:r>
              <w:rPr>
                <w:rFonts w:hint="eastAsia"/>
                <w:color w:val="auto"/>
                <w:highlight w:val="none"/>
              </w:rPr>
              <w:t>不涉及</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注重生态种养业发展，减少农药、农膜、化肥使用量，更加强化畜禽粪污综合利用</w:t>
            </w:r>
          </w:p>
        </w:tc>
        <w:tc>
          <w:tcPr>
            <w:tcW w:w="3663" w:type="dxa"/>
            <w:tcBorders>
              <w:tl2br w:val="nil"/>
              <w:tr2bl w:val="nil"/>
            </w:tcBorders>
            <w:vAlign w:val="center"/>
          </w:tcPr>
          <w:p>
            <w:pPr>
              <w:pStyle w:val="28"/>
              <w:widowControl w:val="0"/>
              <w:rPr>
                <w:color w:val="auto"/>
                <w:highlight w:val="none"/>
              </w:rPr>
            </w:pPr>
            <w:r>
              <w:rPr>
                <w:rFonts w:hint="eastAsia"/>
                <w:color w:val="auto"/>
                <w:highlight w:val="none"/>
              </w:rPr>
              <w:t>本项目牲畜静养产生的粪污均交由有机肥制造厂商综合利用</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严格环境准入条件，加强工业企业污染防治</w:t>
            </w:r>
          </w:p>
        </w:tc>
        <w:tc>
          <w:tcPr>
            <w:tcW w:w="3663" w:type="dxa"/>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综合污水通过自建污水处理站处理后排入元坨社区市政污水管网，通过市政污水管网汇入响滩镇污水处理厂处理</w:t>
            </w:r>
            <w:r>
              <w:rPr>
                <w:color w:val="auto"/>
                <w:highlight w:val="none"/>
              </w:rPr>
              <w:t>；</w:t>
            </w:r>
            <w:r>
              <w:rPr>
                <w:rFonts w:hint="eastAsia"/>
                <w:color w:val="auto"/>
                <w:highlight w:val="none"/>
              </w:rPr>
              <w:t>恶臭经生物喷淋+UV光解</w:t>
            </w:r>
            <w:r>
              <w:rPr>
                <w:color w:val="auto"/>
                <w:highlight w:val="none"/>
              </w:rPr>
              <w:t>处理后有组织排放；</w:t>
            </w:r>
            <w:r>
              <w:rPr>
                <w:rFonts w:hint="eastAsia"/>
                <w:color w:val="auto"/>
                <w:highlight w:val="none"/>
              </w:rPr>
              <w:t>厂区各构筑物</w:t>
            </w:r>
            <w:r>
              <w:rPr>
                <w:color w:val="auto"/>
                <w:highlight w:val="none"/>
              </w:rPr>
              <w:t>做好分区防渗后能避免污染土壤。</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6" w:type="dxa"/>
            <w:vMerge w:val="continue"/>
            <w:tcBorders>
              <w:tl2br w:val="nil"/>
              <w:tr2bl w:val="nil"/>
            </w:tcBorders>
            <w:vAlign w:val="center"/>
          </w:tcPr>
          <w:p>
            <w:pPr>
              <w:pStyle w:val="28"/>
              <w:widowControl w:val="0"/>
              <w:rPr>
                <w:color w:val="auto"/>
                <w:highlight w:val="none"/>
              </w:rPr>
            </w:pPr>
          </w:p>
        </w:tc>
        <w:tc>
          <w:tcPr>
            <w:tcW w:w="3876" w:type="dxa"/>
            <w:tcBorders>
              <w:tl2br w:val="nil"/>
              <w:tr2bl w:val="nil"/>
            </w:tcBorders>
            <w:vAlign w:val="center"/>
          </w:tcPr>
          <w:p>
            <w:pPr>
              <w:pStyle w:val="28"/>
              <w:widowControl w:val="0"/>
              <w:jc w:val="left"/>
              <w:rPr>
                <w:color w:val="auto"/>
                <w:highlight w:val="none"/>
              </w:rPr>
            </w:pPr>
            <w:r>
              <w:rPr>
                <w:color w:val="auto"/>
                <w:highlight w:val="none"/>
              </w:rPr>
              <w:t>鼓励发展绿色农产品园区建设</w:t>
            </w:r>
          </w:p>
        </w:tc>
        <w:tc>
          <w:tcPr>
            <w:tcW w:w="3663" w:type="dxa"/>
            <w:tcBorders>
              <w:tl2br w:val="nil"/>
              <w:tr2bl w:val="nil"/>
            </w:tcBorders>
            <w:vAlign w:val="center"/>
          </w:tcPr>
          <w:p>
            <w:pPr>
              <w:pStyle w:val="28"/>
              <w:widowControl w:val="0"/>
              <w:rPr>
                <w:color w:val="auto"/>
                <w:highlight w:val="none"/>
              </w:rPr>
            </w:pPr>
            <w:r>
              <w:rPr>
                <w:rFonts w:hint="eastAsia"/>
                <w:color w:val="auto"/>
                <w:highlight w:val="none"/>
              </w:rPr>
              <w:t>不涉及</w:t>
            </w:r>
          </w:p>
        </w:tc>
        <w:tc>
          <w:tcPr>
            <w:tcW w:w="1057" w:type="dxa"/>
            <w:tcBorders>
              <w:tl2br w:val="nil"/>
              <w:tr2bl w:val="nil"/>
            </w:tcBorders>
            <w:vAlign w:val="center"/>
          </w:tcPr>
          <w:p>
            <w:pPr>
              <w:pStyle w:val="28"/>
              <w:widowControl w:val="0"/>
              <w:rPr>
                <w:color w:val="auto"/>
                <w:highlight w:val="none"/>
              </w:rPr>
            </w:pPr>
            <w:r>
              <w:rPr>
                <w:color w:val="auto"/>
                <w:highlight w:val="none"/>
              </w:rPr>
              <w:t>符合</w:t>
            </w:r>
          </w:p>
        </w:tc>
      </w:tr>
    </w:tbl>
    <w:p>
      <w:pPr>
        <w:widowControl w:val="0"/>
        <w:ind w:firstLine="464"/>
        <w:rPr>
          <w:color w:val="auto"/>
          <w:highlight w:val="none"/>
        </w:rPr>
      </w:pPr>
      <w:r>
        <w:rPr>
          <w:color w:val="auto"/>
          <w:spacing w:val="-4"/>
          <w:szCs w:val="36"/>
          <w:highlight w:val="none"/>
        </w:rPr>
        <w:t>综上，本项目符合《巴中市人民政府关于实施“三线一单”生态环境分区管控的通知》（巴府发</w:t>
      </w:r>
      <w:r>
        <w:rPr>
          <w:rFonts w:hint="eastAsia"/>
          <w:color w:val="auto"/>
          <w:spacing w:val="-4"/>
          <w:szCs w:val="36"/>
          <w:highlight w:val="none"/>
        </w:rPr>
        <w:t>[</w:t>
      </w:r>
      <w:r>
        <w:rPr>
          <w:color w:val="auto"/>
          <w:spacing w:val="-4"/>
          <w:szCs w:val="36"/>
          <w:highlight w:val="none"/>
        </w:rPr>
        <w:t>2021</w:t>
      </w:r>
      <w:r>
        <w:rPr>
          <w:rFonts w:hint="eastAsia"/>
          <w:color w:val="auto"/>
          <w:spacing w:val="-4"/>
          <w:szCs w:val="36"/>
          <w:highlight w:val="none"/>
        </w:rPr>
        <w:t>]</w:t>
      </w:r>
      <w:r>
        <w:rPr>
          <w:color w:val="auto"/>
          <w:spacing w:val="-4"/>
          <w:szCs w:val="36"/>
          <w:highlight w:val="none"/>
        </w:rPr>
        <w:t>5号）中总体生态环境管控要求。</w:t>
      </w:r>
    </w:p>
    <w:p>
      <w:pPr>
        <w:pStyle w:val="5"/>
        <w:widowControl w:val="0"/>
        <w:ind w:firstLine="120"/>
        <w:rPr>
          <w:color w:val="auto"/>
          <w:highlight w:val="none"/>
        </w:rPr>
      </w:pPr>
      <w:r>
        <w:rPr>
          <w:color w:val="auto"/>
          <w:highlight w:val="none"/>
        </w:rPr>
        <w:t>与环境管控单元管控要求符合性分析</w:t>
      </w:r>
    </w:p>
    <w:p>
      <w:pPr>
        <w:widowControl w:val="0"/>
        <w:ind w:firstLine="480"/>
        <w:rPr>
          <w:color w:val="auto"/>
          <w:highlight w:val="none"/>
        </w:rPr>
      </w:pPr>
      <w:r>
        <w:rPr>
          <w:color w:val="auto"/>
          <w:highlight w:val="none"/>
        </w:rPr>
        <w:t>巴中市全市行政区域从生态环境保护角度划分为优先保护、重点管控和一般管控三类环境管控单元。根据《巴中市人民政府关于实施“三线一单”生态环境分区管控的通知》（巴府发</w:t>
      </w:r>
      <w:r>
        <w:rPr>
          <w:rFonts w:hint="eastAsia"/>
          <w:color w:val="auto"/>
          <w:highlight w:val="none"/>
        </w:rPr>
        <w:t>[</w:t>
      </w:r>
      <w:r>
        <w:rPr>
          <w:color w:val="auto"/>
          <w:highlight w:val="none"/>
        </w:rPr>
        <w:t>2021</w:t>
      </w:r>
      <w:r>
        <w:rPr>
          <w:rFonts w:hint="eastAsia"/>
          <w:color w:val="auto"/>
          <w:highlight w:val="none"/>
        </w:rPr>
        <w:t>]</w:t>
      </w:r>
      <w:r>
        <w:rPr>
          <w:color w:val="auto"/>
          <w:highlight w:val="none"/>
        </w:rPr>
        <w:t>5号）。</w:t>
      </w:r>
    </w:p>
    <w:p>
      <w:pPr>
        <w:pStyle w:val="28"/>
        <w:widowControl w:val="0"/>
        <w:rPr>
          <w:color w:val="auto"/>
          <w:highlight w:val="none"/>
        </w:rPr>
      </w:pP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2073275</wp:posOffset>
                </wp:positionH>
                <wp:positionV relativeFrom="paragraph">
                  <wp:posOffset>1537335</wp:posOffset>
                </wp:positionV>
                <wp:extent cx="914400" cy="382905"/>
                <wp:effectExtent l="368300" t="6350" r="12700" b="391795"/>
                <wp:wrapNone/>
                <wp:docPr id="36" name="矩形标注 36"/>
                <wp:cNvGraphicFramePr/>
                <a:graphic xmlns:a="http://schemas.openxmlformats.org/drawingml/2006/main">
                  <a:graphicData uri="http://schemas.microsoft.com/office/word/2010/wordprocessingShape">
                    <wps:wsp>
                      <wps:cNvSpPr/>
                      <wps:spPr>
                        <a:xfrm>
                          <a:off x="2973070" y="2223135"/>
                          <a:ext cx="914400" cy="382905"/>
                        </a:xfrm>
                        <a:prstGeom prst="wedgeRectCallout">
                          <a:avLst>
                            <a:gd name="adj1" fmla="val -85416"/>
                            <a:gd name="adj2" fmla="val 14187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cente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3.25pt;margin-top:121.05pt;height:30.15pt;width:72pt;z-index:251675648;v-text-anchor:middle;mso-width-relative:page;mso-height-relative:page;" filled="f" stroked="t" coordsize="21600,21600" o:gfxdata="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Pcdba2QAAAAsBAAAPAAAAAAAAAAEAIAAA&#10;ACIAAABkcnMvZG93bnJldi54bWxQSwECFAAUAAAACACHTuJAL2lEErYCAABIBQAADgAAAAAAAAAB&#10;ACAAAAAoAQAAZHJzL2Uyb0RvYy54bWxQSwUGAAAAAAYABgBZAQAAUAYAAAAA&#10;" adj="-7650,41445">
                <v:fill on="f" focussize="0,0"/>
                <v:stroke weight="1pt" color="#FF0000 [3204]" miterlimit="8" joinstyle="miter"/>
                <v:imagedata o:title=""/>
                <o:lock v:ext="edit" aspectratio="f"/>
                <v:textbox>
                  <w:txbxContent>
                    <w:p>
                      <w:pPr>
                        <w:ind w:firstLine="0" w:firstLineChars="0"/>
                        <w:jc w:val="cente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1597025</wp:posOffset>
                </wp:positionH>
                <wp:positionV relativeFrom="paragraph">
                  <wp:posOffset>2232660</wp:posOffset>
                </wp:positionV>
                <wp:extent cx="180975" cy="180975"/>
                <wp:effectExtent l="6350" t="6350" r="22225" b="22225"/>
                <wp:wrapNone/>
                <wp:docPr id="24" name="流程图: 联系 24"/>
                <wp:cNvGraphicFramePr/>
                <a:graphic xmlns:a="http://schemas.openxmlformats.org/drawingml/2006/main">
                  <a:graphicData uri="http://schemas.microsoft.com/office/word/2010/wordprocessingShape">
                    <wps:wsp>
                      <wps:cNvSpPr/>
                      <wps:spPr>
                        <a:xfrm>
                          <a:off x="2496820" y="3147060"/>
                          <a:ext cx="180975" cy="1809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25.75pt;margin-top:175.8pt;height:14.25pt;width:14.25pt;z-index:251674624;v-text-anchor:middle;mso-width-relative:page;mso-height-relative:page;" fillcolor="#FF0000" filled="t" stroked="t" coordsize="21600,21600" o:gfxdata="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mo6eX&#10;2wAAAAsBAAAPAAAAAAAAAAEAIAAAACIAAABkcnMvZG93bnJldi54bWxQSwECFAAUAAAACACHTuJA&#10;vsAwRpACAAAaBQAADgAAAAAAAAABACAAAAAqAQAAZHJzL2Uyb0RvYy54bWxQSwUGAAAAAAYABgBZ&#10;AQAALAYAAAAA&#10;">
                <v:fill on="t" focussize="0,0"/>
                <v:stroke weight="1pt" color="#FF0000 [3204]" miterlimit="8" joinstyle="miter"/>
                <v:imagedata o:title=""/>
                <o:lock v:ext="edit" aspectratio="f"/>
              </v:shape>
            </w:pict>
          </mc:Fallback>
        </mc:AlternateContent>
      </w:r>
      <w:r>
        <w:rPr>
          <w:color w:val="auto"/>
          <w:highlight w:val="none"/>
        </w:rPr>
        <w:drawing>
          <wp:inline distT="0" distB="0" distL="114300" distR="114300">
            <wp:extent cx="5996305" cy="3598545"/>
            <wp:effectExtent l="0" t="0" r="4445" b="190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5996305" cy="3598545"/>
                    </a:xfrm>
                    <a:prstGeom prst="rect">
                      <a:avLst/>
                    </a:prstGeom>
                    <a:noFill/>
                    <a:ln>
                      <a:noFill/>
                    </a:ln>
                  </pic:spPr>
                </pic:pic>
              </a:graphicData>
            </a:graphic>
          </wp:inline>
        </w:drawing>
      </w:r>
    </w:p>
    <w:p>
      <w:pPr>
        <w:pStyle w:val="32"/>
        <w:widowControl w:val="0"/>
        <w:ind w:firstLine="422"/>
        <w:rPr>
          <w:rFonts w:hint="default"/>
          <w:color w:val="auto"/>
          <w:highlight w:val="none"/>
        </w:rPr>
      </w:pPr>
      <w:r>
        <w:rPr>
          <w:color w:val="auto"/>
          <w:highlight w:val="none"/>
        </w:rPr>
        <w:t>图1.9-2  巴中市环境管控单元分布图</w:t>
      </w:r>
    </w:p>
    <w:p>
      <w:pPr>
        <w:widowControl w:val="0"/>
        <w:ind w:firstLine="480"/>
        <w:rPr>
          <w:color w:val="auto"/>
          <w:highlight w:val="none"/>
        </w:rPr>
      </w:pPr>
      <w:r>
        <w:rPr>
          <w:rFonts w:hint="eastAsia"/>
          <w:color w:val="auto"/>
          <w:highlight w:val="none"/>
        </w:rPr>
        <w:t>根据四川省“三线一单”数据分析系统，本项目所在环境管控单元名称为：一般管控单元，</w:t>
      </w:r>
      <w:r>
        <w:rPr>
          <w:color w:val="auto"/>
          <w:highlight w:val="none"/>
        </w:rPr>
        <w:t>编码为ZH51192330001，管控类型为</w:t>
      </w:r>
      <w:r>
        <w:rPr>
          <w:rFonts w:hint="eastAsia"/>
          <w:color w:val="auto"/>
          <w:highlight w:val="none"/>
        </w:rPr>
        <w:t>一般管控单元</w:t>
      </w:r>
      <w:r>
        <w:rPr>
          <w:color w:val="auto"/>
          <w:highlight w:val="none"/>
        </w:rPr>
        <w:t>。具体结果见下图所示。</w:t>
      </w:r>
    </w:p>
    <w:p>
      <w:pPr>
        <w:pStyle w:val="28"/>
        <w:widowControl w:val="0"/>
        <w:rPr>
          <w:color w:val="auto"/>
          <w:highlight w:val="none"/>
        </w:rPr>
      </w:pPr>
      <w:r>
        <w:rPr>
          <w:rFonts w:hint="eastAsia"/>
          <w:color w:val="auto"/>
          <w:highlight w:val="none"/>
        </w:rPr>
        <w:drawing>
          <wp:inline distT="0" distB="0" distL="114300" distR="114300">
            <wp:extent cx="5942330" cy="4190365"/>
            <wp:effectExtent l="0" t="0" r="1270" b="635"/>
            <wp:docPr id="34" name="图片 34" descr="http___103.203.219.138_8083_sxyd_fileserver_sanxianyidanfuhefenxitupian20220628100809857.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___103.203.219.138_8083_sxyd_fileserver_sanxianyidanfuhefenxitupian20220628100809857.doc"/>
                    <pic:cNvPicPr>
                      <a:picLocks noChangeAspect="1"/>
                    </pic:cNvPicPr>
                  </pic:nvPicPr>
                  <pic:blipFill>
                    <a:blip r:embed="rId16"/>
                    <a:stretch>
                      <a:fillRect/>
                    </a:stretch>
                  </pic:blipFill>
                  <pic:spPr>
                    <a:xfrm>
                      <a:off x="0" y="0"/>
                      <a:ext cx="5942330" cy="4190365"/>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图1.9-3  三线一单查询结果截图</w:t>
      </w:r>
    </w:p>
    <w:p>
      <w:pPr>
        <w:pStyle w:val="27"/>
        <w:widowControl w:val="0"/>
        <w:rPr>
          <w:color w:val="auto"/>
          <w:highlight w:val="none"/>
        </w:rPr>
      </w:pPr>
      <w:r>
        <w:rPr>
          <w:rFonts w:hint="eastAsia"/>
          <w:color w:val="auto"/>
          <w:highlight w:val="none"/>
        </w:rPr>
        <w:t>与生态环境管控要求符合性分析</w:t>
      </w:r>
    </w:p>
    <w:tbl>
      <w:tblPr>
        <w:tblStyle w:val="34"/>
        <w:tblW w:w="500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027"/>
        <w:gridCol w:w="2630"/>
        <w:gridCol w:w="4917"/>
        <w:gridCol w:w="105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7" w:type="dxa"/>
            <w:tcBorders>
              <w:tl2br w:val="nil"/>
              <w:tr2bl w:val="nil"/>
            </w:tcBorders>
            <w:vAlign w:val="center"/>
          </w:tcPr>
          <w:p>
            <w:pPr>
              <w:pStyle w:val="28"/>
              <w:widowControl w:val="0"/>
              <w:rPr>
                <w:b/>
                <w:bCs/>
                <w:color w:val="auto"/>
                <w:highlight w:val="none"/>
              </w:rPr>
            </w:pPr>
            <w:r>
              <w:rPr>
                <w:b/>
                <w:bCs/>
                <w:color w:val="auto"/>
                <w:highlight w:val="none"/>
              </w:rPr>
              <w:t>类型</w:t>
            </w:r>
          </w:p>
        </w:tc>
        <w:tc>
          <w:tcPr>
            <w:tcW w:w="2630" w:type="dxa"/>
            <w:tcBorders>
              <w:tl2br w:val="nil"/>
              <w:tr2bl w:val="nil"/>
            </w:tcBorders>
            <w:vAlign w:val="center"/>
          </w:tcPr>
          <w:p>
            <w:pPr>
              <w:pStyle w:val="28"/>
              <w:widowControl w:val="0"/>
              <w:rPr>
                <w:b/>
                <w:bCs/>
                <w:color w:val="auto"/>
                <w:highlight w:val="none"/>
              </w:rPr>
            </w:pPr>
            <w:r>
              <w:rPr>
                <w:b/>
                <w:bCs/>
                <w:color w:val="auto"/>
                <w:highlight w:val="none"/>
              </w:rPr>
              <w:t>生态环境管控要求</w:t>
            </w:r>
          </w:p>
        </w:tc>
        <w:tc>
          <w:tcPr>
            <w:tcW w:w="4917" w:type="dxa"/>
            <w:tcBorders>
              <w:tl2br w:val="nil"/>
              <w:tr2bl w:val="nil"/>
            </w:tcBorders>
            <w:vAlign w:val="center"/>
          </w:tcPr>
          <w:p>
            <w:pPr>
              <w:pStyle w:val="28"/>
              <w:widowControl w:val="0"/>
              <w:rPr>
                <w:b/>
                <w:bCs/>
                <w:color w:val="auto"/>
                <w:highlight w:val="none"/>
              </w:rPr>
            </w:pPr>
            <w:r>
              <w:rPr>
                <w:b/>
                <w:bCs/>
                <w:color w:val="auto"/>
                <w:highlight w:val="none"/>
              </w:rPr>
              <w:t>本项目实际情况</w:t>
            </w:r>
          </w:p>
        </w:tc>
        <w:tc>
          <w:tcPr>
            <w:tcW w:w="1058" w:type="dxa"/>
            <w:tcBorders>
              <w:tl2br w:val="nil"/>
              <w:tr2bl w:val="nil"/>
            </w:tcBorders>
            <w:vAlign w:val="center"/>
          </w:tcPr>
          <w:p>
            <w:pPr>
              <w:pStyle w:val="28"/>
              <w:widowControl w:val="0"/>
              <w:rPr>
                <w:b/>
                <w:bCs/>
                <w:color w:val="auto"/>
                <w:highlight w:val="none"/>
              </w:rPr>
            </w:pPr>
            <w:r>
              <w:rPr>
                <w:b/>
                <w:bCs/>
                <w:color w:val="auto"/>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027" w:type="dxa"/>
            <w:tcBorders>
              <w:tl2br w:val="nil"/>
              <w:tr2bl w:val="nil"/>
            </w:tcBorders>
            <w:vAlign w:val="center"/>
          </w:tcPr>
          <w:p>
            <w:pPr>
              <w:pStyle w:val="28"/>
              <w:widowControl w:val="0"/>
              <w:rPr>
                <w:color w:val="auto"/>
                <w:highlight w:val="none"/>
              </w:rPr>
            </w:pPr>
            <w:r>
              <w:rPr>
                <w:rFonts w:hint="eastAsia"/>
                <w:color w:val="auto"/>
                <w:highlight w:val="none"/>
              </w:rPr>
              <w:t>一般管控单元</w:t>
            </w:r>
          </w:p>
        </w:tc>
        <w:tc>
          <w:tcPr>
            <w:tcW w:w="2630" w:type="dxa"/>
            <w:tcBorders>
              <w:tl2br w:val="nil"/>
              <w:tr2bl w:val="nil"/>
            </w:tcBorders>
            <w:vAlign w:val="center"/>
          </w:tcPr>
          <w:p>
            <w:pPr>
              <w:pStyle w:val="28"/>
              <w:widowControl w:val="0"/>
              <w:rPr>
                <w:color w:val="auto"/>
                <w:highlight w:val="none"/>
              </w:rPr>
            </w:pPr>
            <w:r>
              <w:rPr>
                <w:color w:val="auto"/>
                <w:highlight w:val="none"/>
              </w:rPr>
              <w:t>一般管控单元中，执行区域生态环境保护的基本要求，重点加强农业、生活等领域污染治理。</w:t>
            </w:r>
          </w:p>
        </w:tc>
        <w:tc>
          <w:tcPr>
            <w:tcW w:w="4917" w:type="dxa"/>
            <w:tcBorders>
              <w:tl2br w:val="nil"/>
              <w:tr2bl w:val="nil"/>
            </w:tcBorders>
            <w:vAlign w:val="center"/>
          </w:tcPr>
          <w:p>
            <w:pPr>
              <w:pStyle w:val="28"/>
              <w:widowControl w:val="0"/>
              <w:rPr>
                <w:color w:val="auto"/>
                <w:highlight w:val="none"/>
              </w:rPr>
            </w:pPr>
            <w:r>
              <w:rPr>
                <w:color w:val="auto"/>
                <w:highlight w:val="none"/>
              </w:rPr>
              <w:t>本项目位于环境质量达标区，本项目</w:t>
            </w:r>
            <w:r>
              <w:rPr>
                <w:rFonts w:hint="eastAsia"/>
                <w:color w:val="auto"/>
                <w:highlight w:val="none"/>
              </w:rPr>
              <w:t>综合污水通过自建污水处理站处理后排入元坨社区市政污水管网，通过市政污水管网汇入响滩镇污水处理厂处理</w:t>
            </w:r>
            <w:r>
              <w:rPr>
                <w:color w:val="auto"/>
                <w:highlight w:val="none"/>
              </w:rPr>
              <w:t>；</w:t>
            </w:r>
            <w:r>
              <w:rPr>
                <w:rFonts w:hint="eastAsia"/>
                <w:color w:val="auto"/>
                <w:highlight w:val="none"/>
              </w:rPr>
              <w:t>恶臭经生物喷淋+UV光解</w:t>
            </w:r>
            <w:r>
              <w:rPr>
                <w:color w:val="auto"/>
                <w:highlight w:val="none"/>
              </w:rPr>
              <w:t>处理后有组织排放；</w:t>
            </w:r>
            <w:r>
              <w:rPr>
                <w:rFonts w:hint="eastAsia"/>
                <w:color w:val="auto"/>
                <w:highlight w:val="none"/>
              </w:rPr>
              <w:t>厂区各构筑物</w:t>
            </w:r>
            <w:r>
              <w:rPr>
                <w:color w:val="auto"/>
                <w:highlight w:val="none"/>
              </w:rPr>
              <w:t>做好分区防渗后能避免污染土壤。</w:t>
            </w:r>
          </w:p>
        </w:tc>
        <w:tc>
          <w:tcPr>
            <w:tcW w:w="1058" w:type="dxa"/>
            <w:tcBorders>
              <w:tl2br w:val="nil"/>
              <w:tr2bl w:val="nil"/>
            </w:tcBorders>
            <w:vAlign w:val="center"/>
          </w:tcPr>
          <w:p>
            <w:pPr>
              <w:pStyle w:val="28"/>
              <w:widowControl w:val="0"/>
              <w:rPr>
                <w:color w:val="auto"/>
                <w:highlight w:val="none"/>
              </w:rPr>
            </w:pPr>
            <w:r>
              <w:rPr>
                <w:color w:val="auto"/>
                <w:highlight w:val="none"/>
              </w:rPr>
              <w:t>符合</w:t>
            </w:r>
          </w:p>
        </w:tc>
      </w:tr>
    </w:tbl>
    <w:p>
      <w:pPr>
        <w:pStyle w:val="15"/>
        <w:widowControl w:val="0"/>
        <w:ind w:firstLine="464"/>
        <w:rPr>
          <w:color w:val="auto"/>
          <w:highlight w:val="none"/>
        </w:rPr>
      </w:pPr>
      <w:r>
        <w:rPr>
          <w:rFonts w:ascii="Times New Roman" w:hAnsi="Times New Roman"/>
          <w:color w:val="auto"/>
          <w:spacing w:val="-4"/>
          <w:szCs w:val="36"/>
          <w:highlight w:val="none"/>
        </w:rPr>
        <w:t>综上，本项目符合《巴中市人民政府关于实施“三线一单”生态环境分区管控的通知》（巴府发</w:t>
      </w:r>
      <w:r>
        <w:rPr>
          <w:rFonts w:hint="eastAsia" w:ascii="Times New Roman" w:hAnsi="Times New Roman"/>
          <w:color w:val="auto"/>
          <w:spacing w:val="-4"/>
          <w:szCs w:val="36"/>
          <w:highlight w:val="none"/>
        </w:rPr>
        <w:t>[</w:t>
      </w:r>
      <w:r>
        <w:rPr>
          <w:rFonts w:ascii="Times New Roman" w:hAnsi="Times New Roman"/>
          <w:color w:val="auto"/>
          <w:spacing w:val="-4"/>
          <w:szCs w:val="36"/>
          <w:highlight w:val="none"/>
        </w:rPr>
        <w:t>2021</w:t>
      </w:r>
      <w:r>
        <w:rPr>
          <w:rFonts w:hint="eastAsia" w:ascii="Times New Roman" w:hAnsi="Times New Roman"/>
          <w:color w:val="auto"/>
          <w:spacing w:val="-4"/>
          <w:szCs w:val="36"/>
          <w:highlight w:val="none"/>
        </w:rPr>
        <w:t>]</w:t>
      </w:r>
      <w:r>
        <w:rPr>
          <w:rFonts w:ascii="Times New Roman" w:hAnsi="Times New Roman"/>
          <w:color w:val="auto"/>
          <w:spacing w:val="-4"/>
          <w:szCs w:val="36"/>
          <w:highlight w:val="none"/>
        </w:rPr>
        <w:t>5号）中环境管控单元管控要求</w:t>
      </w:r>
    </w:p>
    <w:p>
      <w:pPr>
        <w:pStyle w:val="5"/>
        <w:widowControl w:val="0"/>
        <w:ind w:firstLine="120"/>
        <w:rPr>
          <w:color w:val="auto"/>
          <w:highlight w:val="none"/>
        </w:rPr>
      </w:pPr>
      <w:r>
        <w:rPr>
          <w:color w:val="auto"/>
          <w:highlight w:val="none"/>
        </w:rPr>
        <w:t>与生态环境准入清单符合性分析</w:t>
      </w:r>
    </w:p>
    <w:p>
      <w:pPr>
        <w:widowControl w:val="0"/>
        <w:ind w:firstLine="464"/>
        <w:rPr>
          <w:color w:val="auto"/>
          <w:spacing w:val="-4"/>
          <w:szCs w:val="36"/>
          <w:highlight w:val="none"/>
        </w:rPr>
      </w:pPr>
      <w:r>
        <w:rPr>
          <w:color w:val="auto"/>
          <w:spacing w:val="-4"/>
          <w:szCs w:val="36"/>
          <w:highlight w:val="none"/>
        </w:rPr>
        <w:t>本项目位于</w:t>
      </w:r>
      <w:r>
        <w:rPr>
          <w:rFonts w:hint="eastAsia"/>
          <w:color w:val="auto"/>
          <w:spacing w:val="-4"/>
          <w:szCs w:val="36"/>
          <w:highlight w:val="none"/>
        </w:rPr>
        <w:t>一般</w:t>
      </w:r>
      <w:r>
        <w:rPr>
          <w:color w:val="auto"/>
          <w:spacing w:val="-4"/>
          <w:szCs w:val="36"/>
          <w:highlight w:val="none"/>
        </w:rPr>
        <w:t>管控单元，本次评价分别从空间布局约束、污染物排放管控、环境风险防控、资源开发利用效率四个维度对本项目的符合性进行分析，其符合性分析情况如下。</w:t>
      </w:r>
    </w:p>
    <w:p>
      <w:pPr>
        <w:pStyle w:val="15"/>
        <w:widowControl w:val="0"/>
        <w:ind w:firstLine="464"/>
        <w:rPr>
          <w:rFonts w:ascii="Times New Roman" w:hAnsi="Times New Roman"/>
          <w:color w:val="auto"/>
          <w:spacing w:val="-4"/>
          <w:szCs w:val="36"/>
          <w:highlight w:val="none"/>
        </w:rPr>
      </w:pPr>
    </w:p>
    <w:p>
      <w:pPr>
        <w:pStyle w:val="15"/>
        <w:widowControl w:val="0"/>
        <w:ind w:firstLine="464"/>
        <w:rPr>
          <w:rFonts w:ascii="Times New Roman" w:hAnsi="Times New Roman"/>
          <w:color w:val="auto"/>
          <w:spacing w:val="-4"/>
          <w:szCs w:val="36"/>
          <w:highlight w:val="none"/>
        </w:rPr>
        <w:sectPr>
          <w:footerReference r:id="rId7" w:type="default"/>
          <w:pgSz w:w="12240" w:h="15840"/>
          <w:pgMar w:top="1440" w:right="1417" w:bottom="1440" w:left="1417" w:header="720" w:footer="720"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7"/>
        <w:widowControl w:val="0"/>
        <w:rPr>
          <w:color w:val="auto"/>
          <w:highlight w:val="none"/>
        </w:rPr>
      </w:pPr>
      <w:r>
        <w:rPr>
          <w:color w:val="auto"/>
          <w:highlight w:val="none"/>
        </w:rPr>
        <w:t>项目普适性与单元级清单管控要求符合性分析</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1"/>
        <w:gridCol w:w="699"/>
        <w:gridCol w:w="8407"/>
        <w:gridCol w:w="2016"/>
        <w:gridCol w:w="7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951"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w:t>
            </w:r>
            <w:r>
              <w:rPr>
                <w:b/>
                <w:bCs/>
                <w:color w:val="auto"/>
                <w:highlight w:val="none"/>
              </w:rPr>
              <w:t>三线一单</w:t>
            </w:r>
            <w:r>
              <w:rPr>
                <w:rFonts w:hint="eastAsia"/>
                <w:b/>
                <w:bCs/>
                <w:color w:val="auto"/>
                <w:highlight w:val="none"/>
              </w:rPr>
              <w:t>”</w:t>
            </w:r>
            <w:r>
              <w:rPr>
                <w:b/>
                <w:bCs/>
                <w:color w:val="auto"/>
                <w:highlight w:val="none"/>
              </w:rPr>
              <w:t>具体要求</w:t>
            </w:r>
          </w:p>
        </w:tc>
        <w:tc>
          <w:tcPr>
            <w:tcW w:w="765" w:type="pct"/>
            <w:vMerge w:val="restart"/>
            <w:tcBorders>
              <w:tl2br w:val="nil"/>
              <w:tr2bl w:val="nil"/>
            </w:tcBorders>
            <w:vAlign w:val="center"/>
          </w:tcPr>
          <w:p>
            <w:pPr>
              <w:pStyle w:val="28"/>
              <w:widowControl w:val="0"/>
              <w:rPr>
                <w:b/>
                <w:bCs/>
                <w:color w:val="auto"/>
                <w:highlight w:val="none"/>
              </w:rPr>
            </w:pPr>
            <w:r>
              <w:rPr>
                <w:b/>
                <w:bCs/>
                <w:color w:val="auto"/>
                <w:highlight w:val="none"/>
              </w:rPr>
              <w:t>本项目情况</w:t>
            </w:r>
          </w:p>
        </w:tc>
        <w:tc>
          <w:tcPr>
            <w:tcW w:w="282" w:type="pct"/>
            <w:vMerge w:val="restart"/>
            <w:tcBorders>
              <w:tl2br w:val="nil"/>
              <w:tr2bl w:val="nil"/>
            </w:tcBorders>
            <w:vAlign w:val="center"/>
          </w:tcPr>
          <w:p>
            <w:pPr>
              <w:pStyle w:val="28"/>
              <w:widowControl w:val="0"/>
              <w:rPr>
                <w:b/>
                <w:bCs/>
                <w:color w:val="auto"/>
                <w:highlight w:val="none"/>
              </w:rPr>
            </w:pPr>
            <w:r>
              <w:rPr>
                <w:b/>
                <w:bCs/>
                <w:color w:val="auto"/>
                <w:highlight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62" w:type="pct"/>
            <w:gridSpan w:val="2"/>
            <w:tcBorders>
              <w:tl2br w:val="nil"/>
              <w:tr2bl w:val="nil"/>
            </w:tcBorders>
            <w:vAlign w:val="center"/>
          </w:tcPr>
          <w:p>
            <w:pPr>
              <w:pStyle w:val="28"/>
              <w:widowControl w:val="0"/>
              <w:rPr>
                <w:b/>
                <w:bCs/>
                <w:color w:val="auto"/>
                <w:highlight w:val="none"/>
              </w:rPr>
            </w:pPr>
            <w:r>
              <w:rPr>
                <w:b/>
                <w:bCs/>
                <w:color w:val="auto"/>
                <w:highlight w:val="none"/>
              </w:rPr>
              <w:t>类别</w:t>
            </w:r>
          </w:p>
        </w:tc>
        <w:tc>
          <w:tcPr>
            <w:tcW w:w="3189" w:type="pct"/>
            <w:tcBorders>
              <w:tl2br w:val="nil"/>
              <w:tr2bl w:val="nil"/>
            </w:tcBorders>
            <w:vAlign w:val="center"/>
          </w:tcPr>
          <w:p>
            <w:pPr>
              <w:pStyle w:val="28"/>
              <w:widowControl w:val="0"/>
              <w:rPr>
                <w:b/>
                <w:bCs/>
                <w:color w:val="auto"/>
                <w:highlight w:val="none"/>
              </w:rPr>
            </w:pPr>
            <w:r>
              <w:rPr>
                <w:b/>
                <w:bCs/>
                <w:color w:val="auto"/>
                <w:highlight w:val="none"/>
              </w:rPr>
              <w:t>环境准入清单</w:t>
            </w:r>
          </w:p>
        </w:tc>
        <w:tc>
          <w:tcPr>
            <w:tcW w:w="765" w:type="pct"/>
            <w:vMerge w:val="continue"/>
            <w:tcBorders>
              <w:tl2br w:val="nil"/>
              <w:tr2bl w:val="nil"/>
            </w:tcBorders>
            <w:vAlign w:val="center"/>
          </w:tcPr>
          <w:p>
            <w:pPr>
              <w:pStyle w:val="28"/>
              <w:widowControl w:val="0"/>
              <w:rPr>
                <w:color w:val="auto"/>
                <w:highlight w:val="none"/>
              </w:rPr>
            </w:pPr>
          </w:p>
        </w:tc>
        <w:tc>
          <w:tcPr>
            <w:tcW w:w="282"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restart"/>
            <w:tcBorders>
              <w:tl2br w:val="nil"/>
              <w:tr2bl w:val="nil"/>
            </w:tcBorders>
            <w:vAlign w:val="center"/>
          </w:tcPr>
          <w:p>
            <w:pPr>
              <w:pStyle w:val="28"/>
              <w:widowControl w:val="0"/>
              <w:rPr>
                <w:color w:val="auto"/>
                <w:highlight w:val="none"/>
              </w:rPr>
            </w:pPr>
            <w:r>
              <w:rPr>
                <w:rFonts w:hint="eastAsia"/>
                <w:color w:val="auto"/>
                <w:highlight w:val="none"/>
              </w:rPr>
              <w:t>巴中市</w:t>
            </w:r>
            <w:r>
              <w:rPr>
                <w:color w:val="auto"/>
                <w:highlight w:val="none"/>
              </w:rPr>
              <w:t>普适性清单管控要求</w:t>
            </w:r>
          </w:p>
        </w:tc>
        <w:tc>
          <w:tcPr>
            <w:tcW w:w="265" w:type="pct"/>
            <w:tcBorders>
              <w:tl2br w:val="nil"/>
              <w:tr2bl w:val="nil"/>
            </w:tcBorders>
            <w:vAlign w:val="center"/>
          </w:tcPr>
          <w:p>
            <w:pPr>
              <w:pStyle w:val="28"/>
              <w:widowControl w:val="0"/>
              <w:rPr>
                <w:color w:val="auto"/>
                <w:highlight w:val="none"/>
              </w:rPr>
            </w:pPr>
            <w:r>
              <w:rPr>
                <w:color w:val="auto"/>
                <w:highlight w:val="none"/>
              </w:rPr>
              <w:t>空间布局约束</w:t>
            </w:r>
          </w:p>
        </w:tc>
        <w:tc>
          <w:tcPr>
            <w:tcW w:w="3189" w:type="pct"/>
            <w:tcBorders>
              <w:tl2br w:val="nil"/>
              <w:tr2bl w:val="nil"/>
            </w:tcBorders>
            <w:vAlign w:val="center"/>
          </w:tcPr>
          <w:p>
            <w:pPr>
              <w:pStyle w:val="28"/>
              <w:widowControl w:val="0"/>
              <w:jc w:val="left"/>
              <w:rPr>
                <w:b/>
                <w:bCs/>
                <w:color w:val="auto"/>
                <w:highlight w:val="none"/>
              </w:rPr>
            </w:pPr>
            <w:r>
              <w:rPr>
                <w:rFonts w:hint="eastAsia"/>
                <w:b/>
                <w:bCs/>
                <w:color w:val="auto"/>
                <w:highlight w:val="none"/>
              </w:rPr>
              <w:t>禁止开发建设活动的要求：</w:t>
            </w:r>
          </w:p>
          <w:p>
            <w:pPr>
              <w:pStyle w:val="28"/>
              <w:widowControl w:val="0"/>
              <w:jc w:val="left"/>
              <w:rPr>
                <w:color w:val="auto"/>
                <w:highlight w:val="none"/>
              </w:rPr>
            </w:pPr>
            <w:r>
              <w:rPr>
                <w:rFonts w:hint="eastAsia"/>
                <w:color w:val="auto"/>
                <w:highlight w:val="none"/>
              </w:rPr>
              <w:t>①禁止在长江干支流岸线一公里范围内新建、扩建化工园区和化工项目。</w:t>
            </w:r>
          </w:p>
          <w:p>
            <w:pPr>
              <w:pStyle w:val="28"/>
              <w:widowControl w:val="0"/>
              <w:jc w:val="left"/>
              <w:rPr>
                <w:color w:val="auto"/>
                <w:highlight w:val="none"/>
              </w:rPr>
            </w:pPr>
            <w:r>
              <w:rPr>
                <w:rFonts w:hint="eastAsia"/>
                <w:color w:val="auto"/>
                <w:highlight w:val="none"/>
              </w:rPr>
              <w:t>②禁止在法律法规规定的禁采区内开采矿产；禁止土法采、选、冶严重污染环境的矿产资源。</w:t>
            </w:r>
          </w:p>
          <w:p>
            <w:pPr>
              <w:pStyle w:val="28"/>
              <w:widowControl w:val="0"/>
              <w:jc w:val="left"/>
              <w:rPr>
                <w:color w:val="auto"/>
                <w:highlight w:val="none"/>
              </w:rPr>
            </w:pPr>
            <w:r>
              <w:rPr>
                <w:rFonts w:hint="eastAsia"/>
                <w:color w:val="auto"/>
                <w:highlight w:val="none"/>
              </w:rPr>
              <w:t>③禁止在长江流域河湖管理范围内倾倒、填埋、堆放、弃置、处理固体废物。</w:t>
            </w:r>
          </w:p>
          <w:p>
            <w:pPr>
              <w:pStyle w:val="28"/>
              <w:widowControl w:val="0"/>
              <w:jc w:val="left"/>
              <w:rPr>
                <w:color w:val="auto"/>
                <w:highlight w:val="none"/>
              </w:rPr>
            </w:pPr>
            <w:r>
              <w:rPr>
                <w:rFonts w:hint="eastAsia"/>
                <w:color w:val="auto"/>
                <w:highlight w:val="none"/>
              </w:rPr>
              <w:t>④对全部基本农田按禁止开发的要求进行管理。涉及基本农田的区域，除法律规定的重点建设项目选址确实无法避让外，其他任何建设不得占用。</w:t>
            </w:r>
          </w:p>
          <w:p>
            <w:pPr>
              <w:pStyle w:val="28"/>
              <w:widowControl w:val="0"/>
              <w:jc w:val="left"/>
              <w:rPr>
                <w:b/>
                <w:bCs/>
                <w:color w:val="auto"/>
                <w:highlight w:val="none"/>
              </w:rPr>
            </w:pPr>
            <w:r>
              <w:rPr>
                <w:rFonts w:hint="eastAsia"/>
                <w:b/>
                <w:bCs/>
                <w:color w:val="auto"/>
                <w:highlight w:val="none"/>
              </w:rPr>
              <w:t>限制开发建设活动的要求：</w:t>
            </w:r>
          </w:p>
          <w:p>
            <w:pPr>
              <w:pStyle w:val="28"/>
              <w:widowControl w:val="0"/>
              <w:jc w:val="left"/>
              <w:rPr>
                <w:color w:val="auto"/>
                <w:highlight w:val="none"/>
              </w:rPr>
            </w:pPr>
            <w:r>
              <w:rPr>
                <w:rFonts w:hint="eastAsia"/>
                <w:color w:val="auto"/>
                <w:highlight w:val="none"/>
              </w:rPr>
              <w:t>①一般生态空间中涉及法定保护地，严格按照国家及地方法律法规、管理办法等相关要求进行控制。配套旅游、基础设施等建设项目，在符合规划和相关保护要求的前提下，应实施生态避让、减缓影响及生态恢复措施。</w:t>
            </w:r>
          </w:p>
          <w:p>
            <w:pPr>
              <w:pStyle w:val="28"/>
              <w:widowControl w:val="0"/>
              <w:jc w:val="left"/>
              <w:rPr>
                <w:color w:val="auto"/>
                <w:highlight w:val="none"/>
              </w:rPr>
            </w:pPr>
            <w:r>
              <w:rPr>
                <w:rFonts w:hint="eastAsia"/>
                <w:color w:val="auto"/>
                <w:highlight w:val="none"/>
              </w:rPr>
              <w:t>②按照相关要求严控水泥新增产能。</w:t>
            </w:r>
          </w:p>
          <w:p>
            <w:pPr>
              <w:pStyle w:val="28"/>
              <w:widowControl w:val="0"/>
              <w:jc w:val="left"/>
              <w:rPr>
                <w:color w:val="auto"/>
                <w:highlight w:val="none"/>
              </w:rPr>
            </w:pPr>
            <w:r>
              <w:rPr>
                <w:rFonts w:hint="eastAsia"/>
                <w:color w:val="auto"/>
                <w:highlight w:val="none"/>
              </w:rPr>
              <w:t>③因地制宜地发展适宜产业，在不损害生态系统功能的前提下，适度发展旅游、农林牧产品生产和加工、生态农业、休闲农业等产业；单元内若新布局工业园区，应结合区域环境特点、三线成果、园区产业类别，充分论证选址的环境合理性。</w:t>
            </w:r>
          </w:p>
          <w:p>
            <w:pPr>
              <w:pStyle w:val="28"/>
              <w:widowControl w:val="0"/>
              <w:jc w:val="left"/>
              <w:rPr>
                <w:color w:val="auto"/>
                <w:highlight w:val="none"/>
              </w:rPr>
            </w:pPr>
            <w:r>
              <w:rPr>
                <w:rFonts w:hint="eastAsia"/>
                <w:color w:val="auto"/>
                <w:highlight w:val="none"/>
              </w:rPr>
              <w:t>④严格控制非农业建设占用农用地。</w:t>
            </w:r>
          </w:p>
          <w:p>
            <w:pPr>
              <w:pStyle w:val="28"/>
              <w:widowControl w:val="0"/>
              <w:jc w:val="left"/>
              <w:rPr>
                <w:b/>
                <w:bCs/>
                <w:color w:val="auto"/>
                <w:highlight w:val="none"/>
              </w:rPr>
            </w:pPr>
            <w:r>
              <w:rPr>
                <w:rFonts w:hint="eastAsia"/>
                <w:b/>
                <w:bCs/>
                <w:color w:val="auto"/>
                <w:highlight w:val="none"/>
              </w:rPr>
              <w:t>不符合空间布局要求活动的退出要求：</w:t>
            </w:r>
          </w:p>
          <w:p>
            <w:pPr>
              <w:pStyle w:val="28"/>
              <w:widowControl w:val="0"/>
              <w:jc w:val="left"/>
              <w:rPr>
                <w:color w:val="auto"/>
                <w:highlight w:val="none"/>
              </w:rPr>
            </w:pPr>
            <w:r>
              <w:rPr>
                <w:rFonts w:hint="eastAsia"/>
                <w:color w:val="auto"/>
                <w:highlight w:val="none"/>
              </w:rPr>
              <w:t>①全面取缔禁养区内规模化畜禽养殖场。</w:t>
            </w:r>
          </w:p>
          <w:p>
            <w:pPr>
              <w:pStyle w:val="28"/>
              <w:widowControl w:val="0"/>
              <w:jc w:val="left"/>
              <w:rPr>
                <w:color w:val="auto"/>
                <w:highlight w:val="none"/>
              </w:rPr>
            </w:pPr>
            <w:r>
              <w:rPr>
                <w:rFonts w:hint="eastAsia"/>
                <w:color w:val="auto"/>
                <w:highlight w:val="none"/>
              </w:rPr>
              <w:t>②针对现有水泥企业，强化污染治理和污染物减排，依法依规整治或搬迁。</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本项目为牲畜屠宰项目，项目位于平昌县响滩镇石泉村，用地性质为工业用地，未占用基本农田</w:t>
            </w:r>
            <w:r>
              <w:rPr>
                <w:color w:val="auto"/>
                <w:highlight w:val="none"/>
              </w:rPr>
              <w:t>。</w:t>
            </w:r>
          </w:p>
        </w:tc>
        <w:tc>
          <w:tcPr>
            <w:tcW w:w="282" w:type="pct"/>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rFonts w:hint="eastAsia"/>
                <w:color w:val="auto"/>
                <w:highlight w:val="none"/>
              </w:rPr>
              <w:t>污染物排放管控区</w:t>
            </w:r>
          </w:p>
        </w:tc>
        <w:tc>
          <w:tcPr>
            <w:tcW w:w="3189" w:type="pct"/>
            <w:tcBorders>
              <w:tl2br w:val="nil"/>
              <w:tr2bl w:val="nil"/>
            </w:tcBorders>
            <w:vAlign w:val="center"/>
          </w:tcPr>
          <w:p>
            <w:pPr>
              <w:pStyle w:val="28"/>
              <w:widowControl w:val="0"/>
              <w:jc w:val="left"/>
              <w:rPr>
                <w:b/>
                <w:bCs/>
                <w:color w:val="auto"/>
                <w:highlight w:val="none"/>
              </w:rPr>
            </w:pPr>
            <w:r>
              <w:rPr>
                <w:rFonts w:hint="eastAsia"/>
                <w:b/>
                <w:bCs/>
                <w:color w:val="auto"/>
                <w:highlight w:val="none"/>
              </w:rPr>
              <w:t>现有源提标升级改造：</w:t>
            </w:r>
          </w:p>
          <w:p>
            <w:pPr>
              <w:pStyle w:val="28"/>
              <w:widowControl w:val="0"/>
              <w:jc w:val="left"/>
              <w:rPr>
                <w:color w:val="auto"/>
                <w:highlight w:val="none"/>
              </w:rPr>
            </w:pPr>
            <w:r>
              <w:rPr>
                <w:rFonts w:hint="eastAsia"/>
                <w:color w:val="auto"/>
                <w:highlight w:val="none"/>
              </w:rPr>
              <w:t>①加快现有乡镇污水处理设施升级改造，按要求达《城镇污水处理厂污染物排放标准》一级A标后排放。</w:t>
            </w:r>
          </w:p>
          <w:p>
            <w:pPr>
              <w:pStyle w:val="28"/>
              <w:widowControl w:val="0"/>
              <w:jc w:val="left"/>
              <w:rPr>
                <w:color w:val="auto"/>
                <w:highlight w:val="none"/>
              </w:rPr>
            </w:pPr>
            <w:r>
              <w:rPr>
                <w:rFonts w:hint="eastAsia"/>
                <w:color w:val="auto"/>
                <w:highlight w:val="none"/>
              </w:rPr>
              <w:t>②在矿产资源开发活动集中区域，废水执行重金属污染物排放特别限值。</w:t>
            </w:r>
          </w:p>
          <w:p>
            <w:pPr>
              <w:pStyle w:val="28"/>
              <w:widowControl w:val="0"/>
              <w:jc w:val="left"/>
              <w:rPr>
                <w:color w:val="auto"/>
                <w:highlight w:val="none"/>
              </w:rPr>
            </w:pPr>
            <w:r>
              <w:rPr>
                <w:rFonts w:hint="eastAsia"/>
                <w:color w:val="auto"/>
                <w:highlight w:val="none"/>
              </w:rPr>
              <w:t>③砖瓦行业实施脱硫、除尘升级改造，污染物排放达到《砖瓦工业大气污染物排放标准》相关要求。</w:t>
            </w:r>
          </w:p>
          <w:p>
            <w:pPr>
              <w:pStyle w:val="28"/>
              <w:widowControl w:val="0"/>
              <w:jc w:val="left"/>
              <w:rPr>
                <w:color w:val="auto"/>
                <w:highlight w:val="none"/>
              </w:rPr>
            </w:pPr>
            <w:r>
              <w:rPr>
                <w:rFonts w:hint="eastAsia"/>
                <w:color w:val="auto"/>
                <w:highlight w:val="none"/>
              </w:rPr>
              <w:t>④火电、水泥等行业按相关要求推进大气污染物超低排放和深度治理。</w:t>
            </w:r>
          </w:p>
          <w:p>
            <w:pPr>
              <w:pStyle w:val="28"/>
              <w:widowControl w:val="0"/>
              <w:jc w:val="left"/>
              <w:rPr>
                <w:color w:val="auto"/>
                <w:highlight w:val="none"/>
              </w:rPr>
            </w:pPr>
            <w:r>
              <w:rPr>
                <w:rFonts w:hint="eastAsia"/>
                <w:color w:val="auto"/>
                <w:highlight w:val="none"/>
              </w:rPr>
              <w:t>⑤调整优化畜禽养殖区域布局，实施规模化畜禽养殖场标准化建设和改造，加强禽畜养殖粪污治理，深入推广畜禽清洁养殖，养殖场的养殖规模要与周边可供消纳的土地量相匹配，并具备完善的雨污分流、粪便污水资源化利用设施。强化畜禽养殖散户管理，禁止畜禽粪污直排。</w:t>
            </w:r>
          </w:p>
          <w:p>
            <w:pPr>
              <w:pStyle w:val="28"/>
              <w:widowControl w:val="0"/>
              <w:jc w:val="left"/>
              <w:rPr>
                <w:b/>
                <w:bCs/>
                <w:color w:val="auto"/>
                <w:highlight w:val="none"/>
              </w:rPr>
            </w:pPr>
            <w:r>
              <w:rPr>
                <w:rFonts w:hint="eastAsia"/>
                <w:b/>
                <w:bCs/>
                <w:color w:val="auto"/>
                <w:highlight w:val="none"/>
              </w:rPr>
              <w:t>其他污染物排放管控要求：</w:t>
            </w:r>
          </w:p>
          <w:p>
            <w:pPr>
              <w:pStyle w:val="28"/>
              <w:widowControl w:val="0"/>
              <w:jc w:val="left"/>
              <w:rPr>
                <w:color w:val="auto"/>
                <w:highlight w:val="none"/>
              </w:rPr>
            </w:pPr>
            <w:r>
              <w:rPr>
                <w:rFonts w:hint="eastAsia"/>
                <w:color w:val="auto"/>
                <w:highlight w:val="none"/>
              </w:rPr>
              <w:t>（1）污染物排放绩效水平准入要求：</w:t>
            </w:r>
          </w:p>
          <w:p>
            <w:pPr>
              <w:pStyle w:val="28"/>
              <w:widowControl w:val="0"/>
              <w:jc w:val="left"/>
              <w:rPr>
                <w:color w:val="auto"/>
                <w:highlight w:val="none"/>
              </w:rPr>
            </w:pPr>
            <w:r>
              <w:rPr>
                <w:rFonts w:hint="eastAsia"/>
                <w:color w:val="auto"/>
                <w:highlight w:val="none"/>
              </w:rPr>
              <w:t>①到2025年乡镇污水处理率达95%；到2030年乡镇污水处理率达100%；</w:t>
            </w:r>
          </w:p>
          <w:p>
            <w:pPr>
              <w:pStyle w:val="28"/>
              <w:widowControl w:val="0"/>
              <w:jc w:val="left"/>
              <w:rPr>
                <w:color w:val="auto"/>
                <w:highlight w:val="none"/>
              </w:rPr>
            </w:pPr>
            <w:r>
              <w:rPr>
                <w:rFonts w:hint="eastAsia"/>
                <w:color w:val="auto"/>
                <w:highlight w:val="none"/>
              </w:rPr>
              <w:t>②大中型矿山达到绿色矿山标准，引导小型矿山按照绿色矿山标准规范法发展。加强矿山采选废水的处理和综合利用工作，选矿废水全部综合利用，不外排，采矿废水应尽量回用。</w:t>
            </w:r>
          </w:p>
          <w:p>
            <w:pPr>
              <w:pStyle w:val="28"/>
              <w:widowControl w:val="0"/>
              <w:jc w:val="left"/>
              <w:rPr>
                <w:color w:val="auto"/>
                <w:highlight w:val="none"/>
              </w:rPr>
            </w:pPr>
            <w:r>
              <w:rPr>
                <w:rFonts w:hint="eastAsia"/>
                <w:color w:val="auto"/>
                <w:highlight w:val="none"/>
              </w:rPr>
              <w:t>③新、改扩建规模化畜禽养殖场（小区）要实施雨污分流，畜禽粪污实现资源化利用；散养密集区要实行畜禽粪便污水分户收集，集中处理利用；</w:t>
            </w:r>
          </w:p>
          <w:p>
            <w:pPr>
              <w:pStyle w:val="28"/>
              <w:widowControl w:val="0"/>
              <w:jc w:val="left"/>
              <w:rPr>
                <w:color w:val="auto"/>
                <w:highlight w:val="none"/>
              </w:rPr>
            </w:pPr>
            <w:r>
              <w:rPr>
                <w:rFonts w:hint="eastAsia"/>
                <w:color w:val="auto"/>
                <w:highlight w:val="none"/>
              </w:rPr>
              <w:t>④屠宰项目必须配套污水处理设施或进入城市污水管网。</w:t>
            </w:r>
          </w:p>
          <w:p>
            <w:pPr>
              <w:pStyle w:val="28"/>
              <w:widowControl w:val="0"/>
              <w:jc w:val="left"/>
              <w:rPr>
                <w:color w:val="auto"/>
                <w:highlight w:val="none"/>
              </w:rPr>
            </w:pPr>
            <w:r>
              <w:rPr>
                <w:rFonts w:hint="eastAsia"/>
                <w:color w:val="auto"/>
                <w:highlight w:val="none"/>
              </w:rPr>
              <w:t>⑤到2021年底，全市生活垃圾收集转运处置体系覆盖95%以上行政村，再生资源回收网点覆盖30%以上行政村。全市95%以上行政村的生活垃圾得到有效治理，到2023年，全市生活垃圾收集转运处置体系覆盖所有行政村，再生资源回收网点覆盖60%以上行政村，实现保洁员配备合理、管理有效、村组保洁工作运转有序。到2025年，乡镇和农村地区生活垃圾分类工作取得明显成效。生活垃圾减量化、资源化、无害化水平显著提高，基本建立“垃圾分类有特色、转运设施较齐全、村庄保洁见长效，资金投入有保障、监管制度较完善”的农村生活垃圾治理体系。</w:t>
            </w:r>
          </w:p>
          <w:p>
            <w:pPr>
              <w:pStyle w:val="28"/>
              <w:widowControl w:val="0"/>
              <w:jc w:val="left"/>
              <w:rPr>
                <w:color w:val="auto"/>
                <w:highlight w:val="none"/>
              </w:rPr>
            </w:pPr>
            <w:r>
              <w:rPr>
                <w:rFonts w:hint="eastAsia"/>
                <w:color w:val="auto"/>
                <w:highlight w:val="none"/>
              </w:rPr>
              <w:t>⑥到2025年底，全市有机肥使用面积达到370万亩。平均耕地质量提升一个等级，化肥使用量总体保持零增长。</w:t>
            </w:r>
          </w:p>
          <w:p>
            <w:pPr>
              <w:pStyle w:val="28"/>
              <w:widowControl w:val="0"/>
              <w:jc w:val="left"/>
              <w:rPr>
                <w:color w:val="auto"/>
                <w:highlight w:val="none"/>
              </w:rPr>
            </w:pPr>
            <w:r>
              <w:rPr>
                <w:rFonts w:hint="eastAsia"/>
                <w:color w:val="auto"/>
                <w:highlight w:val="none"/>
              </w:rPr>
              <w:t>⑦2025年主要粮经作物主产区农药包装废弃物回收率达80%</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项目废水经自建污水处理厂处理后排入元坨社区市政污水管网，通过市政污水管网汇入响滩镇污水处理厂处理，厂区实行雨污分流。</w:t>
            </w:r>
          </w:p>
        </w:tc>
        <w:tc>
          <w:tcPr>
            <w:tcW w:w="282" w:type="pct"/>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color w:val="auto"/>
                <w:highlight w:val="none"/>
              </w:rPr>
              <w:t>环境风险防控</w:t>
            </w:r>
          </w:p>
        </w:tc>
        <w:tc>
          <w:tcPr>
            <w:tcW w:w="3189" w:type="pct"/>
            <w:tcBorders>
              <w:tl2br w:val="nil"/>
              <w:tr2bl w:val="nil"/>
            </w:tcBorders>
            <w:vAlign w:val="center"/>
          </w:tcPr>
          <w:p>
            <w:pPr>
              <w:pStyle w:val="28"/>
              <w:widowControl w:val="0"/>
              <w:jc w:val="left"/>
              <w:rPr>
                <w:b/>
                <w:bCs/>
                <w:color w:val="auto"/>
                <w:highlight w:val="none"/>
              </w:rPr>
            </w:pPr>
            <w:r>
              <w:rPr>
                <w:rFonts w:hint="eastAsia"/>
                <w:b/>
                <w:bCs/>
                <w:color w:val="auto"/>
                <w:highlight w:val="none"/>
              </w:rPr>
              <w:t>联防联控要求：</w:t>
            </w:r>
          </w:p>
          <w:p>
            <w:pPr>
              <w:pStyle w:val="28"/>
              <w:widowControl w:val="0"/>
              <w:jc w:val="left"/>
              <w:rPr>
                <w:color w:val="auto"/>
                <w:highlight w:val="none"/>
              </w:rPr>
            </w:pPr>
            <w:r>
              <w:rPr>
                <w:rFonts w:hint="eastAsia"/>
                <w:color w:val="auto"/>
                <w:highlight w:val="none"/>
              </w:rPr>
              <w:t>强化大气污染区域联防联控措施，实施重污染天气应急管控。修订重污染天气应急预案，动态更新污染源排放清单，落实重点企业错峰生产、压产限产、工地停工等强制性措施，有效减缓重污染天气影响。</w:t>
            </w:r>
          </w:p>
          <w:p>
            <w:pPr>
              <w:pStyle w:val="28"/>
              <w:widowControl w:val="0"/>
              <w:jc w:val="left"/>
              <w:rPr>
                <w:b/>
                <w:bCs/>
                <w:color w:val="auto"/>
                <w:highlight w:val="none"/>
              </w:rPr>
            </w:pPr>
            <w:r>
              <w:rPr>
                <w:rFonts w:hint="eastAsia"/>
                <w:b/>
                <w:bCs/>
                <w:color w:val="auto"/>
                <w:highlight w:val="none"/>
              </w:rPr>
              <w:t>其他环境风险防控要求：</w:t>
            </w:r>
          </w:p>
          <w:p>
            <w:pPr>
              <w:pStyle w:val="28"/>
              <w:widowControl w:val="0"/>
              <w:jc w:val="left"/>
              <w:rPr>
                <w:color w:val="auto"/>
                <w:highlight w:val="none"/>
              </w:rPr>
            </w:pPr>
            <w:r>
              <w:rPr>
                <w:rFonts w:hint="eastAsia"/>
                <w:color w:val="auto"/>
                <w:highlight w:val="none"/>
              </w:rPr>
              <w:t>（1）企业环境风险防控要求：</w:t>
            </w:r>
          </w:p>
          <w:p>
            <w:pPr>
              <w:pStyle w:val="28"/>
              <w:widowControl w:val="0"/>
              <w:jc w:val="left"/>
              <w:rPr>
                <w:color w:val="auto"/>
                <w:highlight w:val="none"/>
              </w:rPr>
            </w:pPr>
            <w:r>
              <w:rPr>
                <w:rFonts w:hint="eastAsia"/>
                <w:color w:val="auto"/>
                <w:highlight w:val="none"/>
              </w:rPr>
              <w:t xml:space="preserve">①工业企业退出用地，须经评估、修复满足相应用地功能后，方可改变用途。 </w:t>
            </w:r>
          </w:p>
          <w:p>
            <w:pPr>
              <w:pStyle w:val="28"/>
              <w:widowControl w:val="0"/>
              <w:jc w:val="left"/>
              <w:rPr>
                <w:color w:val="auto"/>
                <w:highlight w:val="none"/>
              </w:rPr>
            </w:pPr>
            <w:r>
              <w:rPr>
                <w:rFonts w:hint="eastAsia"/>
                <w:color w:val="auto"/>
                <w:highlight w:val="none"/>
              </w:rPr>
              <w:t>②加强“散乱污”企业环境风险防控。</w:t>
            </w:r>
          </w:p>
          <w:p>
            <w:pPr>
              <w:pStyle w:val="28"/>
              <w:widowControl w:val="0"/>
              <w:jc w:val="left"/>
              <w:rPr>
                <w:color w:val="auto"/>
                <w:highlight w:val="none"/>
              </w:rPr>
            </w:pPr>
            <w:r>
              <w:rPr>
                <w:rFonts w:hint="eastAsia"/>
                <w:color w:val="auto"/>
                <w:highlight w:val="none"/>
              </w:rPr>
              <w:t>③现有涉及五类重金属的企业，严控污染物排放，限时整治或搬迁。</w:t>
            </w:r>
          </w:p>
          <w:p>
            <w:pPr>
              <w:pStyle w:val="28"/>
              <w:widowControl w:val="0"/>
              <w:jc w:val="left"/>
              <w:rPr>
                <w:color w:val="auto"/>
                <w:highlight w:val="none"/>
              </w:rPr>
            </w:pPr>
            <w:r>
              <w:rPr>
                <w:rFonts w:hint="eastAsia"/>
                <w:color w:val="auto"/>
                <w:highlight w:val="none"/>
              </w:rPr>
              <w:t>（2）用地环境风险防控要求：</w:t>
            </w:r>
          </w:p>
          <w:p>
            <w:pPr>
              <w:pStyle w:val="28"/>
              <w:widowControl w:val="0"/>
              <w:jc w:val="left"/>
              <w:rPr>
                <w:color w:val="auto"/>
                <w:highlight w:val="none"/>
              </w:rPr>
            </w:pPr>
            <w:r>
              <w:rPr>
                <w:rFonts w:hint="eastAsia"/>
                <w:color w:val="auto"/>
                <w:highlight w:val="none"/>
              </w:rPr>
              <w:t>-严禁将城镇生活垃圾、污泥、工业废物直接用作肥料，禁止处理不达标的污泥进入耕地；禁止在农用地排放、倾倒、使用污泥、清淤底泥、尾矿（渣）等可能对土壤造成污染的固体废物。</w:t>
            </w:r>
          </w:p>
          <w:p>
            <w:pPr>
              <w:pStyle w:val="28"/>
              <w:widowControl w:val="0"/>
              <w:jc w:val="left"/>
              <w:rPr>
                <w:color w:val="auto"/>
                <w:highlight w:val="none"/>
              </w:rPr>
            </w:pPr>
            <w:r>
              <w:rPr>
                <w:rFonts w:hint="eastAsia"/>
                <w:color w:val="auto"/>
                <w:highlight w:val="none"/>
              </w:rPr>
              <w:t>①定期对单元内尾矿库进行风险巡查，建立监测系统和环境风险应急预案；完善各尾矿库渗滤液收集、处理、回用系统，杜绝事故排放；尾矿库闭矿后因地制宜进行植被恢复和综合利用。                                                                                                  ②规范排土场、渣场等整治。</w:t>
            </w:r>
          </w:p>
          <w:p>
            <w:pPr>
              <w:pStyle w:val="28"/>
              <w:widowControl w:val="0"/>
              <w:jc w:val="left"/>
              <w:rPr>
                <w:color w:val="auto"/>
                <w:highlight w:val="none"/>
              </w:rPr>
            </w:pPr>
            <w:r>
              <w:rPr>
                <w:rFonts w:hint="eastAsia"/>
                <w:color w:val="auto"/>
                <w:highlight w:val="none"/>
              </w:rPr>
              <w:t>③严格控制林地、草地、园地的农药使用量，禁止使用高毒、高残留农药。</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本项目设置了500m</w:t>
            </w:r>
            <w:r>
              <w:rPr>
                <w:rFonts w:hint="eastAsia"/>
                <w:color w:val="auto"/>
                <w:highlight w:val="none"/>
                <w:vertAlign w:val="superscript"/>
              </w:rPr>
              <w:t>3</w:t>
            </w:r>
            <w:r>
              <w:rPr>
                <w:rFonts w:hint="eastAsia"/>
                <w:color w:val="auto"/>
                <w:highlight w:val="none"/>
              </w:rPr>
              <w:t>事故池及风险防范措施，厂区做好防渗处理，其风险总体可控。</w:t>
            </w:r>
          </w:p>
        </w:tc>
        <w:tc>
          <w:tcPr>
            <w:tcW w:w="282" w:type="pct"/>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color w:val="auto"/>
                <w:highlight w:val="none"/>
              </w:rPr>
              <w:t>资源开发效率</w:t>
            </w:r>
          </w:p>
        </w:tc>
        <w:tc>
          <w:tcPr>
            <w:tcW w:w="3189" w:type="pct"/>
            <w:tcBorders>
              <w:tl2br w:val="nil"/>
              <w:tr2bl w:val="nil"/>
            </w:tcBorders>
            <w:vAlign w:val="center"/>
          </w:tcPr>
          <w:p>
            <w:pPr>
              <w:pStyle w:val="28"/>
              <w:widowControl w:val="0"/>
              <w:jc w:val="left"/>
              <w:rPr>
                <w:b/>
                <w:bCs/>
                <w:color w:val="auto"/>
                <w:highlight w:val="none"/>
              </w:rPr>
            </w:pPr>
            <w:r>
              <w:rPr>
                <w:rFonts w:hint="eastAsia"/>
                <w:b/>
                <w:bCs/>
                <w:color w:val="auto"/>
                <w:highlight w:val="none"/>
              </w:rPr>
              <w:t>地下水开采要求：</w:t>
            </w:r>
          </w:p>
          <w:p>
            <w:pPr>
              <w:pStyle w:val="28"/>
              <w:widowControl w:val="0"/>
              <w:jc w:val="left"/>
              <w:rPr>
                <w:color w:val="auto"/>
                <w:highlight w:val="none"/>
              </w:rPr>
            </w:pPr>
            <w:r>
              <w:rPr>
                <w:rFonts w:hint="eastAsia"/>
                <w:color w:val="auto"/>
                <w:highlight w:val="none"/>
              </w:rPr>
              <w:t>①巴中市2025年地下水开采控制量保持在1400万m</w:t>
            </w:r>
            <w:r>
              <w:rPr>
                <w:rFonts w:hint="eastAsia"/>
                <w:color w:val="auto"/>
                <w:highlight w:val="none"/>
                <w:vertAlign w:val="superscript"/>
              </w:rPr>
              <w:t>3</w:t>
            </w:r>
            <w:r>
              <w:rPr>
                <w:rFonts w:hint="eastAsia"/>
                <w:color w:val="auto"/>
                <w:highlight w:val="none"/>
              </w:rPr>
              <w:t>以内。</w:t>
            </w:r>
          </w:p>
          <w:p>
            <w:pPr>
              <w:pStyle w:val="28"/>
              <w:widowControl w:val="0"/>
              <w:jc w:val="left"/>
              <w:rPr>
                <w:color w:val="auto"/>
                <w:highlight w:val="none"/>
              </w:rPr>
            </w:pPr>
            <w:r>
              <w:rPr>
                <w:rFonts w:hint="eastAsia"/>
                <w:color w:val="auto"/>
                <w:highlight w:val="none"/>
              </w:rPr>
              <w:t>②地下水开采量控制在可开采量的允许范围内，抑制用水过度增长。</w:t>
            </w:r>
          </w:p>
          <w:p>
            <w:pPr>
              <w:pStyle w:val="28"/>
              <w:widowControl w:val="0"/>
              <w:jc w:val="left"/>
              <w:rPr>
                <w:b/>
                <w:bCs/>
                <w:color w:val="auto"/>
                <w:highlight w:val="none"/>
              </w:rPr>
            </w:pPr>
            <w:r>
              <w:rPr>
                <w:rFonts w:hint="eastAsia"/>
                <w:b/>
                <w:bCs/>
                <w:color w:val="auto"/>
                <w:highlight w:val="none"/>
              </w:rPr>
              <w:t>能源利用总量及效率要求：</w:t>
            </w:r>
          </w:p>
          <w:p>
            <w:pPr>
              <w:pStyle w:val="28"/>
              <w:widowControl w:val="0"/>
              <w:jc w:val="left"/>
              <w:rPr>
                <w:color w:val="auto"/>
                <w:highlight w:val="none"/>
              </w:rPr>
            </w:pPr>
            <w:r>
              <w:rPr>
                <w:rFonts w:hint="eastAsia"/>
                <w:color w:val="auto"/>
                <w:highlight w:val="none"/>
              </w:rPr>
              <w:t>①推进清洁能源的推广使用，全面推进散煤清洁化整治；禁止新建每小时10蒸吨以下的燃煤锅炉及其他燃煤设施。</w:t>
            </w:r>
          </w:p>
          <w:p>
            <w:pPr>
              <w:pStyle w:val="28"/>
              <w:widowControl w:val="0"/>
              <w:jc w:val="left"/>
              <w:rPr>
                <w:color w:val="auto"/>
                <w:highlight w:val="none"/>
              </w:rPr>
            </w:pPr>
            <w:r>
              <w:rPr>
                <w:rFonts w:hint="eastAsia"/>
                <w:color w:val="auto"/>
                <w:highlight w:val="none"/>
              </w:rPr>
              <w:t>②禁止焚烧秸秆和垃圾。</w:t>
            </w:r>
          </w:p>
          <w:p>
            <w:pPr>
              <w:pStyle w:val="28"/>
              <w:widowControl w:val="0"/>
              <w:jc w:val="left"/>
              <w:rPr>
                <w:b/>
                <w:bCs/>
                <w:color w:val="auto"/>
                <w:highlight w:val="none"/>
              </w:rPr>
            </w:pPr>
            <w:r>
              <w:rPr>
                <w:rFonts w:hint="eastAsia"/>
                <w:b/>
                <w:bCs/>
                <w:color w:val="auto"/>
                <w:highlight w:val="none"/>
              </w:rPr>
              <w:t>禁燃区要求：</w:t>
            </w:r>
          </w:p>
          <w:p>
            <w:pPr>
              <w:pStyle w:val="28"/>
              <w:widowControl w:val="0"/>
              <w:jc w:val="left"/>
              <w:rPr>
                <w:color w:val="auto"/>
                <w:highlight w:val="none"/>
              </w:rPr>
            </w:pPr>
            <w:r>
              <w:rPr>
                <w:rFonts w:hint="eastAsia"/>
                <w:color w:val="auto"/>
                <w:highlight w:val="none"/>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pPr>
              <w:pStyle w:val="28"/>
              <w:widowControl w:val="0"/>
              <w:jc w:val="left"/>
              <w:rPr>
                <w:b/>
                <w:bCs/>
                <w:color w:val="auto"/>
                <w:highlight w:val="none"/>
              </w:rPr>
            </w:pPr>
            <w:r>
              <w:rPr>
                <w:rFonts w:hint="eastAsia"/>
                <w:b/>
                <w:bCs/>
                <w:color w:val="auto"/>
                <w:highlight w:val="none"/>
              </w:rPr>
              <w:t>其他资源利用效率要求：</w:t>
            </w:r>
          </w:p>
          <w:p>
            <w:pPr>
              <w:pStyle w:val="28"/>
              <w:widowControl w:val="0"/>
              <w:jc w:val="left"/>
              <w:rPr>
                <w:color w:val="auto"/>
                <w:highlight w:val="none"/>
              </w:rPr>
            </w:pPr>
            <w:r>
              <w:rPr>
                <w:rFonts w:hint="eastAsia"/>
                <w:color w:val="auto"/>
                <w:highlight w:val="none"/>
              </w:rPr>
              <w:t>到2025年，巴中市农田有效灌溉系数达到0.56；到 2030 年，巴中市农田有效灌溉率提到40%，农田灌溉用水有效利用系数提高到 0.62 左右。</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本项目供水来自自来水管网，供电来自国家电网，燃料使用天然气清洁能源。</w:t>
            </w:r>
          </w:p>
        </w:tc>
        <w:tc>
          <w:tcPr>
            <w:tcW w:w="282" w:type="pct"/>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restart"/>
            <w:tcBorders>
              <w:tl2br w:val="nil"/>
              <w:tr2bl w:val="nil"/>
            </w:tcBorders>
            <w:vAlign w:val="center"/>
          </w:tcPr>
          <w:p>
            <w:pPr>
              <w:pStyle w:val="28"/>
              <w:widowControl w:val="0"/>
              <w:rPr>
                <w:color w:val="auto"/>
                <w:highlight w:val="none"/>
              </w:rPr>
            </w:pPr>
            <w:r>
              <w:rPr>
                <w:rFonts w:hint="eastAsia"/>
                <w:color w:val="auto"/>
                <w:highlight w:val="none"/>
              </w:rPr>
              <w:t>单元特性准入清单</w:t>
            </w:r>
          </w:p>
        </w:tc>
        <w:tc>
          <w:tcPr>
            <w:tcW w:w="265" w:type="pct"/>
            <w:tcBorders>
              <w:tl2br w:val="nil"/>
              <w:tr2bl w:val="nil"/>
            </w:tcBorders>
            <w:vAlign w:val="center"/>
          </w:tcPr>
          <w:p>
            <w:pPr>
              <w:pStyle w:val="28"/>
              <w:widowControl w:val="0"/>
              <w:rPr>
                <w:color w:val="auto"/>
                <w:highlight w:val="none"/>
              </w:rPr>
            </w:pPr>
            <w:r>
              <w:rPr>
                <w:color w:val="auto"/>
                <w:highlight w:val="none"/>
              </w:rPr>
              <w:t>空间布局约束</w:t>
            </w:r>
          </w:p>
        </w:tc>
        <w:tc>
          <w:tcPr>
            <w:tcW w:w="3189" w:type="pct"/>
            <w:tcBorders>
              <w:tl2br w:val="nil"/>
              <w:tr2bl w:val="nil"/>
            </w:tcBorders>
            <w:vAlign w:val="center"/>
          </w:tcPr>
          <w:p>
            <w:pPr>
              <w:pStyle w:val="28"/>
              <w:widowControl w:val="0"/>
              <w:jc w:val="left"/>
              <w:rPr>
                <w:b/>
                <w:bCs/>
                <w:color w:val="auto"/>
                <w:highlight w:val="none"/>
              </w:rPr>
            </w:pPr>
            <w:r>
              <w:rPr>
                <w:b/>
                <w:bCs/>
                <w:color w:val="auto"/>
                <w:highlight w:val="none"/>
              </w:rPr>
              <w:t>禁止开发建设活动的要求：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限制开发建设活动的要求：</w:t>
            </w:r>
          </w:p>
          <w:p>
            <w:pPr>
              <w:pStyle w:val="28"/>
              <w:widowControl w:val="0"/>
              <w:jc w:val="left"/>
              <w:rPr>
                <w:color w:val="auto"/>
                <w:highlight w:val="none"/>
              </w:rPr>
            </w:pPr>
            <w:r>
              <w:rPr>
                <w:rFonts w:hint="eastAsia"/>
                <w:color w:val="auto"/>
                <w:highlight w:val="none"/>
              </w:rPr>
              <w:t>①</w:t>
            </w:r>
            <w:r>
              <w:rPr>
                <w:color w:val="auto"/>
                <w:highlight w:val="none"/>
              </w:rPr>
              <w:t>工业园区外现有钢铁、有色金属、造纸、印染、原料药制造、化工等污染较重的企业应有序搬迁改造或依法关闭</w:t>
            </w:r>
            <w:r>
              <w:rPr>
                <w:rFonts w:hint="eastAsia"/>
                <w:color w:val="auto"/>
                <w:highlight w:val="none"/>
              </w:rPr>
              <w:t>；</w:t>
            </w:r>
            <w:r>
              <w:rPr>
                <w:color w:val="auto"/>
                <w:highlight w:val="none"/>
              </w:rPr>
              <w:br w:type="textWrapping"/>
            </w:r>
            <w:r>
              <w:rPr>
                <w:rFonts w:hint="eastAsia"/>
                <w:color w:val="auto"/>
                <w:highlight w:val="none"/>
              </w:rPr>
              <w:t>②</w:t>
            </w:r>
            <w:r>
              <w:rPr>
                <w:color w:val="auto"/>
                <w:highlight w:val="none"/>
              </w:rPr>
              <w:t>矿产资源开采废石场、排土场、尾矿库选址应在居民集中区主导风下风侧1公里之外</w:t>
            </w:r>
            <w:r>
              <w:rPr>
                <w:rFonts w:hint="eastAsia"/>
                <w:color w:val="auto"/>
                <w:highlight w:val="none"/>
              </w:rPr>
              <w:t>；</w:t>
            </w:r>
            <w:r>
              <w:rPr>
                <w:color w:val="auto"/>
                <w:highlight w:val="none"/>
              </w:rPr>
              <w:br w:type="textWrapping"/>
            </w:r>
            <w:r>
              <w:rPr>
                <w:color w:val="auto"/>
                <w:highlight w:val="none"/>
              </w:rPr>
              <w:t>严控新增磷矿开采项目</w:t>
            </w:r>
            <w:r>
              <w:rPr>
                <w:rFonts w:hint="eastAsia"/>
                <w:color w:val="auto"/>
                <w:highlight w:val="none"/>
              </w:rPr>
              <w:t>；</w:t>
            </w:r>
            <w:r>
              <w:rPr>
                <w:color w:val="auto"/>
                <w:highlight w:val="none"/>
              </w:rPr>
              <w:br w:type="textWrapping"/>
            </w:r>
            <w:r>
              <w:rPr>
                <w:rFonts w:hint="eastAsia"/>
                <w:color w:val="auto"/>
                <w:highlight w:val="none"/>
              </w:rPr>
              <w:t>③</w:t>
            </w:r>
            <w:r>
              <w:rPr>
                <w:color w:val="auto"/>
                <w:highlight w:val="none"/>
              </w:rPr>
              <w:t>其他要求执行一般管控单元总体管控要</w:t>
            </w:r>
            <w:r>
              <w:rPr>
                <w:rFonts w:hint="eastAsia"/>
                <w:color w:val="auto"/>
                <w:highlight w:val="none"/>
              </w:rPr>
              <w:t>；</w:t>
            </w:r>
          </w:p>
          <w:p>
            <w:pPr>
              <w:pStyle w:val="28"/>
              <w:widowControl w:val="0"/>
              <w:jc w:val="left"/>
              <w:rPr>
                <w:b/>
                <w:bCs/>
                <w:color w:val="auto"/>
                <w:highlight w:val="none"/>
              </w:rPr>
            </w:pPr>
            <w:r>
              <w:rPr>
                <w:b/>
                <w:bCs/>
                <w:color w:val="auto"/>
                <w:highlight w:val="none"/>
              </w:rPr>
              <w:t>不符合空间布局要求活动的退出要求：</w:t>
            </w:r>
          </w:p>
          <w:p>
            <w:pPr>
              <w:pStyle w:val="28"/>
              <w:widowControl w:val="0"/>
              <w:jc w:val="left"/>
              <w:rPr>
                <w:color w:val="auto"/>
                <w:highlight w:val="none"/>
              </w:rPr>
            </w:pPr>
            <w:r>
              <w:rPr>
                <w:rFonts w:hint="eastAsia"/>
                <w:color w:val="auto"/>
                <w:highlight w:val="none"/>
              </w:rPr>
              <w:t>①</w:t>
            </w:r>
            <w:r>
              <w:rPr>
                <w:color w:val="auto"/>
                <w:highlight w:val="none"/>
              </w:rPr>
              <w:t>现有企业按照相关规定限期入园搬迁或整治</w:t>
            </w:r>
            <w:r>
              <w:rPr>
                <w:rFonts w:hint="eastAsia"/>
                <w:color w:val="auto"/>
                <w:highlight w:val="none"/>
              </w:rPr>
              <w:t>；</w:t>
            </w:r>
            <w:r>
              <w:rPr>
                <w:color w:val="auto"/>
                <w:highlight w:val="none"/>
              </w:rPr>
              <w:br w:type="textWrapping"/>
            </w:r>
            <w:r>
              <w:rPr>
                <w:rFonts w:hint="eastAsia"/>
                <w:color w:val="auto"/>
                <w:highlight w:val="none"/>
              </w:rPr>
              <w:t>②</w:t>
            </w:r>
            <w:r>
              <w:rPr>
                <w:color w:val="auto"/>
                <w:highlight w:val="none"/>
              </w:rPr>
              <w:t>执行一般管控单元总体准入要求</w:t>
            </w:r>
            <w:r>
              <w:rPr>
                <w:rFonts w:hint="eastAsia"/>
                <w:color w:val="auto"/>
                <w:highlight w:val="none"/>
              </w:rPr>
              <w:t>；</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本项目为牲畜屠宰项目，项目位于平昌县响滩镇石泉村，不属于上述项目。</w:t>
            </w:r>
          </w:p>
        </w:tc>
        <w:tc>
          <w:tcPr>
            <w:tcW w:w="282" w:type="pct"/>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rFonts w:hint="eastAsia"/>
                <w:color w:val="auto"/>
                <w:highlight w:val="none"/>
              </w:rPr>
              <w:t>污染物排放管控区</w:t>
            </w:r>
          </w:p>
        </w:tc>
        <w:tc>
          <w:tcPr>
            <w:tcW w:w="3189" w:type="pct"/>
            <w:tcBorders>
              <w:tl2br w:val="nil"/>
              <w:tr2bl w:val="nil"/>
            </w:tcBorders>
            <w:vAlign w:val="center"/>
          </w:tcPr>
          <w:p>
            <w:pPr>
              <w:pStyle w:val="28"/>
              <w:widowControl w:val="0"/>
              <w:jc w:val="left"/>
              <w:rPr>
                <w:b/>
                <w:bCs/>
                <w:color w:val="auto"/>
                <w:highlight w:val="none"/>
              </w:rPr>
            </w:pPr>
            <w:r>
              <w:rPr>
                <w:b/>
                <w:bCs/>
                <w:color w:val="auto"/>
                <w:highlight w:val="none"/>
              </w:rPr>
              <w:t>现有源提标升级改造：</w:t>
            </w:r>
          </w:p>
          <w:p>
            <w:pPr>
              <w:pStyle w:val="28"/>
              <w:widowControl w:val="0"/>
              <w:jc w:val="left"/>
              <w:rPr>
                <w:color w:val="auto"/>
                <w:highlight w:val="none"/>
              </w:rPr>
            </w:pPr>
            <w:r>
              <w:rPr>
                <w:rFonts w:hint="eastAsia"/>
                <w:color w:val="auto"/>
                <w:highlight w:val="none"/>
              </w:rPr>
              <w:t>①</w:t>
            </w:r>
            <w:r>
              <w:rPr>
                <w:color w:val="auto"/>
                <w:highlight w:val="none"/>
              </w:rPr>
              <w:t>80%以上的规模化畜禽养殖场新建污染防治设施并投运，实现种养平衡，有条件的养殖场实现零排放</w:t>
            </w:r>
            <w:r>
              <w:rPr>
                <w:rFonts w:hint="eastAsia"/>
                <w:color w:val="auto"/>
                <w:highlight w:val="none"/>
              </w:rPr>
              <w:t>；</w:t>
            </w:r>
            <w:r>
              <w:rPr>
                <w:color w:val="auto"/>
                <w:highlight w:val="none"/>
              </w:rPr>
              <w:br w:type="textWrapping"/>
            </w:r>
            <w:r>
              <w:rPr>
                <w:color w:val="auto"/>
                <w:highlight w:val="none"/>
              </w:rPr>
              <w:t>密集区推行粪污集中处理和资源化综合利用，禁止直接排入环境</w:t>
            </w:r>
            <w:r>
              <w:rPr>
                <w:rFonts w:hint="eastAsia"/>
                <w:color w:val="auto"/>
                <w:highlight w:val="none"/>
              </w:rPr>
              <w:t>；</w:t>
            </w:r>
            <w:r>
              <w:rPr>
                <w:color w:val="auto"/>
                <w:highlight w:val="none"/>
              </w:rPr>
              <w:br w:type="textWrapping"/>
            </w:r>
            <w:r>
              <w:rPr>
                <w:color w:val="auto"/>
                <w:highlight w:val="none"/>
              </w:rPr>
              <w:t>未上规模的畜禽养殖大户，不建与其养殖规模相当的沼气池，畜禽粪尿完全由土地消纳的，必须保证配套足够的土地面积，即至少应有0.067公顷耕地来消纳</w:t>
            </w:r>
            <w:r>
              <w:rPr>
                <w:rFonts w:hint="eastAsia"/>
                <w:color w:val="auto"/>
                <w:highlight w:val="none"/>
              </w:rPr>
              <w:t>；</w:t>
            </w:r>
            <w:r>
              <w:rPr>
                <w:color w:val="auto"/>
                <w:highlight w:val="none"/>
              </w:rPr>
              <w:br w:type="textWrapping"/>
            </w:r>
            <w:r>
              <w:rPr>
                <w:rFonts w:hint="eastAsia"/>
                <w:color w:val="auto"/>
                <w:highlight w:val="none"/>
              </w:rPr>
              <w:t>②</w:t>
            </w:r>
            <w:r>
              <w:rPr>
                <w:color w:val="auto"/>
                <w:highlight w:val="none"/>
              </w:rPr>
              <w:t>布局敏感重点管控区中的大气污染排放源执行国家、省、行业排放标准中规定的大气污染物特别排放限值</w:t>
            </w:r>
            <w:r>
              <w:rPr>
                <w:rFonts w:hint="eastAsia"/>
                <w:color w:val="auto"/>
                <w:highlight w:val="none"/>
              </w:rPr>
              <w:t>；</w:t>
            </w:r>
            <w:r>
              <w:rPr>
                <w:color w:val="auto"/>
                <w:highlight w:val="none"/>
              </w:rPr>
              <w:br w:type="textWrapping"/>
            </w:r>
            <w:r>
              <w:rPr>
                <w:rFonts w:hint="eastAsia"/>
                <w:color w:val="auto"/>
                <w:highlight w:val="none"/>
              </w:rPr>
              <w:t>③</w:t>
            </w:r>
            <w:r>
              <w:rPr>
                <w:color w:val="auto"/>
                <w:highlight w:val="none"/>
              </w:rPr>
              <w:t>其他要求执行一般管控单元总体管控要</w:t>
            </w:r>
            <w:r>
              <w:rPr>
                <w:rFonts w:hint="eastAsia"/>
                <w:color w:val="auto"/>
                <w:highlight w:val="none"/>
              </w:rPr>
              <w:t>；</w:t>
            </w:r>
          </w:p>
          <w:p>
            <w:pPr>
              <w:pStyle w:val="28"/>
              <w:widowControl w:val="0"/>
              <w:jc w:val="left"/>
              <w:rPr>
                <w:b/>
                <w:bCs/>
                <w:color w:val="auto"/>
                <w:highlight w:val="none"/>
              </w:rPr>
            </w:pPr>
            <w:r>
              <w:rPr>
                <w:b/>
                <w:bCs/>
                <w:color w:val="auto"/>
                <w:highlight w:val="none"/>
              </w:rPr>
              <w:t>新增源等量或倍量替代：</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污染物排放绩效水平准入要求：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本项目牲畜生产的粪污均收集后交由有机废制造厂家综合利用</w:t>
            </w:r>
          </w:p>
        </w:tc>
        <w:tc>
          <w:tcPr>
            <w:tcW w:w="282" w:type="pct"/>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color w:val="auto"/>
                <w:highlight w:val="none"/>
              </w:rPr>
              <w:t>环境风险防控</w:t>
            </w:r>
          </w:p>
        </w:tc>
        <w:tc>
          <w:tcPr>
            <w:tcW w:w="3189" w:type="pct"/>
            <w:tcBorders>
              <w:tl2br w:val="nil"/>
              <w:tr2bl w:val="nil"/>
            </w:tcBorders>
            <w:vAlign w:val="center"/>
          </w:tcPr>
          <w:p>
            <w:pPr>
              <w:pStyle w:val="28"/>
              <w:widowControl w:val="0"/>
              <w:jc w:val="left"/>
              <w:rPr>
                <w:b/>
                <w:bCs/>
                <w:color w:val="auto"/>
                <w:highlight w:val="none"/>
              </w:rPr>
            </w:pPr>
            <w:r>
              <w:rPr>
                <w:b/>
                <w:bCs/>
                <w:color w:val="auto"/>
                <w:highlight w:val="none"/>
              </w:rPr>
              <w:t>严格管控类农用地管控要求：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安全利用类农用地管控要求：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污染地块管控要求：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企业环境风险防控要求：</w:t>
            </w:r>
          </w:p>
          <w:p>
            <w:pPr>
              <w:pStyle w:val="28"/>
              <w:widowControl w:val="0"/>
              <w:jc w:val="left"/>
              <w:rPr>
                <w:color w:val="auto"/>
                <w:highlight w:val="none"/>
              </w:rPr>
            </w:pPr>
            <w:r>
              <w:rPr>
                <w:color w:val="auto"/>
                <w:highlight w:val="none"/>
              </w:rPr>
              <w:t>执行一般管控单元总体准入要求</w:t>
            </w:r>
            <w:r>
              <w:rPr>
                <w:rFonts w:hint="eastAsia"/>
                <w:color w:val="auto"/>
                <w:highlight w:val="none"/>
              </w:rPr>
              <w:t>；</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满足</w:t>
            </w:r>
            <w:r>
              <w:rPr>
                <w:color w:val="auto"/>
                <w:highlight w:val="none"/>
              </w:rPr>
              <w:t>执行一般管控单元总体准入要求</w:t>
            </w:r>
          </w:p>
        </w:tc>
        <w:tc>
          <w:tcPr>
            <w:tcW w:w="282" w:type="pct"/>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97" w:type="pct"/>
            <w:vMerge w:val="continue"/>
            <w:tcBorders>
              <w:tl2br w:val="nil"/>
              <w:tr2bl w:val="nil"/>
            </w:tcBorders>
            <w:vAlign w:val="center"/>
          </w:tcPr>
          <w:p>
            <w:pPr>
              <w:pStyle w:val="28"/>
              <w:widowControl w:val="0"/>
              <w:rPr>
                <w:color w:val="auto"/>
                <w:highlight w:val="none"/>
              </w:rPr>
            </w:pPr>
          </w:p>
        </w:tc>
        <w:tc>
          <w:tcPr>
            <w:tcW w:w="265" w:type="pct"/>
            <w:tcBorders>
              <w:tl2br w:val="nil"/>
              <w:tr2bl w:val="nil"/>
            </w:tcBorders>
            <w:vAlign w:val="center"/>
          </w:tcPr>
          <w:p>
            <w:pPr>
              <w:pStyle w:val="28"/>
              <w:widowControl w:val="0"/>
              <w:rPr>
                <w:color w:val="auto"/>
                <w:highlight w:val="none"/>
              </w:rPr>
            </w:pPr>
            <w:r>
              <w:rPr>
                <w:color w:val="auto"/>
                <w:highlight w:val="none"/>
              </w:rPr>
              <w:t>资源开发效率</w:t>
            </w:r>
          </w:p>
        </w:tc>
        <w:tc>
          <w:tcPr>
            <w:tcW w:w="3189" w:type="pct"/>
            <w:tcBorders>
              <w:tl2br w:val="nil"/>
              <w:tr2bl w:val="nil"/>
            </w:tcBorders>
            <w:vAlign w:val="center"/>
          </w:tcPr>
          <w:p>
            <w:pPr>
              <w:pStyle w:val="28"/>
              <w:widowControl w:val="0"/>
              <w:jc w:val="left"/>
              <w:rPr>
                <w:b/>
                <w:bCs/>
                <w:color w:val="auto"/>
                <w:highlight w:val="none"/>
              </w:rPr>
            </w:pPr>
            <w:r>
              <w:rPr>
                <w:b/>
                <w:bCs/>
                <w:color w:val="auto"/>
                <w:highlight w:val="none"/>
              </w:rPr>
              <w:t>水资源利用效率要求：</w:t>
            </w:r>
          </w:p>
          <w:p>
            <w:pPr>
              <w:pStyle w:val="28"/>
              <w:widowControl w:val="0"/>
              <w:jc w:val="left"/>
              <w:rPr>
                <w:color w:val="auto"/>
                <w:highlight w:val="none"/>
              </w:rPr>
            </w:pPr>
            <w:r>
              <w:rPr>
                <w:color w:val="auto"/>
                <w:highlight w:val="none"/>
              </w:rPr>
              <w:t> 执行一般管控单元总体准入要求</w:t>
            </w:r>
            <w:r>
              <w:rPr>
                <w:rFonts w:hint="eastAsia"/>
                <w:color w:val="auto"/>
                <w:highlight w:val="none"/>
              </w:rPr>
              <w:t>；</w:t>
            </w:r>
          </w:p>
          <w:p>
            <w:pPr>
              <w:pStyle w:val="28"/>
              <w:widowControl w:val="0"/>
              <w:jc w:val="left"/>
              <w:rPr>
                <w:b/>
                <w:bCs/>
                <w:color w:val="auto"/>
                <w:highlight w:val="none"/>
              </w:rPr>
            </w:pPr>
            <w:r>
              <w:rPr>
                <w:b/>
                <w:bCs/>
                <w:color w:val="auto"/>
                <w:highlight w:val="none"/>
              </w:rPr>
              <w:t>能源利用效率要求：</w:t>
            </w:r>
          </w:p>
          <w:p>
            <w:pPr>
              <w:pStyle w:val="28"/>
              <w:widowControl w:val="0"/>
              <w:jc w:val="left"/>
              <w:rPr>
                <w:color w:val="auto"/>
                <w:highlight w:val="none"/>
              </w:rPr>
            </w:pPr>
            <w:r>
              <w:rPr>
                <w:rFonts w:hint="eastAsia"/>
                <w:color w:val="auto"/>
                <w:highlight w:val="none"/>
              </w:rPr>
              <w:t>①</w:t>
            </w:r>
            <w:r>
              <w:rPr>
                <w:color w:val="auto"/>
                <w:highlight w:val="none"/>
              </w:rPr>
              <w:t>提高农村清洁能源所占比例至80%，大幅度降低生活用煤量</w:t>
            </w:r>
            <w:r>
              <w:rPr>
                <w:rFonts w:hint="eastAsia"/>
                <w:color w:val="auto"/>
                <w:highlight w:val="none"/>
              </w:rPr>
              <w:t>；</w:t>
            </w:r>
            <w:r>
              <w:rPr>
                <w:color w:val="auto"/>
                <w:highlight w:val="none"/>
              </w:rPr>
              <w:br w:type="textWrapping"/>
            </w:r>
            <w:r>
              <w:rPr>
                <w:rFonts w:hint="eastAsia"/>
                <w:color w:val="auto"/>
                <w:highlight w:val="none"/>
              </w:rPr>
              <w:t>②</w:t>
            </w:r>
            <w:r>
              <w:rPr>
                <w:color w:val="auto"/>
                <w:highlight w:val="none"/>
              </w:rPr>
              <w:t>禁止销售、燃用高硫分、高灰分煤，推进煤炭清洁利用和散煤治理</w:t>
            </w:r>
            <w:r>
              <w:rPr>
                <w:rFonts w:hint="eastAsia"/>
                <w:color w:val="auto"/>
                <w:highlight w:val="none"/>
              </w:rPr>
              <w:t>；</w:t>
            </w:r>
            <w:r>
              <w:rPr>
                <w:color w:val="auto"/>
                <w:highlight w:val="none"/>
              </w:rPr>
              <w:br w:type="textWrapping"/>
            </w:r>
            <w:r>
              <w:rPr>
                <w:rFonts w:hint="eastAsia"/>
                <w:color w:val="auto"/>
                <w:highlight w:val="none"/>
              </w:rPr>
              <w:t>③</w:t>
            </w:r>
            <w:r>
              <w:rPr>
                <w:color w:val="auto"/>
                <w:highlight w:val="none"/>
              </w:rPr>
              <w:t>鼓励使用S含量低于0.5%的特低硫煤，限制使用S含量0.5~1.0%的低硫煤，禁止使用S含量高于1.0%的中高硫煤</w:t>
            </w:r>
            <w:r>
              <w:rPr>
                <w:rFonts w:hint="eastAsia"/>
                <w:color w:val="auto"/>
                <w:highlight w:val="none"/>
              </w:rPr>
              <w:t>；</w:t>
            </w:r>
            <w:r>
              <w:rPr>
                <w:color w:val="auto"/>
                <w:highlight w:val="none"/>
              </w:rPr>
              <w:br w:type="textWrapping"/>
            </w:r>
            <w:r>
              <w:rPr>
                <w:rFonts w:hint="eastAsia"/>
                <w:color w:val="auto"/>
                <w:highlight w:val="none"/>
              </w:rPr>
              <w:t>④</w:t>
            </w:r>
            <w:r>
              <w:rPr>
                <w:color w:val="auto"/>
                <w:highlight w:val="none"/>
              </w:rPr>
              <w:t>其他执行一般管控单元总体管控要</w:t>
            </w:r>
            <w:r>
              <w:rPr>
                <w:rFonts w:hint="eastAsia"/>
                <w:color w:val="auto"/>
                <w:highlight w:val="none"/>
              </w:rPr>
              <w:t>；</w:t>
            </w:r>
          </w:p>
        </w:tc>
        <w:tc>
          <w:tcPr>
            <w:tcW w:w="765" w:type="pct"/>
            <w:tcBorders>
              <w:tl2br w:val="nil"/>
              <w:tr2bl w:val="nil"/>
            </w:tcBorders>
            <w:vAlign w:val="center"/>
          </w:tcPr>
          <w:p>
            <w:pPr>
              <w:pStyle w:val="28"/>
              <w:widowControl w:val="0"/>
              <w:rPr>
                <w:color w:val="auto"/>
                <w:highlight w:val="none"/>
              </w:rPr>
            </w:pPr>
            <w:r>
              <w:rPr>
                <w:rFonts w:hint="eastAsia"/>
                <w:color w:val="auto"/>
                <w:highlight w:val="none"/>
              </w:rPr>
              <w:t>本项目使用天然气清洁能源，且符合</w:t>
            </w:r>
            <w:r>
              <w:rPr>
                <w:color w:val="auto"/>
                <w:highlight w:val="none"/>
              </w:rPr>
              <w:t>一般管控单元总体管控要</w:t>
            </w:r>
          </w:p>
        </w:tc>
        <w:tc>
          <w:tcPr>
            <w:tcW w:w="282" w:type="pct"/>
            <w:tcBorders>
              <w:tl2br w:val="nil"/>
              <w:tr2bl w:val="nil"/>
            </w:tcBorders>
            <w:vAlign w:val="center"/>
          </w:tcPr>
          <w:p>
            <w:pPr>
              <w:pStyle w:val="28"/>
              <w:widowControl w:val="0"/>
              <w:rPr>
                <w:color w:val="auto"/>
                <w:highlight w:val="none"/>
              </w:rPr>
            </w:pPr>
          </w:p>
        </w:tc>
      </w:tr>
    </w:tbl>
    <w:p>
      <w:pPr>
        <w:pStyle w:val="4"/>
        <w:widowControl w:val="0"/>
        <w:rPr>
          <w:color w:val="auto"/>
          <w:highlight w:val="none"/>
        </w:rPr>
      </w:pPr>
      <w:bookmarkStart w:id="40" w:name="_Toc9320"/>
      <w:r>
        <w:rPr>
          <w:color w:val="auto"/>
          <w:sz w:val="24"/>
          <w:highlight w:val="none"/>
        </w:rPr>
        <w:t>本项目与</w:t>
      </w:r>
      <w:r>
        <w:rPr>
          <w:color w:val="auto"/>
          <w:sz w:val="24"/>
          <w:szCs w:val="28"/>
          <w:highlight w:val="none"/>
        </w:rPr>
        <w:t>《</w:t>
      </w:r>
      <w:r>
        <w:rPr>
          <w:rFonts w:hint="eastAsia"/>
          <w:color w:val="auto"/>
          <w:sz w:val="24"/>
          <w:szCs w:val="28"/>
          <w:highlight w:val="none"/>
        </w:rPr>
        <w:t>长江经济带发展负面清单指南（试行，2022年版）</w:t>
      </w:r>
      <w:r>
        <w:rPr>
          <w:color w:val="auto"/>
          <w:sz w:val="24"/>
          <w:szCs w:val="28"/>
          <w:highlight w:val="none"/>
        </w:rPr>
        <w:t>》符合性分析</w:t>
      </w:r>
      <w:bookmarkEnd w:id="40"/>
    </w:p>
    <w:p>
      <w:pPr>
        <w:pStyle w:val="27"/>
        <w:widowControl w:val="0"/>
        <w:rPr>
          <w:color w:val="auto"/>
          <w:highlight w:val="none"/>
        </w:rPr>
      </w:pPr>
      <w:r>
        <w:rPr>
          <w:color w:val="auto"/>
          <w:highlight w:val="none"/>
        </w:rPr>
        <w:t>与《四川省长江经济带发展负面清单实施细则（试行）》要求符合性</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0"/>
        <w:gridCol w:w="7682"/>
        <w:gridCol w:w="3402"/>
        <w:gridCol w:w="12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b/>
                <w:bCs/>
                <w:color w:val="auto"/>
                <w:highlight w:val="none"/>
              </w:rPr>
            </w:pPr>
            <w:r>
              <w:rPr>
                <w:b/>
                <w:bCs/>
                <w:color w:val="auto"/>
                <w:highlight w:val="none"/>
              </w:rPr>
              <w:t>序号</w:t>
            </w:r>
          </w:p>
        </w:tc>
        <w:tc>
          <w:tcPr>
            <w:tcW w:w="2914" w:type="pct"/>
            <w:tcBorders>
              <w:tl2br w:val="nil"/>
              <w:tr2bl w:val="nil"/>
            </w:tcBorders>
            <w:vAlign w:val="center"/>
          </w:tcPr>
          <w:p>
            <w:pPr>
              <w:pStyle w:val="28"/>
              <w:widowControl w:val="0"/>
              <w:rPr>
                <w:b/>
                <w:bCs/>
                <w:color w:val="auto"/>
                <w:highlight w:val="none"/>
              </w:rPr>
            </w:pPr>
            <w:r>
              <w:rPr>
                <w:b/>
                <w:bCs/>
                <w:color w:val="auto"/>
                <w:highlight w:val="none"/>
              </w:rPr>
              <w:t>具体要求</w:t>
            </w:r>
          </w:p>
        </w:tc>
        <w:tc>
          <w:tcPr>
            <w:tcW w:w="1290" w:type="pct"/>
            <w:tcBorders>
              <w:tl2br w:val="nil"/>
              <w:tr2bl w:val="nil"/>
            </w:tcBorders>
            <w:vAlign w:val="center"/>
          </w:tcPr>
          <w:p>
            <w:pPr>
              <w:pStyle w:val="28"/>
              <w:widowControl w:val="0"/>
              <w:rPr>
                <w:b/>
                <w:bCs/>
                <w:color w:val="auto"/>
                <w:highlight w:val="none"/>
              </w:rPr>
            </w:pPr>
            <w:r>
              <w:rPr>
                <w:b/>
                <w:bCs/>
                <w:color w:val="auto"/>
                <w:highlight w:val="none"/>
              </w:rPr>
              <w:t>本项目情况</w:t>
            </w:r>
          </w:p>
        </w:tc>
        <w:tc>
          <w:tcPr>
            <w:tcW w:w="460" w:type="pct"/>
            <w:tcBorders>
              <w:tl2br w:val="nil"/>
              <w:tr2bl w:val="nil"/>
            </w:tcBorders>
            <w:vAlign w:val="center"/>
          </w:tcPr>
          <w:p>
            <w:pPr>
              <w:pStyle w:val="28"/>
              <w:widowControl w:val="0"/>
              <w:rPr>
                <w:b/>
                <w:bCs/>
                <w:color w:val="auto"/>
                <w:highlight w:val="none"/>
              </w:rPr>
            </w:pPr>
            <w:r>
              <w:rPr>
                <w:b/>
                <w:bCs/>
                <w:color w:val="auto"/>
                <w:highlight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1</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禁止建设不符合全国和省级港口布局规划以及港口总体规划的码头项目，禁止建设不符合《长江干线过江通道布局规划》</w:t>
            </w:r>
            <w:r>
              <w:rPr>
                <w:rFonts w:hint="eastAsia"/>
                <w:color w:val="auto"/>
                <w:highlight w:val="none"/>
              </w:rPr>
              <w:t>地过</w:t>
            </w:r>
            <w:r>
              <w:rPr>
                <w:color w:val="auto"/>
                <w:highlight w:val="none"/>
              </w:rPr>
              <w:t>长江通道项目</w:t>
            </w:r>
            <w:r>
              <w:rPr>
                <w:rFonts w:hint="eastAsia"/>
                <w:color w:val="auto"/>
                <w:highlight w:val="none"/>
              </w:rPr>
              <w:t>。</w:t>
            </w:r>
          </w:p>
        </w:tc>
        <w:tc>
          <w:tcPr>
            <w:tcW w:w="1290" w:type="pct"/>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牲畜屠宰项目</w:t>
            </w:r>
            <w:r>
              <w:rPr>
                <w:color w:val="auto"/>
                <w:highlight w:val="none"/>
              </w:rPr>
              <w:t>，不属于上述项目。</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2</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290" w:type="pct"/>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位于平昌县响滩镇石泉村</w:t>
            </w:r>
            <w:r>
              <w:rPr>
                <w:color w:val="auto"/>
                <w:highlight w:val="none"/>
              </w:rPr>
              <w:t>，</w:t>
            </w:r>
            <w:r>
              <w:rPr>
                <w:rFonts w:hint="eastAsia"/>
                <w:color w:val="auto"/>
                <w:highlight w:val="none"/>
              </w:rPr>
              <w:t>用地未在风景名胜区</w:t>
            </w:r>
            <w:r>
              <w:rPr>
                <w:color w:val="auto"/>
                <w:highlight w:val="none"/>
              </w:rPr>
              <w:t>核心区、缓冲区的岸线和河段范围内。</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3</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90" w:type="pct"/>
            <w:tcBorders>
              <w:tl2br w:val="nil"/>
              <w:tr2bl w:val="nil"/>
            </w:tcBorders>
            <w:vAlign w:val="center"/>
          </w:tcPr>
          <w:p>
            <w:pPr>
              <w:pStyle w:val="28"/>
              <w:widowControl w:val="0"/>
              <w:rPr>
                <w:color w:val="auto"/>
                <w:highlight w:val="none"/>
              </w:rPr>
            </w:pPr>
            <w:r>
              <w:rPr>
                <w:color w:val="auto"/>
                <w:highlight w:val="none"/>
              </w:rPr>
              <w:t>本项目所在河段不涉及饮用水水源保护区，且项目不属于上述项目。</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4</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90" w:type="pct"/>
            <w:tcBorders>
              <w:tl2br w:val="nil"/>
              <w:tr2bl w:val="nil"/>
            </w:tcBorders>
            <w:vAlign w:val="center"/>
          </w:tcPr>
          <w:p>
            <w:pPr>
              <w:pStyle w:val="28"/>
              <w:widowControl w:val="0"/>
              <w:rPr>
                <w:color w:val="auto"/>
                <w:highlight w:val="none"/>
              </w:rPr>
            </w:pPr>
            <w:r>
              <w:rPr>
                <w:color w:val="auto"/>
                <w:highlight w:val="none"/>
              </w:rPr>
              <w:t>本项目所在河段不涉及</w:t>
            </w:r>
            <w:r>
              <w:rPr>
                <w:rFonts w:hint="eastAsia"/>
                <w:color w:val="auto"/>
                <w:highlight w:val="none"/>
              </w:rPr>
              <w:t>水产资源保护区</w:t>
            </w:r>
            <w:r>
              <w:rPr>
                <w:color w:val="auto"/>
                <w:highlight w:val="none"/>
              </w:rPr>
              <w:t>，且项目不属于上述项目。</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5</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290" w:type="pct"/>
            <w:tcBorders>
              <w:tl2br w:val="nil"/>
              <w:tr2bl w:val="nil"/>
            </w:tcBorders>
            <w:vAlign w:val="center"/>
          </w:tcPr>
          <w:p>
            <w:pPr>
              <w:pStyle w:val="28"/>
              <w:widowControl w:val="0"/>
              <w:rPr>
                <w:color w:val="auto"/>
                <w:highlight w:val="none"/>
              </w:rPr>
            </w:pPr>
            <w:r>
              <w:rPr>
                <w:color w:val="auto"/>
                <w:highlight w:val="none"/>
              </w:rPr>
              <w:t>本项目所在河段不涉及《长江岸线保护和开发利用总体规划》划定的岸线保护区和保留区。</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6</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禁止未经许可在长江干支流及湖泊新设、改设或扩大排污口。</w:t>
            </w:r>
          </w:p>
        </w:tc>
        <w:tc>
          <w:tcPr>
            <w:tcW w:w="1290" w:type="pct"/>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污水通过自建污水处理站处理后进入市政污水管网，未设置排口</w:t>
            </w:r>
            <w:r>
              <w:rPr>
                <w:color w:val="auto"/>
                <w:highlight w:val="none"/>
              </w:rPr>
              <w:t>。</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color w:val="auto"/>
                <w:highlight w:val="none"/>
              </w:rPr>
              <w:t>7</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禁止在“一江一口两湖七河”和332个水生生物保护区开展生产性捕捞。</w:t>
            </w:r>
          </w:p>
        </w:tc>
        <w:tc>
          <w:tcPr>
            <w:tcW w:w="1290" w:type="pct"/>
            <w:tcBorders>
              <w:tl2br w:val="nil"/>
              <w:tr2bl w:val="nil"/>
            </w:tcBorders>
            <w:vAlign w:val="center"/>
          </w:tcPr>
          <w:p>
            <w:pPr>
              <w:pStyle w:val="28"/>
              <w:widowControl w:val="0"/>
              <w:rPr>
                <w:color w:val="auto"/>
                <w:highlight w:val="none"/>
              </w:rPr>
            </w:pPr>
            <w:r>
              <w:rPr>
                <w:color w:val="auto"/>
                <w:highlight w:val="none"/>
              </w:rPr>
              <w:t>本项目</w:t>
            </w:r>
            <w:r>
              <w:rPr>
                <w:rFonts w:hint="eastAsia"/>
                <w:color w:val="auto"/>
                <w:highlight w:val="none"/>
              </w:rPr>
              <w:t>不涉及捕捞</w:t>
            </w:r>
            <w:r>
              <w:rPr>
                <w:color w:val="auto"/>
                <w:highlight w:val="none"/>
              </w:rPr>
              <w:t>。</w:t>
            </w:r>
          </w:p>
        </w:tc>
        <w:tc>
          <w:tcPr>
            <w:tcW w:w="460" w:type="pct"/>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90" w:type="pct"/>
            <w:tcBorders>
              <w:tl2br w:val="nil"/>
              <w:tr2bl w:val="nil"/>
            </w:tcBorders>
            <w:vAlign w:val="center"/>
          </w:tcPr>
          <w:p>
            <w:pPr>
              <w:pStyle w:val="28"/>
              <w:widowControl w:val="0"/>
              <w:rPr>
                <w:color w:val="auto"/>
                <w:highlight w:val="none"/>
              </w:rPr>
            </w:pPr>
            <w:r>
              <w:rPr>
                <w:rFonts w:hint="eastAsia"/>
                <w:color w:val="auto"/>
                <w:highlight w:val="none"/>
              </w:rPr>
              <w:t>本项目为牲畜屠宰项目，不属于上述项目。</w:t>
            </w:r>
          </w:p>
        </w:tc>
        <w:tc>
          <w:tcPr>
            <w:tcW w:w="886"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禁止在合规园区外新建、扩建钢铁、石化、化工、焦化、建材、有色、制浆造纸等高污染项目。</w:t>
            </w:r>
          </w:p>
        </w:tc>
        <w:tc>
          <w:tcPr>
            <w:tcW w:w="1290" w:type="pct"/>
            <w:tcBorders>
              <w:tl2br w:val="nil"/>
              <w:tr2bl w:val="nil"/>
            </w:tcBorders>
            <w:vAlign w:val="center"/>
          </w:tcPr>
          <w:p>
            <w:pPr>
              <w:pStyle w:val="28"/>
              <w:widowControl w:val="0"/>
              <w:rPr>
                <w:color w:val="auto"/>
                <w:highlight w:val="none"/>
              </w:rPr>
            </w:pPr>
            <w:r>
              <w:rPr>
                <w:rFonts w:hint="eastAsia"/>
                <w:color w:val="auto"/>
                <w:highlight w:val="none"/>
              </w:rPr>
              <w:t>本项目位于平昌县响滩镇石泉村，新建牲畜屠宰项目。</w:t>
            </w:r>
          </w:p>
        </w:tc>
        <w:tc>
          <w:tcPr>
            <w:tcW w:w="886"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禁止新建、扩建不符合国家石化、现代煤化工等产业布局规划的项目。</w:t>
            </w:r>
          </w:p>
        </w:tc>
        <w:tc>
          <w:tcPr>
            <w:tcW w:w="1290" w:type="pct"/>
            <w:tcBorders>
              <w:tl2br w:val="nil"/>
              <w:tr2bl w:val="nil"/>
            </w:tcBorders>
            <w:vAlign w:val="center"/>
          </w:tcPr>
          <w:p>
            <w:pPr>
              <w:pStyle w:val="28"/>
              <w:widowControl w:val="0"/>
              <w:rPr>
                <w:color w:val="auto"/>
                <w:highlight w:val="none"/>
              </w:rPr>
            </w:pPr>
            <w:r>
              <w:rPr>
                <w:rFonts w:hint="eastAsia"/>
                <w:color w:val="auto"/>
                <w:highlight w:val="none"/>
              </w:rPr>
              <w:t>本项目为牲畜屠宰项目，</w:t>
            </w:r>
            <w:r>
              <w:rPr>
                <w:color w:val="auto"/>
                <w:highlight w:val="none"/>
              </w:rPr>
              <w:t>不属于上述项目</w:t>
            </w:r>
          </w:p>
        </w:tc>
        <w:tc>
          <w:tcPr>
            <w:tcW w:w="886" w:type="dxa"/>
            <w:tcBorders>
              <w:tl2br w:val="nil"/>
              <w:tr2bl w:val="nil"/>
            </w:tcBorders>
            <w:vAlign w:val="center"/>
          </w:tcPr>
          <w:p>
            <w:pPr>
              <w:pStyle w:val="28"/>
              <w:widowControl w:val="0"/>
              <w:rPr>
                <w:color w:val="auto"/>
                <w:highlight w:val="none"/>
              </w:rPr>
            </w:pPr>
            <w:r>
              <w:rPr>
                <w:color w:val="auto"/>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34" w:type="pct"/>
            <w:tcBorders>
              <w:tl2br w:val="nil"/>
              <w:tr2bl w:val="nil"/>
            </w:tcBorders>
            <w:vAlign w:val="center"/>
          </w:tcPr>
          <w:p>
            <w:pPr>
              <w:pStyle w:val="28"/>
              <w:widowControl w:val="0"/>
              <w:rPr>
                <w:color w:val="auto"/>
                <w:highlight w:val="none"/>
              </w:rPr>
            </w:pPr>
            <w:r>
              <w:rPr>
                <w:rFonts w:hint="eastAsia"/>
                <w:color w:val="auto"/>
                <w:highlight w:val="none"/>
              </w:rPr>
              <w:t>11</w:t>
            </w:r>
          </w:p>
        </w:tc>
        <w:tc>
          <w:tcPr>
            <w:tcW w:w="2914" w:type="pct"/>
            <w:tcBorders>
              <w:tl2br w:val="nil"/>
              <w:tr2bl w:val="nil"/>
            </w:tcBorders>
            <w:vAlign w:val="center"/>
          </w:tcPr>
          <w:p>
            <w:pPr>
              <w:pStyle w:val="28"/>
              <w:widowControl w:val="0"/>
              <w:jc w:val="both"/>
              <w:rPr>
                <w:color w:val="auto"/>
                <w:highlight w:val="none"/>
              </w:rPr>
            </w:pPr>
            <w:r>
              <w:rPr>
                <w:color w:val="auto"/>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290" w:type="pct"/>
            <w:tcBorders>
              <w:tl2br w:val="nil"/>
              <w:tr2bl w:val="nil"/>
            </w:tcBorders>
            <w:vAlign w:val="center"/>
          </w:tcPr>
          <w:p>
            <w:pPr>
              <w:pStyle w:val="28"/>
              <w:widowControl w:val="0"/>
              <w:rPr>
                <w:color w:val="auto"/>
                <w:highlight w:val="none"/>
              </w:rPr>
            </w:pPr>
            <w:r>
              <w:rPr>
                <w:rFonts w:hint="eastAsia"/>
                <w:color w:val="auto"/>
                <w:highlight w:val="none"/>
              </w:rPr>
              <w:t>本项目根据《产业结构调整指导目录（2019年本）》，属允许类项目，符合国家规范要求，且不属于</w:t>
            </w:r>
            <w:r>
              <w:rPr>
                <w:color w:val="auto"/>
                <w:highlight w:val="none"/>
              </w:rPr>
              <w:t>高耗能高排放项目。</w:t>
            </w:r>
          </w:p>
        </w:tc>
        <w:tc>
          <w:tcPr>
            <w:tcW w:w="886" w:type="dxa"/>
            <w:tcBorders>
              <w:tl2br w:val="nil"/>
              <w:tr2bl w:val="nil"/>
            </w:tcBorders>
            <w:vAlign w:val="center"/>
          </w:tcPr>
          <w:p>
            <w:pPr>
              <w:pStyle w:val="28"/>
              <w:widowControl w:val="0"/>
              <w:rPr>
                <w:color w:val="auto"/>
                <w:highlight w:val="none"/>
              </w:rPr>
            </w:pPr>
            <w:r>
              <w:rPr>
                <w:color w:val="auto"/>
                <w:highlight w:val="none"/>
              </w:rPr>
              <w:t>符合</w:t>
            </w:r>
          </w:p>
        </w:tc>
      </w:tr>
    </w:tbl>
    <w:p>
      <w:pPr>
        <w:widowControl w:val="0"/>
        <w:ind w:firstLine="480"/>
        <w:rPr>
          <w:color w:val="auto"/>
          <w:highlight w:val="none"/>
        </w:rPr>
        <w:sectPr>
          <w:pgSz w:w="15840" w:h="12240" w:orient="landscape"/>
          <w:pgMar w:top="1417" w:right="1440" w:bottom="1417"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color w:val="auto"/>
          <w:highlight w:val="none"/>
        </w:rPr>
        <w:t>因此，本项目与《</w:t>
      </w:r>
      <w:r>
        <w:rPr>
          <w:rFonts w:hint="eastAsia"/>
          <w:color w:val="auto"/>
          <w:highlight w:val="none"/>
        </w:rPr>
        <w:t>长江经济带发展负面清单指南（试行，2022年版）</w:t>
      </w:r>
      <w:r>
        <w:rPr>
          <w:color w:val="auto"/>
          <w:highlight w:val="none"/>
        </w:rPr>
        <w:t>》</w:t>
      </w:r>
      <w:r>
        <w:rPr>
          <w:rFonts w:hint="eastAsia"/>
          <w:color w:val="auto"/>
          <w:highlight w:val="none"/>
        </w:rPr>
        <w:t>（长江办[2022]7号）</w:t>
      </w:r>
      <w:r>
        <w:rPr>
          <w:color w:val="auto"/>
          <w:highlight w:val="none"/>
        </w:rPr>
        <w:t>相符。</w:t>
      </w:r>
    </w:p>
    <w:p>
      <w:pPr>
        <w:pStyle w:val="4"/>
        <w:widowControl w:val="0"/>
        <w:rPr>
          <w:color w:val="auto"/>
          <w:highlight w:val="none"/>
        </w:rPr>
      </w:pPr>
      <w:bookmarkStart w:id="41" w:name="_Toc5337"/>
      <w:r>
        <w:rPr>
          <w:rFonts w:hint="eastAsia"/>
          <w:color w:val="auto"/>
          <w:highlight w:val="none"/>
        </w:rPr>
        <w:t>外环境关系及选址合理性分析</w:t>
      </w:r>
      <w:bookmarkEnd w:id="41"/>
    </w:p>
    <w:p>
      <w:pPr>
        <w:pStyle w:val="5"/>
        <w:widowControl w:val="0"/>
        <w:ind w:firstLine="120"/>
        <w:rPr>
          <w:color w:val="auto"/>
          <w:highlight w:val="none"/>
        </w:rPr>
      </w:pPr>
      <w:r>
        <w:rPr>
          <w:rFonts w:hint="eastAsia"/>
          <w:color w:val="auto"/>
          <w:highlight w:val="none"/>
        </w:rPr>
        <w:t>周边外环境关系</w:t>
      </w:r>
    </w:p>
    <w:p>
      <w:pPr>
        <w:widowControl w:val="0"/>
        <w:ind w:firstLine="480"/>
        <w:rPr>
          <w:color w:val="auto"/>
          <w:highlight w:val="none"/>
        </w:rPr>
      </w:pPr>
      <w:r>
        <w:rPr>
          <w:rFonts w:hint="eastAsia"/>
          <w:color w:val="auto"/>
          <w:highlight w:val="none"/>
        </w:rPr>
        <w:t>本项目位于平昌县响滩镇石泉村，项目所在地属农村区域，项目北面为基本农田，其余东、西、南三面环河（濛溪河），项目周边主要为农村居民，项目厂界北侧10m为石泉村居民；项目厂界西侧250m为西桥村居民；项目厂界东侧280m为宋家营居民2；项目厂界东侧240m为宋家营居民1；项目厂界北侧30m为161县道。项目周边外环境关系见下表。</w:t>
      </w:r>
    </w:p>
    <w:p>
      <w:pPr>
        <w:pStyle w:val="27"/>
        <w:widowControl w:val="0"/>
        <w:rPr>
          <w:color w:val="auto"/>
          <w:highlight w:val="none"/>
        </w:rPr>
      </w:pPr>
      <w:r>
        <w:rPr>
          <w:rFonts w:hint="eastAsia"/>
          <w:color w:val="auto"/>
          <w:highlight w:val="none"/>
        </w:rPr>
        <w:t>项目周边外环境关系一览表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2297"/>
        <w:gridCol w:w="1648"/>
        <w:gridCol w:w="1650"/>
        <w:gridCol w:w="2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2297" w:type="dxa"/>
            <w:tcBorders>
              <w:tl2br w:val="nil"/>
              <w:tr2bl w:val="nil"/>
            </w:tcBorders>
            <w:vAlign w:val="center"/>
          </w:tcPr>
          <w:p>
            <w:pPr>
              <w:pStyle w:val="28"/>
              <w:widowControl w:val="0"/>
              <w:rPr>
                <w:b/>
                <w:bCs/>
                <w:color w:val="auto"/>
                <w:highlight w:val="none"/>
              </w:rPr>
            </w:pPr>
            <w:r>
              <w:rPr>
                <w:rFonts w:hint="eastAsia"/>
                <w:b/>
                <w:bCs/>
                <w:color w:val="auto"/>
                <w:highlight w:val="none"/>
              </w:rPr>
              <w:t>方位</w:t>
            </w:r>
          </w:p>
        </w:tc>
        <w:tc>
          <w:tcPr>
            <w:tcW w:w="1648" w:type="dxa"/>
            <w:tcBorders>
              <w:tl2br w:val="nil"/>
              <w:tr2bl w:val="nil"/>
            </w:tcBorders>
            <w:vAlign w:val="center"/>
          </w:tcPr>
          <w:p>
            <w:pPr>
              <w:pStyle w:val="28"/>
              <w:widowControl w:val="0"/>
              <w:rPr>
                <w:b/>
                <w:bCs/>
                <w:color w:val="auto"/>
                <w:highlight w:val="none"/>
              </w:rPr>
            </w:pPr>
            <w:r>
              <w:rPr>
                <w:rFonts w:hint="eastAsia"/>
                <w:b/>
                <w:bCs/>
                <w:color w:val="auto"/>
                <w:highlight w:val="none"/>
              </w:rPr>
              <w:t>与厂界距离</w:t>
            </w:r>
          </w:p>
        </w:tc>
        <w:tc>
          <w:tcPr>
            <w:tcW w:w="1650" w:type="dxa"/>
            <w:tcBorders>
              <w:tl2br w:val="nil"/>
              <w:tr2bl w:val="nil"/>
            </w:tcBorders>
            <w:vAlign w:val="center"/>
          </w:tcPr>
          <w:p>
            <w:pPr>
              <w:pStyle w:val="28"/>
              <w:widowControl w:val="0"/>
              <w:rPr>
                <w:b/>
                <w:bCs/>
                <w:color w:val="auto"/>
                <w:highlight w:val="none"/>
              </w:rPr>
            </w:pPr>
            <w:r>
              <w:rPr>
                <w:rFonts w:hint="eastAsia"/>
                <w:b/>
                <w:bCs/>
                <w:color w:val="auto"/>
                <w:highlight w:val="none"/>
              </w:rPr>
              <w:t>性质</w:t>
            </w:r>
          </w:p>
        </w:tc>
        <w:tc>
          <w:tcPr>
            <w:tcW w:w="2474" w:type="dxa"/>
            <w:tcBorders>
              <w:tl2br w:val="nil"/>
              <w:tr2bl w:val="nil"/>
            </w:tcBorders>
            <w:vAlign w:val="center"/>
          </w:tcPr>
          <w:p>
            <w:pPr>
              <w:pStyle w:val="28"/>
              <w:widowControl w:val="0"/>
              <w:rPr>
                <w:b/>
                <w:bCs/>
                <w:color w:val="auto"/>
                <w:highlight w:val="none"/>
              </w:rPr>
            </w:pPr>
            <w:r>
              <w:rPr>
                <w:rFonts w:hint="eastAsia"/>
                <w:b/>
                <w:bCs/>
                <w:color w:val="auto"/>
                <w:highlight w:val="none"/>
              </w:rPr>
              <w:t>人数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28"/>
              <w:widowControl w:val="0"/>
              <w:rPr>
                <w:color w:val="auto"/>
                <w:highlight w:val="none"/>
              </w:rPr>
            </w:pPr>
            <w:r>
              <w:rPr>
                <w:rFonts w:hint="eastAsia"/>
                <w:color w:val="auto"/>
                <w:highlight w:val="none"/>
              </w:rPr>
              <w:t>石泉村居民</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东侧</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10m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居民</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约14户，约52人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28"/>
              <w:widowControl w:val="0"/>
              <w:rPr>
                <w:color w:val="auto"/>
                <w:highlight w:val="none"/>
              </w:rPr>
            </w:pPr>
            <w:r>
              <w:rPr>
                <w:rFonts w:hint="eastAsia"/>
                <w:color w:val="auto"/>
                <w:highlight w:val="none"/>
              </w:rPr>
              <w:t>西桥村居民</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西侧</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250m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居民</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约10户，约30人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Borders>
              <w:tl2br w:val="nil"/>
              <w:tr2bl w:val="nil"/>
            </w:tcBorders>
            <w:vAlign w:val="center"/>
          </w:tcPr>
          <w:p>
            <w:pPr>
              <w:pStyle w:val="28"/>
              <w:widowControl w:val="0"/>
              <w:rPr>
                <w:color w:val="auto"/>
                <w:highlight w:val="none"/>
              </w:rPr>
            </w:pPr>
            <w:r>
              <w:rPr>
                <w:rFonts w:hint="eastAsia"/>
                <w:color w:val="auto"/>
                <w:highlight w:val="none"/>
              </w:rPr>
              <w:t>宋家营居民1</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东侧</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240m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居民</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约7户，约21人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28"/>
              <w:widowControl w:val="0"/>
              <w:rPr>
                <w:color w:val="auto"/>
                <w:highlight w:val="none"/>
              </w:rPr>
            </w:pPr>
            <w:r>
              <w:rPr>
                <w:rFonts w:hint="eastAsia"/>
                <w:color w:val="auto"/>
                <w:highlight w:val="none"/>
              </w:rPr>
              <w:t>宋家营居民2</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东侧</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280m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居民</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约4户，约12人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Borders>
              <w:tl2br w:val="nil"/>
              <w:tr2bl w:val="nil"/>
            </w:tcBorders>
            <w:vAlign w:val="center"/>
          </w:tcPr>
          <w:p>
            <w:pPr>
              <w:pStyle w:val="28"/>
              <w:widowControl w:val="0"/>
              <w:rPr>
                <w:color w:val="auto"/>
                <w:highlight w:val="none"/>
              </w:rPr>
            </w:pPr>
            <w:r>
              <w:rPr>
                <w:rFonts w:hint="eastAsia"/>
                <w:color w:val="auto"/>
                <w:highlight w:val="none"/>
              </w:rPr>
              <w:t>濛溪河</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东、西、南三面环绕</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50m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地表水</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28"/>
              <w:widowControl w:val="0"/>
              <w:rPr>
                <w:color w:val="auto"/>
                <w:highlight w:val="none"/>
              </w:rPr>
            </w:pPr>
            <w:r>
              <w:rPr>
                <w:rFonts w:hint="eastAsia"/>
                <w:color w:val="auto"/>
                <w:highlight w:val="none"/>
              </w:rPr>
              <w:t>161县道</w:t>
            </w:r>
          </w:p>
        </w:tc>
        <w:tc>
          <w:tcPr>
            <w:tcW w:w="2297" w:type="dxa"/>
            <w:tcBorders>
              <w:tl2br w:val="nil"/>
              <w:tr2bl w:val="nil"/>
            </w:tcBorders>
            <w:vAlign w:val="center"/>
          </w:tcPr>
          <w:p>
            <w:pPr>
              <w:pStyle w:val="28"/>
              <w:widowControl w:val="0"/>
              <w:rPr>
                <w:color w:val="auto"/>
                <w:highlight w:val="none"/>
              </w:rPr>
            </w:pPr>
            <w:r>
              <w:rPr>
                <w:rFonts w:hint="eastAsia"/>
                <w:color w:val="auto"/>
                <w:highlight w:val="none"/>
              </w:rPr>
              <w:t>北侧</w:t>
            </w:r>
          </w:p>
        </w:tc>
        <w:tc>
          <w:tcPr>
            <w:tcW w:w="1648" w:type="dxa"/>
            <w:tcBorders>
              <w:tl2br w:val="nil"/>
              <w:tr2bl w:val="nil"/>
            </w:tcBorders>
            <w:vAlign w:val="center"/>
          </w:tcPr>
          <w:p>
            <w:pPr>
              <w:pStyle w:val="28"/>
              <w:widowControl w:val="0"/>
              <w:rPr>
                <w:color w:val="auto"/>
                <w:highlight w:val="none"/>
              </w:rPr>
            </w:pPr>
            <w:r>
              <w:rPr>
                <w:rFonts w:hint="eastAsia"/>
                <w:color w:val="auto"/>
                <w:highlight w:val="none"/>
              </w:rPr>
              <w:t>30m</w:t>
            </w:r>
          </w:p>
        </w:tc>
        <w:tc>
          <w:tcPr>
            <w:tcW w:w="1650" w:type="dxa"/>
            <w:tcBorders>
              <w:tl2br w:val="nil"/>
              <w:tr2bl w:val="nil"/>
            </w:tcBorders>
            <w:vAlign w:val="center"/>
          </w:tcPr>
          <w:p>
            <w:pPr>
              <w:pStyle w:val="28"/>
              <w:widowControl w:val="0"/>
              <w:rPr>
                <w:color w:val="auto"/>
                <w:highlight w:val="none"/>
              </w:rPr>
            </w:pPr>
            <w:r>
              <w:rPr>
                <w:rFonts w:hint="eastAsia"/>
                <w:color w:val="auto"/>
                <w:highlight w:val="none"/>
              </w:rPr>
              <w:t>道路</w:t>
            </w:r>
          </w:p>
        </w:tc>
        <w:tc>
          <w:tcPr>
            <w:tcW w:w="2474"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5"/>
        <w:widowControl w:val="0"/>
        <w:ind w:firstLine="120"/>
        <w:rPr>
          <w:color w:val="auto"/>
          <w:highlight w:val="none"/>
        </w:rPr>
      </w:pPr>
      <w:r>
        <w:rPr>
          <w:rFonts w:hint="eastAsia"/>
          <w:color w:val="auto"/>
          <w:highlight w:val="none"/>
        </w:rPr>
        <w:t>选址合理性分析</w:t>
      </w:r>
    </w:p>
    <w:p>
      <w:pPr>
        <w:pStyle w:val="6"/>
        <w:widowControl w:val="0"/>
        <w:ind w:left="-160" w:firstLineChars="0"/>
        <w:rPr>
          <w:color w:val="auto"/>
          <w:highlight w:val="none"/>
        </w:rPr>
      </w:pPr>
      <w:r>
        <w:rPr>
          <w:rFonts w:hint="eastAsia"/>
          <w:color w:val="auto"/>
          <w:highlight w:val="none"/>
        </w:rPr>
        <w:t>交通运输环境合理性分析</w:t>
      </w:r>
    </w:p>
    <w:p>
      <w:pPr>
        <w:widowControl w:val="0"/>
        <w:ind w:firstLine="480"/>
        <w:rPr>
          <w:color w:val="auto"/>
          <w:highlight w:val="none"/>
        </w:rPr>
      </w:pPr>
      <w:r>
        <w:rPr>
          <w:rFonts w:hint="eastAsia"/>
          <w:color w:val="auto"/>
          <w:highlight w:val="none"/>
        </w:rPr>
        <w:t>本项目位于平昌县响滩镇石泉村，项目临近161县道，项目区域交通条件较好，项目选址交通便利</w:t>
      </w:r>
      <w:r>
        <w:rPr>
          <w:rFonts w:hint="eastAsia"/>
          <w:color w:val="auto"/>
          <w:highlight w:val="none"/>
          <w:lang w:eastAsia="zh-CN"/>
        </w:rPr>
        <w:t>。</w:t>
      </w:r>
      <w:r>
        <w:rPr>
          <w:rFonts w:hint="eastAsia"/>
          <w:color w:val="auto"/>
          <w:highlight w:val="none"/>
        </w:rPr>
        <w:t>根据现场调查，161县道两侧农户距离公路距离一般为5~30m不等，农户较为分散，由于161县道不易堵车，因此每辆运输车辆通过临路居民点时间非常短，其影响的距离范围有限，因此，项目生猪及肉牛运输车辆在运输途中，不会对沿线分散农户造成明显影响，同时项目运输车辆拟采用全封闭空调运输车辆进行运输，届时运输车辆产生的恶臭将得到进一步控制</w:t>
      </w:r>
      <w:r>
        <w:rPr>
          <w:rFonts w:hint="eastAsia"/>
          <w:color w:val="auto"/>
          <w:highlight w:val="none"/>
          <w:lang w:eastAsia="zh-CN"/>
        </w:rPr>
        <w:t>。</w:t>
      </w:r>
      <w:r>
        <w:rPr>
          <w:rFonts w:hint="eastAsia"/>
          <w:color w:val="auto"/>
          <w:highlight w:val="none"/>
        </w:rPr>
        <w:t>综上，从交通条件分析，项目选址运输便利，比较合理。</w:t>
      </w:r>
    </w:p>
    <w:p>
      <w:pPr>
        <w:widowControl w:val="0"/>
        <w:ind w:firstLine="480"/>
        <w:rPr>
          <w:color w:val="auto"/>
          <w:highlight w:val="none"/>
        </w:rPr>
      </w:pPr>
      <w:r>
        <w:rPr>
          <w:rFonts w:hint="eastAsia"/>
          <w:color w:val="auto"/>
          <w:highlight w:val="none"/>
        </w:rPr>
        <w:t>项目运输线路经县道、国道、高速公路等，项目营运期间应于各交通干到管理部门沟通，了解各道路承载限重与高度，严格按照要求设置货物装载量，不得超出限值，符合《公路安全保护条例》。</w:t>
      </w:r>
    </w:p>
    <w:p>
      <w:pPr>
        <w:pStyle w:val="6"/>
        <w:keepNext w:val="0"/>
        <w:keepLines w:val="0"/>
        <w:widowControl w:val="0"/>
        <w:ind w:left="-160" w:firstLineChars="0"/>
        <w:rPr>
          <w:color w:val="auto"/>
          <w:highlight w:val="none"/>
        </w:rPr>
      </w:pPr>
      <w:r>
        <w:rPr>
          <w:rFonts w:hint="eastAsia"/>
          <w:color w:val="auto"/>
          <w:highlight w:val="none"/>
        </w:rPr>
        <w:t>基本设施依托合理性分析</w:t>
      </w:r>
    </w:p>
    <w:p>
      <w:pPr>
        <w:widowControl w:val="0"/>
        <w:ind w:firstLine="480"/>
        <w:rPr>
          <w:color w:val="auto"/>
          <w:highlight w:val="none"/>
        </w:rPr>
      </w:pPr>
      <w:r>
        <w:rPr>
          <w:rFonts w:hint="eastAsia"/>
          <w:color w:val="auto"/>
          <w:highlight w:val="none"/>
        </w:rPr>
        <w:t>本项目位于平昌县响滩镇石泉村，根据现场调查，项目由石泉村接自来水管网进入厂区，项目建成后由自来水管网供给，水质水量均得到保障；供电由市政电网供电，项目地区可满足项目所需用水用电。综上，项目选址从基础设施分析，其选址具有合理性。</w:t>
      </w:r>
    </w:p>
    <w:p>
      <w:pPr>
        <w:pStyle w:val="6"/>
        <w:widowControl w:val="0"/>
        <w:ind w:left="-160" w:firstLineChars="0"/>
        <w:rPr>
          <w:color w:val="auto"/>
          <w:highlight w:val="none"/>
        </w:rPr>
      </w:pPr>
      <w:r>
        <w:rPr>
          <w:rFonts w:hint="eastAsia"/>
          <w:color w:val="auto"/>
          <w:highlight w:val="none"/>
        </w:rPr>
        <w:t>厂址周边制约因素分析</w:t>
      </w:r>
    </w:p>
    <w:p>
      <w:pPr>
        <w:widowControl w:val="0"/>
        <w:ind w:firstLine="480"/>
        <w:jc w:val="left"/>
        <w:rPr>
          <w:color w:val="auto"/>
          <w:highlight w:val="none"/>
        </w:rPr>
      </w:pPr>
      <w:r>
        <w:rPr>
          <w:rFonts w:hint="eastAsia"/>
          <w:color w:val="auto"/>
          <w:highlight w:val="none"/>
        </w:rPr>
        <w:t>根据现场调查，周围400m范围内分布的敏感点较多，主要为分散农户，无其余工业企业，项目建成后对周边敏感点的影响主要体现在项目恶臭及噪声对周边居民产生的影响，为减小周边居民的影响，建设单位将严格控制项目内待宰圈生猪和肉牛暂存数量，避免了生猪及肉牛在项目区内长时间停留，从而减小了噪声</w:t>
      </w:r>
      <w:r>
        <w:rPr>
          <w:rFonts w:hint="eastAsia" w:ascii="宋体" w:hAnsi="宋体"/>
          <w:color w:val="auto"/>
          <w:szCs w:val="24"/>
          <w:highlight w:val="none"/>
        </w:rPr>
        <w:t>及恶臭对周围居民的影响，本项目通过对场内的恶臭产生单元全部实行密闭负压抽风后经</w:t>
      </w:r>
      <w:r>
        <w:rPr>
          <w:rFonts w:hint="eastAsia"/>
          <w:color w:val="auto"/>
          <w:szCs w:val="24"/>
          <w:highlight w:val="none"/>
        </w:rPr>
        <w:t>UV光解+生物洗涤塔</w:t>
      </w:r>
      <w:r>
        <w:rPr>
          <w:rFonts w:hint="eastAsia" w:ascii="宋体" w:hAnsi="宋体"/>
          <w:color w:val="auto"/>
          <w:szCs w:val="24"/>
          <w:highlight w:val="none"/>
        </w:rPr>
        <w:t>后经</w:t>
      </w:r>
      <w:r>
        <w:rPr>
          <w:rFonts w:eastAsia="Times New Roman"/>
          <w:color w:val="auto"/>
          <w:szCs w:val="24"/>
          <w:highlight w:val="none"/>
        </w:rPr>
        <w:t>15m</w:t>
      </w:r>
      <w:r>
        <w:rPr>
          <w:rFonts w:hint="eastAsia" w:ascii="宋体" w:hAnsi="宋体"/>
          <w:color w:val="auto"/>
          <w:szCs w:val="24"/>
          <w:highlight w:val="none"/>
        </w:rPr>
        <w:t>高排气筒进行排放。</w:t>
      </w:r>
      <w:r>
        <w:rPr>
          <w:rFonts w:hint="eastAsia"/>
          <w:color w:val="auto"/>
          <w:highlight w:val="none"/>
        </w:rPr>
        <w:t>经本次环评计算得出</w:t>
      </w:r>
      <w:r>
        <w:rPr>
          <w:rFonts w:hint="eastAsia" w:ascii="宋体" w:hAnsi="宋体"/>
          <w:color w:val="auto"/>
          <w:szCs w:val="24"/>
          <w:highlight w:val="none"/>
        </w:rPr>
        <w:t>，本项目卫生防护距离最终确定为</w:t>
      </w:r>
      <w:r>
        <w:rPr>
          <w:rFonts w:hint="eastAsia"/>
          <w:color w:val="auto"/>
          <w:szCs w:val="24"/>
          <w:highlight w:val="none"/>
          <w:lang w:val="en-US" w:eastAsia="zh-CN"/>
        </w:rPr>
        <w:t>50</w:t>
      </w:r>
      <w:r>
        <w:rPr>
          <w:rFonts w:eastAsia="Times New Roman"/>
          <w:color w:val="auto"/>
          <w:szCs w:val="24"/>
          <w:highlight w:val="none"/>
        </w:rPr>
        <w:t>m</w:t>
      </w:r>
      <w:r>
        <w:rPr>
          <w:rFonts w:hint="eastAsia" w:ascii="宋体" w:hAnsi="宋体"/>
          <w:color w:val="auto"/>
          <w:szCs w:val="24"/>
          <w:highlight w:val="none"/>
        </w:rPr>
        <w:t>，根据调查，生猪待宰圈、屠宰车间、污水处理站等周围</w:t>
      </w:r>
      <w:r>
        <w:rPr>
          <w:rFonts w:hint="eastAsia"/>
          <w:color w:val="auto"/>
          <w:szCs w:val="24"/>
          <w:highlight w:val="none"/>
          <w:lang w:val="en-US" w:eastAsia="zh-CN"/>
        </w:rPr>
        <w:t>50</w:t>
      </w:r>
      <w:r>
        <w:rPr>
          <w:rFonts w:eastAsia="Times New Roman"/>
          <w:color w:val="auto"/>
          <w:szCs w:val="24"/>
          <w:highlight w:val="none"/>
        </w:rPr>
        <w:t>m</w:t>
      </w:r>
      <w:r>
        <w:rPr>
          <w:rFonts w:hint="eastAsia" w:ascii="宋体" w:hAnsi="宋体"/>
          <w:color w:val="auto"/>
          <w:szCs w:val="24"/>
          <w:highlight w:val="none"/>
        </w:rPr>
        <w:t>范围内无学校、</w:t>
      </w:r>
      <w:r>
        <w:rPr>
          <w:rFonts w:hint="eastAsia" w:ascii="宋体" w:hAnsi="宋体"/>
          <w:color w:val="auto"/>
          <w:szCs w:val="24"/>
          <w:highlight w:val="none"/>
          <w:lang w:val="en-US" w:eastAsia="zh-CN"/>
        </w:rPr>
        <w:t>居民、</w:t>
      </w:r>
      <w:r>
        <w:rPr>
          <w:rFonts w:hint="eastAsia" w:ascii="宋体" w:hAnsi="宋体"/>
          <w:color w:val="auto"/>
          <w:szCs w:val="24"/>
          <w:highlight w:val="none"/>
        </w:rPr>
        <w:t>医院等环境敏感点，通过环评预测，项目产生的恶臭对周围居民的影响在可接受范围内，因此项目选址通过采取调整车间布置以及恶臭及噪声治理措施后从环保角度而言是合理的。</w:t>
      </w:r>
    </w:p>
    <w:p>
      <w:pPr>
        <w:widowControl w:val="0"/>
        <w:ind w:firstLine="482"/>
        <w:jc w:val="left"/>
        <w:rPr>
          <w:color w:val="auto"/>
          <w:highlight w:val="none"/>
        </w:rPr>
      </w:pPr>
      <w:r>
        <w:rPr>
          <w:rFonts w:hint="eastAsia" w:ascii="宋体" w:hAnsi="宋体"/>
          <w:b/>
          <w:bCs/>
          <w:color w:val="auto"/>
          <w:szCs w:val="24"/>
          <w:highlight w:val="none"/>
        </w:rPr>
        <w:t>综上，项目采取相应的除臭、降噪措施后，项目选址具有环境合理性。</w:t>
      </w:r>
    </w:p>
    <w:p>
      <w:pPr>
        <w:pStyle w:val="4"/>
        <w:widowControl w:val="0"/>
        <w:rPr>
          <w:color w:val="auto"/>
          <w:highlight w:val="none"/>
        </w:rPr>
      </w:pPr>
      <w:bookmarkStart w:id="42" w:name="_Toc4622"/>
      <w:r>
        <w:rPr>
          <w:rFonts w:hint="eastAsia"/>
          <w:color w:val="auto"/>
          <w:highlight w:val="none"/>
        </w:rPr>
        <w:t>污染控制与环境保护目标</w:t>
      </w:r>
      <w:bookmarkEnd w:id="42"/>
    </w:p>
    <w:p>
      <w:pPr>
        <w:pStyle w:val="5"/>
        <w:widowControl w:val="0"/>
        <w:ind w:firstLine="120"/>
        <w:rPr>
          <w:color w:val="auto"/>
          <w:highlight w:val="none"/>
        </w:rPr>
      </w:pPr>
      <w:r>
        <w:rPr>
          <w:rFonts w:hint="eastAsia"/>
          <w:color w:val="auto"/>
          <w:highlight w:val="none"/>
        </w:rPr>
        <w:t>污染控制的目的</w:t>
      </w:r>
    </w:p>
    <w:p>
      <w:pPr>
        <w:widowControl w:val="0"/>
        <w:ind w:firstLine="480"/>
        <w:jc w:val="left"/>
        <w:rPr>
          <w:color w:val="auto"/>
          <w:highlight w:val="none"/>
        </w:rPr>
      </w:pPr>
      <w:r>
        <w:rPr>
          <w:rFonts w:hint="eastAsia" w:ascii="宋体" w:hAnsi="宋体"/>
          <w:color w:val="auto"/>
          <w:szCs w:val="24"/>
          <w:highlight w:val="none"/>
        </w:rPr>
        <w:t>采取有效的污染治理措施，控制本项目运行期间大气、水、噪声、固体废物等污染物的排放量，做到达标排放。项目建成后，</w:t>
      </w:r>
      <w:r>
        <w:rPr>
          <w:rFonts w:hint="eastAsia" w:ascii="宋体" w:hAnsi="宋体"/>
          <w:color w:val="auto"/>
          <w:szCs w:val="24"/>
          <w:highlight w:val="none"/>
          <w:lang w:val="en-US" w:eastAsia="zh-CN"/>
        </w:rPr>
        <w:t>不改变周围</w:t>
      </w:r>
      <w:r>
        <w:rPr>
          <w:rFonts w:hint="eastAsia" w:ascii="宋体" w:hAnsi="宋体"/>
          <w:color w:val="auto"/>
          <w:szCs w:val="24"/>
          <w:highlight w:val="none"/>
        </w:rPr>
        <w:t>环境质量功能。营运期重点论述项目废水、废气、固废治理措施的可行性。</w:t>
      </w:r>
    </w:p>
    <w:p>
      <w:pPr>
        <w:pStyle w:val="5"/>
        <w:widowControl w:val="0"/>
        <w:ind w:firstLine="120"/>
        <w:rPr>
          <w:color w:val="auto"/>
          <w:highlight w:val="none"/>
        </w:rPr>
      </w:pPr>
      <w:r>
        <w:rPr>
          <w:rFonts w:hint="eastAsia"/>
          <w:color w:val="auto"/>
          <w:highlight w:val="none"/>
        </w:rPr>
        <w:t>环境保护目标</w:t>
      </w:r>
    </w:p>
    <w:p>
      <w:pPr>
        <w:pStyle w:val="6"/>
        <w:widowControl w:val="0"/>
        <w:ind w:left="-160" w:firstLineChars="0"/>
        <w:rPr>
          <w:color w:val="auto"/>
          <w:highlight w:val="none"/>
        </w:rPr>
      </w:pPr>
      <w:r>
        <w:rPr>
          <w:rFonts w:hint="eastAsia"/>
          <w:color w:val="auto"/>
          <w:highlight w:val="none"/>
        </w:rPr>
        <w:t>厂址周边环境保护目标</w:t>
      </w:r>
    </w:p>
    <w:p>
      <w:pPr>
        <w:widowControl w:val="0"/>
        <w:ind w:firstLine="482"/>
        <w:rPr>
          <w:b/>
          <w:bCs/>
          <w:color w:val="auto"/>
          <w:highlight w:val="none"/>
        </w:rPr>
      </w:pPr>
      <w:r>
        <w:rPr>
          <w:rFonts w:hint="eastAsia"/>
          <w:b/>
          <w:bCs/>
          <w:color w:val="auto"/>
          <w:highlight w:val="none"/>
        </w:rPr>
        <w:t>（1）地表水</w:t>
      </w:r>
    </w:p>
    <w:p>
      <w:pPr>
        <w:widowControl w:val="0"/>
        <w:adjustRightInd w:val="0"/>
        <w:ind w:firstLine="480"/>
        <w:rPr>
          <w:rFonts w:ascii="宋体" w:hAnsi="宋体"/>
          <w:color w:val="auto"/>
          <w:szCs w:val="24"/>
          <w:highlight w:val="none"/>
        </w:rPr>
      </w:pPr>
      <w:r>
        <w:rPr>
          <w:rFonts w:hint="eastAsia" w:ascii="宋体" w:hAnsi="宋体"/>
          <w:color w:val="auto"/>
          <w:szCs w:val="24"/>
          <w:highlight w:val="none"/>
        </w:rPr>
        <w:t>项目营运期污废水经自建污水处理站处理后</w:t>
      </w:r>
      <w:r>
        <w:rPr>
          <w:rFonts w:hint="eastAsia" w:ascii="宋体" w:hAnsi="宋体"/>
          <w:color w:val="auto"/>
          <w:szCs w:val="24"/>
          <w:highlight w:val="none"/>
          <w:lang w:val="en-US" w:eastAsia="zh-CN"/>
        </w:rPr>
        <w:t>通过自建污水管网排入元坨社区市政污水顾管网，再通过市政污水管网汇入响滩镇污水处理厂，最终经污水处理厂处理达标后排入濛溪河</w:t>
      </w:r>
      <w:r>
        <w:rPr>
          <w:rFonts w:hint="eastAsia" w:ascii="宋体" w:hAnsi="宋体"/>
          <w:color w:val="auto"/>
          <w:szCs w:val="24"/>
          <w:highlight w:val="none"/>
        </w:rPr>
        <w:t>。</w:t>
      </w:r>
      <w:r>
        <w:rPr>
          <w:rStyle w:val="24"/>
          <w:rFonts w:hint="default"/>
          <w:color w:val="auto"/>
          <w:highlight w:val="none"/>
          <w:lang w:val="en-US" w:eastAsia="zh-CN"/>
        </w:rPr>
        <w:t>最终受纳地表水体濛溪河主要水体功能为行洪、灌溉</w:t>
      </w:r>
      <w:r>
        <w:rPr>
          <w:rFonts w:hint="eastAsia"/>
          <w:color w:val="auto"/>
          <w:highlight w:val="none"/>
          <w:lang w:val="en-US" w:eastAsia="zh-CN"/>
        </w:rPr>
        <w:t>。</w:t>
      </w:r>
      <w:r>
        <w:rPr>
          <w:rFonts w:hint="eastAsia" w:ascii="宋体" w:hAnsi="宋体"/>
          <w:color w:val="auto"/>
          <w:szCs w:val="24"/>
          <w:highlight w:val="none"/>
        </w:rPr>
        <w:t>因此，</w:t>
      </w:r>
      <w:r>
        <w:rPr>
          <w:color w:val="auto"/>
          <w:szCs w:val="24"/>
          <w:highlight w:val="none"/>
        </w:rPr>
        <w:t>地表水水质和水体功能不因本项目的建设而发生变化，应使其符合《地表水环境质量标准》（GB3838-2002）Ⅲ类水域标准的要求。</w:t>
      </w:r>
    </w:p>
    <w:p>
      <w:pPr>
        <w:widowControl w:val="0"/>
        <w:ind w:firstLine="482"/>
        <w:rPr>
          <w:b/>
          <w:bCs/>
          <w:color w:val="auto"/>
          <w:highlight w:val="none"/>
        </w:rPr>
      </w:pPr>
      <w:r>
        <w:rPr>
          <w:rFonts w:hint="eastAsia"/>
          <w:b/>
          <w:bCs/>
          <w:color w:val="auto"/>
          <w:highlight w:val="none"/>
        </w:rPr>
        <w:t>（2）地下水</w:t>
      </w:r>
    </w:p>
    <w:p>
      <w:pPr>
        <w:widowControl w:val="0"/>
        <w:spacing w:beforeLines="0" w:afterLines="0"/>
        <w:ind w:firstLine="0"/>
        <w:jc w:val="left"/>
        <w:rPr>
          <w:color w:val="auto"/>
          <w:highlight w:val="none"/>
        </w:rPr>
      </w:pPr>
      <w:r>
        <w:rPr>
          <w:rFonts w:hint="eastAsia"/>
          <w:color w:val="auto"/>
          <w:highlight w:val="none"/>
          <w:lang w:val="en-US" w:eastAsia="zh-CN"/>
        </w:rPr>
        <w:t>项目区域地下水评价范围内的孔隙潜水层，无</w:t>
      </w:r>
      <w:r>
        <w:rPr>
          <w:rFonts w:hint="eastAsia" w:ascii="宋体" w:hAnsi="宋体" w:eastAsia="宋体"/>
          <w:color w:val="auto"/>
          <w:sz w:val="24"/>
          <w:szCs w:val="24"/>
          <w:highlight w:val="none"/>
        </w:rPr>
        <w:t>无集中式地下水饮用水源与地下水相关的保护区分布</w:t>
      </w:r>
      <w:r>
        <w:rPr>
          <w:rFonts w:hint="eastAsia"/>
          <w:color w:val="auto"/>
          <w:highlight w:val="none"/>
        </w:rPr>
        <w:t>。</w:t>
      </w:r>
    </w:p>
    <w:p>
      <w:pPr>
        <w:widowControl w:val="0"/>
        <w:ind w:firstLine="482"/>
        <w:rPr>
          <w:b/>
          <w:bCs/>
          <w:color w:val="auto"/>
          <w:highlight w:val="none"/>
        </w:rPr>
      </w:pPr>
      <w:r>
        <w:rPr>
          <w:rFonts w:hint="eastAsia"/>
          <w:b/>
          <w:bCs/>
          <w:color w:val="auto"/>
          <w:highlight w:val="none"/>
        </w:rPr>
        <w:t>（3）环境空气</w:t>
      </w:r>
    </w:p>
    <w:p>
      <w:pPr>
        <w:widowControl w:val="0"/>
        <w:ind w:firstLine="480"/>
        <w:rPr>
          <w:color w:val="auto"/>
          <w:highlight w:val="none"/>
        </w:rPr>
      </w:pPr>
      <w:r>
        <w:rPr>
          <w:rFonts w:hint="eastAsia"/>
          <w:color w:val="auto"/>
          <w:highlight w:val="none"/>
        </w:rPr>
        <w:t>本次评价保护目标为项目周围居民点</w:t>
      </w:r>
      <w:r>
        <w:rPr>
          <w:rFonts w:hint="eastAsia"/>
          <w:color w:val="auto"/>
          <w:highlight w:val="none"/>
          <w:lang w:eastAsia="zh-CN"/>
        </w:rPr>
        <w:t>、</w:t>
      </w:r>
      <w:r>
        <w:rPr>
          <w:rFonts w:hint="eastAsia"/>
          <w:color w:val="auto"/>
          <w:highlight w:val="none"/>
          <w:lang w:val="en-US" w:eastAsia="zh-CN"/>
        </w:rPr>
        <w:t>医院等</w:t>
      </w:r>
      <w:r>
        <w:rPr>
          <w:rFonts w:hint="eastAsia"/>
          <w:color w:val="auto"/>
          <w:highlight w:val="none"/>
        </w:rPr>
        <w:t>，项目周边无学校等其他环境敏感点，其环境功能为《环境空气质量标准》（GB3095-2012）中二类区，其环境</w:t>
      </w:r>
      <w:r>
        <w:rPr>
          <w:rFonts w:hint="eastAsia"/>
          <w:color w:val="auto"/>
          <w:highlight w:val="none"/>
          <w:lang w:val="en-US" w:eastAsia="zh-CN"/>
        </w:rPr>
        <w:t>功能</w:t>
      </w:r>
      <w:r>
        <w:rPr>
          <w:rFonts w:hint="eastAsia"/>
          <w:color w:val="auto"/>
          <w:highlight w:val="none"/>
        </w:rPr>
        <w:t>不因项目建设而使其功能发生改变。</w:t>
      </w:r>
    </w:p>
    <w:p>
      <w:pPr>
        <w:widowControl w:val="0"/>
        <w:ind w:firstLine="482"/>
        <w:rPr>
          <w:b/>
          <w:bCs/>
          <w:color w:val="auto"/>
          <w:highlight w:val="none"/>
        </w:rPr>
      </w:pPr>
      <w:r>
        <w:rPr>
          <w:rFonts w:hint="eastAsia"/>
          <w:b/>
          <w:bCs/>
          <w:color w:val="auto"/>
          <w:highlight w:val="none"/>
        </w:rPr>
        <w:t>（4）声环境</w:t>
      </w:r>
    </w:p>
    <w:p>
      <w:pPr>
        <w:widowControl w:val="0"/>
        <w:ind w:firstLine="480"/>
        <w:jc w:val="left"/>
        <w:rPr>
          <w:color w:val="auto"/>
          <w:highlight w:val="none"/>
        </w:rPr>
      </w:pPr>
      <w:r>
        <w:rPr>
          <w:rFonts w:hint="eastAsia" w:ascii="宋体" w:hAnsi="宋体"/>
          <w:color w:val="auto"/>
          <w:szCs w:val="24"/>
          <w:highlight w:val="none"/>
        </w:rPr>
        <w:t>项目所在地声环境保护目标为项目周边</w:t>
      </w:r>
      <w:r>
        <w:rPr>
          <w:rFonts w:eastAsia="Times New Roman"/>
          <w:color w:val="auto"/>
          <w:szCs w:val="24"/>
          <w:highlight w:val="none"/>
        </w:rPr>
        <w:t>200m</w:t>
      </w:r>
      <w:r>
        <w:rPr>
          <w:rFonts w:hint="eastAsia" w:ascii="宋体" w:hAnsi="宋体"/>
          <w:color w:val="auto"/>
          <w:szCs w:val="24"/>
          <w:highlight w:val="none"/>
        </w:rPr>
        <w:t>范围内居民，应满足《声环境质量标准》（</w:t>
      </w:r>
      <w:r>
        <w:rPr>
          <w:rFonts w:eastAsia="Times New Roman"/>
          <w:color w:val="auto"/>
          <w:szCs w:val="24"/>
          <w:highlight w:val="none"/>
        </w:rPr>
        <w:t>GB3096-2008</w:t>
      </w:r>
      <w:r>
        <w:rPr>
          <w:rFonts w:hint="eastAsia" w:ascii="宋体" w:hAnsi="宋体"/>
          <w:color w:val="auto"/>
          <w:szCs w:val="24"/>
          <w:highlight w:val="none"/>
        </w:rPr>
        <w:t>）</w:t>
      </w:r>
      <w:r>
        <w:rPr>
          <w:rFonts w:eastAsia="Times New Roman"/>
          <w:color w:val="auto"/>
          <w:szCs w:val="24"/>
          <w:highlight w:val="none"/>
        </w:rPr>
        <w:t>2</w:t>
      </w:r>
      <w:r>
        <w:rPr>
          <w:rFonts w:hint="eastAsia" w:ascii="宋体" w:hAnsi="宋体"/>
          <w:color w:val="auto"/>
          <w:szCs w:val="24"/>
          <w:highlight w:val="none"/>
        </w:rPr>
        <w:t>类标准的要求，使其声学环境</w:t>
      </w:r>
      <w:r>
        <w:rPr>
          <w:rFonts w:hint="eastAsia" w:ascii="宋体" w:hAnsi="宋体"/>
          <w:color w:val="auto"/>
          <w:szCs w:val="24"/>
          <w:highlight w:val="none"/>
          <w:lang w:val="en-US" w:eastAsia="zh-CN"/>
        </w:rPr>
        <w:t>功能</w:t>
      </w:r>
      <w:r>
        <w:rPr>
          <w:rFonts w:hint="eastAsia" w:ascii="宋体" w:hAnsi="宋体"/>
          <w:color w:val="auto"/>
          <w:szCs w:val="24"/>
          <w:highlight w:val="none"/>
        </w:rPr>
        <w:t>不因本项目的建设而改变。</w:t>
      </w:r>
    </w:p>
    <w:p>
      <w:pPr>
        <w:widowControl w:val="0"/>
        <w:ind w:firstLine="482"/>
        <w:rPr>
          <w:b/>
          <w:bCs/>
          <w:color w:val="auto"/>
          <w:highlight w:val="none"/>
        </w:rPr>
      </w:pPr>
      <w:r>
        <w:rPr>
          <w:rFonts w:hint="eastAsia"/>
          <w:b/>
          <w:bCs/>
          <w:color w:val="auto"/>
          <w:highlight w:val="none"/>
        </w:rPr>
        <w:t>（5）生态环境</w:t>
      </w:r>
    </w:p>
    <w:p>
      <w:pPr>
        <w:widowControl w:val="0"/>
        <w:ind w:firstLine="480"/>
        <w:jc w:val="left"/>
        <w:rPr>
          <w:color w:val="auto"/>
          <w:highlight w:val="none"/>
        </w:rPr>
      </w:pPr>
      <w:r>
        <w:rPr>
          <w:rFonts w:hint="eastAsia" w:ascii="宋体" w:hAnsi="宋体"/>
          <w:color w:val="auto"/>
          <w:szCs w:val="24"/>
          <w:highlight w:val="none"/>
        </w:rPr>
        <w:t>本项目评价范围不涉及</w:t>
      </w:r>
      <w:r>
        <w:rPr>
          <w:rFonts w:hint="eastAsia" w:ascii="宋体" w:hAnsi="宋体"/>
          <w:color w:val="auto"/>
          <w:szCs w:val="24"/>
          <w:highlight w:val="none"/>
          <w:lang w:val="en-US" w:eastAsia="zh-CN"/>
        </w:rPr>
        <w:t>国家公园、自然保护区、世界自然遗产、重要生境</w:t>
      </w:r>
      <w:r>
        <w:rPr>
          <w:rFonts w:hint="eastAsia" w:ascii="宋体" w:hAnsi="宋体"/>
          <w:color w:val="auto"/>
          <w:szCs w:val="24"/>
          <w:highlight w:val="none"/>
        </w:rPr>
        <w:t>等重要生态敏感区；不涉及</w:t>
      </w:r>
      <w:r>
        <w:rPr>
          <w:rFonts w:hint="default" w:ascii="宋体" w:hAnsi="宋体"/>
          <w:color w:val="auto"/>
          <w:szCs w:val="24"/>
          <w:highlight w:val="none"/>
          <w:lang w:val="en-US"/>
        </w:rPr>
        <w:t>基本林地；不涉及饮用水源地</w:t>
      </w:r>
      <w:r>
        <w:rPr>
          <w:rFonts w:hint="eastAsia" w:ascii="宋体" w:hAnsi="宋体"/>
          <w:color w:val="auto"/>
          <w:szCs w:val="24"/>
          <w:highlight w:val="none"/>
          <w:lang w:val="en-US" w:eastAsia="zh-CN"/>
        </w:rPr>
        <w:t>、</w:t>
      </w:r>
      <w:r>
        <w:rPr>
          <w:rFonts w:hint="default" w:ascii="宋体" w:hAnsi="宋体"/>
          <w:color w:val="auto"/>
          <w:szCs w:val="24"/>
          <w:highlight w:val="none"/>
          <w:lang w:val="en-US"/>
        </w:rPr>
        <w:t>基本农田保护区</w:t>
      </w:r>
      <w:r>
        <w:rPr>
          <w:rFonts w:hint="eastAsia" w:ascii="宋体" w:hAnsi="宋体"/>
          <w:color w:val="auto"/>
          <w:szCs w:val="24"/>
          <w:highlight w:val="none"/>
          <w:lang w:val="en-US" w:eastAsia="zh-CN"/>
        </w:rPr>
        <w:t>、自然公园</w:t>
      </w:r>
      <w:r>
        <w:rPr>
          <w:rFonts w:hint="eastAsia" w:ascii="宋体" w:hAnsi="宋体"/>
          <w:color w:val="auto"/>
          <w:szCs w:val="24"/>
          <w:highlight w:val="none"/>
        </w:rPr>
        <w:t>等；</w:t>
      </w:r>
      <w:r>
        <w:rPr>
          <w:rFonts w:hint="eastAsia" w:ascii="宋体" w:hAnsi="宋体"/>
          <w:color w:val="auto"/>
          <w:szCs w:val="24"/>
          <w:highlight w:val="none"/>
          <w:lang w:val="en-US" w:eastAsia="zh-CN"/>
        </w:rPr>
        <w:t>不涉及生态保护红线；不涉及天然林、公益林、湿地等生态保护目标</w:t>
      </w:r>
      <w:r>
        <w:rPr>
          <w:rFonts w:hint="eastAsia" w:ascii="宋体" w:hAnsi="宋体"/>
          <w:color w:val="auto"/>
          <w:szCs w:val="24"/>
          <w:highlight w:val="none"/>
        </w:rPr>
        <w:t>。</w:t>
      </w:r>
    </w:p>
    <w:p>
      <w:pPr>
        <w:widowControl w:val="0"/>
        <w:ind w:firstLine="482"/>
        <w:rPr>
          <w:b/>
          <w:bCs/>
          <w:color w:val="auto"/>
          <w:highlight w:val="none"/>
        </w:rPr>
      </w:pPr>
      <w:r>
        <w:rPr>
          <w:rFonts w:hint="eastAsia"/>
          <w:b/>
          <w:bCs/>
          <w:color w:val="auto"/>
          <w:highlight w:val="none"/>
        </w:rPr>
        <w:t>（</w:t>
      </w:r>
      <w:r>
        <w:rPr>
          <w:b/>
          <w:bCs/>
          <w:color w:val="auto"/>
          <w:highlight w:val="none"/>
        </w:rPr>
        <w:t>6</w:t>
      </w:r>
      <w:r>
        <w:rPr>
          <w:rFonts w:hint="eastAsia"/>
          <w:b/>
          <w:bCs/>
          <w:color w:val="auto"/>
          <w:highlight w:val="none"/>
        </w:rPr>
        <w:t>）环境风险</w:t>
      </w:r>
    </w:p>
    <w:p>
      <w:pPr>
        <w:widowControl w:val="0"/>
        <w:ind w:firstLine="480"/>
        <w:rPr>
          <w:rFonts w:ascii="宋体" w:hAnsi="宋体"/>
          <w:color w:val="auto"/>
          <w:szCs w:val="24"/>
          <w:highlight w:val="none"/>
        </w:rPr>
        <w:sectPr>
          <w:pgSz w:w="12240" w:h="15840"/>
          <w:pgMar w:top="1440" w:right="1417"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olor w:val="auto"/>
          <w:szCs w:val="24"/>
          <w:highlight w:val="none"/>
        </w:rPr>
        <w:t>参照《建设项目环境风险影响评价技术导则》（</w:t>
      </w:r>
      <w:r>
        <w:rPr>
          <w:rFonts w:eastAsia="Times New Roman"/>
          <w:color w:val="auto"/>
          <w:szCs w:val="24"/>
          <w:highlight w:val="none"/>
        </w:rPr>
        <w:t>HJ/T169</w:t>
      </w:r>
      <w:r>
        <w:rPr>
          <w:rFonts w:hint="eastAsia" w:ascii="宋体" w:hAnsi="宋体"/>
          <w:color w:val="auto"/>
          <w:szCs w:val="24"/>
          <w:highlight w:val="none"/>
        </w:rPr>
        <w:t>—</w:t>
      </w:r>
      <w:r>
        <w:rPr>
          <w:rFonts w:eastAsia="Times New Roman"/>
          <w:color w:val="auto"/>
          <w:szCs w:val="24"/>
          <w:highlight w:val="none"/>
        </w:rPr>
        <w:t>2018</w:t>
      </w:r>
      <w:r>
        <w:rPr>
          <w:rFonts w:hint="eastAsia" w:ascii="宋体" w:hAnsi="宋体"/>
          <w:color w:val="auto"/>
          <w:szCs w:val="24"/>
          <w:highlight w:val="none"/>
        </w:rPr>
        <w:t>）和项目行业特点，考虑污水站的环境风险事故影响，主要的水环境风险保护目标为濛溪河；环境风险大气敏感目标为周围居民点。</w:t>
      </w:r>
    </w:p>
    <w:p>
      <w:pPr>
        <w:pStyle w:val="27"/>
        <w:widowControl w:val="0"/>
        <w:rPr>
          <w:rFonts w:hint="default"/>
          <w:color w:val="auto"/>
          <w:highlight w:val="none"/>
          <w:lang w:val="en-US" w:eastAsia="zh-CN"/>
        </w:rPr>
      </w:pPr>
      <w:r>
        <w:rPr>
          <w:rFonts w:hint="eastAsia"/>
          <w:color w:val="auto"/>
          <w:highlight w:val="none"/>
          <w:lang w:val="en-US" w:eastAsia="zh-CN"/>
        </w:rPr>
        <w:t>环境空气保护目标一览表</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632"/>
        <w:gridCol w:w="869"/>
        <w:gridCol w:w="874"/>
        <w:gridCol w:w="1119"/>
        <w:gridCol w:w="1972"/>
        <w:gridCol w:w="1306"/>
        <w:gridCol w:w="1522"/>
        <w:gridCol w:w="173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Merge w:val="restar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序号</w:t>
            </w:r>
          </w:p>
        </w:tc>
        <w:tc>
          <w:tcPr>
            <w:tcW w:w="620" w:type="pct"/>
            <w:vMerge w:val="restar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名称</w:t>
            </w:r>
          </w:p>
        </w:tc>
        <w:tc>
          <w:tcPr>
            <w:tcW w:w="662" w:type="pct"/>
            <w:gridSpan w:val="2"/>
            <w:vAlign w:val="center"/>
          </w:tcPr>
          <w:p>
            <w:pPr>
              <w:pStyle w:val="28"/>
              <w:widowControl w:val="0"/>
              <w:rPr>
                <w:rFonts w:hint="default"/>
                <w:color w:val="auto"/>
                <w:highlight w:val="none"/>
                <w:vertAlign w:val="baseline"/>
                <w:lang w:val="en-US"/>
              </w:rPr>
            </w:pPr>
            <w:r>
              <w:rPr>
                <w:rFonts w:hint="eastAsia"/>
                <w:color w:val="auto"/>
                <w:highlight w:val="none"/>
                <w:vertAlign w:val="baseline"/>
                <w:lang w:val="en-US" w:eastAsia="zh-CN"/>
              </w:rPr>
              <w:t>坐标/m</w:t>
            </w:r>
          </w:p>
        </w:tc>
        <w:tc>
          <w:tcPr>
            <w:tcW w:w="425"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保护对象</w:t>
            </w:r>
          </w:p>
        </w:tc>
        <w:tc>
          <w:tcPr>
            <w:tcW w:w="749" w:type="pct"/>
            <w:vMerge w:val="restar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保护内容</w:t>
            </w:r>
          </w:p>
        </w:tc>
        <w:tc>
          <w:tcPr>
            <w:tcW w:w="496"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环境功能区</w:t>
            </w:r>
          </w:p>
        </w:tc>
        <w:tc>
          <w:tcPr>
            <w:tcW w:w="578"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相对厂址方位</w:t>
            </w:r>
          </w:p>
        </w:tc>
        <w:tc>
          <w:tcPr>
            <w:tcW w:w="657"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相对厂界距离/m</w:t>
            </w:r>
          </w:p>
        </w:tc>
        <w:tc>
          <w:tcPr>
            <w:tcW w:w="583"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项目生产车间距离/m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Merge w:val="continue"/>
            <w:vAlign w:val="center"/>
          </w:tcPr>
          <w:p>
            <w:pPr>
              <w:pStyle w:val="28"/>
              <w:widowControl w:val="0"/>
              <w:rPr>
                <w:color w:val="auto"/>
                <w:highlight w:val="none"/>
                <w:vertAlign w:val="baseline"/>
              </w:rPr>
            </w:pPr>
          </w:p>
        </w:tc>
        <w:tc>
          <w:tcPr>
            <w:tcW w:w="620" w:type="pct"/>
            <w:vMerge w:val="continue"/>
            <w:vAlign w:val="center"/>
          </w:tcPr>
          <w:p>
            <w:pPr>
              <w:pStyle w:val="28"/>
              <w:widowControl w:val="0"/>
              <w:rPr>
                <w:color w:val="auto"/>
                <w:highlight w:val="none"/>
                <w:vertAlign w:val="baseline"/>
              </w:rPr>
            </w:pP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X</w:t>
            </w:r>
          </w:p>
        </w:tc>
        <w:tc>
          <w:tcPr>
            <w:tcW w:w="331"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Y</w:t>
            </w:r>
          </w:p>
        </w:tc>
        <w:tc>
          <w:tcPr>
            <w:tcW w:w="425" w:type="pct"/>
            <w:vMerge w:val="continue"/>
            <w:vAlign w:val="center"/>
          </w:tcPr>
          <w:p>
            <w:pPr>
              <w:pStyle w:val="28"/>
              <w:widowControl w:val="0"/>
              <w:rPr>
                <w:color w:val="auto"/>
                <w:highlight w:val="none"/>
                <w:vertAlign w:val="baseline"/>
              </w:rPr>
            </w:pPr>
          </w:p>
        </w:tc>
        <w:tc>
          <w:tcPr>
            <w:tcW w:w="749" w:type="pct"/>
            <w:vMerge w:val="continue"/>
            <w:vAlign w:val="center"/>
          </w:tcPr>
          <w:p>
            <w:pPr>
              <w:pStyle w:val="28"/>
              <w:widowControl w:val="0"/>
              <w:rPr>
                <w:color w:val="auto"/>
                <w:highlight w:val="none"/>
                <w:vertAlign w:val="baseline"/>
              </w:rPr>
            </w:pPr>
          </w:p>
        </w:tc>
        <w:tc>
          <w:tcPr>
            <w:tcW w:w="496" w:type="pct"/>
            <w:vMerge w:val="continue"/>
            <w:vAlign w:val="center"/>
          </w:tcPr>
          <w:p>
            <w:pPr>
              <w:pStyle w:val="28"/>
              <w:widowControl w:val="0"/>
              <w:rPr>
                <w:color w:val="auto"/>
                <w:highlight w:val="none"/>
                <w:vertAlign w:val="baseline"/>
              </w:rPr>
            </w:pPr>
          </w:p>
        </w:tc>
        <w:tc>
          <w:tcPr>
            <w:tcW w:w="578" w:type="pct"/>
            <w:vMerge w:val="continue"/>
            <w:vAlign w:val="center"/>
          </w:tcPr>
          <w:p>
            <w:pPr>
              <w:pStyle w:val="28"/>
              <w:widowControl w:val="0"/>
              <w:rPr>
                <w:color w:val="auto"/>
                <w:highlight w:val="none"/>
                <w:vertAlign w:val="baseline"/>
              </w:rPr>
            </w:pPr>
          </w:p>
        </w:tc>
        <w:tc>
          <w:tcPr>
            <w:tcW w:w="657" w:type="pct"/>
            <w:vMerge w:val="continue"/>
            <w:vAlign w:val="center"/>
          </w:tcPr>
          <w:p>
            <w:pPr>
              <w:pStyle w:val="28"/>
              <w:widowControl w:val="0"/>
              <w:rPr>
                <w:color w:val="auto"/>
                <w:highlight w:val="none"/>
                <w:vertAlign w:val="baseline"/>
              </w:rPr>
            </w:pPr>
          </w:p>
        </w:tc>
        <w:tc>
          <w:tcPr>
            <w:tcW w:w="583" w:type="pct"/>
            <w:vMerge w:val="continue"/>
            <w:vAlign w:val="center"/>
          </w:tcPr>
          <w:p>
            <w:pPr>
              <w:pStyle w:val="28"/>
              <w:widowControl w:val="0"/>
              <w:rPr>
                <w:color w:val="auto"/>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pStyle w:val="28"/>
              <w:widowControl w:val="0"/>
              <w:rPr>
                <w:color w:val="auto"/>
                <w:highlight w:val="none"/>
                <w:vertAlign w:val="baseline"/>
              </w:rPr>
            </w:pPr>
            <w:r>
              <w:rPr>
                <w:rFonts w:hint="eastAsia"/>
                <w:color w:val="auto"/>
                <w:highlight w:val="none"/>
              </w:rPr>
              <w:t>0~400m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石泉村居民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2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人群</w:t>
            </w:r>
          </w:p>
        </w:tc>
        <w:tc>
          <w:tcPr>
            <w:tcW w:w="749"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约14户，约52人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10</w:t>
            </w:r>
          </w:p>
        </w:tc>
        <w:tc>
          <w:tcPr>
            <w:tcW w:w="583" w:type="pct"/>
            <w:vAlign w:val="center"/>
          </w:tcPr>
          <w:p>
            <w:pPr>
              <w:pStyle w:val="28"/>
              <w:widowControl w:val="0"/>
              <w:ind w:firstLine="0" w:firstLineChars="0"/>
              <w:rPr>
                <w:color w:val="auto"/>
                <w:highlight w:val="none"/>
                <w:vertAlign w:val="baseline"/>
              </w:rPr>
            </w:pPr>
            <w:r>
              <w:rPr>
                <w:rFonts w:hint="eastAsia"/>
                <w:color w:val="auto"/>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2</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西桥村居民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-250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0</w:t>
            </w:r>
          </w:p>
        </w:tc>
        <w:tc>
          <w:tcPr>
            <w:tcW w:w="42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人群</w:t>
            </w:r>
          </w:p>
        </w:tc>
        <w:tc>
          <w:tcPr>
            <w:tcW w:w="749"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约10户，约30人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250</w:t>
            </w:r>
          </w:p>
        </w:tc>
        <w:tc>
          <w:tcPr>
            <w:tcW w:w="583" w:type="pct"/>
            <w:vAlign w:val="center"/>
          </w:tcPr>
          <w:p>
            <w:pPr>
              <w:pStyle w:val="28"/>
              <w:widowControl w:val="0"/>
              <w:ind w:firstLine="0" w:firstLineChars="0"/>
              <w:rPr>
                <w:color w:val="auto"/>
                <w:highlight w:val="none"/>
                <w:vertAlign w:val="baseline"/>
              </w:rPr>
            </w:pPr>
            <w:r>
              <w:rPr>
                <w:rFonts w:hint="eastAsia"/>
                <w:color w:val="auto"/>
                <w:highlight w:val="none"/>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3</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宋家营居民1</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240</w:t>
            </w:r>
          </w:p>
        </w:tc>
        <w:tc>
          <w:tcPr>
            <w:tcW w:w="331"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c>
          <w:tcPr>
            <w:tcW w:w="42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人群</w:t>
            </w:r>
          </w:p>
        </w:tc>
        <w:tc>
          <w:tcPr>
            <w:tcW w:w="749"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约7户，约21人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240</w:t>
            </w:r>
          </w:p>
        </w:tc>
        <w:tc>
          <w:tcPr>
            <w:tcW w:w="583" w:type="pct"/>
            <w:vAlign w:val="center"/>
          </w:tcPr>
          <w:p>
            <w:pPr>
              <w:pStyle w:val="28"/>
              <w:widowControl w:val="0"/>
              <w:ind w:firstLine="0" w:firstLineChars="0"/>
              <w:rPr>
                <w:color w:val="auto"/>
                <w:highlight w:val="none"/>
                <w:vertAlign w:val="baseline"/>
              </w:rPr>
            </w:pPr>
            <w:r>
              <w:rPr>
                <w:rFonts w:hint="eastAsia"/>
                <w:color w:val="auto"/>
                <w:highlight w:val="none"/>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4</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宋家营居民2</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280</w:t>
            </w:r>
          </w:p>
        </w:tc>
        <w:tc>
          <w:tcPr>
            <w:tcW w:w="331"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c>
          <w:tcPr>
            <w:tcW w:w="42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人群</w:t>
            </w:r>
          </w:p>
        </w:tc>
        <w:tc>
          <w:tcPr>
            <w:tcW w:w="749"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约4户，约12人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280</w:t>
            </w:r>
          </w:p>
        </w:tc>
        <w:tc>
          <w:tcPr>
            <w:tcW w:w="583" w:type="pct"/>
            <w:vAlign w:val="center"/>
          </w:tcPr>
          <w:p>
            <w:pPr>
              <w:pStyle w:val="28"/>
              <w:widowControl w:val="0"/>
              <w:ind w:firstLine="0" w:firstLineChars="0"/>
              <w:rPr>
                <w:color w:val="auto"/>
                <w:highlight w:val="none"/>
                <w:vertAlign w:val="baseline"/>
              </w:rPr>
            </w:pPr>
            <w:r>
              <w:rPr>
                <w:rFonts w:hint="eastAsia"/>
                <w:color w:val="auto"/>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400-2500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5</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长河坝居民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400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-440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10</w:t>
            </w:r>
            <w:r>
              <w:rPr>
                <w:rFonts w:hint="eastAsia"/>
                <w:color w:val="auto"/>
                <w:highlight w:val="none"/>
              </w:rPr>
              <w:t>户，约</w:t>
            </w:r>
            <w:r>
              <w:rPr>
                <w:color w:val="auto"/>
                <w:highlight w:val="none"/>
              </w:rPr>
              <w:t>30</w:t>
            </w:r>
            <w:r>
              <w:rPr>
                <w:rFonts w:hint="eastAsia"/>
                <w:color w:val="auto"/>
                <w:highlight w:val="none"/>
              </w:rPr>
              <w:t>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东南侧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670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6</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石泉村居民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330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1300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20户，约60人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北侧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1180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7</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元坨居民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-500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730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30户，约90人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西北侧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1200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8</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邓家河居民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1250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90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8户，约24人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1230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9</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南斯村居民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397</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-1532</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30户，约90人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东南侧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1700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620"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新农村居民</w:t>
            </w:r>
          </w:p>
        </w:tc>
        <w:tc>
          <w:tcPr>
            <w:tcW w:w="330"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-820</w:t>
            </w:r>
          </w:p>
        </w:tc>
        <w:tc>
          <w:tcPr>
            <w:tcW w:w="331"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-1927</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15户，约45人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578"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西南侧</w:t>
            </w:r>
          </w:p>
        </w:tc>
        <w:tc>
          <w:tcPr>
            <w:tcW w:w="657"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2250</w:t>
            </w:r>
          </w:p>
        </w:tc>
        <w:tc>
          <w:tcPr>
            <w:tcW w:w="583"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11</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冠</w:t>
            </w:r>
            <w:r>
              <w:rPr>
                <w:rFonts w:hint="eastAsia"/>
                <w:color w:val="auto"/>
                <w:highlight w:val="none"/>
              </w:rPr>
              <w:t>岭村居民</w:t>
            </w:r>
          </w:p>
        </w:tc>
        <w:tc>
          <w:tcPr>
            <w:tcW w:w="0" w:type="auto"/>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-2288</w:t>
            </w:r>
          </w:p>
        </w:tc>
        <w:tc>
          <w:tcPr>
            <w:tcW w:w="0" w:type="auto"/>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18户，约54人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西侧</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2288</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12</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关溪村居民</w:t>
            </w:r>
          </w:p>
        </w:tc>
        <w:tc>
          <w:tcPr>
            <w:tcW w:w="0" w:type="auto"/>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2289</w:t>
            </w:r>
          </w:p>
        </w:tc>
        <w:tc>
          <w:tcPr>
            <w:tcW w:w="0" w:type="auto"/>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-280</w:t>
            </w:r>
          </w:p>
        </w:tc>
        <w:tc>
          <w:tcPr>
            <w:tcW w:w="425" w:type="pct"/>
            <w:vAlign w:val="center"/>
          </w:tcPr>
          <w:p>
            <w:pPr>
              <w:pStyle w:val="28"/>
              <w:widowControl w:val="0"/>
              <w:ind w:firstLine="0" w:firstLineChars="0"/>
              <w:rPr>
                <w:color w:val="auto"/>
                <w:highlight w:val="none"/>
                <w:vertAlign w:val="baseline"/>
              </w:rPr>
            </w:pPr>
            <w:r>
              <w:rPr>
                <w:rFonts w:hint="eastAsia"/>
                <w:color w:val="auto"/>
                <w:highlight w:val="none"/>
              </w:rPr>
              <w:t>人群</w:t>
            </w:r>
          </w:p>
        </w:tc>
        <w:tc>
          <w:tcPr>
            <w:tcW w:w="749" w:type="pct"/>
            <w:vAlign w:val="center"/>
          </w:tcPr>
          <w:p>
            <w:pPr>
              <w:pStyle w:val="28"/>
              <w:widowControl w:val="0"/>
              <w:ind w:firstLine="0" w:firstLineChars="0"/>
              <w:rPr>
                <w:color w:val="auto"/>
                <w:highlight w:val="none"/>
                <w:vertAlign w:val="baseline"/>
              </w:rPr>
            </w:pPr>
            <w:r>
              <w:rPr>
                <w:rFonts w:hint="eastAsia"/>
                <w:color w:val="auto"/>
                <w:highlight w:val="none"/>
              </w:rPr>
              <w:t>约</w:t>
            </w:r>
            <w:r>
              <w:rPr>
                <w:color w:val="auto"/>
                <w:highlight w:val="none"/>
              </w:rPr>
              <w:t>26户，约78人</w:t>
            </w:r>
          </w:p>
        </w:tc>
        <w:tc>
          <w:tcPr>
            <w:tcW w:w="496" w:type="pct"/>
            <w:vAlign w:val="center"/>
          </w:tcPr>
          <w:p>
            <w:pPr>
              <w:pStyle w:val="28"/>
              <w:widowControl w:val="0"/>
              <w:ind w:firstLine="0" w:firstLineChars="0"/>
              <w:rPr>
                <w:color w:val="auto"/>
                <w:highlight w:val="none"/>
                <w:vertAlign w:val="baseline"/>
              </w:rPr>
            </w:pPr>
            <w:r>
              <w:rPr>
                <w:rFonts w:hint="eastAsia"/>
                <w:color w:val="auto"/>
                <w:highlight w:val="none"/>
              </w:rPr>
              <w:t>二类</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东北侧</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2297</w:t>
            </w:r>
          </w:p>
        </w:tc>
        <w:tc>
          <w:tcPr>
            <w:tcW w:w="0" w:type="auto"/>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2310</w:t>
            </w:r>
          </w:p>
        </w:tc>
      </w:tr>
    </w:tbl>
    <w:p>
      <w:pPr>
        <w:pStyle w:val="27"/>
        <w:widowControl w:val="0"/>
        <w:rPr>
          <w:color w:val="auto"/>
          <w:highlight w:val="none"/>
        </w:rPr>
      </w:pPr>
      <w:r>
        <w:rPr>
          <w:rFonts w:hint="eastAsia"/>
          <w:color w:val="auto"/>
          <w:highlight w:val="none"/>
        </w:rPr>
        <w:t>声环境保护目标一览表</w:t>
      </w:r>
    </w:p>
    <w:tbl>
      <w:tblPr>
        <w:tblStyle w:val="23"/>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8"/>
        <w:gridCol w:w="2054"/>
        <w:gridCol w:w="656"/>
        <w:gridCol w:w="2004"/>
        <w:gridCol w:w="846"/>
        <w:gridCol w:w="875"/>
        <w:gridCol w:w="933"/>
        <w:gridCol w:w="1060"/>
        <w:gridCol w:w="1300"/>
        <w:gridCol w:w="2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42" w:type="pct"/>
            <w:vMerge w:val="restart"/>
            <w:tcBorders>
              <w:tl2br w:val="nil"/>
              <w:tr2bl w:val="nil"/>
            </w:tcBorders>
            <w:vAlign w:val="center"/>
          </w:tcPr>
          <w:p>
            <w:pPr>
              <w:pStyle w:val="28"/>
              <w:widowControl w:val="0"/>
              <w:rPr>
                <w:color w:val="auto"/>
                <w:highlight w:val="none"/>
              </w:rPr>
            </w:pPr>
            <w:r>
              <w:rPr>
                <w:rFonts w:hint="eastAsia"/>
                <w:color w:val="auto"/>
                <w:highlight w:val="none"/>
              </w:rPr>
              <w:t>序号</w:t>
            </w:r>
          </w:p>
        </w:tc>
        <w:tc>
          <w:tcPr>
            <w:tcW w:w="779" w:type="pct"/>
            <w:vMerge w:val="restart"/>
            <w:tcBorders>
              <w:tl2br w:val="nil"/>
              <w:tr2bl w:val="nil"/>
            </w:tcBorders>
            <w:vAlign w:val="center"/>
          </w:tcPr>
          <w:p>
            <w:pPr>
              <w:pStyle w:val="28"/>
              <w:widowControl w:val="0"/>
              <w:rPr>
                <w:color w:val="auto"/>
                <w:highlight w:val="none"/>
              </w:rPr>
            </w:pPr>
            <w:r>
              <w:rPr>
                <w:rFonts w:hint="eastAsia"/>
                <w:color w:val="auto"/>
                <w:highlight w:val="none"/>
              </w:rPr>
              <w:t>名称</w:t>
            </w:r>
          </w:p>
        </w:tc>
        <w:tc>
          <w:tcPr>
            <w:tcW w:w="249" w:type="pct"/>
            <w:vMerge w:val="restart"/>
            <w:tcBorders>
              <w:tl2br w:val="nil"/>
              <w:tr2bl w:val="nil"/>
            </w:tcBorders>
            <w:vAlign w:val="center"/>
          </w:tcPr>
          <w:p>
            <w:pPr>
              <w:pStyle w:val="28"/>
              <w:widowControl w:val="0"/>
              <w:rPr>
                <w:color w:val="auto"/>
                <w:highlight w:val="none"/>
              </w:rPr>
            </w:pPr>
            <w:r>
              <w:rPr>
                <w:rFonts w:hint="eastAsia"/>
                <w:color w:val="auto"/>
                <w:highlight w:val="none"/>
              </w:rPr>
              <w:t>保护对象</w:t>
            </w:r>
          </w:p>
        </w:tc>
        <w:tc>
          <w:tcPr>
            <w:tcW w:w="760" w:type="pct"/>
            <w:vMerge w:val="restart"/>
            <w:tcBorders>
              <w:tl2br w:val="nil"/>
              <w:tr2bl w:val="nil"/>
            </w:tcBorders>
            <w:vAlign w:val="center"/>
          </w:tcPr>
          <w:p>
            <w:pPr>
              <w:pStyle w:val="28"/>
              <w:widowControl w:val="0"/>
              <w:rPr>
                <w:color w:val="auto"/>
                <w:highlight w:val="none"/>
              </w:rPr>
            </w:pPr>
            <w:r>
              <w:rPr>
                <w:rFonts w:hint="eastAsia"/>
                <w:color w:val="auto"/>
                <w:highlight w:val="none"/>
              </w:rPr>
              <w:t>保护内容</w:t>
            </w:r>
          </w:p>
        </w:tc>
        <w:tc>
          <w:tcPr>
            <w:tcW w:w="321" w:type="pct"/>
            <w:vMerge w:val="restart"/>
            <w:tcBorders>
              <w:tl2br w:val="nil"/>
              <w:tr2bl w:val="nil"/>
            </w:tcBorders>
            <w:vAlign w:val="center"/>
          </w:tcPr>
          <w:p>
            <w:pPr>
              <w:pStyle w:val="28"/>
              <w:widowControl w:val="0"/>
              <w:rPr>
                <w:color w:val="auto"/>
                <w:highlight w:val="none"/>
              </w:rPr>
            </w:pPr>
            <w:r>
              <w:rPr>
                <w:rFonts w:hint="eastAsia"/>
                <w:color w:val="auto"/>
                <w:highlight w:val="none"/>
              </w:rPr>
              <w:t>环境功能区</w:t>
            </w:r>
          </w:p>
        </w:tc>
        <w:tc>
          <w:tcPr>
            <w:tcW w:w="332" w:type="pct"/>
            <w:vMerge w:val="restart"/>
            <w:tcBorders>
              <w:tl2br w:val="nil"/>
              <w:tr2bl w:val="nil"/>
            </w:tcBorders>
            <w:vAlign w:val="center"/>
          </w:tcPr>
          <w:p>
            <w:pPr>
              <w:pStyle w:val="28"/>
              <w:widowControl w:val="0"/>
              <w:rPr>
                <w:color w:val="auto"/>
                <w:highlight w:val="none"/>
              </w:rPr>
            </w:pPr>
            <w:r>
              <w:rPr>
                <w:rFonts w:hint="eastAsia"/>
                <w:color w:val="auto"/>
                <w:highlight w:val="none"/>
              </w:rPr>
              <w:t>相对厂址方位</w:t>
            </w:r>
          </w:p>
        </w:tc>
        <w:tc>
          <w:tcPr>
            <w:tcW w:w="354" w:type="pct"/>
            <w:vMerge w:val="restart"/>
            <w:tcBorders>
              <w:tl2br w:val="nil"/>
              <w:tr2bl w:val="nil"/>
            </w:tcBorders>
            <w:vAlign w:val="center"/>
          </w:tcPr>
          <w:p>
            <w:pPr>
              <w:pStyle w:val="28"/>
              <w:widowControl w:val="0"/>
              <w:rPr>
                <w:color w:val="auto"/>
                <w:highlight w:val="none"/>
              </w:rPr>
            </w:pPr>
            <w:r>
              <w:rPr>
                <w:rFonts w:hint="eastAsia"/>
                <w:color w:val="auto"/>
                <w:highlight w:val="none"/>
              </w:rPr>
              <w:t>相对厂界距离</w:t>
            </w:r>
          </w:p>
        </w:tc>
        <w:tc>
          <w:tcPr>
            <w:tcW w:w="402" w:type="pct"/>
            <w:vMerge w:val="restart"/>
            <w:tcBorders>
              <w:tl2br w:val="nil"/>
              <w:tr2bl w:val="nil"/>
            </w:tcBorders>
            <w:vAlign w:val="center"/>
          </w:tcPr>
          <w:p>
            <w:pPr>
              <w:pStyle w:val="28"/>
              <w:widowControl w:val="0"/>
              <w:rPr>
                <w:color w:val="auto"/>
                <w:highlight w:val="none"/>
              </w:rPr>
            </w:pPr>
            <w:r>
              <w:rPr>
                <w:rFonts w:hint="eastAsia"/>
                <w:color w:val="auto"/>
                <w:highlight w:val="none"/>
              </w:rPr>
              <w:t>相对生产车间距离</w:t>
            </w:r>
          </w:p>
        </w:tc>
        <w:tc>
          <w:tcPr>
            <w:tcW w:w="493" w:type="pct"/>
            <w:vMerge w:val="restart"/>
            <w:tcBorders>
              <w:tl2br w:val="nil"/>
              <w:tr2bl w:val="nil"/>
            </w:tcBorders>
            <w:vAlign w:val="center"/>
          </w:tcPr>
          <w:p>
            <w:pPr>
              <w:pStyle w:val="28"/>
              <w:widowControl w:val="0"/>
              <w:rPr>
                <w:color w:val="auto"/>
                <w:highlight w:val="none"/>
              </w:rPr>
            </w:pPr>
            <w:r>
              <w:rPr>
                <w:rFonts w:hint="eastAsia"/>
                <w:color w:val="auto"/>
                <w:highlight w:val="none"/>
              </w:rPr>
              <w:t>相对污水处理站距离</w:t>
            </w:r>
          </w:p>
        </w:tc>
        <w:tc>
          <w:tcPr>
            <w:tcW w:w="1064" w:type="pct"/>
            <w:vMerge w:val="restart"/>
            <w:tcBorders>
              <w:tl2br w:val="nil"/>
              <w:tr2bl w:val="nil"/>
            </w:tcBorders>
            <w:vAlign w:val="center"/>
          </w:tcPr>
          <w:p>
            <w:pPr>
              <w:pStyle w:val="28"/>
              <w:widowControl w:val="0"/>
              <w:rPr>
                <w:color w:val="auto"/>
                <w:highlight w:val="none"/>
              </w:rPr>
            </w:pPr>
            <w:r>
              <w:rPr>
                <w:rFonts w:hint="eastAsia"/>
                <w:color w:val="auto"/>
                <w:highlight w:val="none"/>
              </w:rPr>
              <w:t>影响时段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242" w:type="pct"/>
            <w:vMerge w:val="continue"/>
            <w:tcBorders>
              <w:tl2br w:val="nil"/>
              <w:tr2bl w:val="nil"/>
            </w:tcBorders>
            <w:vAlign w:val="center"/>
          </w:tcPr>
          <w:p>
            <w:pPr>
              <w:pStyle w:val="28"/>
              <w:widowControl w:val="0"/>
              <w:rPr>
                <w:color w:val="auto"/>
                <w:highlight w:val="none"/>
              </w:rPr>
            </w:pPr>
          </w:p>
        </w:tc>
        <w:tc>
          <w:tcPr>
            <w:tcW w:w="779" w:type="pct"/>
            <w:vMerge w:val="continue"/>
            <w:tcBorders>
              <w:tl2br w:val="nil"/>
              <w:tr2bl w:val="nil"/>
            </w:tcBorders>
            <w:vAlign w:val="center"/>
          </w:tcPr>
          <w:p>
            <w:pPr>
              <w:pStyle w:val="28"/>
              <w:widowControl w:val="0"/>
              <w:rPr>
                <w:color w:val="auto"/>
                <w:highlight w:val="none"/>
              </w:rPr>
            </w:pPr>
          </w:p>
        </w:tc>
        <w:tc>
          <w:tcPr>
            <w:tcW w:w="249" w:type="pct"/>
            <w:vMerge w:val="continue"/>
            <w:tcBorders>
              <w:tl2br w:val="nil"/>
              <w:tr2bl w:val="nil"/>
            </w:tcBorders>
            <w:vAlign w:val="center"/>
          </w:tcPr>
          <w:p>
            <w:pPr>
              <w:pStyle w:val="28"/>
              <w:widowControl w:val="0"/>
              <w:rPr>
                <w:color w:val="auto"/>
                <w:highlight w:val="none"/>
              </w:rPr>
            </w:pPr>
          </w:p>
        </w:tc>
        <w:tc>
          <w:tcPr>
            <w:tcW w:w="760" w:type="pct"/>
            <w:vMerge w:val="continue"/>
            <w:tcBorders>
              <w:tl2br w:val="nil"/>
              <w:tr2bl w:val="nil"/>
            </w:tcBorders>
            <w:vAlign w:val="center"/>
          </w:tcPr>
          <w:p>
            <w:pPr>
              <w:pStyle w:val="28"/>
              <w:widowControl w:val="0"/>
              <w:rPr>
                <w:color w:val="auto"/>
                <w:highlight w:val="none"/>
              </w:rPr>
            </w:pPr>
          </w:p>
        </w:tc>
        <w:tc>
          <w:tcPr>
            <w:tcW w:w="321" w:type="pct"/>
            <w:vMerge w:val="continue"/>
            <w:tcBorders>
              <w:tl2br w:val="nil"/>
              <w:tr2bl w:val="nil"/>
            </w:tcBorders>
            <w:vAlign w:val="center"/>
          </w:tcPr>
          <w:p>
            <w:pPr>
              <w:pStyle w:val="28"/>
              <w:widowControl w:val="0"/>
              <w:rPr>
                <w:color w:val="auto"/>
                <w:highlight w:val="none"/>
              </w:rPr>
            </w:pPr>
          </w:p>
        </w:tc>
        <w:tc>
          <w:tcPr>
            <w:tcW w:w="332" w:type="pct"/>
            <w:vMerge w:val="continue"/>
            <w:tcBorders>
              <w:tl2br w:val="nil"/>
              <w:tr2bl w:val="nil"/>
            </w:tcBorders>
            <w:vAlign w:val="center"/>
          </w:tcPr>
          <w:p>
            <w:pPr>
              <w:pStyle w:val="28"/>
              <w:widowControl w:val="0"/>
              <w:rPr>
                <w:color w:val="auto"/>
                <w:highlight w:val="none"/>
              </w:rPr>
            </w:pPr>
          </w:p>
        </w:tc>
        <w:tc>
          <w:tcPr>
            <w:tcW w:w="354" w:type="pct"/>
            <w:vMerge w:val="continue"/>
            <w:tcBorders>
              <w:tl2br w:val="nil"/>
              <w:tr2bl w:val="nil"/>
            </w:tcBorders>
            <w:vAlign w:val="center"/>
          </w:tcPr>
          <w:p>
            <w:pPr>
              <w:pStyle w:val="28"/>
              <w:widowControl w:val="0"/>
              <w:rPr>
                <w:color w:val="auto"/>
                <w:highlight w:val="none"/>
              </w:rPr>
            </w:pPr>
          </w:p>
        </w:tc>
        <w:tc>
          <w:tcPr>
            <w:tcW w:w="402" w:type="pct"/>
            <w:vMerge w:val="continue"/>
            <w:tcBorders>
              <w:tl2br w:val="nil"/>
              <w:tr2bl w:val="nil"/>
            </w:tcBorders>
            <w:vAlign w:val="center"/>
          </w:tcPr>
          <w:p>
            <w:pPr>
              <w:pStyle w:val="28"/>
              <w:widowControl w:val="0"/>
              <w:rPr>
                <w:color w:val="auto"/>
                <w:highlight w:val="none"/>
              </w:rPr>
            </w:pPr>
          </w:p>
        </w:tc>
        <w:tc>
          <w:tcPr>
            <w:tcW w:w="493" w:type="pct"/>
            <w:vMerge w:val="continue"/>
            <w:tcBorders>
              <w:tl2br w:val="nil"/>
              <w:tr2bl w:val="nil"/>
            </w:tcBorders>
            <w:vAlign w:val="center"/>
          </w:tcPr>
          <w:p>
            <w:pPr>
              <w:pStyle w:val="28"/>
              <w:widowControl w:val="0"/>
              <w:rPr>
                <w:color w:val="auto"/>
                <w:highlight w:val="none"/>
              </w:rPr>
            </w:pPr>
          </w:p>
        </w:tc>
        <w:tc>
          <w:tcPr>
            <w:tcW w:w="1064"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2"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779" w:type="pct"/>
            <w:tcBorders>
              <w:tl2br w:val="nil"/>
              <w:tr2bl w:val="nil"/>
            </w:tcBorders>
            <w:vAlign w:val="center"/>
          </w:tcPr>
          <w:p>
            <w:pPr>
              <w:pStyle w:val="28"/>
              <w:widowControl w:val="0"/>
              <w:rPr>
                <w:color w:val="auto"/>
                <w:highlight w:val="none"/>
              </w:rPr>
            </w:pPr>
            <w:r>
              <w:rPr>
                <w:rFonts w:hint="eastAsia"/>
                <w:color w:val="auto"/>
                <w:highlight w:val="none"/>
              </w:rPr>
              <w:t>石泉村居民</w:t>
            </w:r>
          </w:p>
        </w:tc>
        <w:tc>
          <w:tcPr>
            <w:tcW w:w="249" w:type="pct"/>
            <w:tcBorders>
              <w:tl2br w:val="nil"/>
              <w:tr2bl w:val="nil"/>
            </w:tcBorders>
            <w:vAlign w:val="center"/>
          </w:tcPr>
          <w:p>
            <w:pPr>
              <w:pStyle w:val="28"/>
              <w:widowControl w:val="0"/>
              <w:rPr>
                <w:color w:val="auto"/>
                <w:highlight w:val="none"/>
              </w:rPr>
            </w:pPr>
            <w:r>
              <w:rPr>
                <w:rFonts w:hint="eastAsia"/>
                <w:color w:val="auto"/>
                <w:highlight w:val="none"/>
              </w:rPr>
              <w:t>人群</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约14户，约52人</w:t>
            </w:r>
          </w:p>
        </w:tc>
        <w:tc>
          <w:tcPr>
            <w:tcW w:w="321" w:type="pct"/>
            <w:tcBorders>
              <w:tl2br w:val="nil"/>
              <w:tr2bl w:val="nil"/>
            </w:tcBorders>
            <w:vAlign w:val="center"/>
          </w:tcPr>
          <w:p>
            <w:pPr>
              <w:pStyle w:val="28"/>
              <w:widowControl w:val="0"/>
              <w:rPr>
                <w:color w:val="auto"/>
                <w:highlight w:val="none"/>
              </w:rPr>
            </w:pPr>
            <w:r>
              <w:rPr>
                <w:rFonts w:hint="eastAsia"/>
                <w:color w:val="auto"/>
                <w:highlight w:val="none"/>
              </w:rPr>
              <w:t>二类</w:t>
            </w:r>
          </w:p>
        </w:tc>
        <w:tc>
          <w:tcPr>
            <w:tcW w:w="332" w:type="pct"/>
            <w:tcBorders>
              <w:tl2br w:val="nil"/>
              <w:tr2bl w:val="nil"/>
            </w:tcBorders>
            <w:vAlign w:val="center"/>
          </w:tcPr>
          <w:p>
            <w:pPr>
              <w:pStyle w:val="28"/>
              <w:widowControl w:val="0"/>
              <w:rPr>
                <w:color w:val="auto"/>
                <w:highlight w:val="none"/>
              </w:rPr>
            </w:pPr>
            <w:r>
              <w:rPr>
                <w:rFonts w:hint="eastAsia"/>
                <w:color w:val="auto"/>
                <w:highlight w:val="none"/>
              </w:rPr>
              <w:t>东侧</w:t>
            </w:r>
          </w:p>
        </w:tc>
        <w:tc>
          <w:tcPr>
            <w:tcW w:w="354" w:type="pct"/>
            <w:tcBorders>
              <w:tl2br w:val="nil"/>
              <w:tr2bl w:val="nil"/>
            </w:tcBorders>
            <w:vAlign w:val="center"/>
          </w:tcPr>
          <w:p>
            <w:pPr>
              <w:pStyle w:val="28"/>
              <w:widowControl w:val="0"/>
              <w:rPr>
                <w:color w:val="auto"/>
                <w:highlight w:val="none"/>
              </w:rPr>
            </w:pPr>
            <w:r>
              <w:rPr>
                <w:rFonts w:hint="eastAsia"/>
                <w:color w:val="auto"/>
                <w:highlight w:val="none"/>
              </w:rPr>
              <w:t>10m</w:t>
            </w:r>
          </w:p>
        </w:tc>
        <w:tc>
          <w:tcPr>
            <w:tcW w:w="402" w:type="pct"/>
            <w:tcBorders>
              <w:tl2br w:val="nil"/>
              <w:tr2bl w:val="nil"/>
            </w:tcBorders>
            <w:vAlign w:val="center"/>
          </w:tcPr>
          <w:p>
            <w:pPr>
              <w:pStyle w:val="28"/>
              <w:widowControl w:val="0"/>
              <w:rPr>
                <w:color w:val="auto"/>
                <w:highlight w:val="none"/>
              </w:rPr>
            </w:pPr>
            <w:r>
              <w:rPr>
                <w:rFonts w:hint="eastAsia"/>
                <w:color w:val="auto"/>
                <w:highlight w:val="none"/>
                <w:lang w:val="en-US" w:eastAsia="zh-CN"/>
              </w:rPr>
              <w:t>85</w:t>
            </w:r>
            <w:r>
              <w:rPr>
                <w:rFonts w:hint="eastAsia"/>
                <w:color w:val="auto"/>
                <w:highlight w:val="none"/>
              </w:rPr>
              <w:t>m</w:t>
            </w:r>
          </w:p>
        </w:tc>
        <w:tc>
          <w:tcPr>
            <w:tcW w:w="493" w:type="pct"/>
            <w:tcBorders>
              <w:tl2br w:val="nil"/>
              <w:tr2bl w:val="nil"/>
            </w:tcBorders>
            <w:vAlign w:val="center"/>
          </w:tcPr>
          <w:p>
            <w:pPr>
              <w:pStyle w:val="28"/>
              <w:widowControl w:val="0"/>
              <w:rPr>
                <w:color w:val="auto"/>
                <w:highlight w:val="none"/>
              </w:rPr>
            </w:pPr>
            <w:r>
              <w:rPr>
                <w:rFonts w:hint="eastAsia"/>
                <w:color w:val="auto"/>
                <w:highlight w:val="none"/>
              </w:rPr>
              <w:t>200m</w:t>
            </w:r>
          </w:p>
        </w:tc>
        <w:tc>
          <w:tcPr>
            <w:tcW w:w="1064" w:type="pct"/>
            <w:tcBorders>
              <w:tl2br w:val="nil"/>
              <w:tr2bl w:val="nil"/>
            </w:tcBorders>
            <w:vAlign w:val="center"/>
          </w:tcPr>
          <w:p>
            <w:pPr>
              <w:pStyle w:val="28"/>
              <w:widowControl w:val="0"/>
              <w:rPr>
                <w:color w:val="auto"/>
                <w:highlight w:val="none"/>
              </w:rPr>
            </w:pPr>
            <w:r>
              <w:rPr>
                <w:rFonts w:hint="eastAsia"/>
                <w:color w:val="auto"/>
                <w:highlight w:val="none"/>
              </w:rPr>
              <w:t>施工期、营运期</w:t>
            </w:r>
          </w:p>
        </w:tc>
      </w:tr>
    </w:tbl>
    <w:p>
      <w:pPr>
        <w:widowControl w:val="0"/>
        <w:ind w:firstLine="480"/>
        <w:rPr>
          <w:color w:val="auto"/>
          <w:highlight w:val="none"/>
        </w:rPr>
      </w:pPr>
    </w:p>
    <w:p>
      <w:pPr>
        <w:widowControl w:val="0"/>
        <w:ind w:firstLine="480"/>
        <w:rPr>
          <w:color w:val="auto"/>
          <w:highlight w:val="none"/>
        </w:rPr>
        <w:sectPr>
          <w:pgSz w:w="15840" w:h="12240" w:orient="landscape"/>
          <w:pgMar w:top="1417" w:right="1440" w:bottom="1417"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3"/>
        <w:widowControl w:val="0"/>
        <w:ind w:firstLine="643"/>
        <w:rPr>
          <w:color w:val="auto"/>
          <w:highlight w:val="none"/>
        </w:rPr>
      </w:pPr>
      <w:bookmarkStart w:id="43" w:name="_Toc14850"/>
      <w:r>
        <w:rPr>
          <w:rFonts w:hint="eastAsia"/>
          <w:color w:val="auto"/>
          <w:highlight w:val="none"/>
        </w:rPr>
        <w:t>现有项目回顾性分析</w:t>
      </w:r>
      <w:bookmarkEnd w:id="43"/>
    </w:p>
    <w:p>
      <w:pPr>
        <w:widowControl w:val="0"/>
        <w:ind w:firstLine="480"/>
        <w:rPr>
          <w:color w:val="auto"/>
          <w:highlight w:val="none"/>
        </w:rPr>
      </w:pPr>
      <w:r>
        <w:rPr>
          <w:rFonts w:hint="eastAsia"/>
          <w:color w:val="auto"/>
          <w:highlight w:val="none"/>
        </w:rPr>
        <w:t>本项目将平昌县响滩镇生猪定点屠宰场与平昌县云台镇生猪定点屠宰场两个B级屠宰场整合升级建设为一个A级屠宰场，待该屠宰场建设完成后，将撤销两个B级屠宰资格，并将平昌县响滩镇生猪定点屠宰场与平昌县云台镇生猪定点屠宰场拆除，相关设备一并清理。</w:t>
      </w:r>
    </w:p>
    <w:p>
      <w:pPr>
        <w:pStyle w:val="4"/>
        <w:widowControl w:val="0"/>
        <w:rPr>
          <w:color w:val="auto"/>
          <w:highlight w:val="none"/>
        </w:rPr>
      </w:pPr>
      <w:bookmarkStart w:id="44" w:name="_Toc473"/>
      <w:r>
        <w:rPr>
          <w:rFonts w:hint="eastAsia"/>
          <w:color w:val="auto"/>
          <w:highlight w:val="none"/>
        </w:rPr>
        <w:t>现有项目概况</w:t>
      </w:r>
      <w:bookmarkEnd w:id="44"/>
    </w:p>
    <w:p>
      <w:pPr>
        <w:pStyle w:val="5"/>
        <w:widowControl w:val="0"/>
        <w:ind w:firstLine="120"/>
        <w:rPr>
          <w:color w:val="auto"/>
          <w:highlight w:val="none"/>
        </w:rPr>
      </w:pPr>
      <w:r>
        <w:rPr>
          <w:rFonts w:hint="eastAsia"/>
          <w:color w:val="auto"/>
          <w:highlight w:val="none"/>
        </w:rPr>
        <w:t>平昌县响滩镇生猪定点屠宰场</w:t>
      </w:r>
    </w:p>
    <w:p>
      <w:pPr>
        <w:widowControl w:val="0"/>
        <w:ind w:firstLine="480"/>
        <w:rPr>
          <w:color w:val="auto"/>
          <w:highlight w:val="none"/>
        </w:rPr>
      </w:pPr>
      <w:r>
        <w:rPr>
          <w:rFonts w:hint="eastAsia"/>
          <w:color w:val="auto"/>
          <w:highlight w:val="none"/>
        </w:rPr>
        <w:t>项目名称：平昌县响滩镇生猪定点屠宰场</w:t>
      </w:r>
    </w:p>
    <w:p>
      <w:pPr>
        <w:widowControl w:val="0"/>
        <w:ind w:firstLine="480"/>
        <w:rPr>
          <w:color w:val="auto"/>
          <w:highlight w:val="none"/>
        </w:rPr>
      </w:pPr>
      <w:r>
        <w:rPr>
          <w:rFonts w:hint="eastAsia"/>
          <w:color w:val="auto"/>
          <w:highlight w:val="none"/>
        </w:rPr>
        <w:t>建设单位：平昌县响滩食品公司</w:t>
      </w:r>
    </w:p>
    <w:p>
      <w:pPr>
        <w:widowControl w:val="0"/>
        <w:ind w:firstLine="480"/>
        <w:rPr>
          <w:color w:val="auto"/>
          <w:highlight w:val="none"/>
        </w:rPr>
      </w:pPr>
      <w:r>
        <w:rPr>
          <w:rFonts w:hint="eastAsia"/>
          <w:color w:val="auto"/>
          <w:highlight w:val="none"/>
        </w:rPr>
        <w:t>建设地址：平昌县响滩镇二龙路</w:t>
      </w:r>
    </w:p>
    <w:p>
      <w:pPr>
        <w:widowControl w:val="0"/>
        <w:ind w:firstLine="480"/>
        <w:rPr>
          <w:color w:val="auto"/>
          <w:highlight w:val="none"/>
        </w:rPr>
      </w:pPr>
      <w:r>
        <w:rPr>
          <w:rFonts w:hint="eastAsia"/>
          <w:color w:val="auto"/>
          <w:highlight w:val="none"/>
        </w:rPr>
        <w:t>项目投资：50万元，环保投资8万元</w:t>
      </w:r>
    </w:p>
    <w:p>
      <w:pPr>
        <w:widowControl w:val="0"/>
        <w:ind w:firstLine="480"/>
        <w:rPr>
          <w:color w:val="auto"/>
          <w:highlight w:val="none"/>
        </w:rPr>
      </w:pPr>
      <w:r>
        <w:rPr>
          <w:rFonts w:hint="eastAsia"/>
          <w:color w:val="auto"/>
          <w:highlight w:val="none"/>
        </w:rPr>
        <w:t>生产规模：1条生猪屠宰生产线，年屠宰2400头</w:t>
      </w:r>
    </w:p>
    <w:p>
      <w:pPr>
        <w:widowControl w:val="0"/>
        <w:ind w:firstLine="480"/>
        <w:rPr>
          <w:color w:val="auto"/>
          <w:highlight w:val="none"/>
        </w:rPr>
      </w:pPr>
      <w:r>
        <w:rPr>
          <w:rFonts w:hint="eastAsia"/>
          <w:color w:val="auto"/>
          <w:highlight w:val="none"/>
        </w:rPr>
        <w:t>劳动定员及工作制度：全长员工8人，均不在项目区食宿，年工作300天，每天工作8小时。</w:t>
      </w:r>
    </w:p>
    <w:p>
      <w:pPr>
        <w:pStyle w:val="5"/>
        <w:widowControl w:val="0"/>
        <w:ind w:firstLine="120"/>
        <w:rPr>
          <w:color w:val="auto"/>
          <w:highlight w:val="none"/>
        </w:rPr>
      </w:pPr>
      <w:r>
        <w:rPr>
          <w:rFonts w:hint="eastAsia"/>
          <w:color w:val="auto"/>
          <w:highlight w:val="none"/>
        </w:rPr>
        <w:t>平昌县云台镇生猪定点屠宰场</w:t>
      </w:r>
    </w:p>
    <w:p>
      <w:pPr>
        <w:widowControl w:val="0"/>
        <w:ind w:firstLine="480"/>
        <w:rPr>
          <w:color w:val="auto"/>
          <w:highlight w:val="none"/>
        </w:rPr>
      </w:pPr>
      <w:r>
        <w:rPr>
          <w:rFonts w:hint="eastAsia"/>
          <w:color w:val="auto"/>
          <w:highlight w:val="none"/>
        </w:rPr>
        <w:t>项目名称：平昌县云台镇生猪定点屠宰场</w:t>
      </w:r>
    </w:p>
    <w:p>
      <w:pPr>
        <w:widowControl w:val="0"/>
        <w:ind w:firstLine="480"/>
        <w:rPr>
          <w:color w:val="auto"/>
          <w:highlight w:val="none"/>
        </w:rPr>
      </w:pPr>
      <w:r>
        <w:rPr>
          <w:rFonts w:hint="eastAsia"/>
          <w:color w:val="auto"/>
          <w:highlight w:val="none"/>
        </w:rPr>
        <w:t>建设单位：平昌县云台食品公司</w:t>
      </w:r>
    </w:p>
    <w:p>
      <w:pPr>
        <w:widowControl w:val="0"/>
        <w:ind w:firstLine="480"/>
        <w:rPr>
          <w:color w:val="auto"/>
          <w:highlight w:val="none"/>
        </w:rPr>
      </w:pPr>
      <w:r>
        <w:rPr>
          <w:rFonts w:hint="eastAsia"/>
          <w:color w:val="auto"/>
          <w:highlight w:val="none"/>
        </w:rPr>
        <w:t>建设地址：平昌县云台镇</w:t>
      </w:r>
    </w:p>
    <w:p>
      <w:pPr>
        <w:widowControl w:val="0"/>
        <w:ind w:firstLine="480"/>
        <w:rPr>
          <w:color w:val="auto"/>
          <w:highlight w:val="none"/>
        </w:rPr>
      </w:pPr>
      <w:r>
        <w:rPr>
          <w:rFonts w:hint="eastAsia"/>
          <w:color w:val="auto"/>
          <w:highlight w:val="none"/>
        </w:rPr>
        <w:t>项目投资：60万元，环保投资8万元</w:t>
      </w:r>
    </w:p>
    <w:p>
      <w:pPr>
        <w:widowControl w:val="0"/>
        <w:ind w:firstLine="480"/>
        <w:rPr>
          <w:color w:val="auto"/>
          <w:highlight w:val="none"/>
        </w:rPr>
      </w:pPr>
      <w:r>
        <w:rPr>
          <w:rFonts w:hint="eastAsia"/>
          <w:color w:val="auto"/>
          <w:highlight w:val="none"/>
        </w:rPr>
        <w:t>生产规模：1条生猪屠宰生产线，年屠宰3000头</w:t>
      </w:r>
    </w:p>
    <w:p>
      <w:pPr>
        <w:widowControl w:val="0"/>
        <w:ind w:firstLine="480"/>
        <w:rPr>
          <w:color w:val="auto"/>
          <w:highlight w:val="none"/>
        </w:rPr>
      </w:pPr>
      <w:r>
        <w:rPr>
          <w:rFonts w:hint="eastAsia"/>
          <w:color w:val="auto"/>
          <w:highlight w:val="none"/>
        </w:rPr>
        <w:t>劳动定员及工作制度：全长员工10人，均不在项目区食宿，年工作300天，每天工作8小时。</w:t>
      </w:r>
    </w:p>
    <w:p>
      <w:pPr>
        <w:pStyle w:val="4"/>
        <w:widowControl w:val="0"/>
        <w:rPr>
          <w:color w:val="auto"/>
          <w:highlight w:val="none"/>
        </w:rPr>
      </w:pPr>
      <w:bookmarkStart w:id="45" w:name="_Toc20464"/>
      <w:r>
        <w:rPr>
          <w:rFonts w:hint="eastAsia"/>
          <w:color w:val="auto"/>
          <w:highlight w:val="none"/>
        </w:rPr>
        <w:t>现有项目工程内容</w:t>
      </w:r>
      <w:bookmarkEnd w:id="45"/>
    </w:p>
    <w:p>
      <w:pPr>
        <w:pStyle w:val="5"/>
        <w:widowControl w:val="0"/>
        <w:ind w:firstLine="120"/>
        <w:rPr>
          <w:color w:val="auto"/>
          <w:highlight w:val="none"/>
        </w:rPr>
      </w:pPr>
      <w:r>
        <w:rPr>
          <w:rFonts w:hint="eastAsia"/>
          <w:color w:val="auto"/>
          <w:highlight w:val="none"/>
        </w:rPr>
        <w:t>平昌县响滩镇生猪定点屠宰场</w:t>
      </w:r>
    </w:p>
    <w:p>
      <w:pPr>
        <w:widowControl w:val="0"/>
        <w:ind w:firstLine="480"/>
        <w:rPr>
          <w:color w:val="auto"/>
          <w:highlight w:val="none"/>
        </w:rPr>
      </w:pPr>
      <w:r>
        <w:rPr>
          <w:rFonts w:hint="eastAsia"/>
          <w:color w:val="auto"/>
          <w:highlight w:val="none"/>
        </w:rPr>
        <w:t>现有项目总占地面积1800m</w:t>
      </w:r>
      <w:r>
        <w:rPr>
          <w:rFonts w:hint="eastAsia"/>
          <w:color w:val="auto"/>
          <w:highlight w:val="none"/>
          <w:vertAlign w:val="superscript"/>
        </w:rPr>
        <w:t>2</w:t>
      </w:r>
      <w:r>
        <w:rPr>
          <w:rFonts w:hint="eastAsia"/>
          <w:color w:val="auto"/>
          <w:highlight w:val="none"/>
        </w:rPr>
        <w:t>，现有项目工程内容见下表。</w:t>
      </w:r>
    </w:p>
    <w:p>
      <w:pPr>
        <w:widowControl w:val="0"/>
        <w:ind w:firstLine="480"/>
        <w:rPr>
          <w:color w:val="auto"/>
          <w:highlight w:val="none"/>
        </w:rPr>
      </w:pPr>
    </w:p>
    <w:p>
      <w:pPr>
        <w:pStyle w:val="27"/>
        <w:widowControl w:val="0"/>
        <w:rPr>
          <w:color w:val="auto"/>
          <w:highlight w:val="none"/>
        </w:rPr>
      </w:pPr>
      <w:r>
        <w:rPr>
          <w:rFonts w:hint="eastAsia"/>
          <w:color w:val="auto"/>
          <w:highlight w:val="none"/>
        </w:rPr>
        <w:t>现有项目工程内容</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200"/>
        <w:gridCol w:w="3893"/>
        <w:gridCol w:w="3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61" w:type="dxa"/>
            <w:tcBorders>
              <w:tl2br w:val="nil"/>
              <w:tr2bl w:val="nil"/>
            </w:tcBorders>
            <w:vAlign w:val="center"/>
          </w:tcPr>
          <w:p>
            <w:pPr>
              <w:pStyle w:val="28"/>
              <w:widowControl w:val="0"/>
              <w:rPr>
                <w:color w:val="auto"/>
                <w:highlight w:val="none"/>
              </w:rPr>
            </w:pPr>
            <w:r>
              <w:rPr>
                <w:rFonts w:hint="eastAsia"/>
                <w:b/>
                <w:bCs/>
                <w:color w:val="auto"/>
                <w:highlight w:val="none"/>
              </w:rPr>
              <w:t>工程类别</w:t>
            </w:r>
          </w:p>
        </w:tc>
        <w:tc>
          <w:tcPr>
            <w:tcW w:w="1200" w:type="dxa"/>
            <w:tcBorders>
              <w:tl2br w:val="nil"/>
              <w:tr2bl w:val="nil"/>
            </w:tcBorders>
            <w:vAlign w:val="center"/>
          </w:tcPr>
          <w:p>
            <w:pPr>
              <w:pStyle w:val="28"/>
              <w:widowControl w:val="0"/>
              <w:rPr>
                <w:color w:val="auto"/>
                <w:highlight w:val="none"/>
              </w:rPr>
            </w:pPr>
            <w:r>
              <w:rPr>
                <w:rFonts w:hint="eastAsia"/>
                <w:b/>
                <w:bCs/>
                <w:color w:val="auto"/>
                <w:highlight w:val="none"/>
              </w:rPr>
              <w:t>项目名称</w:t>
            </w:r>
          </w:p>
        </w:tc>
        <w:tc>
          <w:tcPr>
            <w:tcW w:w="7361" w:type="dxa"/>
            <w:gridSpan w:val="2"/>
            <w:tcBorders>
              <w:tl2br w:val="nil"/>
              <w:tr2bl w:val="nil"/>
            </w:tcBorders>
            <w:vAlign w:val="center"/>
          </w:tcPr>
          <w:p>
            <w:pPr>
              <w:pStyle w:val="28"/>
              <w:widowControl w:val="0"/>
              <w:rPr>
                <w:color w:val="auto"/>
                <w:highlight w:val="none"/>
              </w:rPr>
            </w:pPr>
            <w:r>
              <w:rPr>
                <w:rFonts w:hint="eastAsia"/>
                <w:b/>
                <w:bCs/>
                <w:color w:val="auto"/>
                <w:highlight w:val="none"/>
              </w:rPr>
              <w:t>工程内容及工程规模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主体工程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建筑面积约100m</w:t>
            </w:r>
            <w:r>
              <w:rPr>
                <w:rFonts w:hint="eastAsia"/>
                <w:color w:val="auto"/>
                <w:highlight w:val="none"/>
                <w:vertAlign w:val="superscript"/>
              </w:rPr>
              <w:t>2</w:t>
            </w:r>
            <w:r>
              <w:rPr>
                <w:rFonts w:hint="eastAsia"/>
                <w:color w:val="auto"/>
                <w:highlight w:val="none"/>
              </w:rPr>
              <w:t>，单层高5m，位于厂区西南部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建筑面积约400m</w:t>
            </w:r>
            <w:r>
              <w:rPr>
                <w:rFonts w:hint="eastAsia"/>
                <w:color w:val="auto"/>
                <w:highlight w:val="none"/>
                <w:vertAlign w:val="superscript"/>
              </w:rPr>
              <w:t>2</w:t>
            </w:r>
            <w:r>
              <w:rPr>
                <w:rFonts w:hint="eastAsia"/>
                <w:color w:val="auto"/>
                <w:highlight w:val="none"/>
              </w:rPr>
              <w:t>，单层高5m，位于厂区中部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建筑面积约200m</w:t>
            </w:r>
            <w:r>
              <w:rPr>
                <w:rFonts w:hint="eastAsia"/>
                <w:color w:val="auto"/>
                <w:highlight w:val="none"/>
                <w:vertAlign w:val="superscript"/>
              </w:rPr>
              <w:t>2</w:t>
            </w:r>
            <w:r>
              <w:rPr>
                <w:rFonts w:hint="eastAsia"/>
                <w:color w:val="auto"/>
                <w:highlight w:val="none"/>
              </w:rPr>
              <w:t>，单层高5m，位于厂区东北部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辅助工程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办公楼</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建筑面积约300m</w:t>
            </w:r>
            <w:r>
              <w:rPr>
                <w:rFonts w:hint="eastAsia"/>
                <w:color w:val="auto"/>
                <w:highlight w:val="none"/>
                <w:vertAlign w:val="superscript"/>
              </w:rPr>
              <w:t>2</w:t>
            </w:r>
            <w:r>
              <w:rPr>
                <w:rFonts w:hint="eastAsia"/>
                <w:color w:val="auto"/>
                <w:highlight w:val="none"/>
              </w:rPr>
              <w:t>，共两层，单层高4m，位于厂区西南部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仓库</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建筑面积约80m</w:t>
            </w:r>
            <w:r>
              <w:rPr>
                <w:rFonts w:hint="eastAsia"/>
                <w:color w:val="auto"/>
                <w:highlight w:val="none"/>
                <w:vertAlign w:val="superscript"/>
              </w:rPr>
              <w:t>2</w:t>
            </w:r>
            <w:r>
              <w:rPr>
                <w:rFonts w:hint="eastAsia"/>
                <w:color w:val="auto"/>
                <w:highlight w:val="none"/>
              </w:rPr>
              <w:t>，单层高5m，位于厂区西南部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门卫室</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建筑面积约10m</w:t>
            </w:r>
            <w:r>
              <w:rPr>
                <w:rFonts w:hint="eastAsia"/>
                <w:color w:val="auto"/>
                <w:highlight w:val="none"/>
                <w:vertAlign w:val="superscript"/>
              </w:rPr>
              <w:t>2</w:t>
            </w:r>
            <w:r>
              <w:rPr>
                <w:rFonts w:hint="eastAsia"/>
                <w:color w:val="auto"/>
                <w:highlight w:val="none"/>
              </w:rPr>
              <w:t>，单层高4m，位于厂区西南部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公用工程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供水系统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ascii="宋体" w:hAnsi="宋体"/>
                <w:color w:val="auto"/>
                <w:szCs w:val="24"/>
                <w:highlight w:val="none"/>
              </w:rPr>
              <w:t>生活、生产用水来源为市政自来水管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供电系统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ascii="宋体" w:hAnsi="宋体"/>
                <w:color w:val="auto"/>
                <w:szCs w:val="24"/>
                <w:highlight w:val="none"/>
              </w:rPr>
              <w:t>由市政供电部门提供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供热系统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设置1台电锅炉为生产和生活提供热能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废水处理</w:t>
            </w:r>
          </w:p>
        </w:tc>
        <w:tc>
          <w:tcPr>
            <w:tcW w:w="7361" w:type="dxa"/>
            <w:gridSpan w:val="2"/>
            <w:tcBorders>
              <w:tl2br w:val="nil"/>
              <w:tr2bl w:val="nil"/>
            </w:tcBorders>
            <w:vAlign w:val="center"/>
          </w:tcPr>
          <w:p>
            <w:pPr>
              <w:pStyle w:val="28"/>
              <w:widowControl w:val="0"/>
              <w:jc w:val="both"/>
              <w:rPr>
                <w:rFonts w:hint="default" w:eastAsia="宋体"/>
                <w:color w:val="auto"/>
                <w:highlight w:val="none"/>
                <w:lang w:val="en-US" w:eastAsia="zh-CN"/>
              </w:rPr>
            </w:pPr>
            <w:r>
              <w:rPr>
                <w:rFonts w:hint="eastAsia"/>
                <w:color w:val="auto"/>
                <w:highlight w:val="none"/>
              </w:rPr>
              <w:t>生活污水与屠宰废水、车辆冲洗废水汇入自建污水处理站（处理能力为20m</w:t>
            </w:r>
            <w:r>
              <w:rPr>
                <w:rFonts w:hint="eastAsia"/>
                <w:color w:val="auto"/>
                <w:highlight w:val="none"/>
                <w:vertAlign w:val="superscript"/>
              </w:rPr>
              <w:t>3</w:t>
            </w:r>
            <w:r>
              <w:rPr>
                <w:rFonts w:hint="eastAsia"/>
                <w:color w:val="auto"/>
                <w:highlight w:val="none"/>
              </w:rPr>
              <w:t>/d）处理后</w:t>
            </w:r>
            <w:r>
              <w:rPr>
                <w:rFonts w:hint="eastAsia"/>
                <w:color w:val="auto"/>
                <w:highlight w:val="none"/>
                <w:lang w:val="en-US" w:eastAsia="zh-CN"/>
              </w:rPr>
              <w:t>排放至地表水体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废气治理</w:t>
            </w: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喷洒除臭剂、加强通风、绿化等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restart"/>
            <w:tcBorders>
              <w:tl2br w:val="nil"/>
              <w:tr2bl w:val="nil"/>
            </w:tcBorders>
            <w:vAlign w:val="center"/>
          </w:tcPr>
          <w:p>
            <w:pPr>
              <w:pStyle w:val="28"/>
              <w:widowControl w:val="0"/>
              <w:rPr>
                <w:color w:val="auto"/>
                <w:highlight w:val="none"/>
              </w:rPr>
            </w:pPr>
            <w:r>
              <w:rPr>
                <w:rFonts w:hint="eastAsia"/>
                <w:color w:val="auto"/>
                <w:highlight w:val="none"/>
              </w:rPr>
              <w:t>固体处理</w:t>
            </w: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3468" w:type="dxa"/>
            <w:vMerge w:val="restart"/>
            <w:tcBorders>
              <w:tl2br w:val="nil"/>
              <w:tr2bl w:val="nil"/>
            </w:tcBorders>
            <w:vAlign w:val="center"/>
          </w:tcPr>
          <w:p>
            <w:pPr>
              <w:pStyle w:val="28"/>
              <w:widowControl w:val="0"/>
              <w:rPr>
                <w:color w:val="auto"/>
                <w:highlight w:val="none"/>
              </w:rPr>
            </w:pPr>
            <w:r>
              <w:rPr>
                <w:rFonts w:hint="eastAsia"/>
                <w:color w:val="auto"/>
                <w:highlight w:val="none"/>
              </w:rPr>
              <w:t>交由有无害化处理资质单位进行无害化处理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噪声治理</w:t>
            </w:r>
          </w:p>
        </w:tc>
        <w:tc>
          <w:tcPr>
            <w:tcW w:w="7361" w:type="dxa"/>
            <w:gridSpan w:val="2"/>
            <w:tcBorders>
              <w:tl2br w:val="nil"/>
              <w:tr2bl w:val="nil"/>
            </w:tcBorders>
            <w:vAlign w:val="center"/>
          </w:tcPr>
          <w:p>
            <w:pPr>
              <w:pStyle w:val="28"/>
              <w:widowControl w:val="0"/>
              <w:rPr>
                <w:color w:val="auto"/>
                <w:highlight w:val="none"/>
              </w:rPr>
            </w:pPr>
            <w:r>
              <w:rPr>
                <w:rFonts w:hint="eastAsia"/>
                <w:color w:val="auto"/>
                <w:highlight w:val="none"/>
              </w:rPr>
              <w:t>设备通过选用低噪设备、安装减震垫以降低噪声</w:t>
            </w:r>
          </w:p>
        </w:tc>
      </w:tr>
    </w:tbl>
    <w:p>
      <w:pPr>
        <w:pStyle w:val="5"/>
        <w:widowControl w:val="0"/>
        <w:ind w:firstLine="120"/>
        <w:rPr>
          <w:color w:val="auto"/>
          <w:highlight w:val="none"/>
        </w:rPr>
      </w:pPr>
      <w:r>
        <w:rPr>
          <w:rFonts w:hint="eastAsia"/>
          <w:color w:val="auto"/>
          <w:highlight w:val="none"/>
        </w:rPr>
        <w:t>平昌县云台镇生猪定点屠宰场</w:t>
      </w:r>
    </w:p>
    <w:p>
      <w:pPr>
        <w:widowControl w:val="0"/>
        <w:ind w:firstLine="480"/>
        <w:rPr>
          <w:color w:val="auto"/>
          <w:highlight w:val="none"/>
        </w:rPr>
      </w:pPr>
      <w:r>
        <w:rPr>
          <w:rFonts w:hint="eastAsia"/>
          <w:color w:val="auto"/>
          <w:highlight w:val="none"/>
        </w:rPr>
        <w:t>现有项目总占地面积2000m</w:t>
      </w:r>
      <w:r>
        <w:rPr>
          <w:rFonts w:hint="eastAsia"/>
          <w:color w:val="auto"/>
          <w:highlight w:val="none"/>
          <w:vertAlign w:val="superscript"/>
        </w:rPr>
        <w:t>2</w:t>
      </w:r>
      <w:r>
        <w:rPr>
          <w:rFonts w:hint="eastAsia"/>
          <w:color w:val="auto"/>
          <w:highlight w:val="none"/>
        </w:rPr>
        <w:t>，现有项目工程内容见下表。</w:t>
      </w:r>
    </w:p>
    <w:p>
      <w:pPr>
        <w:pStyle w:val="27"/>
        <w:widowControl w:val="0"/>
        <w:rPr>
          <w:color w:val="auto"/>
          <w:highlight w:val="none"/>
        </w:rPr>
      </w:pPr>
      <w:r>
        <w:rPr>
          <w:rFonts w:hint="eastAsia"/>
          <w:color w:val="auto"/>
          <w:highlight w:val="none"/>
        </w:rPr>
        <w:t>现有项目工程内容</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200"/>
        <w:gridCol w:w="3893"/>
        <w:gridCol w:w="3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61" w:type="dxa"/>
            <w:tcBorders>
              <w:tl2br w:val="nil"/>
              <w:tr2bl w:val="nil"/>
            </w:tcBorders>
            <w:vAlign w:val="center"/>
          </w:tcPr>
          <w:p>
            <w:pPr>
              <w:pStyle w:val="28"/>
              <w:widowControl w:val="0"/>
              <w:rPr>
                <w:color w:val="auto"/>
                <w:highlight w:val="none"/>
              </w:rPr>
            </w:pPr>
            <w:r>
              <w:rPr>
                <w:rFonts w:hint="eastAsia"/>
                <w:b/>
                <w:bCs/>
                <w:color w:val="auto"/>
                <w:highlight w:val="none"/>
              </w:rPr>
              <w:t>工程类别</w:t>
            </w:r>
          </w:p>
        </w:tc>
        <w:tc>
          <w:tcPr>
            <w:tcW w:w="1200" w:type="dxa"/>
            <w:tcBorders>
              <w:tl2br w:val="nil"/>
              <w:tr2bl w:val="nil"/>
            </w:tcBorders>
            <w:vAlign w:val="center"/>
          </w:tcPr>
          <w:p>
            <w:pPr>
              <w:pStyle w:val="28"/>
              <w:widowControl w:val="0"/>
              <w:rPr>
                <w:color w:val="auto"/>
                <w:highlight w:val="none"/>
              </w:rPr>
            </w:pPr>
            <w:r>
              <w:rPr>
                <w:rFonts w:hint="eastAsia"/>
                <w:b/>
                <w:bCs/>
                <w:color w:val="auto"/>
                <w:highlight w:val="none"/>
              </w:rPr>
              <w:t>项目名称</w:t>
            </w:r>
          </w:p>
        </w:tc>
        <w:tc>
          <w:tcPr>
            <w:tcW w:w="7361" w:type="dxa"/>
            <w:gridSpan w:val="2"/>
            <w:tcBorders>
              <w:tl2br w:val="nil"/>
              <w:tr2bl w:val="nil"/>
            </w:tcBorders>
            <w:vAlign w:val="center"/>
          </w:tcPr>
          <w:p>
            <w:pPr>
              <w:pStyle w:val="28"/>
              <w:widowControl w:val="0"/>
              <w:rPr>
                <w:color w:val="auto"/>
                <w:highlight w:val="none"/>
              </w:rPr>
            </w:pPr>
            <w:r>
              <w:rPr>
                <w:rFonts w:hint="eastAsia"/>
                <w:b/>
                <w:bCs/>
                <w:color w:val="auto"/>
                <w:highlight w:val="none"/>
              </w:rPr>
              <w:t>工程内容及工程规模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主体工程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建筑面积约120m</w:t>
            </w:r>
            <w:r>
              <w:rPr>
                <w:rFonts w:hint="eastAsia"/>
                <w:color w:val="auto"/>
                <w:highlight w:val="none"/>
                <w:vertAlign w:val="superscript"/>
              </w:rPr>
              <w:t>2</w:t>
            </w:r>
            <w:r>
              <w:rPr>
                <w:rFonts w:hint="eastAsia"/>
                <w:color w:val="auto"/>
                <w:highlight w:val="none"/>
              </w:rPr>
              <w:t>，单层高5m，位于厂区南部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建筑面积约450m</w:t>
            </w:r>
            <w:r>
              <w:rPr>
                <w:rFonts w:hint="eastAsia"/>
                <w:color w:val="auto"/>
                <w:highlight w:val="none"/>
                <w:vertAlign w:val="superscript"/>
              </w:rPr>
              <w:t>2</w:t>
            </w:r>
            <w:r>
              <w:rPr>
                <w:rFonts w:hint="eastAsia"/>
                <w:color w:val="auto"/>
                <w:highlight w:val="none"/>
              </w:rPr>
              <w:t>，单层高5m，位于厂区中部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建筑面积约220m</w:t>
            </w:r>
            <w:r>
              <w:rPr>
                <w:rFonts w:hint="eastAsia"/>
                <w:color w:val="auto"/>
                <w:highlight w:val="none"/>
                <w:vertAlign w:val="superscript"/>
              </w:rPr>
              <w:t>2</w:t>
            </w:r>
            <w:r>
              <w:rPr>
                <w:rFonts w:hint="eastAsia"/>
                <w:color w:val="auto"/>
                <w:highlight w:val="none"/>
              </w:rPr>
              <w:t>，单层高5m，位于厂区北部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辅助工程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办公楼</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建筑面积约300m</w:t>
            </w:r>
            <w:r>
              <w:rPr>
                <w:rFonts w:hint="eastAsia"/>
                <w:color w:val="auto"/>
                <w:highlight w:val="none"/>
                <w:vertAlign w:val="superscript"/>
              </w:rPr>
              <w:t>2</w:t>
            </w:r>
            <w:r>
              <w:rPr>
                <w:rFonts w:hint="eastAsia"/>
                <w:color w:val="auto"/>
                <w:highlight w:val="none"/>
              </w:rPr>
              <w:t>，共两层，单层高4m，位于厂区南部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仓库</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建筑面积约120m</w:t>
            </w:r>
            <w:r>
              <w:rPr>
                <w:rFonts w:hint="eastAsia"/>
                <w:color w:val="auto"/>
                <w:highlight w:val="none"/>
                <w:vertAlign w:val="superscript"/>
              </w:rPr>
              <w:t>2</w:t>
            </w:r>
            <w:r>
              <w:rPr>
                <w:rFonts w:hint="eastAsia"/>
                <w:color w:val="auto"/>
                <w:highlight w:val="none"/>
              </w:rPr>
              <w:t>，单层高5m，位于厂区南部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门卫室</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建筑面积约10m</w:t>
            </w:r>
            <w:r>
              <w:rPr>
                <w:rFonts w:hint="eastAsia"/>
                <w:color w:val="auto"/>
                <w:highlight w:val="none"/>
                <w:vertAlign w:val="superscript"/>
              </w:rPr>
              <w:t>2</w:t>
            </w:r>
            <w:r>
              <w:rPr>
                <w:rFonts w:hint="eastAsia"/>
                <w:color w:val="auto"/>
                <w:highlight w:val="none"/>
              </w:rPr>
              <w:t>，单层高4m，位于厂区南部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公用工程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供水系统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ascii="宋体" w:hAnsi="宋体"/>
                <w:color w:val="auto"/>
                <w:szCs w:val="24"/>
                <w:highlight w:val="none"/>
              </w:rPr>
              <w:t>生活、生产用水来源为市政自来水管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供电系统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ascii="宋体" w:hAnsi="宋体"/>
                <w:color w:val="auto"/>
                <w:szCs w:val="24"/>
                <w:highlight w:val="none"/>
              </w:rPr>
              <w:t>由市政供电部门提供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供热系统</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设置1台电锅炉为生产和生活提供热能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restart"/>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废水处理</w:t>
            </w:r>
          </w:p>
        </w:tc>
        <w:tc>
          <w:tcPr>
            <w:tcW w:w="7361" w:type="dxa"/>
            <w:gridSpan w:val="2"/>
            <w:tcBorders>
              <w:tl2br w:val="nil"/>
              <w:tr2bl w:val="nil"/>
            </w:tcBorders>
            <w:vAlign w:val="center"/>
          </w:tcPr>
          <w:p>
            <w:pPr>
              <w:pStyle w:val="28"/>
              <w:widowControl w:val="0"/>
              <w:jc w:val="both"/>
              <w:rPr>
                <w:color w:val="auto"/>
                <w:highlight w:val="none"/>
              </w:rPr>
            </w:pPr>
            <w:r>
              <w:rPr>
                <w:rFonts w:hint="eastAsia"/>
                <w:color w:val="auto"/>
                <w:highlight w:val="none"/>
              </w:rPr>
              <w:t>生活污水与屠宰废水、车辆冲洗废水汇入自建污水处理站（处理能力为20m</w:t>
            </w:r>
            <w:r>
              <w:rPr>
                <w:rFonts w:hint="eastAsia"/>
                <w:color w:val="auto"/>
                <w:highlight w:val="none"/>
                <w:vertAlign w:val="superscript"/>
              </w:rPr>
              <w:t>3</w:t>
            </w:r>
            <w:r>
              <w:rPr>
                <w:rFonts w:hint="eastAsia"/>
                <w:color w:val="auto"/>
                <w:highlight w:val="none"/>
              </w:rPr>
              <w:t>/d）处理后排放于就近地表水体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废气治理</w:t>
            </w: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喷洒除臭剂、加强通风、绿化等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restart"/>
            <w:tcBorders>
              <w:tl2br w:val="nil"/>
              <w:tr2bl w:val="nil"/>
            </w:tcBorders>
            <w:vAlign w:val="center"/>
          </w:tcPr>
          <w:p>
            <w:pPr>
              <w:pStyle w:val="28"/>
              <w:widowControl w:val="0"/>
              <w:rPr>
                <w:color w:val="auto"/>
                <w:highlight w:val="none"/>
              </w:rPr>
            </w:pPr>
            <w:r>
              <w:rPr>
                <w:rFonts w:hint="eastAsia"/>
                <w:color w:val="auto"/>
                <w:highlight w:val="none"/>
              </w:rPr>
              <w:t>固体处理</w:t>
            </w: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3468" w:type="dxa"/>
            <w:vMerge w:val="restart"/>
            <w:tcBorders>
              <w:tl2br w:val="nil"/>
              <w:tr2bl w:val="nil"/>
            </w:tcBorders>
            <w:vAlign w:val="center"/>
          </w:tcPr>
          <w:p>
            <w:pPr>
              <w:pStyle w:val="28"/>
              <w:widowControl w:val="0"/>
              <w:rPr>
                <w:color w:val="auto"/>
                <w:highlight w:val="none"/>
              </w:rPr>
            </w:pPr>
            <w:r>
              <w:rPr>
                <w:rFonts w:hint="eastAsia"/>
                <w:color w:val="auto"/>
                <w:highlight w:val="none"/>
              </w:rPr>
              <w:t>交由有无害化处理资质单位进行无害化处理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346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vMerge w:val="continue"/>
            <w:tcBorders>
              <w:tl2br w:val="nil"/>
              <w:tr2bl w:val="nil"/>
            </w:tcBorders>
            <w:vAlign w:val="center"/>
          </w:tcPr>
          <w:p>
            <w:pPr>
              <w:pStyle w:val="28"/>
              <w:widowControl w:val="0"/>
              <w:rPr>
                <w:color w:val="auto"/>
                <w:highlight w:val="none"/>
              </w:rPr>
            </w:pPr>
          </w:p>
        </w:tc>
        <w:tc>
          <w:tcPr>
            <w:tcW w:w="3893" w:type="dxa"/>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3468" w:type="dxa"/>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vMerge w:val="continue"/>
            <w:tcBorders>
              <w:tl2br w:val="nil"/>
              <w:tr2bl w:val="nil"/>
            </w:tcBorders>
            <w:vAlign w:val="center"/>
          </w:tcPr>
          <w:p>
            <w:pPr>
              <w:pStyle w:val="28"/>
              <w:widowControl w:val="0"/>
              <w:rPr>
                <w:color w:val="auto"/>
                <w:highlight w:val="none"/>
              </w:rPr>
            </w:pP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噪声治理</w:t>
            </w:r>
          </w:p>
        </w:tc>
        <w:tc>
          <w:tcPr>
            <w:tcW w:w="7361" w:type="dxa"/>
            <w:gridSpan w:val="2"/>
            <w:tcBorders>
              <w:tl2br w:val="nil"/>
              <w:tr2bl w:val="nil"/>
            </w:tcBorders>
            <w:vAlign w:val="center"/>
          </w:tcPr>
          <w:p>
            <w:pPr>
              <w:pStyle w:val="28"/>
              <w:widowControl w:val="0"/>
              <w:rPr>
                <w:color w:val="auto"/>
                <w:highlight w:val="none"/>
              </w:rPr>
            </w:pPr>
            <w:r>
              <w:rPr>
                <w:rFonts w:hint="eastAsia"/>
                <w:color w:val="auto"/>
                <w:highlight w:val="none"/>
              </w:rPr>
              <w:t>设备通过选用低噪设备、安装减震垫以降低噪声</w:t>
            </w:r>
          </w:p>
        </w:tc>
      </w:tr>
    </w:tbl>
    <w:p>
      <w:pPr>
        <w:pStyle w:val="4"/>
        <w:widowControl w:val="0"/>
        <w:rPr>
          <w:color w:val="auto"/>
          <w:highlight w:val="none"/>
        </w:rPr>
      </w:pPr>
      <w:bookmarkStart w:id="46" w:name="_Toc1735"/>
      <w:r>
        <w:rPr>
          <w:rFonts w:hint="eastAsia"/>
          <w:color w:val="auto"/>
          <w:highlight w:val="none"/>
        </w:rPr>
        <w:t>现有项目主要产品方案</w:t>
      </w:r>
      <w:bookmarkEnd w:id="46"/>
    </w:p>
    <w:p>
      <w:pPr>
        <w:pStyle w:val="5"/>
        <w:widowControl w:val="0"/>
        <w:ind w:firstLine="120"/>
        <w:rPr>
          <w:color w:val="auto"/>
          <w:highlight w:val="none"/>
        </w:rPr>
      </w:pPr>
      <w:r>
        <w:rPr>
          <w:rFonts w:hint="eastAsia"/>
          <w:color w:val="auto"/>
          <w:highlight w:val="none"/>
        </w:rPr>
        <w:t>平昌县响滩镇生猪定点屠宰场</w:t>
      </w:r>
    </w:p>
    <w:p>
      <w:pPr>
        <w:widowControl w:val="0"/>
        <w:ind w:firstLine="480"/>
        <w:rPr>
          <w:color w:val="auto"/>
          <w:highlight w:val="none"/>
        </w:rPr>
      </w:pPr>
      <w:r>
        <w:rPr>
          <w:rFonts w:hint="eastAsia"/>
          <w:color w:val="auto"/>
          <w:highlight w:val="none"/>
        </w:rPr>
        <w:t>根据业主提供资料，现有项目实际年屠宰生猪2400头/年（8头/日），现有项目主要产品见下表。</w:t>
      </w:r>
    </w:p>
    <w:p>
      <w:pPr>
        <w:pStyle w:val="27"/>
        <w:widowControl w:val="0"/>
        <w:rPr>
          <w:color w:val="auto"/>
          <w:highlight w:val="none"/>
        </w:rPr>
      </w:pPr>
      <w:r>
        <w:rPr>
          <w:rFonts w:hint="eastAsia"/>
          <w:color w:val="auto"/>
          <w:highlight w:val="none"/>
        </w:rPr>
        <w:t>现有项目主要产品一览表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166"/>
        <w:gridCol w:w="2166"/>
        <w:gridCol w:w="2166"/>
        <w:gridCol w:w="2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产品名称</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产出率</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生产规模t/a</w:t>
            </w:r>
          </w:p>
        </w:tc>
        <w:tc>
          <w:tcPr>
            <w:tcW w:w="2168"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猪肉</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70%</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168</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主产品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头、蹄、尾</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28.8</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内脏</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7.5%</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18</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猪血</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3.6</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22" w:type="dxa"/>
            <w:gridSpan w:val="2"/>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91%</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218.4</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5"/>
        <w:widowControl w:val="0"/>
        <w:ind w:firstLine="120"/>
        <w:rPr>
          <w:color w:val="auto"/>
          <w:highlight w:val="none"/>
        </w:rPr>
      </w:pPr>
      <w:r>
        <w:rPr>
          <w:rFonts w:hint="eastAsia"/>
          <w:color w:val="auto"/>
          <w:highlight w:val="none"/>
        </w:rPr>
        <w:t>平昌县云台镇生猪定点屠宰场</w:t>
      </w:r>
    </w:p>
    <w:p>
      <w:pPr>
        <w:widowControl w:val="0"/>
        <w:ind w:firstLine="480"/>
        <w:rPr>
          <w:color w:val="auto"/>
          <w:highlight w:val="none"/>
        </w:rPr>
      </w:pPr>
      <w:r>
        <w:rPr>
          <w:rFonts w:hint="eastAsia"/>
          <w:color w:val="auto"/>
          <w:highlight w:val="none"/>
        </w:rPr>
        <w:t>根据业主提供资料，现有项目实际年屠宰生猪3000头/年（10头/日），现有项目主要产品见下表。</w:t>
      </w:r>
    </w:p>
    <w:p>
      <w:pPr>
        <w:pStyle w:val="27"/>
        <w:widowControl w:val="0"/>
        <w:rPr>
          <w:color w:val="auto"/>
          <w:highlight w:val="none"/>
        </w:rPr>
      </w:pPr>
      <w:r>
        <w:rPr>
          <w:rFonts w:hint="eastAsia"/>
          <w:color w:val="auto"/>
          <w:highlight w:val="none"/>
        </w:rPr>
        <w:t>现有项目主要产品一览表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166"/>
        <w:gridCol w:w="2166"/>
        <w:gridCol w:w="2166"/>
        <w:gridCol w:w="2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产品名称</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产出率</w:t>
            </w:r>
          </w:p>
        </w:tc>
        <w:tc>
          <w:tcPr>
            <w:tcW w:w="2166" w:type="dxa"/>
            <w:tcBorders>
              <w:tl2br w:val="nil"/>
              <w:tr2bl w:val="nil"/>
            </w:tcBorders>
            <w:vAlign w:val="center"/>
          </w:tcPr>
          <w:p>
            <w:pPr>
              <w:pStyle w:val="28"/>
              <w:widowControl w:val="0"/>
              <w:rPr>
                <w:b/>
                <w:bCs/>
                <w:color w:val="auto"/>
                <w:highlight w:val="none"/>
              </w:rPr>
            </w:pPr>
            <w:r>
              <w:rPr>
                <w:rFonts w:hint="eastAsia"/>
                <w:b/>
                <w:bCs/>
                <w:color w:val="auto"/>
                <w:highlight w:val="none"/>
              </w:rPr>
              <w:t>生产规模t/a</w:t>
            </w:r>
          </w:p>
        </w:tc>
        <w:tc>
          <w:tcPr>
            <w:tcW w:w="2168"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猪肉</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70%</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210</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主产品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头、蹄、尾</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36</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内脏</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7.5%</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22.5</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5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猪血</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22" w:type="dxa"/>
            <w:gridSpan w:val="2"/>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91%</w:t>
            </w:r>
          </w:p>
        </w:tc>
        <w:tc>
          <w:tcPr>
            <w:tcW w:w="2166" w:type="dxa"/>
            <w:tcBorders>
              <w:tl2br w:val="nil"/>
              <w:tr2bl w:val="nil"/>
            </w:tcBorders>
            <w:vAlign w:val="center"/>
          </w:tcPr>
          <w:p>
            <w:pPr>
              <w:pStyle w:val="28"/>
              <w:widowControl w:val="0"/>
              <w:rPr>
                <w:color w:val="auto"/>
                <w:highlight w:val="none"/>
              </w:rPr>
            </w:pPr>
            <w:r>
              <w:rPr>
                <w:rFonts w:hint="eastAsia"/>
                <w:color w:val="auto"/>
                <w:highlight w:val="none"/>
              </w:rPr>
              <w:t>273</w:t>
            </w:r>
          </w:p>
        </w:tc>
        <w:tc>
          <w:tcPr>
            <w:tcW w:w="2168"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4"/>
        <w:widowControl w:val="0"/>
        <w:rPr>
          <w:color w:val="auto"/>
          <w:highlight w:val="none"/>
        </w:rPr>
      </w:pPr>
      <w:bookmarkStart w:id="47" w:name="_Toc2331"/>
      <w:r>
        <w:rPr>
          <w:rFonts w:hint="eastAsia"/>
          <w:color w:val="auto"/>
          <w:highlight w:val="none"/>
        </w:rPr>
        <w:t>现有项目主要原辅材料</w:t>
      </w:r>
      <w:bookmarkEnd w:id="47"/>
    </w:p>
    <w:p>
      <w:pPr>
        <w:widowControl w:val="0"/>
        <w:ind w:firstLine="480"/>
        <w:rPr>
          <w:rFonts w:hint="eastAsia"/>
          <w:color w:val="auto"/>
          <w:highlight w:val="none"/>
        </w:rPr>
      </w:pPr>
      <w:r>
        <w:rPr>
          <w:rFonts w:hint="eastAsia"/>
          <w:color w:val="auto"/>
          <w:highlight w:val="none"/>
        </w:rPr>
        <w:t>经与企业核实现有项目主要原辅材料的消耗量如下表所示。</w:t>
      </w:r>
    </w:p>
    <w:p>
      <w:pPr>
        <w:widowControl w:val="0"/>
        <w:ind w:firstLine="480"/>
        <w:rPr>
          <w:rFonts w:hint="eastAsia"/>
          <w:color w:val="auto"/>
          <w:highlight w:val="none"/>
        </w:rPr>
      </w:pPr>
    </w:p>
    <w:p>
      <w:pPr>
        <w:pStyle w:val="27"/>
        <w:widowControl w:val="0"/>
        <w:rPr>
          <w:color w:val="auto"/>
          <w:highlight w:val="none"/>
        </w:rPr>
      </w:pPr>
      <w:r>
        <w:rPr>
          <w:rFonts w:hint="eastAsia"/>
          <w:color w:val="auto"/>
          <w:highlight w:val="none"/>
        </w:rPr>
        <w:t>平昌县响滩镇生猪定点屠宰场主要原辅材料消耗情况一览表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107"/>
        <w:gridCol w:w="1374"/>
        <w:gridCol w:w="1259"/>
        <w:gridCol w:w="1491"/>
        <w:gridCol w:w="1375"/>
        <w:gridCol w:w="1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2107" w:type="dxa"/>
            <w:tcBorders>
              <w:tl2br w:val="nil"/>
              <w:tr2bl w:val="nil"/>
            </w:tcBorders>
            <w:vAlign w:val="center"/>
          </w:tcPr>
          <w:p>
            <w:pPr>
              <w:pStyle w:val="28"/>
              <w:widowControl w:val="0"/>
              <w:rPr>
                <w:b/>
                <w:bCs/>
                <w:color w:val="auto"/>
                <w:highlight w:val="none"/>
              </w:rPr>
            </w:pPr>
            <w:r>
              <w:rPr>
                <w:rFonts w:hint="eastAsia"/>
                <w:b/>
                <w:bCs/>
                <w:color w:val="auto"/>
                <w:highlight w:val="none"/>
              </w:rPr>
              <w:t>原辅材料名称</w:t>
            </w:r>
          </w:p>
        </w:tc>
        <w:tc>
          <w:tcPr>
            <w:tcW w:w="1374" w:type="dxa"/>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1259" w:type="dxa"/>
            <w:tcBorders>
              <w:tl2br w:val="nil"/>
              <w:tr2bl w:val="nil"/>
            </w:tcBorders>
            <w:vAlign w:val="center"/>
          </w:tcPr>
          <w:p>
            <w:pPr>
              <w:pStyle w:val="28"/>
              <w:widowControl w:val="0"/>
              <w:rPr>
                <w:b/>
                <w:bCs/>
                <w:color w:val="auto"/>
                <w:highlight w:val="none"/>
              </w:rPr>
            </w:pPr>
            <w:r>
              <w:rPr>
                <w:rFonts w:hint="eastAsia"/>
                <w:b/>
                <w:bCs/>
                <w:color w:val="auto"/>
                <w:highlight w:val="none"/>
              </w:rPr>
              <w:t>年使用量</w:t>
            </w:r>
          </w:p>
        </w:tc>
        <w:tc>
          <w:tcPr>
            <w:tcW w:w="1491" w:type="dxa"/>
            <w:tcBorders>
              <w:tl2br w:val="nil"/>
              <w:tr2bl w:val="nil"/>
            </w:tcBorders>
            <w:vAlign w:val="center"/>
          </w:tcPr>
          <w:p>
            <w:pPr>
              <w:pStyle w:val="28"/>
              <w:widowControl w:val="0"/>
              <w:rPr>
                <w:b/>
                <w:bCs/>
                <w:color w:val="auto"/>
                <w:highlight w:val="none"/>
              </w:rPr>
            </w:pPr>
            <w:r>
              <w:rPr>
                <w:rFonts w:hint="eastAsia"/>
                <w:b/>
                <w:bCs/>
                <w:color w:val="auto"/>
                <w:highlight w:val="none"/>
              </w:rPr>
              <w:t>最大储存量</w:t>
            </w:r>
          </w:p>
        </w:tc>
        <w:tc>
          <w:tcPr>
            <w:tcW w:w="1375" w:type="dxa"/>
            <w:tcBorders>
              <w:tl2br w:val="nil"/>
              <w:tr2bl w:val="nil"/>
            </w:tcBorders>
            <w:vAlign w:val="center"/>
          </w:tcPr>
          <w:p>
            <w:pPr>
              <w:pStyle w:val="28"/>
              <w:widowControl w:val="0"/>
              <w:rPr>
                <w:b/>
                <w:bCs/>
                <w:color w:val="auto"/>
                <w:highlight w:val="none"/>
              </w:rPr>
            </w:pPr>
            <w:r>
              <w:rPr>
                <w:rFonts w:hint="eastAsia"/>
                <w:b/>
                <w:bCs/>
                <w:color w:val="auto"/>
                <w:highlight w:val="none"/>
              </w:rPr>
              <w:t>处存方式</w:t>
            </w:r>
          </w:p>
        </w:tc>
        <w:tc>
          <w:tcPr>
            <w:tcW w:w="1375" w:type="dxa"/>
            <w:tcBorders>
              <w:tl2br w:val="nil"/>
              <w:tr2bl w:val="nil"/>
            </w:tcBorders>
            <w:vAlign w:val="center"/>
          </w:tcPr>
          <w:p>
            <w:pPr>
              <w:pStyle w:val="28"/>
              <w:widowControl w:val="0"/>
              <w:rPr>
                <w:b/>
                <w:bCs/>
                <w:color w:val="auto"/>
                <w:highlight w:val="none"/>
              </w:rPr>
            </w:pPr>
            <w:r>
              <w:rPr>
                <w:rFonts w:hint="eastAsia"/>
                <w:b/>
                <w:bCs/>
                <w:color w:val="auto"/>
                <w:highlight w:val="none"/>
              </w:rPr>
              <w:t>使用工序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头</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2400</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猪栏</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0.005</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生物除臭剂</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0.2</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0.1</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vMerge w:val="restart"/>
            <w:tcBorders>
              <w:tl2br w:val="nil"/>
              <w:tr2bl w:val="nil"/>
            </w:tcBorders>
            <w:vAlign w:val="center"/>
          </w:tcPr>
          <w:p>
            <w:pPr>
              <w:pStyle w:val="28"/>
              <w:widowControl w:val="0"/>
              <w:rPr>
                <w:color w:val="auto"/>
                <w:highlight w:val="none"/>
              </w:rPr>
            </w:pPr>
            <w:r>
              <w:rPr>
                <w:rFonts w:hint="eastAsia"/>
                <w:color w:val="auto"/>
                <w:highlight w:val="none"/>
              </w:rPr>
              <w:t>除臭处理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消毒剂</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vMerge w:val="continue"/>
            <w:tcBorders>
              <w:tl2br w:val="nil"/>
              <w:tr2bl w:val="nil"/>
            </w:tcBorders>
            <w:vAlign w:val="center"/>
          </w:tcPr>
          <w:p>
            <w:pPr>
              <w:pStyle w:val="28"/>
              <w:widowControl w:val="0"/>
              <w:rPr>
                <w:color w:val="auto"/>
                <w:highlight w:val="none"/>
              </w:rPr>
            </w:pPr>
          </w:p>
        </w:tc>
      </w:tr>
    </w:tbl>
    <w:p>
      <w:pPr>
        <w:pStyle w:val="27"/>
        <w:widowControl w:val="0"/>
        <w:rPr>
          <w:color w:val="auto"/>
          <w:highlight w:val="none"/>
        </w:rPr>
      </w:pPr>
      <w:r>
        <w:rPr>
          <w:rFonts w:hint="eastAsia"/>
          <w:color w:val="auto"/>
          <w:highlight w:val="none"/>
        </w:rPr>
        <w:t>平昌县云台镇生猪定点屠宰场主要原辅材料消耗情况一览表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107"/>
        <w:gridCol w:w="1374"/>
        <w:gridCol w:w="1259"/>
        <w:gridCol w:w="1491"/>
        <w:gridCol w:w="1375"/>
        <w:gridCol w:w="1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2107" w:type="dxa"/>
            <w:tcBorders>
              <w:tl2br w:val="nil"/>
              <w:tr2bl w:val="nil"/>
            </w:tcBorders>
            <w:vAlign w:val="center"/>
          </w:tcPr>
          <w:p>
            <w:pPr>
              <w:pStyle w:val="28"/>
              <w:widowControl w:val="0"/>
              <w:rPr>
                <w:b/>
                <w:bCs/>
                <w:color w:val="auto"/>
                <w:highlight w:val="none"/>
              </w:rPr>
            </w:pPr>
            <w:r>
              <w:rPr>
                <w:rFonts w:hint="eastAsia"/>
                <w:b/>
                <w:bCs/>
                <w:color w:val="auto"/>
                <w:highlight w:val="none"/>
              </w:rPr>
              <w:t>原辅材料名称</w:t>
            </w:r>
          </w:p>
        </w:tc>
        <w:tc>
          <w:tcPr>
            <w:tcW w:w="1374" w:type="dxa"/>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1259" w:type="dxa"/>
            <w:tcBorders>
              <w:tl2br w:val="nil"/>
              <w:tr2bl w:val="nil"/>
            </w:tcBorders>
            <w:vAlign w:val="center"/>
          </w:tcPr>
          <w:p>
            <w:pPr>
              <w:pStyle w:val="28"/>
              <w:widowControl w:val="0"/>
              <w:rPr>
                <w:b/>
                <w:bCs/>
                <w:color w:val="auto"/>
                <w:highlight w:val="none"/>
              </w:rPr>
            </w:pPr>
            <w:r>
              <w:rPr>
                <w:rFonts w:hint="eastAsia"/>
                <w:b/>
                <w:bCs/>
                <w:color w:val="auto"/>
                <w:highlight w:val="none"/>
              </w:rPr>
              <w:t>年使用量</w:t>
            </w:r>
          </w:p>
        </w:tc>
        <w:tc>
          <w:tcPr>
            <w:tcW w:w="1491" w:type="dxa"/>
            <w:tcBorders>
              <w:tl2br w:val="nil"/>
              <w:tr2bl w:val="nil"/>
            </w:tcBorders>
            <w:vAlign w:val="center"/>
          </w:tcPr>
          <w:p>
            <w:pPr>
              <w:pStyle w:val="28"/>
              <w:widowControl w:val="0"/>
              <w:rPr>
                <w:b/>
                <w:bCs/>
                <w:color w:val="auto"/>
                <w:highlight w:val="none"/>
              </w:rPr>
            </w:pPr>
            <w:r>
              <w:rPr>
                <w:rFonts w:hint="eastAsia"/>
                <w:b/>
                <w:bCs/>
                <w:color w:val="auto"/>
                <w:highlight w:val="none"/>
              </w:rPr>
              <w:t>最大储存量</w:t>
            </w:r>
          </w:p>
        </w:tc>
        <w:tc>
          <w:tcPr>
            <w:tcW w:w="1375" w:type="dxa"/>
            <w:tcBorders>
              <w:tl2br w:val="nil"/>
              <w:tr2bl w:val="nil"/>
            </w:tcBorders>
            <w:vAlign w:val="center"/>
          </w:tcPr>
          <w:p>
            <w:pPr>
              <w:pStyle w:val="28"/>
              <w:widowControl w:val="0"/>
              <w:rPr>
                <w:b/>
                <w:bCs/>
                <w:color w:val="auto"/>
                <w:highlight w:val="none"/>
              </w:rPr>
            </w:pPr>
            <w:r>
              <w:rPr>
                <w:rFonts w:hint="eastAsia"/>
                <w:b/>
                <w:bCs/>
                <w:color w:val="auto"/>
                <w:highlight w:val="none"/>
              </w:rPr>
              <w:t>处存方式</w:t>
            </w:r>
          </w:p>
        </w:tc>
        <w:tc>
          <w:tcPr>
            <w:tcW w:w="1375" w:type="dxa"/>
            <w:tcBorders>
              <w:tl2br w:val="nil"/>
              <w:tr2bl w:val="nil"/>
            </w:tcBorders>
            <w:vAlign w:val="center"/>
          </w:tcPr>
          <w:p>
            <w:pPr>
              <w:pStyle w:val="28"/>
              <w:widowControl w:val="0"/>
              <w:rPr>
                <w:b/>
                <w:bCs/>
                <w:color w:val="auto"/>
                <w:highlight w:val="none"/>
              </w:rPr>
            </w:pPr>
            <w:r>
              <w:rPr>
                <w:rFonts w:hint="eastAsia"/>
                <w:b/>
                <w:bCs/>
                <w:color w:val="auto"/>
                <w:highlight w:val="none"/>
              </w:rPr>
              <w:t>使用工序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头</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3000</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猪栏</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0.005</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生物除臭剂</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0.2</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0.1</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vMerge w:val="restart"/>
            <w:tcBorders>
              <w:tl2br w:val="nil"/>
              <w:tr2bl w:val="nil"/>
            </w:tcBorders>
            <w:vAlign w:val="center"/>
          </w:tcPr>
          <w:p>
            <w:pPr>
              <w:pStyle w:val="28"/>
              <w:widowControl w:val="0"/>
              <w:rPr>
                <w:color w:val="auto"/>
                <w:highlight w:val="none"/>
              </w:rPr>
            </w:pPr>
            <w:r>
              <w:rPr>
                <w:rFonts w:hint="eastAsia"/>
                <w:color w:val="auto"/>
                <w:highlight w:val="none"/>
              </w:rPr>
              <w:t>除臭处理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2107" w:type="dxa"/>
            <w:tcBorders>
              <w:tl2br w:val="nil"/>
              <w:tr2bl w:val="nil"/>
            </w:tcBorders>
            <w:vAlign w:val="center"/>
          </w:tcPr>
          <w:p>
            <w:pPr>
              <w:pStyle w:val="28"/>
              <w:widowControl w:val="0"/>
              <w:rPr>
                <w:color w:val="auto"/>
                <w:highlight w:val="none"/>
              </w:rPr>
            </w:pPr>
            <w:r>
              <w:rPr>
                <w:rFonts w:hint="eastAsia"/>
                <w:color w:val="auto"/>
                <w:highlight w:val="none"/>
              </w:rPr>
              <w:t>消毒剂</w:t>
            </w:r>
          </w:p>
        </w:tc>
        <w:tc>
          <w:tcPr>
            <w:tcW w:w="1374"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491"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375" w:type="dxa"/>
            <w:tcBorders>
              <w:tl2br w:val="nil"/>
              <w:tr2bl w:val="nil"/>
            </w:tcBorders>
            <w:vAlign w:val="center"/>
          </w:tcPr>
          <w:p>
            <w:pPr>
              <w:pStyle w:val="28"/>
              <w:widowControl w:val="0"/>
              <w:rPr>
                <w:color w:val="auto"/>
                <w:highlight w:val="none"/>
              </w:rPr>
            </w:pPr>
            <w:r>
              <w:rPr>
                <w:rFonts w:hint="eastAsia"/>
                <w:color w:val="auto"/>
                <w:highlight w:val="none"/>
              </w:rPr>
              <w:t>桶装</w:t>
            </w:r>
          </w:p>
        </w:tc>
        <w:tc>
          <w:tcPr>
            <w:tcW w:w="1375" w:type="dxa"/>
            <w:vMerge w:val="continue"/>
            <w:tcBorders>
              <w:tl2br w:val="nil"/>
              <w:tr2bl w:val="nil"/>
            </w:tcBorders>
            <w:vAlign w:val="center"/>
          </w:tcPr>
          <w:p>
            <w:pPr>
              <w:pStyle w:val="28"/>
              <w:widowControl w:val="0"/>
              <w:rPr>
                <w:color w:val="auto"/>
                <w:highlight w:val="none"/>
              </w:rPr>
            </w:pPr>
          </w:p>
        </w:tc>
      </w:tr>
    </w:tbl>
    <w:p>
      <w:pPr>
        <w:pStyle w:val="4"/>
        <w:widowControl w:val="0"/>
        <w:rPr>
          <w:color w:val="auto"/>
          <w:highlight w:val="none"/>
        </w:rPr>
      </w:pPr>
      <w:bookmarkStart w:id="48" w:name="_Toc12035"/>
      <w:r>
        <w:rPr>
          <w:rFonts w:hint="eastAsia"/>
          <w:color w:val="auto"/>
          <w:highlight w:val="none"/>
        </w:rPr>
        <w:t>现有项目工艺流程及产污环节</w:t>
      </w:r>
      <w:bookmarkEnd w:id="48"/>
    </w:p>
    <w:p>
      <w:pPr>
        <w:widowControl w:val="0"/>
        <w:ind w:firstLine="480"/>
        <w:rPr>
          <w:color w:val="auto"/>
          <w:highlight w:val="none"/>
        </w:rPr>
      </w:pPr>
      <w:r>
        <w:rPr>
          <w:rFonts w:hint="eastAsia"/>
          <w:color w:val="auto"/>
          <w:highlight w:val="none"/>
        </w:rPr>
        <w:t>平昌县响滩镇生猪定点屠宰场与平昌县云台镇生猪定点屠宰场生产工艺相同，各产污环节相同，具体生产工艺及产污环节如下：</w:t>
      </w:r>
    </w:p>
    <w:p>
      <w:pPr>
        <w:pStyle w:val="28"/>
        <w:widowControl w:val="0"/>
        <w:rPr>
          <w:color w:val="auto"/>
          <w:highlight w:val="none"/>
        </w:rPr>
      </w:pPr>
    </w:p>
    <w:p>
      <w:pPr>
        <w:pStyle w:val="28"/>
        <w:widowControl w:val="0"/>
        <w:rPr>
          <w:color w:val="auto"/>
          <w:highlight w:val="none"/>
        </w:rPr>
      </w:pPr>
      <w:r>
        <w:rPr>
          <w:rFonts w:hint="eastAsia"/>
          <w:color w:val="auto"/>
          <w:highlight w:val="none"/>
        </w:rPr>
        <w:drawing>
          <wp:inline distT="0" distB="0" distL="114300" distR="114300">
            <wp:extent cx="4616450" cy="7849235"/>
            <wp:effectExtent l="0" t="0" r="12700" b="18415"/>
            <wp:docPr id="19" name="图片 19"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具 Model (1)"/>
                    <pic:cNvPicPr>
                      <a:picLocks noChangeAspect="1"/>
                    </pic:cNvPicPr>
                  </pic:nvPicPr>
                  <pic:blipFill>
                    <a:blip r:embed="rId17"/>
                    <a:srcRect l="12121" t="4579" r="10734" b="2679"/>
                    <a:stretch>
                      <a:fillRect/>
                    </a:stretch>
                  </pic:blipFill>
                  <pic:spPr>
                    <a:xfrm>
                      <a:off x="0" y="0"/>
                      <a:ext cx="4616450" cy="7849235"/>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图2.5-1  生猪屠宰工艺流程及产污环节示意</w:t>
      </w:r>
    </w:p>
    <w:p>
      <w:pPr>
        <w:widowControl w:val="0"/>
        <w:ind w:firstLine="480"/>
        <w:rPr>
          <w:color w:val="auto"/>
          <w:highlight w:val="none"/>
        </w:rPr>
      </w:pPr>
      <w:r>
        <w:rPr>
          <w:rFonts w:hint="eastAsia"/>
          <w:color w:val="auto"/>
          <w:highlight w:val="none"/>
        </w:rPr>
        <w:t>工艺流程说明：</w:t>
      </w:r>
    </w:p>
    <w:p>
      <w:pPr>
        <w:widowControl w:val="0"/>
        <w:ind w:firstLine="480"/>
        <w:rPr>
          <w:color w:val="auto"/>
          <w:highlight w:val="none"/>
        </w:rPr>
      </w:pPr>
      <w:r>
        <w:rPr>
          <w:rFonts w:hint="eastAsia"/>
          <w:color w:val="auto"/>
          <w:highlight w:val="none"/>
        </w:rPr>
        <w:t>（1）进场检疫</w:t>
      </w:r>
    </w:p>
    <w:p>
      <w:pPr>
        <w:widowControl w:val="0"/>
        <w:ind w:firstLine="480"/>
        <w:rPr>
          <w:color w:val="auto"/>
          <w:highlight w:val="none"/>
        </w:rPr>
      </w:pPr>
      <w:r>
        <w:rPr>
          <w:rFonts w:hint="eastAsia"/>
          <w:color w:val="auto"/>
          <w:highlight w:val="none"/>
        </w:rPr>
        <w:t>活猪进场前，应索取产地动物防疫监督机构开具的合格证明，并临车观察，未见异常，证货相符后准予卸车；卸车后，检疫人员必须逐头观察活猪的健康状况：精神外貌，体温、弹性，体表淋巴结的大小、形状、硬度、活动性、敏感性等，听叫声，咳嗽声，心音、脉搏、呼吸数等健康指标，该过程不产生废气、废水等污染物。按检查的结果进行分圈、编号，合格健康的生猪赶入待宰圈休息；可疑病猪赶入隔离间，继续观察；对检出的可疑病猪，经过饮水和充分休息后，恢复正常的可以赶入待宰圈；如出现受伤且健康的生猪，送入急宰间按照标准屠宰工序进行急宰；如检疫出属于病、死猪、药物残留超标猪，在检验部门监督下进行隔离、急宰，并交由具有无害化处理资质的公司进行无害化处理，同时做好消毒、卫生防护等工作。</w:t>
      </w:r>
    </w:p>
    <w:p>
      <w:pPr>
        <w:widowControl w:val="0"/>
        <w:ind w:firstLine="480"/>
        <w:rPr>
          <w:color w:val="auto"/>
          <w:highlight w:val="none"/>
        </w:rPr>
      </w:pPr>
      <w:r>
        <w:rPr>
          <w:rFonts w:hint="eastAsia"/>
          <w:color w:val="auto"/>
          <w:highlight w:val="none"/>
        </w:rPr>
        <w:t>（2）待宰栏静养</w:t>
      </w:r>
    </w:p>
    <w:p>
      <w:pPr>
        <w:widowControl w:val="0"/>
        <w:ind w:firstLine="480"/>
        <w:rPr>
          <w:color w:val="auto"/>
          <w:highlight w:val="none"/>
        </w:rPr>
      </w:pPr>
      <w:r>
        <w:rPr>
          <w:rFonts w:hint="eastAsia"/>
          <w:color w:val="auto"/>
          <w:highlight w:val="none"/>
        </w:rPr>
        <w:t>检疫合格的生猪关入待宰栏静养12~24h，静养期间只进水不进食，以便消除运输途中的疲劳，恢复正常的生理状态，在静养期间检疫人员要定时观察，发现可疑病猪送隔离圈观察，确定有病的猪送急宰间处理，健康的生猪在屠宰前3h 停止饮水。待宰栏的猪粪做到日产日清，及时处理，然后进行地面冲洗，同时采用自动喷水装置（加入消毒剂）对猪圈进行消毒。此过程产生冲洗废水、猪粪；待宰栏冲洗废水排入自建污水处理站处理；猪粪经干法清粪清扫收集暂存于垃圾房，定期交由专业公司回收利用生产有机肥。</w:t>
      </w:r>
    </w:p>
    <w:p>
      <w:pPr>
        <w:widowControl w:val="0"/>
        <w:ind w:firstLine="480"/>
        <w:rPr>
          <w:color w:val="auto"/>
          <w:highlight w:val="none"/>
        </w:rPr>
      </w:pPr>
      <w:r>
        <w:rPr>
          <w:rFonts w:hint="eastAsia"/>
          <w:color w:val="auto"/>
          <w:highlight w:val="none"/>
        </w:rPr>
        <w:t>（3）冲淋</w:t>
      </w:r>
    </w:p>
    <w:p>
      <w:pPr>
        <w:widowControl w:val="0"/>
        <w:ind w:firstLine="480"/>
        <w:rPr>
          <w:color w:val="auto"/>
          <w:highlight w:val="none"/>
        </w:rPr>
      </w:pPr>
      <w:r>
        <w:rPr>
          <w:rFonts w:hint="eastAsia"/>
          <w:color w:val="auto"/>
          <w:highlight w:val="none"/>
        </w:rPr>
        <w:t>生猪在宰前要进行冲淋，以洗掉猪体上的污垢和微生物，增强猪的导电性能，利于麻电；并且能使生猪趋于安静，加速血液循环，提高放血效果，保证加工产品质量。淋浴水温以20℃~30℃为宜；淋浴后要让猪适当休息5~10min，再进行宰杀，这样可以减少机体淋浴刺激所产生的应激反应。此过程产生生猪冲洗废水，排入自建污水处理站处理。</w:t>
      </w:r>
    </w:p>
    <w:p>
      <w:pPr>
        <w:widowControl w:val="0"/>
        <w:ind w:firstLine="480"/>
        <w:rPr>
          <w:color w:val="auto"/>
          <w:highlight w:val="none"/>
        </w:rPr>
      </w:pPr>
      <w:r>
        <w:rPr>
          <w:rFonts w:hint="eastAsia"/>
          <w:color w:val="auto"/>
          <w:highlight w:val="none"/>
        </w:rPr>
        <w:t>（4）击晕</w:t>
      </w:r>
    </w:p>
    <w:p>
      <w:pPr>
        <w:widowControl w:val="0"/>
        <w:ind w:firstLine="480"/>
        <w:jc w:val="left"/>
        <w:rPr>
          <w:rFonts w:ascii="宋体" w:hAnsi="宋体"/>
          <w:color w:val="auto"/>
          <w:szCs w:val="24"/>
          <w:highlight w:val="none"/>
        </w:rPr>
      </w:pPr>
      <w:r>
        <w:rPr>
          <w:rFonts w:hint="eastAsia"/>
          <w:color w:val="auto"/>
          <w:highlight w:val="none"/>
        </w:rPr>
        <w:t>击晕是生猪屠宰过程中的一重要环节，采用电击击晕，采用电击击晕的目的是使生猪暂时失去知觉，处于昏迷状态，以便刺杀放血，减小劳动强度，</w:t>
      </w:r>
      <w:r>
        <w:rPr>
          <w:rFonts w:hint="eastAsia" w:ascii="宋体" w:hAnsi="宋体"/>
          <w:color w:val="auto"/>
          <w:szCs w:val="24"/>
          <w:highlight w:val="none"/>
        </w:rPr>
        <w:t>提高劳动生产效率，保持屠宰厂周围环境的安静，同时也提高了肉品的质量。</w:t>
      </w:r>
    </w:p>
    <w:p>
      <w:pPr>
        <w:widowControl w:val="0"/>
        <w:ind w:firstLine="480"/>
        <w:rPr>
          <w:color w:val="auto"/>
          <w:highlight w:val="none"/>
        </w:rPr>
      </w:pPr>
      <w:r>
        <w:rPr>
          <w:rFonts w:hint="eastAsia"/>
          <w:color w:val="auto"/>
          <w:highlight w:val="none"/>
        </w:rPr>
        <w:t>（5）刺杀沥血</w:t>
      </w:r>
    </w:p>
    <w:p>
      <w:pPr>
        <w:widowControl w:val="0"/>
        <w:ind w:firstLine="480"/>
        <w:rPr>
          <w:color w:val="auto"/>
          <w:highlight w:val="none"/>
        </w:rPr>
      </w:pPr>
      <w:r>
        <w:rPr>
          <w:rFonts w:hint="eastAsia"/>
          <w:color w:val="auto"/>
          <w:highlight w:val="none"/>
        </w:rPr>
        <w:t>采用卧式放血，击晕后的毛猪通过操作台持刀刺杀放血，通过1~2 分钟的沥血输送，猪体有90%的血液流入血液收集容器内，这种屠宰方式有利于血液的收集和利用，也提高了宰杀能力。收集的猪血作为副产品直接外销出厂。（6）清洗</w:t>
      </w:r>
    </w:p>
    <w:p>
      <w:pPr>
        <w:widowControl w:val="0"/>
        <w:ind w:firstLine="480"/>
        <w:rPr>
          <w:color w:val="auto"/>
          <w:highlight w:val="none"/>
        </w:rPr>
      </w:pPr>
      <w:r>
        <w:rPr>
          <w:rFonts w:hint="eastAsia"/>
          <w:color w:val="auto"/>
          <w:highlight w:val="none"/>
        </w:rPr>
        <w:t>生猪沥血完毕后，由滑轮导轨送入洗猪机，经摩擦清洗去除猪身污垢；此过程产生清洗废水，排入自建污水处理站处理。</w:t>
      </w:r>
    </w:p>
    <w:p>
      <w:pPr>
        <w:widowControl w:val="0"/>
        <w:ind w:firstLine="480"/>
        <w:rPr>
          <w:color w:val="auto"/>
          <w:highlight w:val="none"/>
        </w:rPr>
      </w:pPr>
      <w:r>
        <w:rPr>
          <w:rFonts w:hint="eastAsia"/>
          <w:color w:val="auto"/>
          <w:highlight w:val="none"/>
        </w:rPr>
        <w:t>（7）烫毛、刮毛、清洗</w:t>
      </w:r>
    </w:p>
    <w:p>
      <w:pPr>
        <w:widowControl w:val="0"/>
        <w:ind w:firstLine="480"/>
        <w:rPr>
          <w:color w:val="auto"/>
          <w:highlight w:val="none"/>
        </w:rPr>
      </w:pPr>
      <w:r>
        <w:rPr>
          <w:rFonts w:hint="eastAsia"/>
          <w:color w:val="auto"/>
          <w:highlight w:val="none"/>
        </w:rPr>
        <w:t>采用烫池浸烫后的生猪选用刮毛机去毛，然后再将刨好的猪体放出来进入修刮输送机或清水池内修刮。由白条提升机提升至滑轮导轨，提升时由人工对部分猪体残存猪毛进行修整并去蹄壳等，修整完毕后进入自动解剖线取内脏。猪毛大部分留在清洗槽中，然后通过人工将猪毛捞出，部分残余的猪毛随着废水进入自建污水处理站处理。此过程产生浸烫废水、清洗废水、猪毛、蹄壳。</w:t>
      </w:r>
    </w:p>
    <w:p>
      <w:pPr>
        <w:widowControl w:val="0"/>
        <w:ind w:firstLine="480"/>
        <w:rPr>
          <w:color w:val="auto"/>
          <w:highlight w:val="none"/>
        </w:rPr>
      </w:pPr>
      <w:r>
        <w:rPr>
          <w:rFonts w:hint="eastAsia"/>
          <w:color w:val="auto"/>
          <w:highlight w:val="none"/>
        </w:rPr>
        <w:t>（8）开膛、净腔</w:t>
      </w:r>
    </w:p>
    <w:p>
      <w:pPr>
        <w:widowControl w:val="0"/>
        <w:ind w:firstLine="480"/>
        <w:rPr>
          <w:color w:val="auto"/>
          <w:highlight w:val="none"/>
        </w:rPr>
      </w:pPr>
      <w:r>
        <w:rPr>
          <w:rFonts w:hint="eastAsia"/>
          <w:color w:val="auto"/>
          <w:highlight w:val="none"/>
        </w:rPr>
        <w:t>烫毛后的猪胴体经滑轮导轨送至自动解剖线，再锯胸骨开膛、取出红、白内脏，红白内脏单独收集后送至内脏处理车间处理，猪胴体冲洗后送往卫检室。此过程产生清洗废水、碎肉、骨渣、噪声。</w:t>
      </w:r>
    </w:p>
    <w:p>
      <w:pPr>
        <w:widowControl w:val="0"/>
        <w:ind w:firstLine="480"/>
        <w:rPr>
          <w:color w:val="auto"/>
          <w:highlight w:val="none"/>
        </w:rPr>
      </w:pPr>
      <w:r>
        <w:rPr>
          <w:rFonts w:hint="eastAsia"/>
          <w:color w:val="auto"/>
          <w:highlight w:val="none"/>
        </w:rPr>
        <w:t>（9）内脏解杂、清洗</w:t>
      </w:r>
    </w:p>
    <w:p>
      <w:pPr>
        <w:widowControl w:val="0"/>
        <w:ind w:firstLine="480"/>
        <w:rPr>
          <w:color w:val="auto"/>
          <w:highlight w:val="none"/>
        </w:rPr>
      </w:pPr>
      <w:r>
        <w:rPr>
          <w:rFonts w:hint="eastAsia"/>
          <w:color w:val="auto"/>
          <w:highlight w:val="none"/>
        </w:rPr>
        <w:t>取出的内脏，通过手工进行人工分拣清洗，将内脏的胃肠溶物初步地清洗干净以及将不合格的内脏分拣出来，然后分类外售。此过程产生的废水主要来自内脏的清洗过程，固废主要来自肠胃内容物，废气主要为内脏内容物等产生的恶臭气体。其中清洗废水排入自建污水处理站处理，肠胃内容物和不可食用内脏用密封桶装置于固废暂存间，交由专业公司回收利用制作鱼或猪饲料等。</w:t>
      </w:r>
    </w:p>
    <w:p>
      <w:pPr>
        <w:widowControl w:val="0"/>
        <w:ind w:firstLine="480"/>
        <w:rPr>
          <w:color w:val="auto"/>
          <w:highlight w:val="none"/>
        </w:rPr>
      </w:pPr>
      <w:r>
        <w:rPr>
          <w:rFonts w:hint="eastAsia"/>
          <w:color w:val="auto"/>
          <w:highlight w:val="none"/>
        </w:rPr>
        <w:t>（10）检疫</w:t>
      </w:r>
    </w:p>
    <w:p>
      <w:pPr>
        <w:widowControl w:val="0"/>
        <w:ind w:firstLine="480"/>
        <w:rPr>
          <w:color w:val="auto"/>
          <w:highlight w:val="none"/>
        </w:rPr>
      </w:pPr>
      <w:r>
        <w:rPr>
          <w:rFonts w:hint="eastAsia"/>
          <w:color w:val="auto"/>
          <w:highlight w:val="none"/>
        </w:rPr>
        <w:t>胴体复检是在前期检验的基础上，再对胴体进行一次全面的复检，注意是否有脓肿、出血病变、有害腺体是否已经摘除；此过程可能产生病胴体、检疫废物，分类收集后交由具有无害化处理资质的公司进行无害化处理。</w:t>
      </w:r>
    </w:p>
    <w:p>
      <w:pPr>
        <w:widowControl w:val="0"/>
        <w:ind w:firstLine="480"/>
        <w:rPr>
          <w:color w:val="auto"/>
          <w:highlight w:val="none"/>
        </w:rPr>
      </w:pPr>
      <w:r>
        <w:rPr>
          <w:rFonts w:hint="eastAsia"/>
          <w:color w:val="auto"/>
          <w:highlight w:val="none"/>
        </w:rPr>
        <w:t>（11）胴体开边、清洗、排酸</w:t>
      </w:r>
    </w:p>
    <w:p>
      <w:pPr>
        <w:widowControl w:val="0"/>
        <w:ind w:firstLine="480"/>
        <w:rPr>
          <w:color w:val="auto"/>
          <w:highlight w:val="none"/>
        </w:rPr>
      </w:pPr>
      <w:r>
        <w:rPr>
          <w:rFonts w:hint="eastAsia"/>
          <w:color w:val="auto"/>
          <w:highlight w:val="none"/>
        </w:rPr>
        <w:t>合格的胴体去头去尾后，再经滑轮导轨送至开边区，对合格的胴体进行开半，并对开半后的胴体进行修整（即去掉体内的血块、体表残毛等）、冲洗等，再进行自然冷却排酸。此过程会产生清洗废水和噪声。</w:t>
      </w:r>
    </w:p>
    <w:p>
      <w:pPr>
        <w:widowControl w:val="0"/>
        <w:ind w:firstLine="480"/>
        <w:rPr>
          <w:color w:val="auto"/>
          <w:highlight w:val="none"/>
        </w:rPr>
      </w:pPr>
      <w:r>
        <w:rPr>
          <w:rFonts w:hint="eastAsia"/>
          <w:color w:val="auto"/>
          <w:highlight w:val="none"/>
        </w:rPr>
        <w:t>（12）复检</w:t>
      </w:r>
    </w:p>
    <w:p>
      <w:pPr>
        <w:widowControl w:val="0"/>
        <w:ind w:firstLine="480"/>
        <w:rPr>
          <w:color w:val="auto"/>
          <w:highlight w:val="none"/>
        </w:rPr>
      </w:pPr>
      <w:r>
        <w:rPr>
          <w:rFonts w:hint="eastAsia"/>
          <w:color w:val="auto"/>
          <w:highlight w:val="none"/>
        </w:rPr>
        <w:t>猪胴体、白内脏、红内脏通过检疫输送机同步输送到检验区采样检验；此过程可能产生不合格胴体、不合格内脏，收集后交由具有无害化处理资质的公司进行无害化处理。</w:t>
      </w:r>
    </w:p>
    <w:p>
      <w:pPr>
        <w:widowControl w:val="0"/>
        <w:ind w:firstLine="480"/>
        <w:rPr>
          <w:color w:val="auto"/>
          <w:highlight w:val="none"/>
        </w:rPr>
      </w:pPr>
      <w:r>
        <w:rPr>
          <w:rFonts w:hint="eastAsia"/>
          <w:color w:val="auto"/>
          <w:highlight w:val="none"/>
        </w:rPr>
        <w:t>（13）盖章、过磅、出厂</w:t>
      </w:r>
    </w:p>
    <w:p>
      <w:pPr>
        <w:widowControl w:val="0"/>
        <w:ind w:firstLine="480"/>
        <w:rPr>
          <w:color w:val="auto"/>
          <w:highlight w:val="none"/>
        </w:rPr>
      </w:pPr>
      <w:r>
        <w:rPr>
          <w:rFonts w:hint="eastAsia"/>
          <w:color w:val="auto"/>
          <w:highlight w:val="none"/>
        </w:rPr>
        <w:t>合格的猪肉加盖检验印章，计量分级后出厂。建设项目做到当日屠宰、当日销售。</w:t>
      </w:r>
    </w:p>
    <w:p>
      <w:pPr>
        <w:widowControl w:val="0"/>
        <w:ind w:firstLine="480"/>
        <w:rPr>
          <w:color w:val="auto"/>
          <w:highlight w:val="none"/>
        </w:rPr>
        <w:sectPr>
          <w:pgSz w:w="12240" w:h="15840"/>
          <w:pgMar w:top="1440" w:right="1417"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rPr>
        <w:t>根据生产工艺流程及产污环节图分析，产污环节见下表。</w:t>
      </w:r>
    </w:p>
    <w:p>
      <w:pPr>
        <w:pStyle w:val="27"/>
        <w:widowControl w:val="0"/>
        <w:rPr>
          <w:color w:val="auto"/>
          <w:highlight w:val="none"/>
        </w:rPr>
      </w:pPr>
      <w:r>
        <w:rPr>
          <w:rFonts w:hint="eastAsia"/>
          <w:color w:val="auto"/>
          <w:highlight w:val="none"/>
        </w:rPr>
        <w:t>现有项目产污环节分析表</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2"/>
        <w:gridCol w:w="426"/>
        <w:gridCol w:w="1005"/>
        <w:gridCol w:w="1998"/>
        <w:gridCol w:w="2391"/>
        <w:gridCol w:w="1946"/>
        <w:gridCol w:w="47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tcBorders>
              <w:tl2br w:val="nil"/>
              <w:tr2bl w:val="nil"/>
            </w:tcBorders>
            <w:vAlign w:val="center"/>
          </w:tcPr>
          <w:p>
            <w:pPr>
              <w:pStyle w:val="28"/>
              <w:widowControl w:val="0"/>
              <w:rPr>
                <w:b/>
                <w:bCs/>
                <w:color w:val="auto"/>
                <w:highlight w:val="none"/>
              </w:rPr>
            </w:pPr>
            <w:r>
              <w:rPr>
                <w:rFonts w:hint="eastAsia"/>
                <w:b/>
                <w:bCs/>
                <w:color w:val="auto"/>
                <w:highlight w:val="none"/>
              </w:rPr>
              <w:t>污染</w:t>
            </w:r>
          </w:p>
          <w:p>
            <w:pPr>
              <w:pStyle w:val="28"/>
              <w:widowControl w:val="0"/>
              <w:rPr>
                <w:b/>
                <w:bCs/>
                <w:color w:val="auto"/>
                <w:highlight w:val="none"/>
              </w:rPr>
            </w:pPr>
            <w:r>
              <w:rPr>
                <w:rFonts w:hint="eastAsia"/>
                <w:b/>
                <w:bCs/>
                <w:color w:val="auto"/>
                <w:highlight w:val="none"/>
              </w:rPr>
              <w:t>类别</w:t>
            </w:r>
          </w:p>
        </w:tc>
        <w:tc>
          <w:tcPr>
            <w:tcW w:w="1291"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污染源名称</w:t>
            </w:r>
          </w:p>
        </w:tc>
        <w:tc>
          <w:tcPr>
            <w:tcW w:w="910" w:type="pct"/>
            <w:tcBorders>
              <w:tl2br w:val="nil"/>
              <w:tr2bl w:val="nil"/>
            </w:tcBorders>
            <w:vAlign w:val="center"/>
          </w:tcPr>
          <w:p>
            <w:pPr>
              <w:pStyle w:val="28"/>
              <w:widowControl w:val="0"/>
              <w:rPr>
                <w:b/>
                <w:bCs/>
                <w:color w:val="auto"/>
                <w:highlight w:val="none"/>
              </w:rPr>
            </w:pPr>
            <w:r>
              <w:rPr>
                <w:rFonts w:hint="eastAsia"/>
                <w:b/>
                <w:bCs/>
                <w:color w:val="auto"/>
                <w:highlight w:val="none"/>
              </w:rPr>
              <w:t>污染名称</w:t>
            </w:r>
          </w:p>
        </w:tc>
        <w:tc>
          <w:tcPr>
            <w:tcW w:w="741" w:type="pct"/>
            <w:tcBorders>
              <w:tl2br w:val="nil"/>
              <w:tr2bl w:val="nil"/>
            </w:tcBorders>
            <w:vAlign w:val="center"/>
          </w:tcPr>
          <w:p>
            <w:pPr>
              <w:pStyle w:val="28"/>
              <w:widowControl w:val="0"/>
              <w:rPr>
                <w:b/>
                <w:bCs/>
                <w:color w:val="auto"/>
                <w:highlight w:val="none"/>
              </w:rPr>
            </w:pPr>
            <w:r>
              <w:rPr>
                <w:rFonts w:hint="eastAsia"/>
                <w:b/>
                <w:bCs/>
                <w:color w:val="auto"/>
                <w:highlight w:val="none"/>
              </w:rPr>
              <w:t>污染因子</w:t>
            </w:r>
          </w:p>
        </w:tc>
        <w:tc>
          <w:tcPr>
            <w:tcW w:w="1821" w:type="pct"/>
            <w:tcBorders>
              <w:tl2br w:val="nil"/>
              <w:tr2bl w:val="nil"/>
            </w:tcBorders>
            <w:vAlign w:val="center"/>
          </w:tcPr>
          <w:p>
            <w:pPr>
              <w:pStyle w:val="28"/>
              <w:widowControl w:val="0"/>
              <w:rPr>
                <w:b/>
                <w:bCs/>
                <w:color w:val="auto"/>
                <w:highlight w:val="none"/>
              </w:rPr>
            </w:pPr>
            <w:r>
              <w:rPr>
                <w:rFonts w:hint="eastAsia"/>
                <w:b/>
                <w:bCs/>
                <w:color w:val="auto"/>
                <w:highlight w:val="none"/>
              </w:rPr>
              <w:t>防治措施及去向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restart"/>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146"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生猪屠宰</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生猪运输</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运输车辆清洗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车辆清洗废水</w:t>
            </w:r>
          </w:p>
        </w:tc>
        <w:tc>
          <w:tcPr>
            <w:tcW w:w="741" w:type="pct"/>
            <w:vMerge w:val="restart"/>
            <w:tcBorders>
              <w:tl2br w:val="nil"/>
              <w:tr2bl w:val="nil"/>
            </w:tcBorders>
            <w:vAlign w:val="center"/>
          </w:tcPr>
          <w:p>
            <w:pPr>
              <w:pStyle w:val="28"/>
              <w:widowControl w:val="0"/>
              <w:rPr>
                <w:color w:val="auto"/>
                <w:highlight w:val="none"/>
              </w:rPr>
            </w:pPr>
            <w:r>
              <w:rPr>
                <w:color w:val="auto"/>
                <w:highlight w:val="none"/>
              </w:rPr>
              <w:t>CODcr</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SS</w:t>
            </w:r>
            <w:r>
              <w:rPr>
                <w:rFonts w:hint="eastAsia"/>
                <w:color w:val="auto"/>
                <w:highlight w:val="none"/>
              </w:rPr>
              <w:t>、粪 大肠菌群</w:t>
            </w:r>
          </w:p>
        </w:tc>
        <w:tc>
          <w:tcPr>
            <w:tcW w:w="1821" w:type="pct"/>
            <w:vMerge w:val="restart"/>
            <w:tcBorders>
              <w:tl2br w:val="nil"/>
              <w:tr2bl w:val="nil"/>
            </w:tcBorders>
            <w:vAlign w:val="center"/>
          </w:tcPr>
          <w:p>
            <w:pPr>
              <w:pStyle w:val="28"/>
              <w:widowControl w:val="0"/>
              <w:rPr>
                <w:color w:val="auto"/>
                <w:highlight w:val="none"/>
              </w:rPr>
            </w:pPr>
            <w:r>
              <w:rPr>
                <w:rFonts w:hint="eastAsia"/>
                <w:color w:val="auto"/>
                <w:highlight w:val="none"/>
              </w:rPr>
              <w:t>经生产车间地下布设的污水管网引入厂区自建污水处理站（处理工艺：格栅</w:t>
            </w:r>
            <w:r>
              <w:rPr>
                <w:color w:val="auto"/>
                <w:highlight w:val="none"/>
              </w:rPr>
              <w:t>+</w:t>
            </w:r>
            <w:r>
              <w:rPr>
                <w:rFonts w:hint="eastAsia"/>
                <w:color w:val="auto"/>
                <w:highlight w:val="none"/>
              </w:rPr>
              <w:t>沉砂池</w:t>
            </w:r>
            <w:r>
              <w:rPr>
                <w:color w:val="auto"/>
                <w:highlight w:val="none"/>
              </w:rPr>
              <w:t>+</w:t>
            </w:r>
            <w:r>
              <w:rPr>
                <w:rFonts w:hint="eastAsia"/>
                <w:color w:val="auto"/>
                <w:highlight w:val="none"/>
              </w:rPr>
              <w:t>隔油</w:t>
            </w:r>
            <w:r>
              <w:rPr>
                <w:color w:val="auto"/>
                <w:highlight w:val="none"/>
              </w:rPr>
              <w:t>+</w:t>
            </w:r>
            <w:r>
              <w:rPr>
                <w:rFonts w:hint="eastAsia"/>
                <w:color w:val="auto"/>
                <w:highlight w:val="none"/>
              </w:rPr>
              <w:t>调节</w:t>
            </w:r>
            <w:r>
              <w:rPr>
                <w:color w:val="auto"/>
                <w:highlight w:val="none"/>
              </w:rPr>
              <w:t>+</w:t>
            </w:r>
            <w:r>
              <w:rPr>
                <w:rFonts w:hint="eastAsia"/>
                <w:color w:val="auto"/>
                <w:highlight w:val="none"/>
              </w:rPr>
              <w:t>厌氧</w:t>
            </w:r>
            <w:r>
              <w:rPr>
                <w:color w:val="auto"/>
                <w:highlight w:val="none"/>
              </w:rPr>
              <w:t>+</w:t>
            </w:r>
            <w:r>
              <w:rPr>
                <w:rFonts w:hint="eastAsia"/>
                <w:color w:val="auto"/>
                <w:highlight w:val="none"/>
              </w:rPr>
              <w:t>好氧</w:t>
            </w:r>
            <w:r>
              <w:rPr>
                <w:color w:val="auto"/>
                <w:highlight w:val="none"/>
              </w:rPr>
              <w:t>+</w:t>
            </w:r>
            <w:r>
              <w:rPr>
                <w:rFonts w:hint="eastAsia"/>
                <w:color w:val="auto"/>
                <w:highlight w:val="none"/>
              </w:rPr>
              <w:t>沉淀</w:t>
            </w:r>
            <w:r>
              <w:rPr>
                <w:color w:val="auto"/>
                <w:highlight w:val="none"/>
              </w:rPr>
              <w:t>+</w:t>
            </w:r>
            <w:r>
              <w:rPr>
                <w:rFonts w:hint="eastAsia"/>
                <w:color w:val="auto"/>
                <w:highlight w:val="none"/>
              </w:rPr>
              <w:t>消毒）处理后排放于就近地表水体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restart"/>
            <w:tcBorders>
              <w:tl2br w:val="nil"/>
              <w:tr2bl w:val="nil"/>
            </w:tcBorders>
            <w:vAlign w:val="center"/>
          </w:tcPr>
          <w:p>
            <w:pPr>
              <w:pStyle w:val="28"/>
              <w:widowControl w:val="0"/>
              <w:rPr>
                <w:color w:val="auto"/>
                <w:highlight w:val="none"/>
              </w:rPr>
            </w:pPr>
            <w:r>
              <w:rPr>
                <w:rFonts w:hint="eastAsia"/>
                <w:color w:val="auto"/>
                <w:highlight w:val="none"/>
              </w:rPr>
              <w:t>待宰栏</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生猪待宰栏地面冲洗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待宰栏地面冲洗废水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生猪饲养猪尿</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猪尿</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生猪淋浴</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生猪冲洗废水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烫毛、刨毛、燎毛清洗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烫毛、刨毛、燎毛清洗废水</w:t>
            </w:r>
          </w:p>
        </w:tc>
        <w:tc>
          <w:tcPr>
            <w:tcW w:w="741" w:type="pct"/>
            <w:vMerge w:val="restart"/>
            <w:tcBorders>
              <w:tl2br w:val="nil"/>
              <w:tr2bl w:val="nil"/>
            </w:tcBorders>
            <w:vAlign w:val="center"/>
          </w:tcPr>
          <w:p>
            <w:pPr>
              <w:pStyle w:val="28"/>
              <w:widowControl w:val="0"/>
              <w:rPr>
                <w:color w:val="auto"/>
                <w:highlight w:val="none"/>
              </w:rPr>
            </w:pPr>
            <w:r>
              <w:rPr>
                <w:color w:val="auto"/>
                <w:highlight w:val="none"/>
              </w:rPr>
              <w:t>CODcr</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SS</w:t>
            </w:r>
            <w:r>
              <w:rPr>
                <w:rFonts w:hint="eastAsia"/>
                <w:color w:val="auto"/>
                <w:highlight w:val="none"/>
              </w:rPr>
              <w:t>、粪大肠菌群、动植物油</w:t>
            </w: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凉水池清洗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清洗废水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内脏清洗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内脏清洗废水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副产品加工清洗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副产品加工清洗废水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车间地面及设备清洗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车间地面及设备清洗废水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车间地面及设备清洗</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车间地面及设备清洗废水</w:t>
            </w:r>
          </w:p>
        </w:tc>
        <w:tc>
          <w:tcPr>
            <w:tcW w:w="741" w:type="pct"/>
            <w:vMerge w:val="continue"/>
            <w:tcBorders>
              <w:tl2br w:val="nil"/>
              <w:tr2bl w:val="nil"/>
            </w:tcBorders>
            <w:vAlign w:val="center"/>
          </w:tcPr>
          <w:p>
            <w:pPr>
              <w:pStyle w:val="28"/>
              <w:widowControl w:val="0"/>
              <w:rPr>
                <w:color w:val="auto"/>
                <w:highlight w:val="none"/>
              </w:rPr>
            </w:pP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废气处理系统废水</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废气处理废水</w:t>
            </w:r>
          </w:p>
        </w:tc>
        <w:tc>
          <w:tcPr>
            <w:tcW w:w="741" w:type="pct"/>
            <w:tcBorders>
              <w:tl2br w:val="nil"/>
              <w:tr2bl w:val="nil"/>
            </w:tcBorders>
            <w:vAlign w:val="center"/>
          </w:tcPr>
          <w:p>
            <w:pPr>
              <w:pStyle w:val="28"/>
              <w:widowControl w:val="0"/>
              <w:rPr>
                <w:color w:val="auto"/>
                <w:highlight w:val="none"/>
              </w:rPr>
            </w:pPr>
            <w:r>
              <w:rPr>
                <w:color w:val="auto"/>
                <w:highlight w:val="none"/>
              </w:rPr>
              <w:t>CODcr</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排入厂区污水处理站处理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tcBorders>
              <w:tl2br w:val="nil"/>
              <w:tr2bl w:val="nil"/>
            </w:tcBorders>
            <w:vAlign w:val="center"/>
          </w:tcPr>
          <w:p>
            <w:pPr>
              <w:pStyle w:val="28"/>
              <w:widowControl w:val="0"/>
              <w:rPr>
                <w:color w:val="auto"/>
                <w:highlight w:val="none"/>
              </w:rPr>
            </w:pPr>
            <w:r>
              <w:rPr>
                <w:rFonts w:hint="eastAsia"/>
                <w:color w:val="auto"/>
                <w:highlight w:val="none"/>
              </w:rPr>
              <w:t>办公生活</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员工生活</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生活污水</w:t>
            </w:r>
          </w:p>
        </w:tc>
        <w:tc>
          <w:tcPr>
            <w:tcW w:w="741" w:type="pct"/>
            <w:tcBorders>
              <w:tl2br w:val="nil"/>
              <w:tr2bl w:val="nil"/>
            </w:tcBorders>
            <w:vAlign w:val="center"/>
          </w:tcPr>
          <w:p>
            <w:pPr>
              <w:pStyle w:val="28"/>
              <w:widowControl w:val="0"/>
              <w:rPr>
                <w:color w:val="auto"/>
                <w:highlight w:val="none"/>
              </w:rPr>
            </w:pPr>
            <w:r>
              <w:rPr>
                <w:color w:val="auto"/>
                <w:highlight w:val="none"/>
              </w:rPr>
              <w:t>CODcr</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BOD</w:t>
            </w:r>
            <w:r>
              <w:rPr>
                <w:color w:val="auto"/>
                <w:highlight w:val="none"/>
                <w:vertAlign w:val="subscript"/>
              </w:rPr>
              <w:t>5</w:t>
            </w:r>
            <w:r>
              <w:rPr>
                <w:rFonts w:hint="eastAsia"/>
                <w:color w:val="auto"/>
                <w:highlight w:val="none"/>
              </w:rPr>
              <w:t>、</w:t>
            </w:r>
            <w:r>
              <w:rPr>
                <w:color w:val="auto"/>
                <w:highlight w:val="none"/>
              </w:rPr>
              <w:t>SS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经化粪池预处理后排入厂区污水处理站处理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restart"/>
            <w:tcBorders>
              <w:tl2br w:val="nil"/>
              <w:tr2bl w:val="nil"/>
            </w:tcBorders>
            <w:vAlign w:val="center"/>
          </w:tcPr>
          <w:p>
            <w:pPr>
              <w:pStyle w:val="28"/>
              <w:widowControl w:val="0"/>
              <w:rPr>
                <w:color w:val="auto"/>
                <w:highlight w:val="none"/>
              </w:rPr>
            </w:pPr>
            <w:r>
              <w:rPr>
                <w:rFonts w:hint="eastAsia"/>
                <w:color w:val="auto"/>
                <w:highlight w:val="none"/>
              </w:rPr>
              <w:t>废气</w:t>
            </w:r>
          </w:p>
        </w:tc>
        <w:tc>
          <w:tcPr>
            <w:tcW w:w="146"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生猪屠宰</w:t>
            </w:r>
          </w:p>
        </w:tc>
        <w:tc>
          <w:tcPr>
            <w:tcW w:w="384"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生猪运输</w:t>
            </w:r>
          </w:p>
        </w:tc>
        <w:tc>
          <w:tcPr>
            <w:tcW w:w="760"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生猪运输</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41"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加强车辆清理清洗、避开高温时段运输、运输路线避开人群及车流高峰期等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760" w:type="pct"/>
            <w:vMerge w:val="continue"/>
            <w:tcBorders>
              <w:tl2br w:val="nil"/>
              <w:tr2bl w:val="nil"/>
            </w:tcBorders>
            <w:vAlign w:val="center"/>
          </w:tcPr>
          <w:p>
            <w:pPr>
              <w:pStyle w:val="28"/>
              <w:widowControl w:val="0"/>
              <w:rPr>
                <w:color w:val="auto"/>
                <w:highlight w:val="none"/>
              </w:rPr>
            </w:pP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汽车尾气</w:t>
            </w:r>
          </w:p>
        </w:tc>
        <w:tc>
          <w:tcPr>
            <w:tcW w:w="741" w:type="pct"/>
            <w:tcBorders>
              <w:tl2br w:val="nil"/>
              <w:tr2bl w:val="nil"/>
            </w:tcBorders>
            <w:vAlign w:val="center"/>
          </w:tcPr>
          <w:p>
            <w:pPr>
              <w:pStyle w:val="28"/>
              <w:widowControl w:val="0"/>
              <w:rPr>
                <w:color w:val="auto"/>
                <w:highlight w:val="none"/>
              </w:rPr>
            </w:pPr>
            <w:r>
              <w:rPr>
                <w:color w:val="auto"/>
                <w:highlight w:val="none"/>
              </w:rPr>
              <w:t>CO</w:t>
            </w:r>
            <w:r>
              <w:rPr>
                <w:rFonts w:hint="eastAsia"/>
                <w:color w:val="auto"/>
                <w:highlight w:val="none"/>
              </w:rPr>
              <w:t>、</w:t>
            </w:r>
            <w:r>
              <w:rPr>
                <w:color w:val="auto"/>
                <w:highlight w:val="none"/>
              </w:rPr>
              <w:t>NOx</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加强车辆保养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生猪待宰圈养</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41"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半封闭式车间； 采用干清粪工艺，粪便经</w:t>
            </w:r>
            <w:r>
              <w:rPr>
                <w:color w:val="auto"/>
                <w:highlight w:val="none"/>
              </w:rPr>
              <w:t>“</w:t>
            </w:r>
            <w:r>
              <w:rPr>
                <w:rFonts w:hint="eastAsia"/>
                <w:color w:val="auto"/>
                <w:highlight w:val="none"/>
              </w:rPr>
              <w:t>漏缝板</w:t>
            </w:r>
            <w:r>
              <w:rPr>
                <w:color w:val="auto"/>
                <w:highlight w:val="none"/>
              </w:rPr>
              <w:t xml:space="preserve">” </w:t>
            </w:r>
            <w:r>
              <w:rPr>
                <w:rFonts w:hint="eastAsia"/>
                <w:color w:val="auto"/>
                <w:highlight w:val="none"/>
              </w:rPr>
              <w:t>进入待宰间下方防渗储粪池， 日产日清，定期冲洗车间 地面，加强通风及在待宰圈上方安装除臭剂喷雾喷头 喷洒天然植物提取液等方式减少待宰圈恶臭的产生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生猪屠宰</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41"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半封闭式车间；废气经通过车间通风系统以无组织形式排至车间外部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污水处理设施</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41"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污水站集水池、调节池、进水泵站、沉淀池等上方安 装除臭剂喷雾喷头喷洒天然植物提取液等方式减少恶 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vMerge w:val="continue"/>
            <w:tcBorders>
              <w:tl2br w:val="nil"/>
              <w:tr2bl w:val="nil"/>
            </w:tcBorders>
            <w:vAlign w:val="center"/>
          </w:tcPr>
          <w:p>
            <w:pPr>
              <w:pStyle w:val="28"/>
              <w:widowControl w:val="0"/>
              <w:rPr>
                <w:color w:val="auto"/>
                <w:highlight w:val="none"/>
              </w:rPr>
            </w:pP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固废场所</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41" w:type="pct"/>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封闭建筑，暂存的固废定期清理，暂存间周围喷洒 除 臭剂处理，以减少暂存间恶臭的产生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restart"/>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146"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生猪屠宰</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运输</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车辆噪声</w:t>
            </w:r>
          </w:p>
        </w:tc>
        <w:tc>
          <w:tcPr>
            <w:tcW w:w="910" w:type="pct"/>
            <w:tcBorders>
              <w:tl2br w:val="nil"/>
              <w:tr2bl w:val="nil"/>
            </w:tcBorders>
            <w:vAlign w:val="center"/>
          </w:tcPr>
          <w:p>
            <w:pPr>
              <w:pStyle w:val="28"/>
              <w:widowControl w:val="0"/>
              <w:rPr>
                <w:color w:val="auto"/>
                <w:highlight w:val="none"/>
              </w:rPr>
            </w:pPr>
            <w:r>
              <w:rPr>
                <w:color w:val="auto"/>
                <w:highlight w:val="none"/>
              </w:rPr>
              <w:t>Leq</w:t>
            </w:r>
          </w:p>
        </w:tc>
        <w:tc>
          <w:tcPr>
            <w:tcW w:w="741" w:type="pct"/>
            <w:tcBorders>
              <w:tl2br w:val="nil"/>
              <w:tr2bl w:val="nil"/>
            </w:tcBorders>
            <w:vAlign w:val="center"/>
          </w:tcPr>
          <w:p>
            <w:pPr>
              <w:pStyle w:val="28"/>
              <w:widowControl w:val="0"/>
              <w:rPr>
                <w:color w:val="auto"/>
                <w:highlight w:val="none"/>
              </w:rPr>
            </w:pPr>
            <w:r>
              <w:rPr>
                <w:color w:val="auto"/>
                <w:highlight w:val="none"/>
              </w:rPr>
              <w:t>/</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加强车辆管理，运输路线避开人口集中区等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生猪待宰</w:t>
            </w:r>
          </w:p>
        </w:tc>
        <w:tc>
          <w:tcPr>
            <w:tcW w:w="910" w:type="pct"/>
            <w:tcBorders>
              <w:tl2br w:val="nil"/>
              <w:tr2bl w:val="nil"/>
            </w:tcBorders>
            <w:vAlign w:val="center"/>
          </w:tcPr>
          <w:p>
            <w:pPr>
              <w:pStyle w:val="28"/>
              <w:widowControl w:val="0"/>
              <w:rPr>
                <w:color w:val="auto"/>
                <w:highlight w:val="none"/>
              </w:rPr>
            </w:pPr>
            <w:r>
              <w:rPr>
                <w:color w:val="auto"/>
                <w:highlight w:val="none"/>
              </w:rPr>
              <w:t>Leq</w:t>
            </w:r>
          </w:p>
        </w:tc>
        <w:tc>
          <w:tcPr>
            <w:tcW w:w="741" w:type="pct"/>
            <w:tcBorders>
              <w:tl2br w:val="nil"/>
              <w:tr2bl w:val="nil"/>
            </w:tcBorders>
            <w:vAlign w:val="center"/>
          </w:tcPr>
          <w:p>
            <w:pPr>
              <w:pStyle w:val="28"/>
              <w:widowControl w:val="0"/>
              <w:rPr>
                <w:color w:val="auto"/>
                <w:highlight w:val="none"/>
              </w:rPr>
            </w:pPr>
            <w:r>
              <w:rPr>
                <w:color w:val="auto"/>
                <w:highlight w:val="none"/>
              </w:rPr>
              <w:t>/</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及时屠宰处理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46" w:type="pct"/>
            <w:vMerge w:val="continue"/>
            <w:tcBorders>
              <w:tl2br w:val="nil"/>
              <w:tr2bl w:val="nil"/>
            </w:tcBorders>
            <w:textDirection w:val="tbRl"/>
            <w:vAlign w:val="center"/>
          </w:tcPr>
          <w:p>
            <w:pPr>
              <w:pStyle w:val="28"/>
              <w:widowControl w:val="0"/>
              <w:rPr>
                <w:color w:val="auto"/>
                <w:highlight w:val="none"/>
              </w:rPr>
            </w:pP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分割设备</w:t>
            </w:r>
          </w:p>
        </w:tc>
        <w:tc>
          <w:tcPr>
            <w:tcW w:w="910" w:type="pct"/>
            <w:tcBorders>
              <w:tl2br w:val="nil"/>
              <w:tr2bl w:val="nil"/>
            </w:tcBorders>
            <w:vAlign w:val="center"/>
          </w:tcPr>
          <w:p>
            <w:pPr>
              <w:pStyle w:val="28"/>
              <w:widowControl w:val="0"/>
              <w:rPr>
                <w:color w:val="auto"/>
                <w:highlight w:val="none"/>
              </w:rPr>
            </w:pPr>
            <w:r>
              <w:rPr>
                <w:color w:val="auto"/>
                <w:highlight w:val="none"/>
              </w:rPr>
              <w:t>Leq</w:t>
            </w:r>
          </w:p>
        </w:tc>
        <w:tc>
          <w:tcPr>
            <w:tcW w:w="741" w:type="pct"/>
            <w:tcBorders>
              <w:tl2br w:val="nil"/>
              <w:tr2bl w:val="nil"/>
            </w:tcBorders>
            <w:vAlign w:val="center"/>
          </w:tcPr>
          <w:p>
            <w:pPr>
              <w:pStyle w:val="28"/>
              <w:widowControl w:val="0"/>
              <w:rPr>
                <w:color w:val="auto"/>
                <w:highlight w:val="none"/>
              </w:rPr>
            </w:pPr>
            <w:r>
              <w:rPr>
                <w:color w:val="auto"/>
                <w:highlight w:val="none"/>
              </w:rPr>
              <w:t>/</w:t>
            </w:r>
          </w:p>
        </w:tc>
        <w:tc>
          <w:tcPr>
            <w:tcW w:w="1821" w:type="pct"/>
            <w:tcBorders>
              <w:tl2br w:val="nil"/>
              <w:tr2bl w:val="nil"/>
            </w:tcBorders>
            <w:vAlign w:val="center"/>
          </w:tcPr>
          <w:p>
            <w:pPr>
              <w:pStyle w:val="28"/>
              <w:widowControl w:val="0"/>
              <w:rPr>
                <w:color w:val="auto"/>
                <w:highlight w:val="none"/>
              </w:rPr>
            </w:pPr>
          </w:p>
          <w:p>
            <w:pPr>
              <w:pStyle w:val="28"/>
              <w:widowControl w:val="0"/>
              <w:rPr>
                <w:color w:val="auto"/>
                <w:highlight w:val="none"/>
              </w:rPr>
            </w:pPr>
            <w:r>
              <w:rPr>
                <w:rFonts w:hint="eastAsia"/>
                <w:color w:val="auto"/>
                <w:highlight w:val="none"/>
              </w:rPr>
              <w:t>使用低噪声设备，合理布局，厂房隔声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tcBorders>
              <w:tl2br w:val="nil"/>
              <w:tr2bl w:val="nil"/>
            </w:tcBorders>
            <w:vAlign w:val="center"/>
          </w:tcPr>
          <w:p>
            <w:pPr>
              <w:pStyle w:val="28"/>
              <w:widowControl w:val="0"/>
              <w:rPr>
                <w:color w:val="auto"/>
                <w:highlight w:val="none"/>
              </w:rPr>
            </w:pPr>
            <w:r>
              <w:rPr>
                <w:rFonts w:hint="eastAsia"/>
                <w:color w:val="auto"/>
                <w:highlight w:val="none"/>
              </w:rPr>
              <w:t>辅助工程</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锅炉等设备运行噪声</w:t>
            </w:r>
          </w:p>
        </w:tc>
        <w:tc>
          <w:tcPr>
            <w:tcW w:w="910" w:type="pct"/>
            <w:tcBorders>
              <w:tl2br w:val="nil"/>
              <w:tr2bl w:val="nil"/>
            </w:tcBorders>
            <w:vAlign w:val="center"/>
          </w:tcPr>
          <w:p>
            <w:pPr>
              <w:pStyle w:val="28"/>
              <w:widowControl w:val="0"/>
              <w:rPr>
                <w:color w:val="auto"/>
                <w:highlight w:val="none"/>
              </w:rPr>
            </w:pPr>
            <w:r>
              <w:rPr>
                <w:color w:val="auto"/>
                <w:highlight w:val="none"/>
              </w:rPr>
              <w:t>Leq</w:t>
            </w:r>
          </w:p>
        </w:tc>
        <w:tc>
          <w:tcPr>
            <w:tcW w:w="741" w:type="pct"/>
            <w:tcBorders>
              <w:tl2br w:val="nil"/>
              <w:tr2bl w:val="nil"/>
            </w:tcBorders>
            <w:vAlign w:val="center"/>
          </w:tcPr>
          <w:p>
            <w:pPr>
              <w:pStyle w:val="28"/>
              <w:widowControl w:val="0"/>
              <w:rPr>
                <w:color w:val="auto"/>
                <w:highlight w:val="none"/>
              </w:rPr>
            </w:pPr>
            <w:r>
              <w:rPr>
                <w:color w:val="auto"/>
                <w:highlight w:val="none"/>
              </w:rPr>
              <w:t>/</w:t>
            </w:r>
          </w:p>
        </w:tc>
        <w:tc>
          <w:tcPr>
            <w:tcW w:w="1821" w:type="pct"/>
            <w:vMerge w:val="restart"/>
            <w:tcBorders>
              <w:tl2br w:val="nil"/>
              <w:tr2bl w:val="nil"/>
            </w:tcBorders>
            <w:vAlign w:val="center"/>
          </w:tcPr>
          <w:p>
            <w:pPr>
              <w:pStyle w:val="28"/>
              <w:widowControl w:val="0"/>
              <w:rPr>
                <w:color w:val="auto"/>
                <w:highlight w:val="none"/>
              </w:rPr>
            </w:pPr>
            <w:r>
              <w:rPr>
                <w:rFonts w:hint="eastAsia"/>
                <w:color w:val="auto"/>
                <w:highlight w:val="none"/>
              </w:rPr>
              <w:t>加强设备选型，加强隔声、减震、消声等措施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530" w:type="pct"/>
            <w:gridSpan w:val="2"/>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760" w:type="pct"/>
            <w:tcBorders>
              <w:tl2br w:val="nil"/>
              <w:tr2bl w:val="nil"/>
            </w:tcBorders>
            <w:vAlign w:val="center"/>
          </w:tcPr>
          <w:p>
            <w:pPr>
              <w:pStyle w:val="28"/>
              <w:widowControl w:val="0"/>
              <w:rPr>
                <w:color w:val="auto"/>
                <w:highlight w:val="none"/>
              </w:rPr>
            </w:pPr>
            <w:r>
              <w:rPr>
                <w:rFonts w:hint="eastAsia"/>
                <w:color w:val="auto"/>
                <w:highlight w:val="none"/>
              </w:rPr>
              <w:t>风机、水泵等设备噪声</w:t>
            </w:r>
          </w:p>
        </w:tc>
        <w:tc>
          <w:tcPr>
            <w:tcW w:w="910" w:type="pct"/>
            <w:tcBorders>
              <w:tl2br w:val="nil"/>
              <w:tr2bl w:val="nil"/>
            </w:tcBorders>
            <w:vAlign w:val="center"/>
          </w:tcPr>
          <w:p>
            <w:pPr>
              <w:pStyle w:val="28"/>
              <w:widowControl w:val="0"/>
              <w:rPr>
                <w:color w:val="auto"/>
                <w:highlight w:val="none"/>
              </w:rPr>
            </w:pPr>
            <w:r>
              <w:rPr>
                <w:color w:val="auto"/>
                <w:highlight w:val="none"/>
              </w:rPr>
              <w:t>Leq</w:t>
            </w:r>
          </w:p>
        </w:tc>
        <w:tc>
          <w:tcPr>
            <w:tcW w:w="741" w:type="pct"/>
            <w:tcBorders>
              <w:tl2br w:val="nil"/>
              <w:tr2bl w:val="nil"/>
            </w:tcBorders>
            <w:vAlign w:val="center"/>
          </w:tcPr>
          <w:p>
            <w:pPr>
              <w:pStyle w:val="28"/>
              <w:widowControl w:val="0"/>
              <w:rPr>
                <w:color w:val="auto"/>
                <w:highlight w:val="none"/>
              </w:rPr>
            </w:pPr>
            <w:r>
              <w:rPr>
                <w:color w:val="auto"/>
                <w:highlight w:val="none"/>
              </w:rPr>
              <w:t>/</w:t>
            </w: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restart"/>
            <w:tcBorders>
              <w:tl2br w:val="nil"/>
              <w:tr2bl w:val="nil"/>
            </w:tcBorders>
            <w:vAlign w:val="center"/>
          </w:tcPr>
          <w:p>
            <w:pPr>
              <w:pStyle w:val="28"/>
              <w:widowControl w:val="0"/>
              <w:rPr>
                <w:color w:val="auto"/>
                <w:highlight w:val="none"/>
              </w:rPr>
            </w:pPr>
            <w:r>
              <w:rPr>
                <w:rFonts w:hint="eastAsia"/>
                <w:color w:val="auto"/>
                <w:highlight w:val="none"/>
              </w:rPr>
              <w:t>固体 废物</w:t>
            </w:r>
          </w:p>
        </w:tc>
        <w:tc>
          <w:tcPr>
            <w:tcW w:w="1291"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待宰圈、屠宰车间</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vMerge w:val="restart"/>
            <w:tcBorders>
              <w:tl2br w:val="nil"/>
              <w:tr2bl w:val="nil"/>
            </w:tcBorders>
            <w:vAlign w:val="center"/>
          </w:tcPr>
          <w:p>
            <w:pPr>
              <w:pStyle w:val="28"/>
              <w:widowControl w:val="0"/>
              <w:rPr>
                <w:color w:val="auto"/>
                <w:highlight w:val="none"/>
              </w:rPr>
            </w:pPr>
            <w:r>
              <w:rPr>
                <w:rFonts w:hint="eastAsia"/>
                <w:color w:val="auto"/>
                <w:highlight w:val="none"/>
              </w:rPr>
              <w:t>交由有无害化处理资质单位进行无害化处理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continue"/>
            <w:tcBorders>
              <w:tl2br w:val="nil"/>
              <w:tr2bl w:val="nil"/>
            </w:tcBorders>
            <w:vAlign w:val="center"/>
          </w:tcPr>
          <w:p>
            <w:pPr>
              <w:pStyle w:val="28"/>
              <w:widowControl w:val="0"/>
              <w:rPr>
                <w:color w:val="auto"/>
                <w:highlight w:val="none"/>
              </w:rPr>
            </w:pP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continue"/>
            <w:tcBorders>
              <w:tl2br w:val="nil"/>
              <w:tr2bl w:val="nil"/>
            </w:tcBorders>
            <w:vAlign w:val="center"/>
          </w:tcPr>
          <w:p>
            <w:pPr>
              <w:pStyle w:val="28"/>
              <w:widowControl w:val="0"/>
              <w:rPr>
                <w:color w:val="auto"/>
                <w:highlight w:val="none"/>
              </w:rPr>
            </w:pP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vMerge w:val="continue"/>
            <w:tcBorders>
              <w:tl2br w:val="nil"/>
              <w:tr2bl w:val="nil"/>
            </w:tcBorders>
            <w:vAlign w:val="center"/>
          </w:tcPr>
          <w:p>
            <w:pPr>
              <w:pStyle w:val="28"/>
              <w:widowControl w:val="0"/>
              <w:rPr>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污水处理系统</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continue"/>
            <w:tcBorders>
              <w:tl2br w:val="nil"/>
              <w:tr2bl w:val="nil"/>
            </w:tcBorders>
            <w:vAlign w:val="center"/>
          </w:tcPr>
          <w:p>
            <w:pPr>
              <w:pStyle w:val="28"/>
              <w:widowControl w:val="0"/>
              <w:rPr>
                <w:color w:val="auto"/>
                <w:highlight w:val="none"/>
              </w:rPr>
            </w:pP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vMerge w:val="continue"/>
            <w:tcBorders>
              <w:tl2br w:val="nil"/>
              <w:tr2bl w:val="nil"/>
            </w:tcBorders>
            <w:vAlign w:val="center"/>
          </w:tcPr>
          <w:p>
            <w:pPr>
              <w:pStyle w:val="28"/>
              <w:widowControl w:val="0"/>
              <w:rPr>
                <w:color w:val="auto"/>
                <w:highlight w:val="none"/>
              </w:rPr>
            </w:pP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委托有资质的单位进行处置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35" w:type="pct"/>
            <w:vMerge w:val="continue"/>
            <w:tcBorders>
              <w:tl2br w:val="nil"/>
              <w:tr2bl w:val="nil"/>
            </w:tcBorders>
            <w:vAlign w:val="center"/>
          </w:tcPr>
          <w:p>
            <w:pPr>
              <w:pStyle w:val="28"/>
              <w:widowControl w:val="0"/>
              <w:rPr>
                <w:color w:val="auto"/>
                <w:highlight w:val="none"/>
              </w:rPr>
            </w:pPr>
          </w:p>
        </w:tc>
        <w:tc>
          <w:tcPr>
            <w:tcW w:w="1291" w:type="pct"/>
            <w:gridSpan w:val="3"/>
            <w:tcBorders>
              <w:tl2br w:val="nil"/>
              <w:tr2bl w:val="nil"/>
            </w:tcBorders>
            <w:vAlign w:val="center"/>
          </w:tcPr>
          <w:p>
            <w:pPr>
              <w:pStyle w:val="28"/>
              <w:widowControl w:val="0"/>
              <w:rPr>
                <w:color w:val="auto"/>
                <w:highlight w:val="none"/>
              </w:rPr>
            </w:pPr>
            <w:r>
              <w:rPr>
                <w:rFonts w:hint="eastAsia"/>
                <w:color w:val="auto"/>
                <w:highlight w:val="none"/>
              </w:rPr>
              <w:t>员工办公生活</w:t>
            </w:r>
          </w:p>
        </w:tc>
        <w:tc>
          <w:tcPr>
            <w:tcW w:w="910" w:type="pct"/>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741" w:type="pc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1821"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bl>
    <w:p>
      <w:pPr>
        <w:widowControl w:val="0"/>
        <w:ind w:firstLine="480"/>
        <w:rPr>
          <w:color w:val="auto"/>
          <w:highlight w:val="none"/>
        </w:rPr>
        <w:sectPr>
          <w:pgSz w:w="15840" w:h="12240" w:orient="landscape"/>
          <w:pgMar w:top="1417" w:right="1440" w:bottom="1417"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4"/>
        <w:widowControl w:val="0"/>
        <w:rPr>
          <w:color w:val="auto"/>
          <w:highlight w:val="none"/>
        </w:rPr>
      </w:pPr>
      <w:bookmarkStart w:id="49" w:name="_Toc4689"/>
      <w:r>
        <w:rPr>
          <w:rFonts w:hint="eastAsia"/>
          <w:color w:val="auto"/>
          <w:highlight w:val="none"/>
        </w:rPr>
        <w:t>现有项目污染物产排污情况及已采取的污染防治措施</w:t>
      </w:r>
      <w:bookmarkEnd w:id="49"/>
    </w:p>
    <w:p>
      <w:pPr>
        <w:pStyle w:val="5"/>
        <w:widowControl w:val="0"/>
        <w:ind w:firstLine="120"/>
        <w:rPr>
          <w:color w:val="auto"/>
          <w:highlight w:val="none"/>
        </w:rPr>
      </w:pPr>
      <w:r>
        <w:rPr>
          <w:rFonts w:hint="eastAsia"/>
          <w:color w:val="auto"/>
          <w:highlight w:val="none"/>
        </w:rPr>
        <w:t>现有项目污染源强分析</w:t>
      </w:r>
    </w:p>
    <w:p>
      <w:pPr>
        <w:widowControl w:val="0"/>
        <w:ind w:firstLine="480"/>
        <w:rPr>
          <w:color w:val="auto"/>
          <w:highlight w:val="none"/>
        </w:rPr>
      </w:pPr>
      <w:r>
        <w:rPr>
          <w:rFonts w:hint="eastAsia"/>
          <w:color w:val="auto"/>
          <w:highlight w:val="none"/>
        </w:rPr>
        <w:t>结合屠宰场的实际情况及建设单位提供的资料，因平昌县响滩镇生猪定点屠宰场与平昌县云台镇生猪定点屠宰场采用生产工艺、工作制度与环保治理措施均相同，所以将两场合并分析。</w:t>
      </w:r>
    </w:p>
    <w:p>
      <w:pPr>
        <w:pStyle w:val="6"/>
        <w:widowControl w:val="0"/>
        <w:ind w:firstLine="241"/>
        <w:rPr>
          <w:color w:val="auto"/>
          <w:highlight w:val="none"/>
        </w:rPr>
      </w:pPr>
      <w:r>
        <w:rPr>
          <w:rFonts w:hint="eastAsia"/>
          <w:color w:val="auto"/>
          <w:highlight w:val="none"/>
        </w:rPr>
        <w:t>现有项目水污染分析及污染防治措施</w:t>
      </w:r>
    </w:p>
    <w:p>
      <w:pPr>
        <w:widowControl w:val="0"/>
        <w:ind w:firstLine="480"/>
        <w:rPr>
          <w:color w:val="auto"/>
          <w:highlight w:val="none"/>
        </w:rPr>
      </w:pPr>
      <w:r>
        <w:rPr>
          <w:rFonts w:hint="eastAsia"/>
          <w:color w:val="auto"/>
          <w:highlight w:val="none"/>
        </w:rPr>
        <w:t>项目不涉及肉制品深加工，项目运营期间产生的废水主要为生活污水、屠宰废水、车辆清洗废水。</w:t>
      </w:r>
    </w:p>
    <w:p>
      <w:pPr>
        <w:widowControl w:val="0"/>
        <w:ind w:firstLine="480"/>
        <w:rPr>
          <w:color w:val="auto"/>
          <w:highlight w:val="none"/>
        </w:rPr>
      </w:pPr>
      <w:r>
        <w:rPr>
          <w:rFonts w:hint="eastAsia"/>
          <w:color w:val="auto"/>
          <w:highlight w:val="none"/>
        </w:rPr>
        <w:t>（1）生活污水</w:t>
      </w:r>
    </w:p>
    <w:p>
      <w:pPr>
        <w:widowControl w:val="0"/>
        <w:ind w:firstLine="480"/>
        <w:rPr>
          <w:rFonts w:ascii="宋体" w:hAnsi="宋体"/>
          <w:color w:val="auto"/>
          <w:szCs w:val="24"/>
          <w:highlight w:val="none"/>
        </w:rPr>
      </w:pPr>
      <w:r>
        <w:rPr>
          <w:rFonts w:hint="eastAsia"/>
          <w:color w:val="auto"/>
          <w:highlight w:val="none"/>
        </w:rPr>
        <w:t>现有项目员工18人（两厂总计），均不在厂内食宿。生活用水量约为0.9m</w:t>
      </w:r>
      <w:r>
        <w:rPr>
          <w:rFonts w:hint="eastAsia"/>
          <w:color w:val="auto"/>
          <w:highlight w:val="none"/>
          <w:vertAlign w:val="superscript"/>
        </w:rPr>
        <w:t>3</w:t>
      </w:r>
      <w:r>
        <w:rPr>
          <w:rFonts w:hint="eastAsia"/>
          <w:color w:val="auto"/>
          <w:highlight w:val="none"/>
        </w:rPr>
        <w:t>/d（270m</w:t>
      </w:r>
      <w:r>
        <w:rPr>
          <w:rFonts w:hint="eastAsia"/>
          <w:color w:val="auto"/>
          <w:highlight w:val="none"/>
          <w:vertAlign w:val="superscript"/>
        </w:rPr>
        <w:t>3</w:t>
      </w:r>
      <w:r>
        <w:rPr>
          <w:rFonts w:hint="eastAsia"/>
          <w:color w:val="auto"/>
          <w:highlight w:val="none"/>
        </w:rPr>
        <w:t>/a）。</w:t>
      </w:r>
    </w:p>
    <w:p>
      <w:pPr>
        <w:widowControl w:val="0"/>
        <w:ind w:firstLine="480"/>
        <w:rPr>
          <w:color w:val="auto"/>
          <w:highlight w:val="none"/>
        </w:rPr>
      </w:pPr>
      <w:r>
        <w:rPr>
          <w:rFonts w:hint="eastAsia"/>
          <w:color w:val="auto"/>
          <w:highlight w:val="none"/>
        </w:rPr>
        <w:t>（2）屠宰废水</w:t>
      </w:r>
    </w:p>
    <w:p>
      <w:pPr>
        <w:widowControl w:val="0"/>
        <w:ind w:firstLine="480"/>
        <w:rPr>
          <w:color w:val="auto"/>
          <w:highlight w:val="none"/>
        </w:rPr>
      </w:pPr>
      <w:r>
        <w:rPr>
          <w:rFonts w:hint="eastAsia"/>
          <w:color w:val="auto"/>
          <w:highlight w:val="none"/>
        </w:rPr>
        <w:t>屠宰过程指屠宰时进行的圈栏冲洗、宰前淋洗、宰后烫毛或剥皮、解体、内脏洗涤及车间冲洗等过程，屠宰废水指屠宰过程中产生的废水。因此，屠宰废水主要包括：待宰间的排放粪便冲洗水和宰前冲洗污物、粪便水；屠宰工段排放的冲淋水和地面冲洗水；内脏处理工段排放的含肠胃内容物的废水。废水中含有大量血污、油脂、油块、毛、肉屑、骨屑、内脏杂物，未消化的食物、粪便等。</w:t>
      </w:r>
    </w:p>
    <w:p>
      <w:pPr>
        <w:widowControl w:val="0"/>
        <w:ind w:firstLine="480"/>
        <w:rPr>
          <w:color w:val="auto"/>
          <w:highlight w:val="none"/>
        </w:rPr>
      </w:pPr>
      <w:r>
        <w:rPr>
          <w:rFonts w:hint="eastAsia"/>
          <w:color w:val="auto"/>
          <w:highlight w:val="none"/>
        </w:rPr>
        <w:t>根据现场调查，两厂总计产生屠宰废水量约为10.8m</w:t>
      </w:r>
      <w:r>
        <w:rPr>
          <w:rFonts w:hint="eastAsia"/>
          <w:color w:val="auto"/>
          <w:highlight w:val="none"/>
          <w:vertAlign w:val="superscript"/>
        </w:rPr>
        <w:t>3</w:t>
      </w:r>
      <w:r>
        <w:rPr>
          <w:rFonts w:hint="eastAsia"/>
          <w:color w:val="auto"/>
          <w:highlight w:val="none"/>
        </w:rPr>
        <w:t>/d（3240m</w:t>
      </w:r>
      <w:r>
        <w:rPr>
          <w:rFonts w:hint="eastAsia"/>
          <w:color w:val="auto"/>
          <w:highlight w:val="none"/>
          <w:vertAlign w:val="superscript"/>
        </w:rPr>
        <w:t>3</w:t>
      </w:r>
      <w:r>
        <w:rPr>
          <w:rFonts w:hint="eastAsia"/>
          <w:color w:val="auto"/>
          <w:highlight w:val="none"/>
        </w:rPr>
        <w:t>/a）</w:t>
      </w:r>
      <w:r>
        <w:rPr>
          <w:rFonts w:hint="eastAsia" w:ascii="宋体" w:hAnsi="宋体"/>
          <w:color w:val="auto"/>
          <w:szCs w:val="24"/>
          <w:highlight w:val="none"/>
        </w:rPr>
        <w:t>。</w:t>
      </w:r>
    </w:p>
    <w:p>
      <w:pPr>
        <w:widowControl w:val="0"/>
        <w:ind w:firstLine="480"/>
        <w:rPr>
          <w:color w:val="auto"/>
          <w:highlight w:val="none"/>
        </w:rPr>
      </w:pPr>
      <w:r>
        <w:rPr>
          <w:rFonts w:hint="eastAsia"/>
          <w:color w:val="auto"/>
          <w:highlight w:val="none"/>
        </w:rPr>
        <w:t>（3）车辆清洗废水</w:t>
      </w:r>
    </w:p>
    <w:p>
      <w:pPr>
        <w:widowControl w:val="0"/>
        <w:ind w:firstLine="480"/>
        <w:rPr>
          <w:color w:val="auto"/>
          <w:highlight w:val="none"/>
        </w:rPr>
      </w:pPr>
      <w:r>
        <w:rPr>
          <w:rFonts w:hint="eastAsia"/>
          <w:color w:val="auto"/>
          <w:highlight w:val="none"/>
        </w:rPr>
        <w:t>根据生产工艺设计，项目需要对已卸载完毕的运输车辆进行清洗和冲洗，采用高压水泵方式直接冲洗，两厂产生的废水总量约为0.05m</w:t>
      </w:r>
      <w:r>
        <w:rPr>
          <w:rFonts w:hint="eastAsia"/>
          <w:color w:val="auto"/>
          <w:highlight w:val="none"/>
          <w:vertAlign w:val="superscript"/>
        </w:rPr>
        <w:t>3</w:t>
      </w:r>
      <w:r>
        <w:rPr>
          <w:rFonts w:hint="eastAsia"/>
          <w:color w:val="auto"/>
          <w:highlight w:val="none"/>
        </w:rPr>
        <w:t>/d（15m</w:t>
      </w:r>
      <w:r>
        <w:rPr>
          <w:rFonts w:hint="eastAsia"/>
          <w:color w:val="auto"/>
          <w:highlight w:val="none"/>
          <w:vertAlign w:val="superscript"/>
        </w:rPr>
        <w:t>3</w:t>
      </w:r>
      <w:r>
        <w:rPr>
          <w:rFonts w:hint="eastAsia"/>
          <w:color w:val="auto"/>
          <w:highlight w:val="none"/>
        </w:rPr>
        <w:t>/a），废水经收集后送污水处理站进一步处理。</w:t>
      </w:r>
    </w:p>
    <w:p>
      <w:pPr>
        <w:widowControl w:val="0"/>
        <w:ind w:firstLine="480"/>
        <w:rPr>
          <w:rStyle w:val="25"/>
          <w:color w:val="auto"/>
          <w:highlight w:val="none"/>
        </w:rPr>
        <w:sectPr>
          <w:pgSz w:w="12240" w:h="15840"/>
          <w:pgMar w:top="1134" w:right="1417" w:bottom="1134"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rPr>
        <w:t>综上所述，原项目产生的综合废水总量约为11.75m</w:t>
      </w:r>
      <w:r>
        <w:rPr>
          <w:rFonts w:hint="eastAsia"/>
          <w:color w:val="auto"/>
          <w:highlight w:val="none"/>
          <w:vertAlign w:val="superscript"/>
        </w:rPr>
        <w:t>3</w:t>
      </w:r>
      <w:r>
        <w:rPr>
          <w:rFonts w:hint="eastAsia"/>
          <w:color w:val="auto"/>
          <w:highlight w:val="none"/>
        </w:rPr>
        <w:t>/d（3525m</w:t>
      </w:r>
      <w:r>
        <w:rPr>
          <w:rFonts w:hint="eastAsia"/>
          <w:color w:val="auto"/>
          <w:highlight w:val="none"/>
          <w:vertAlign w:val="superscript"/>
        </w:rPr>
        <w:t>3</w:t>
      </w:r>
      <w:r>
        <w:rPr>
          <w:rFonts w:hint="eastAsia"/>
          <w:color w:val="auto"/>
          <w:highlight w:val="none"/>
        </w:rPr>
        <w:t>/a），项目废水均通过自建污水处理厂处理工艺：格栅+沉砂池+隔油+调节+厌氧+好氧+沉淀+消毒）</w:t>
      </w:r>
      <w:r>
        <w:rPr>
          <w:rFonts w:hint="eastAsia" w:ascii="宋体" w:hAnsi="宋体"/>
          <w:color w:val="auto"/>
          <w:szCs w:val="24"/>
          <w:highlight w:val="none"/>
        </w:rPr>
        <w:t>处理后</w:t>
      </w:r>
      <w:r>
        <w:rPr>
          <w:rFonts w:hint="eastAsia"/>
          <w:color w:val="auto"/>
          <w:highlight w:val="none"/>
        </w:rPr>
        <w:t>排放于就近地表水体</w:t>
      </w:r>
      <w:r>
        <w:rPr>
          <w:rFonts w:hint="eastAsia" w:ascii="宋体" w:hAnsi="宋体"/>
          <w:color w:val="auto"/>
          <w:szCs w:val="24"/>
          <w:highlight w:val="none"/>
        </w:rPr>
        <w:t>。</w:t>
      </w:r>
    </w:p>
    <w:p>
      <w:pPr>
        <w:widowControl w:val="0"/>
        <w:ind w:firstLine="480"/>
        <w:rPr>
          <w:rStyle w:val="25"/>
          <w:color w:val="auto"/>
          <w:highlight w:val="none"/>
        </w:rPr>
      </w:pPr>
    </w:p>
    <w:p>
      <w:pPr>
        <w:pStyle w:val="27"/>
        <w:widowControl w:val="0"/>
        <w:ind w:firstLine="480"/>
        <w:rPr>
          <w:rStyle w:val="25"/>
          <w:rFonts w:hint="eastAsia"/>
          <w:color w:val="auto"/>
          <w:highlight w:val="none"/>
          <w:lang w:val="en-US" w:eastAsia="zh-CN"/>
        </w:rPr>
      </w:pPr>
      <w:r>
        <w:rPr>
          <w:rStyle w:val="25"/>
          <w:rFonts w:hint="eastAsia"/>
          <w:color w:val="auto"/>
          <w:highlight w:val="none"/>
          <w:lang w:val="en-US" w:eastAsia="zh-CN"/>
        </w:rPr>
        <w:t>现有项目污水排放情况一览表</w:t>
      </w:r>
    </w:p>
    <w:tbl>
      <w:tblPr>
        <w:tblStyle w:val="23"/>
        <w:tblW w:w="499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465"/>
        <w:gridCol w:w="674"/>
        <w:gridCol w:w="881"/>
        <w:gridCol w:w="1439"/>
        <w:gridCol w:w="713"/>
        <w:gridCol w:w="794"/>
        <w:gridCol w:w="713"/>
        <w:gridCol w:w="1907"/>
        <w:gridCol w:w="1439"/>
        <w:gridCol w:w="706"/>
        <w:gridCol w:w="838"/>
        <w:gridCol w:w="659"/>
        <w:gridCol w:w="1061"/>
        <w:gridCol w:w="1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4"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9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设施</w:t>
            </w:r>
          </w:p>
        </w:tc>
        <w:tc>
          <w:tcPr>
            <w:tcW w:w="275"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35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226"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污染物产生</w:t>
            </w:r>
          </w:p>
        </w:tc>
        <w:tc>
          <w:tcPr>
            <w:tcW w:w="722"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c>
          <w:tcPr>
            <w:tcW w:w="1240"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污染物排放浓度</w:t>
            </w:r>
          </w:p>
        </w:tc>
        <w:tc>
          <w:tcPr>
            <w:tcW w:w="415" w:type="pct"/>
            <w:vMerge w:val="restart"/>
            <w:tcBorders>
              <w:tl2br w:val="nil"/>
              <w:tr2bl w:val="nil"/>
            </w:tcBorders>
            <w:vAlign w:val="center"/>
          </w:tcPr>
          <w:p>
            <w:pPr>
              <w:pStyle w:val="28"/>
              <w:widowControl w:val="0"/>
              <w:rPr>
                <w:color w:val="auto"/>
                <w:highlight w:val="none"/>
              </w:rPr>
            </w:pPr>
            <w:r>
              <w:rPr>
                <w:rFonts w:hint="eastAsia"/>
                <w:b/>
                <w:bCs/>
                <w:color w:val="auto"/>
                <w:highlight w:val="none"/>
              </w:rPr>
              <w:t>排放时间</w:t>
            </w:r>
          </w:p>
        </w:tc>
        <w:tc>
          <w:tcPr>
            <w:tcW w:w="415"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54" w:type="pct"/>
            <w:vMerge w:val="continue"/>
            <w:tcBorders>
              <w:tl2br w:val="nil"/>
              <w:tr2bl w:val="nil"/>
            </w:tcBorders>
            <w:vAlign w:val="center"/>
          </w:tcPr>
          <w:p>
            <w:pPr>
              <w:pStyle w:val="28"/>
              <w:widowControl w:val="0"/>
              <w:rPr>
                <w:b/>
                <w:bCs/>
                <w:color w:val="auto"/>
                <w:highlight w:val="none"/>
              </w:rPr>
            </w:pPr>
          </w:p>
        </w:tc>
        <w:tc>
          <w:tcPr>
            <w:tcW w:w="199" w:type="pct"/>
            <w:vMerge w:val="continue"/>
            <w:tcBorders>
              <w:tl2br w:val="nil"/>
              <w:tr2bl w:val="nil"/>
            </w:tcBorders>
            <w:vAlign w:val="center"/>
          </w:tcPr>
          <w:p>
            <w:pPr>
              <w:pStyle w:val="28"/>
              <w:widowControl w:val="0"/>
              <w:rPr>
                <w:b/>
                <w:bCs/>
                <w:color w:val="auto"/>
                <w:highlight w:val="none"/>
              </w:rPr>
            </w:pPr>
          </w:p>
        </w:tc>
        <w:tc>
          <w:tcPr>
            <w:tcW w:w="275" w:type="pct"/>
            <w:vMerge w:val="continue"/>
            <w:tcBorders>
              <w:tl2br w:val="nil"/>
              <w:tr2bl w:val="nil"/>
            </w:tcBorders>
            <w:vAlign w:val="center"/>
          </w:tcPr>
          <w:p>
            <w:pPr>
              <w:pStyle w:val="28"/>
              <w:widowControl w:val="0"/>
              <w:rPr>
                <w:b/>
                <w:bCs/>
                <w:color w:val="auto"/>
                <w:highlight w:val="none"/>
              </w:rPr>
            </w:pPr>
          </w:p>
        </w:tc>
        <w:tc>
          <w:tcPr>
            <w:tcW w:w="350" w:type="pct"/>
            <w:vMerge w:val="continue"/>
            <w:tcBorders>
              <w:tl2br w:val="nil"/>
              <w:tr2bl w:val="nil"/>
            </w:tcBorders>
            <w:vAlign w:val="center"/>
          </w:tcPr>
          <w:p>
            <w:pPr>
              <w:pStyle w:val="28"/>
              <w:widowControl w:val="0"/>
              <w:rPr>
                <w:b/>
                <w:bCs/>
                <w:color w:val="auto"/>
                <w:highlight w:val="none"/>
              </w:rPr>
            </w:pPr>
          </w:p>
        </w:tc>
        <w:tc>
          <w:tcPr>
            <w:tcW w:w="36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废水产生量m</w:t>
            </w:r>
            <w:r>
              <w:rPr>
                <w:rFonts w:hint="eastAsia"/>
                <w:b/>
                <w:bCs/>
                <w:color w:val="auto"/>
                <w:highlight w:val="none"/>
                <w:vertAlign w:val="superscript"/>
              </w:rPr>
              <w:t>3</w:t>
            </w:r>
            <w:r>
              <w:rPr>
                <w:rFonts w:hint="eastAsia"/>
                <w:b/>
                <w:bCs/>
                <w:color w:val="auto"/>
                <w:highlight w:val="none"/>
              </w:rPr>
              <w:t>/d</w:t>
            </w:r>
          </w:p>
        </w:tc>
        <w:tc>
          <w:tcPr>
            <w:tcW w:w="28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产生浓度mg/L</w:t>
            </w:r>
          </w:p>
        </w:tc>
        <w:tc>
          <w:tcPr>
            <w:tcW w:w="576"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722" w:type="pct"/>
            <w:vMerge w:val="continue"/>
            <w:tcBorders>
              <w:tl2br w:val="nil"/>
              <w:tr2bl w:val="nil"/>
            </w:tcBorders>
            <w:vAlign w:val="center"/>
          </w:tcPr>
          <w:p>
            <w:pPr>
              <w:pStyle w:val="28"/>
              <w:widowControl w:val="0"/>
              <w:rPr>
                <w:b/>
                <w:bCs/>
                <w:color w:val="auto"/>
                <w:highlight w:val="none"/>
              </w:rPr>
            </w:pPr>
          </w:p>
        </w:tc>
        <w:tc>
          <w:tcPr>
            <w:tcW w:w="35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废水排放量m</w:t>
            </w:r>
            <w:r>
              <w:rPr>
                <w:rFonts w:hint="eastAsia"/>
                <w:b/>
                <w:bCs/>
                <w:color w:val="auto"/>
                <w:highlight w:val="none"/>
                <w:vertAlign w:val="superscript"/>
              </w:rPr>
              <w:t>3</w:t>
            </w:r>
            <w:r>
              <w:rPr>
                <w:rFonts w:hint="eastAsia"/>
                <w:b/>
                <w:bCs/>
                <w:color w:val="auto"/>
                <w:highlight w:val="none"/>
              </w:rPr>
              <w:t>/d</w:t>
            </w:r>
          </w:p>
        </w:tc>
        <w:tc>
          <w:tcPr>
            <w:tcW w:w="28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排放浓度mg/L</w:t>
            </w:r>
          </w:p>
        </w:tc>
        <w:tc>
          <w:tcPr>
            <w:tcW w:w="602"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排放量</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54" w:type="pct"/>
            <w:vMerge w:val="continue"/>
            <w:tcBorders>
              <w:tl2br w:val="nil"/>
              <w:tr2bl w:val="nil"/>
            </w:tcBorders>
            <w:vAlign w:val="center"/>
          </w:tcPr>
          <w:p>
            <w:pPr>
              <w:pStyle w:val="28"/>
              <w:widowControl w:val="0"/>
              <w:rPr>
                <w:b/>
                <w:bCs/>
                <w:color w:val="auto"/>
                <w:highlight w:val="none"/>
              </w:rPr>
            </w:pPr>
          </w:p>
        </w:tc>
        <w:tc>
          <w:tcPr>
            <w:tcW w:w="199" w:type="pct"/>
            <w:vMerge w:val="continue"/>
            <w:tcBorders>
              <w:tl2br w:val="nil"/>
              <w:tr2bl w:val="nil"/>
            </w:tcBorders>
            <w:vAlign w:val="center"/>
          </w:tcPr>
          <w:p>
            <w:pPr>
              <w:pStyle w:val="28"/>
              <w:widowControl w:val="0"/>
              <w:rPr>
                <w:b/>
                <w:bCs/>
                <w:color w:val="auto"/>
                <w:highlight w:val="none"/>
              </w:rPr>
            </w:pPr>
          </w:p>
        </w:tc>
        <w:tc>
          <w:tcPr>
            <w:tcW w:w="275" w:type="pct"/>
            <w:vMerge w:val="continue"/>
            <w:tcBorders>
              <w:tl2br w:val="nil"/>
              <w:tr2bl w:val="nil"/>
            </w:tcBorders>
            <w:vAlign w:val="center"/>
          </w:tcPr>
          <w:p>
            <w:pPr>
              <w:pStyle w:val="28"/>
              <w:widowControl w:val="0"/>
              <w:rPr>
                <w:b/>
                <w:bCs/>
                <w:color w:val="auto"/>
                <w:highlight w:val="none"/>
              </w:rPr>
            </w:pPr>
          </w:p>
        </w:tc>
        <w:tc>
          <w:tcPr>
            <w:tcW w:w="350" w:type="pct"/>
            <w:vMerge w:val="continue"/>
            <w:tcBorders>
              <w:tl2br w:val="nil"/>
              <w:tr2bl w:val="nil"/>
            </w:tcBorders>
            <w:vAlign w:val="center"/>
          </w:tcPr>
          <w:p>
            <w:pPr>
              <w:pStyle w:val="28"/>
              <w:widowControl w:val="0"/>
              <w:rPr>
                <w:b/>
                <w:bCs/>
                <w:color w:val="auto"/>
                <w:highlight w:val="none"/>
              </w:rPr>
            </w:pPr>
          </w:p>
        </w:tc>
        <w:tc>
          <w:tcPr>
            <w:tcW w:w="360" w:type="pct"/>
            <w:vMerge w:val="continue"/>
            <w:tcBorders>
              <w:tl2br w:val="nil"/>
              <w:tr2bl w:val="nil"/>
            </w:tcBorders>
            <w:vAlign w:val="center"/>
          </w:tcPr>
          <w:p>
            <w:pPr>
              <w:pStyle w:val="28"/>
              <w:widowControl w:val="0"/>
              <w:rPr>
                <w:b/>
                <w:bCs/>
                <w:color w:val="auto"/>
                <w:highlight w:val="none"/>
              </w:rPr>
            </w:pPr>
          </w:p>
        </w:tc>
        <w:tc>
          <w:tcPr>
            <w:tcW w:w="289" w:type="pct"/>
            <w:vMerge w:val="continue"/>
            <w:tcBorders>
              <w:tl2br w:val="nil"/>
              <w:tr2bl w:val="nil"/>
            </w:tcBorders>
            <w:vAlign w:val="center"/>
          </w:tcPr>
          <w:p>
            <w:pPr>
              <w:pStyle w:val="28"/>
              <w:widowControl w:val="0"/>
              <w:rPr>
                <w:b/>
                <w:bCs/>
                <w:color w:val="auto"/>
                <w:highlight w:val="none"/>
              </w:rPr>
            </w:pPr>
          </w:p>
        </w:tc>
        <w:tc>
          <w:tcPr>
            <w:tcW w:w="288" w:type="pct"/>
            <w:tcBorders>
              <w:tl2br w:val="nil"/>
              <w:tr2bl w:val="nil"/>
            </w:tcBorders>
            <w:vAlign w:val="center"/>
          </w:tcPr>
          <w:p>
            <w:pPr>
              <w:pStyle w:val="28"/>
              <w:widowControl w:val="0"/>
              <w:rPr>
                <w:b/>
                <w:bCs/>
                <w:color w:val="auto"/>
                <w:highlight w:val="none"/>
              </w:rPr>
            </w:pPr>
            <w:r>
              <w:rPr>
                <w:rFonts w:hint="eastAsia"/>
                <w:b/>
                <w:bCs/>
                <w:color w:val="auto"/>
                <w:highlight w:val="none"/>
              </w:rPr>
              <w:t>t/d</w:t>
            </w:r>
          </w:p>
        </w:tc>
        <w:tc>
          <w:tcPr>
            <w:tcW w:w="288" w:type="pct"/>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722" w:type="pct"/>
            <w:vMerge w:val="continue"/>
            <w:tcBorders>
              <w:tl2br w:val="nil"/>
              <w:tr2bl w:val="nil"/>
            </w:tcBorders>
            <w:vAlign w:val="center"/>
          </w:tcPr>
          <w:p>
            <w:pPr>
              <w:pStyle w:val="28"/>
              <w:widowControl w:val="0"/>
              <w:rPr>
                <w:b/>
                <w:bCs/>
                <w:color w:val="auto"/>
                <w:highlight w:val="none"/>
              </w:rPr>
            </w:pPr>
          </w:p>
        </w:tc>
        <w:tc>
          <w:tcPr>
            <w:tcW w:w="351" w:type="pct"/>
            <w:vMerge w:val="continue"/>
            <w:tcBorders>
              <w:tl2br w:val="nil"/>
              <w:tr2bl w:val="nil"/>
            </w:tcBorders>
            <w:vAlign w:val="center"/>
          </w:tcPr>
          <w:p>
            <w:pPr>
              <w:pStyle w:val="28"/>
              <w:widowControl w:val="0"/>
              <w:rPr>
                <w:b/>
                <w:bCs/>
                <w:color w:val="auto"/>
                <w:highlight w:val="none"/>
              </w:rPr>
            </w:pPr>
          </w:p>
        </w:tc>
        <w:tc>
          <w:tcPr>
            <w:tcW w:w="286" w:type="pct"/>
            <w:vMerge w:val="continue"/>
            <w:tcBorders>
              <w:tl2br w:val="nil"/>
              <w:tr2bl w:val="nil"/>
            </w:tcBorders>
            <w:vAlign w:val="center"/>
          </w:tcPr>
          <w:p>
            <w:pPr>
              <w:pStyle w:val="28"/>
              <w:widowControl w:val="0"/>
              <w:rPr>
                <w:b/>
                <w:bCs/>
                <w:color w:val="auto"/>
                <w:highlight w:val="none"/>
              </w:rPr>
            </w:pPr>
          </w:p>
        </w:tc>
        <w:tc>
          <w:tcPr>
            <w:tcW w:w="334" w:type="pct"/>
            <w:tcBorders>
              <w:tl2br w:val="nil"/>
              <w:tr2bl w:val="nil"/>
            </w:tcBorders>
            <w:vAlign w:val="center"/>
          </w:tcPr>
          <w:p>
            <w:pPr>
              <w:pStyle w:val="28"/>
              <w:widowControl w:val="0"/>
              <w:rPr>
                <w:b/>
                <w:bCs/>
                <w:color w:val="auto"/>
                <w:highlight w:val="none"/>
              </w:rPr>
            </w:pPr>
            <w:r>
              <w:rPr>
                <w:rFonts w:hint="eastAsia"/>
                <w:b/>
                <w:bCs/>
                <w:color w:val="auto"/>
                <w:highlight w:val="none"/>
              </w:rPr>
              <w:t>t/d</w:t>
            </w:r>
          </w:p>
        </w:tc>
        <w:tc>
          <w:tcPr>
            <w:tcW w:w="267" w:type="pct"/>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4" w:type="pct"/>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199" w:type="pct"/>
            <w:vMerge w:val="restart"/>
            <w:tcBorders>
              <w:tl2br w:val="nil"/>
              <w:tr2bl w:val="nil"/>
            </w:tcBorders>
            <w:vAlign w:val="center"/>
          </w:tcPr>
          <w:p>
            <w:pPr>
              <w:pStyle w:val="28"/>
              <w:widowControl w:val="0"/>
              <w:rPr>
                <w:color w:val="auto"/>
                <w:highlight w:val="none"/>
              </w:rPr>
            </w:pPr>
            <w:r>
              <w:rPr>
                <w:rFonts w:hint="eastAsia"/>
                <w:color w:val="auto"/>
                <w:highlight w:val="none"/>
              </w:rPr>
              <w:t>自建污水处理站</w:t>
            </w:r>
          </w:p>
        </w:tc>
        <w:tc>
          <w:tcPr>
            <w:tcW w:w="275"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综合废水</w:t>
            </w:r>
          </w:p>
        </w:tc>
        <w:tc>
          <w:tcPr>
            <w:tcW w:w="350"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360"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10.8（3540m</w:t>
            </w:r>
            <w:r>
              <w:rPr>
                <w:rFonts w:hint="eastAsia"/>
                <w:color w:val="auto"/>
                <w:highlight w:val="none"/>
                <w:vertAlign w:val="superscript"/>
                <w:lang w:val="en-US" w:eastAsia="zh-CN"/>
              </w:rPr>
              <w:t>3</w:t>
            </w:r>
            <w:r>
              <w:rPr>
                <w:rFonts w:hint="eastAsia"/>
                <w:color w:val="auto"/>
                <w:highlight w:val="none"/>
                <w:lang w:val="en-US" w:eastAsia="zh-CN"/>
              </w:rPr>
              <w:t>/a）</w:t>
            </w:r>
          </w:p>
        </w:tc>
        <w:tc>
          <w:tcPr>
            <w:tcW w:w="289"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2000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0.02</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6.8</w:t>
            </w:r>
          </w:p>
        </w:tc>
        <w:tc>
          <w:tcPr>
            <w:tcW w:w="722" w:type="pct"/>
            <w:vMerge w:val="restart"/>
            <w:tcBorders>
              <w:tl2br w:val="nil"/>
              <w:tr2bl w:val="nil"/>
            </w:tcBorders>
            <w:vAlign w:val="center"/>
          </w:tcPr>
          <w:p>
            <w:pPr>
              <w:pStyle w:val="28"/>
              <w:widowControl w:val="0"/>
              <w:rPr>
                <w:color w:val="auto"/>
                <w:highlight w:val="none"/>
              </w:rPr>
            </w:pPr>
            <w:r>
              <w:rPr>
                <w:rFonts w:hint="eastAsia"/>
                <w:color w:val="auto"/>
                <w:highlight w:val="none"/>
              </w:rPr>
              <w:t>格栅+沉砂池+隔油+调节+厌氧+好氧+沉淀+消毒</w:t>
            </w:r>
          </w:p>
        </w:tc>
        <w:tc>
          <w:tcPr>
            <w:tcW w:w="351"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10.8（3540m</w:t>
            </w:r>
            <w:r>
              <w:rPr>
                <w:rFonts w:hint="eastAsia"/>
                <w:color w:val="auto"/>
                <w:highlight w:val="none"/>
                <w:vertAlign w:val="superscript"/>
                <w:lang w:val="en-US" w:eastAsia="zh-CN"/>
              </w:rPr>
              <w:t>3</w:t>
            </w:r>
            <w:r>
              <w:rPr>
                <w:rFonts w:hint="eastAsia"/>
                <w:color w:val="auto"/>
                <w:highlight w:val="none"/>
                <w:lang w:val="en-US" w:eastAsia="zh-CN"/>
              </w:rPr>
              <w:t>/a）</w:t>
            </w: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0.005</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0.71</w:t>
            </w:r>
          </w:p>
        </w:tc>
        <w:tc>
          <w:tcPr>
            <w:tcW w:w="415" w:type="pct"/>
            <w:vMerge w:val="restart"/>
            <w:tcBorders>
              <w:tl2br w:val="nil"/>
              <w:tr2bl w:val="nil"/>
            </w:tcBorders>
            <w:vAlign w:val="center"/>
          </w:tcPr>
          <w:p>
            <w:pPr>
              <w:pStyle w:val="28"/>
              <w:widowControl w:val="0"/>
              <w:rPr>
                <w:color w:val="auto"/>
                <w:highlight w:val="none"/>
              </w:rPr>
            </w:pPr>
            <w:r>
              <w:rPr>
                <w:rFonts w:hint="eastAsia"/>
                <w:color w:val="auto"/>
                <w:highlight w:val="none"/>
              </w:rPr>
              <w:t>年营运</w:t>
            </w:r>
            <w:r>
              <w:rPr>
                <w:rFonts w:hint="eastAsia"/>
                <w:color w:val="auto"/>
                <w:highlight w:val="none"/>
                <w:lang w:val="en-US" w:eastAsia="zh-CN"/>
              </w:rPr>
              <w:t>300</w:t>
            </w:r>
            <w:r>
              <w:rPr>
                <w:rFonts w:hint="eastAsia"/>
                <w:color w:val="auto"/>
                <w:highlight w:val="none"/>
              </w:rPr>
              <w:t>天，每天8小时</w:t>
            </w:r>
          </w:p>
        </w:tc>
        <w:tc>
          <w:tcPr>
            <w:tcW w:w="415"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响滩屠宰场排入濛溪河；云台屠宰场排入通江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54" w:type="pct"/>
            <w:vMerge w:val="continue"/>
            <w:tcBorders>
              <w:tl2br w:val="nil"/>
              <w:tr2bl w:val="nil"/>
            </w:tcBorders>
            <w:vAlign w:val="center"/>
          </w:tcPr>
          <w:p>
            <w:pPr>
              <w:pStyle w:val="28"/>
              <w:widowControl w:val="0"/>
              <w:rPr>
                <w:color w:val="auto"/>
                <w:highlight w:val="none"/>
              </w:rPr>
            </w:pPr>
          </w:p>
        </w:tc>
        <w:tc>
          <w:tcPr>
            <w:tcW w:w="199" w:type="pct"/>
            <w:vMerge w:val="continue"/>
            <w:tcBorders>
              <w:tl2br w:val="nil"/>
              <w:tr2bl w:val="nil"/>
            </w:tcBorders>
            <w:vAlign w:val="center"/>
          </w:tcPr>
          <w:p>
            <w:pPr>
              <w:pStyle w:val="28"/>
              <w:widowControl w:val="0"/>
              <w:rPr>
                <w:color w:val="auto"/>
                <w:highlight w:val="none"/>
              </w:rPr>
            </w:pPr>
          </w:p>
        </w:tc>
        <w:tc>
          <w:tcPr>
            <w:tcW w:w="275" w:type="pct"/>
            <w:vMerge w:val="continue"/>
            <w:tcBorders>
              <w:tl2br w:val="nil"/>
              <w:tr2bl w:val="nil"/>
            </w:tcBorders>
            <w:vAlign w:val="center"/>
          </w:tcPr>
          <w:p>
            <w:pPr>
              <w:pStyle w:val="28"/>
              <w:widowControl w:val="0"/>
              <w:rPr>
                <w:color w:val="auto"/>
                <w:highlight w:val="none"/>
              </w:rPr>
            </w:pPr>
          </w:p>
        </w:tc>
        <w:tc>
          <w:tcPr>
            <w:tcW w:w="350"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360" w:type="pct"/>
            <w:vMerge w:val="continue"/>
            <w:tcBorders>
              <w:tl2br w:val="nil"/>
              <w:tr2bl w:val="nil"/>
            </w:tcBorders>
            <w:vAlign w:val="center"/>
          </w:tcPr>
          <w:p>
            <w:pPr>
              <w:pStyle w:val="28"/>
              <w:widowControl w:val="0"/>
              <w:rPr>
                <w:color w:val="auto"/>
                <w:highlight w:val="none"/>
              </w:rPr>
            </w:pPr>
          </w:p>
        </w:tc>
        <w:tc>
          <w:tcPr>
            <w:tcW w:w="289"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900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0.01</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3.53</w:t>
            </w:r>
          </w:p>
        </w:tc>
        <w:tc>
          <w:tcPr>
            <w:tcW w:w="722" w:type="pct"/>
            <w:vMerge w:val="continue"/>
            <w:tcBorders>
              <w:tl2br w:val="nil"/>
              <w:tr2bl w:val="nil"/>
            </w:tcBorders>
            <w:vAlign w:val="center"/>
          </w:tcPr>
          <w:p>
            <w:pPr>
              <w:pStyle w:val="28"/>
              <w:widowControl w:val="0"/>
              <w:rPr>
                <w:color w:val="auto"/>
                <w:highlight w:val="none"/>
              </w:rPr>
            </w:pPr>
          </w:p>
        </w:tc>
        <w:tc>
          <w:tcPr>
            <w:tcW w:w="351" w:type="pct"/>
            <w:vMerge w:val="continue"/>
            <w:tcBorders>
              <w:tl2br w:val="nil"/>
              <w:tr2bl w:val="nil"/>
            </w:tcBorders>
            <w:vAlign w:val="center"/>
          </w:tcPr>
          <w:p>
            <w:pPr>
              <w:pStyle w:val="28"/>
              <w:widowControl w:val="0"/>
              <w:rPr>
                <w:color w:val="auto"/>
                <w:highlight w:val="none"/>
              </w:rPr>
            </w:pP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0.003</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0.35</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4" w:type="pct"/>
            <w:vMerge w:val="continue"/>
            <w:tcBorders>
              <w:tl2br w:val="nil"/>
              <w:tr2bl w:val="nil"/>
            </w:tcBorders>
            <w:vAlign w:val="center"/>
          </w:tcPr>
          <w:p>
            <w:pPr>
              <w:pStyle w:val="28"/>
              <w:widowControl w:val="0"/>
              <w:rPr>
                <w:color w:val="auto"/>
                <w:highlight w:val="none"/>
              </w:rPr>
            </w:pPr>
          </w:p>
        </w:tc>
        <w:tc>
          <w:tcPr>
            <w:tcW w:w="199" w:type="pct"/>
            <w:vMerge w:val="continue"/>
            <w:tcBorders>
              <w:tl2br w:val="nil"/>
              <w:tr2bl w:val="nil"/>
            </w:tcBorders>
            <w:vAlign w:val="center"/>
          </w:tcPr>
          <w:p>
            <w:pPr>
              <w:pStyle w:val="28"/>
              <w:widowControl w:val="0"/>
              <w:rPr>
                <w:color w:val="auto"/>
                <w:highlight w:val="none"/>
              </w:rPr>
            </w:pPr>
          </w:p>
        </w:tc>
        <w:tc>
          <w:tcPr>
            <w:tcW w:w="275" w:type="pct"/>
            <w:vMerge w:val="continue"/>
            <w:tcBorders>
              <w:tl2br w:val="nil"/>
              <w:tr2bl w:val="nil"/>
            </w:tcBorders>
            <w:vAlign w:val="center"/>
          </w:tcPr>
          <w:p>
            <w:pPr>
              <w:pStyle w:val="28"/>
              <w:widowControl w:val="0"/>
              <w:rPr>
                <w:color w:val="auto"/>
                <w:highlight w:val="none"/>
              </w:rPr>
            </w:pPr>
          </w:p>
        </w:tc>
        <w:tc>
          <w:tcPr>
            <w:tcW w:w="350"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360" w:type="pct"/>
            <w:vMerge w:val="continue"/>
            <w:tcBorders>
              <w:tl2br w:val="nil"/>
              <w:tr2bl w:val="nil"/>
            </w:tcBorders>
            <w:vAlign w:val="center"/>
          </w:tcPr>
          <w:p>
            <w:pPr>
              <w:pStyle w:val="28"/>
              <w:widowControl w:val="0"/>
              <w:rPr>
                <w:color w:val="auto"/>
                <w:highlight w:val="none"/>
              </w:rPr>
            </w:pPr>
          </w:p>
        </w:tc>
        <w:tc>
          <w:tcPr>
            <w:tcW w:w="289"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rPr>
              <w:t>15</w:t>
            </w:r>
            <w:r>
              <w:rPr>
                <w:rFonts w:hint="eastAsia"/>
                <w:color w:val="auto"/>
                <w:highlight w:val="none"/>
                <w:lang w:val="en-US" w:eastAsia="zh-CN"/>
              </w:rPr>
              <w:t>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0.002</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0.21</w:t>
            </w:r>
          </w:p>
        </w:tc>
        <w:tc>
          <w:tcPr>
            <w:tcW w:w="722" w:type="pct"/>
            <w:vMerge w:val="continue"/>
            <w:tcBorders>
              <w:tl2br w:val="nil"/>
              <w:tr2bl w:val="nil"/>
            </w:tcBorders>
            <w:vAlign w:val="center"/>
          </w:tcPr>
          <w:p>
            <w:pPr>
              <w:pStyle w:val="28"/>
              <w:widowControl w:val="0"/>
              <w:rPr>
                <w:color w:val="auto"/>
                <w:highlight w:val="none"/>
              </w:rPr>
            </w:pPr>
          </w:p>
        </w:tc>
        <w:tc>
          <w:tcPr>
            <w:tcW w:w="351" w:type="pct"/>
            <w:vMerge w:val="continue"/>
            <w:tcBorders>
              <w:tl2br w:val="nil"/>
              <w:tr2bl w:val="nil"/>
            </w:tcBorders>
            <w:vAlign w:val="center"/>
          </w:tcPr>
          <w:p>
            <w:pPr>
              <w:pStyle w:val="28"/>
              <w:widowControl w:val="0"/>
              <w:rPr>
                <w:color w:val="auto"/>
                <w:highlight w:val="none"/>
              </w:rPr>
            </w:pP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45</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0.0005</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0.09</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 w:hRule="atLeast"/>
        </w:trPr>
        <w:tc>
          <w:tcPr>
            <w:tcW w:w="154" w:type="pct"/>
            <w:vMerge w:val="continue"/>
            <w:tcBorders>
              <w:tl2br w:val="nil"/>
              <w:tr2bl w:val="nil"/>
            </w:tcBorders>
            <w:vAlign w:val="center"/>
          </w:tcPr>
          <w:p>
            <w:pPr>
              <w:pStyle w:val="28"/>
              <w:widowControl w:val="0"/>
              <w:rPr>
                <w:color w:val="auto"/>
                <w:highlight w:val="none"/>
              </w:rPr>
            </w:pPr>
          </w:p>
        </w:tc>
        <w:tc>
          <w:tcPr>
            <w:tcW w:w="199" w:type="pct"/>
            <w:vMerge w:val="continue"/>
            <w:tcBorders>
              <w:tl2br w:val="nil"/>
              <w:tr2bl w:val="nil"/>
            </w:tcBorders>
            <w:vAlign w:val="center"/>
          </w:tcPr>
          <w:p>
            <w:pPr>
              <w:pStyle w:val="28"/>
              <w:widowControl w:val="0"/>
              <w:rPr>
                <w:color w:val="auto"/>
                <w:highlight w:val="none"/>
              </w:rPr>
            </w:pPr>
          </w:p>
        </w:tc>
        <w:tc>
          <w:tcPr>
            <w:tcW w:w="275" w:type="pct"/>
            <w:vMerge w:val="continue"/>
            <w:tcBorders>
              <w:tl2br w:val="nil"/>
              <w:tr2bl w:val="nil"/>
            </w:tcBorders>
            <w:vAlign w:val="center"/>
          </w:tcPr>
          <w:p>
            <w:pPr>
              <w:pStyle w:val="28"/>
              <w:widowControl w:val="0"/>
              <w:rPr>
                <w:color w:val="auto"/>
                <w:highlight w:val="none"/>
              </w:rPr>
            </w:pPr>
          </w:p>
        </w:tc>
        <w:tc>
          <w:tcPr>
            <w:tcW w:w="350"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360" w:type="pct"/>
            <w:vMerge w:val="continue"/>
            <w:tcBorders>
              <w:tl2br w:val="nil"/>
              <w:tr2bl w:val="nil"/>
            </w:tcBorders>
            <w:vAlign w:val="center"/>
          </w:tcPr>
          <w:p>
            <w:pPr>
              <w:pStyle w:val="28"/>
              <w:widowControl w:val="0"/>
              <w:rPr>
                <w:color w:val="auto"/>
                <w:highlight w:val="none"/>
              </w:rPr>
            </w:pPr>
          </w:p>
        </w:tc>
        <w:tc>
          <w:tcPr>
            <w:tcW w:w="289"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1100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0.012</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3.53</w:t>
            </w:r>
          </w:p>
        </w:tc>
        <w:tc>
          <w:tcPr>
            <w:tcW w:w="722" w:type="pct"/>
            <w:vMerge w:val="continue"/>
            <w:tcBorders>
              <w:tl2br w:val="nil"/>
              <w:tr2bl w:val="nil"/>
            </w:tcBorders>
            <w:vAlign w:val="center"/>
          </w:tcPr>
          <w:p>
            <w:pPr>
              <w:pStyle w:val="28"/>
              <w:widowControl w:val="0"/>
              <w:rPr>
                <w:color w:val="auto"/>
                <w:highlight w:val="none"/>
              </w:rPr>
            </w:pPr>
          </w:p>
        </w:tc>
        <w:tc>
          <w:tcPr>
            <w:tcW w:w="351" w:type="pct"/>
            <w:vMerge w:val="continue"/>
            <w:tcBorders>
              <w:tl2br w:val="nil"/>
              <w:tr2bl w:val="nil"/>
            </w:tcBorders>
            <w:vAlign w:val="center"/>
          </w:tcPr>
          <w:p>
            <w:pPr>
              <w:pStyle w:val="28"/>
              <w:widowControl w:val="0"/>
              <w:rPr>
                <w:color w:val="auto"/>
                <w:highlight w:val="none"/>
              </w:rPr>
            </w:pP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400</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0.004</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0.35</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54" w:type="pct"/>
            <w:vMerge w:val="continue"/>
            <w:tcBorders>
              <w:tl2br w:val="nil"/>
              <w:tr2bl w:val="nil"/>
            </w:tcBorders>
            <w:vAlign w:val="center"/>
          </w:tcPr>
          <w:p>
            <w:pPr>
              <w:pStyle w:val="28"/>
              <w:widowControl w:val="0"/>
              <w:rPr>
                <w:color w:val="auto"/>
                <w:highlight w:val="none"/>
              </w:rPr>
            </w:pPr>
          </w:p>
        </w:tc>
        <w:tc>
          <w:tcPr>
            <w:tcW w:w="199" w:type="pct"/>
            <w:vMerge w:val="continue"/>
            <w:tcBorders>
              <w:tl2br w:val="nil"/>
              <w:tr2bl w:val="nil"/>
            </w:tcBorders>
            <w:vAlign w:val="center"/>
          </w:tcPr>
          <w:p>
            <w:pPr>
              <w:pStyle w:val="28"/>
              <w:widowControl w:val="0"/>
              <w:rPr>
                <w:color w:val="auto"/>
                <w:highlight w:val="none"/>
              </w:rPr>
            </w:pPr>
          </w:p>
        </w:tc>
        <w:tc>
          <w:tcPr>
            <w:tcW w:w="275" w:type="pct"/>
            <w:vMerge w:val="continue"/>
            <w:tcBorders>
              <w:tl2br w:val="nil"/>
              <w:tr2bl w:val="nil"/>
            </w:tcBorders>
            <w:vAlign w:val="center"/>
          </w:tcPr>
          <w:p>
            <w:pPr>
              <w:pStyle w:val="28"/>
              <w:widowControl w:val="0"/>
              <w:rPr>
                <w:color w:val="auto"/>
                <w:highlight w:val="none"/>
              </w:rPr>
            </w:pPr>
          </w:p>
        </w:tc>
        <w:tc>
          <w:tcPr>
            <w:tcW w:w="350" w:type="pct"/>
            <w:tcBorders>
              <w:tl2br w:val="nil"/>
              <w:tr2bl w:val="nil"/>
            </w:tcBorders>
            <w:vAlign w:val="center"/>
          </w:tcPr>
          <w:p>
            <w:pPr>
              <w:pStyle w:val="28"/>
              <w:widowControl w:val="0"/>
              <w:rPr>
                <w:color w:val="auto"/>
                <w:highlight w:val="none"/>
              </w:rPr>
            </w:pPr>
            <w:r>
              <w:rPr>
                <w:rFonts w:hint="eastAsia"/>
                <w:color w:val="auto"/>
                <w:highlight w:val="none"/>
              </w:rPr>
              <w:t>TP</w:t>
            </w:r>
          </w:p>
        </w:tc>
        <w:tc>
          <w:tcPr>
            <w:tcW w:w="360" w:type="pct"/>
            <w:vMerge w:val="continue"/>
            <w:tcBorders>
              <w:tl2br w:val="nil"/>
              <w:tr2bl w:val="nil"/>
            </w:tcBorders>
            <w:vAlign w:val="center"/>
          </w:tcPr>
          <w:p>
            <w:pPr>
              <w:pStyle w:val="28"/>
              <w:widowControl w:val="0"/>
              <w:rPr>
                <w:color w:val="auto"/>
                <w:highlight w:val="none"/>
              </w:rPr>
            </w:pPr>
          </w:p>
        </w:tc>
        <w:tc>
          <w:tcPr>
            <w:tcW w:w="289"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30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0.0003</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0.03</w:t>
            </w:r>
          </w:p>
        </w:tc>
        <w:tc>
          <w:tcPr>
            <w:tcW w:w="722" w:type="pct"/>
            <w:vMerge w:val="continue"/>
            <w:tcBorders>
              <w:tl2br w:val="nil"/>
              <w:tr2bl w:val="nil"/>
            </w:tcBorders>
            <w:vAlign w:val="center"/>
          </w:tcPr>
          <w:p>
            <w:pPr>
              <w:pStyle w:val="28"/>
              <w:widowControl w:val="0"/>
              <w:rPr>
                <w:color w:val="auto"/>
                <w:highlight w:val="none"/>
              </w:rPr>
            </w:pPr>
          </w:p>
        </w:tc>
        <w:tc>
          <w:tcPr>
            <w:tcW w:w="351" w:type="pct"/>
            <w:vMerge w:val="continue"/>
            <w:tcBorders>
              <w:tl2br w:val="nil"/>
              <w:tr2bl w:val="nil"/>
            </w:tcBorders>
            <w:vAlign w:val="center"/>
          </w:tcPr>
          <w:p>
            <w:pPr>
              <w:pStyle w:val="28"/>
              <w:widowControl w:val="0"/>
              <w:rPr>
                <w:color w:val="auto"/>
                <w:highlight w:val="none"/>
              </w:rPr>
            </w:pP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0.0001</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0.01</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7" w:hRule="atLeast"/>
        </w:trPr>
        <w:tc>
          <w:tcPr>
            <w:tcW w:w="154" w:type="pct"/>
            <w:vMerge w:val="continue"/>
            <w:tcBorders>
              <w:tl2br w:val="nil"/>
              <w:tr2bl w:val="nil"/>
            </w:tcBorders>
            <w:vAlign w:val="center"/>
          </w:tcPr>
          <w:p>
            <w:pPr>
              <w:pStyle w:val="28"/>
              <w:widowControl w:val="0"/>
              <w:rPr>
                <w:color w:val="auto"/>
                <w:highlight w:val="none"/>
              </w:rPr>
            </w:pPr>
          </w:p>
        </w:tc>
        <w:tc>
          <w:tcPr>
            <w:tcW w:w="199" w:type="pct"/>
            <w:vMerge w:val="continue"/>
            <w:tcBorders>
              <w:tl2br w:val="nil"/>
              <w:tr2bl w:val="nil"/>
            </w:tcBorders>
            <w:vAlign w:val="center"/>
          </w:tcPr>
          <w:p>
            <w:pPr>
              <w:pStyle w:val="28"/>
              <w:widowControl w:val="0"/>
              <w:rPr>
                <w:color w:val="auto"/>
                <w:highlight w:val="none"/>
              </w:rPr>
            </w:pPr>
          </w:p>
        </w:tc>
        <w:tc>
          <w:tcPr>
            <w:tcW w:w="275" w:type="pct"/>
            <w:vMerge w:val="continue"/>
            <w:tcBorders>
              <w:tl2br w:val="nil"/>
              <w:tr2bl w:val="nil"/>
            </w:tcBorders>
            <w:vAlign w:val="center"/>
          </w:tcPr>
          <w:p>
            <w:pPr>
              <w:pStyle w:val="28"/>
              <w:widowControl w:val="0"/>
              <w:rPr>
                <w:color w:val="auto"/>
                <w:highlight w:val="none"/>
              </w:rPr>
            </w:pPr>
          </w:p>
        </w:tc>
        <w:tc>
          <w:tcPr>
            <w:tcW w:w="350"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360" w:type="pct"/>
            <w:vMerge w:val="continue"/>
            <w:tcBorders>
              <w:tl2br w:val="nil"/>
              <w:tr2bl w:val="nil"/>
            </w:tcBorders>
            <w:vAlign w:val="center"/>
          </w:tcPr>
          <w:p>
            <w:pPr>
              <w:pStyle w:val="28"/>
              <w:widowControl w:val="0"/>
              <w:rPr>
                <w:color w:val="auto"/>
                <w:highlight w:val="none"/>
              </w:rPr>
            </w:pPr>
          </w:p>
        </w:tc>
        <w:tc>
          <w:tcPr>
            <w:tcW w:w="289"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rPr>
              <w:t>14</w:t>
            </w:r>
            <w:r>
              <w:rPr>
                <w:rFonts w:hint="eastAsia"/>
                <w:color w:val="auto"/>
                <w:highlight w:val="none"/>
                <w:lang w:val="en-US" w:eastAsia="zh-CN"/>
              </w:rPr>
              <w:t>0</w:t>
            </w:r>
          </w:p>
        </w:tc>
        <w:tc>
          <w:tcPr>
            <w:tcW w:w="794"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0.002</w:t>
            </w:r>
          </w:p>
        </w:tc>
        <w:tc>
          <w:tcPr>
            <w:tcW w:w="797"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0.71</w:t>
            </w:r>
          </w:p>
        </w:tc>
        <w:tc>
          <w:tcPr>
            <w:tcW w:w="722" w:type="pct"/>
            <w:vMerge w:val="continue"/>
            <w:tcBorders>
              <w:tl2br w:val="nil"/>
              <w:tr2bl w:val="nil"/>
            </w:tcBorders>
            <w:vAlign w:val="center"/>
          </w:tcPr>
          <w:p>
            <w:pPr>
              <w:pStyle w:val="28"/>
              <w:widowControl w:val="0"/>
              <w:rPr>
                <w:color w:val="auto"/>
                <w:highlight w:val="none"/>
              </w:rPr>
            </w:pPr>
          </w:p>
        </w:tc>
        <w:tc>
          <w:tcPr>
            <w:tcW w:w="351" w:type="pct"/>
            <w:vMerge w:val="continue"/>
            <w:tcBorders>
              <w:tl2br w:val="nil"/>
              <w:tr2bl w:val="nil"/>
            </w:tcBorders>
            <w:vAlign w:val="center"/>
          </w:tcPr>
          <w:p>
            <w:pPr>
              <w:pStyle w:val="28"/>
              <w:widowControl w:val="0"/>
              <w:rPr>
                <w:color w:val="auto"/>
                <w:highlight w:val="none"/>
              </w:rPr>
            </w:pPr>
          </w:p>
        </w:tc>
        <w:tc>
          <w:tcPr>
            <w:tcW w:w="286" w:type="pct"/>
            <w:tcBorders>
              <w:tl2br w:val="nil"/>
              <w:tr2bl w:val="nil"/>
            </w:tcBorders>
            <w:vAlign w:val="center"/>
          </w:tcPr>
          <w:p>
            <w:pPr>
              <w:pStyle w:val="28"/>
              <w:widowControl w:val="0"/>
              <w:rPr>
                <w:color w:val="auto"/>
                <w:highlight w:val="none"/>
              </w:rPr>
            </w:pPr>
            <w:r>
              <w:rPr>
                <w:rFonts w:hint="eastAsia"/>
                <w:color w:val="auto"/>
                <w:highlight w:val="none"/>
              </w:rPr>
              <w:t>60</w:t>
            </w:r>
          </w:p>
        </w:tc>
        <w:tc>
          <w:tcPr>
            <w:tcW w:w="838" w:type="dxa"/>
            <w:tcBorders>
              <w:tl2br w:val="nil"/>
              <w:tr2bl w:val="nil"/>
            </w:tcBorders>
            <w:vAlign w:val="center"/>
          </w:tcPr>
          <w:p>
            <w:pPr>
              <w:pStyle w:val="28"/>
              <w:widowControl w:val="0"/>
              <w:rPr>
                <w:color w:val="auto"/>
                <w:highlight w:val="none"/>
              </w:rPr>
            </w:pPr>
            <w:r>
              <w:rPr>
                <w:rFonts w:hint="eastAsia"/>
                <w:color w:val="auto"/>
                <w:highlight w:val="none"/>
                <w:lang w:val="en-US" w:eastAsia="zh-CN"/>
              </w:rPr>
              <w:t>0.0001</w:t>
            </w:r>
          </w:p>
        </w:tc>
        <w:tc>
          <w:tcPr>
            <w:tcW w:w="742"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0.21</w:t>
            </w:r>
          </w:p>
        </w:tc>
        <w:tc>
          <w:tcPr>
            <w:tcW w:w="415" w:type="pct"/>
            <w:vMerge w:val="continue"/>
            <w:tcBorders>
              <w:tl2br w:val="nil"/>
              <w:tr2bl w:val="nil"/>
            </w:tcBorders>
            <w:vAlign w:val="center"/>
          </w:tcPr>
          <w:p>
            <w:pPr>
              <w:pStyle w:val="28"/>
              <w:widowControl w:val="0"/>
              <w:rPr>
                <w:color w:val="auto"/>
                <w:highlight w:val="none"/>
              </w:rPr>
            </w:pPr>
          </w:p>
        </w:tc>
        <w:tc>
          <w:tcPr>
            <w:tcW w:w="415" w:type="pct"/>
            <w:vMerge w:val="continue"/>
            <w:tcBorders>
              <w:tl2br w:val="nil"/>
              <w:tr2bl w:val="nil"/>
            </w:tcBorders>
            <w:vAlign w:val="center"/>
          </w:tcPr>
          <w:p>
            <w:pPr>
              <w:pStyle w:val="28"/>
              <w:widowControl w:val="0"/>
              <w:rPr>
                <w:color w:val="auto"/>
                <w:highlight w:val="none"/>
              </w:rPr>
            </w:pPr>
          </w:p>
        </w:tc>
      </w:tr>
    </w:tbl>
    <w:p>
      <w:pPr>
        <w:widowControl w:val="0"/>
        <w:ind w:firstLine="0" w:firstLineChars="0"/>
        <w:rPr>
          <w:rStyle w:val="25"/>
          <w:rFonts w:hint="default"/>
          <w:color w:val="auto"/>
          <w:highlight w:val="none"/>
          <w:lang w:val="en-US" w:eastAsia="zh-CN"/>
        </w:rPr>
        <w:sectPr>
          <w:pgSz w:w="15840" w:h="12240" w:orient="landscape"/>
          <w:pgMar w:top="1417" w:right="1134" w:bottom="1417" w:left="1134"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6"/>
        <w:widowControl w:val="0"/>
        <w:ind w:firstLine="241"/>
        <w:rPr>
          <w:color w:val="auto"/>
          <w:highlight w:val="none"/>
        </w:rPr>
      </w:pPr>
      <w:r>
        <w:rPr>
          <w:rFonts w:hint="eastAsia"/>
          <w:color w:val="auto"/>
          <w:highlight w:val="none"/>
        </w:rPr>
        <w:t>现有项目大气污染源分析及污染防治措施</w:t>
      </w:r>
    </w:p>
    <w:p>
      <w:pPr>
        <w:widowControl w:val="0"/>
        <w:ind w:firstLine="480"/>
        <w:rPr>
          <w:color w:val="auto"/>
          <w:highlight w:val="none"/>
        </w:rPr>
      </w:pPr>
      <w:r>
        <w:rPr>
          <w:rFonts w:hint="eastAsia"/>
          <w:color w:val="auto"/>
          <w:highlight w:val="none"/>
        </w:rPr>
        <w:t>现有项目营运期废气主要为恶臭气体。</w:t>
      </w:r>
    </w:p>
    <w:p>
      <w:pPr>
        <w:widowControl w:val="0"/>
        <w:ind w:firstLine="480"/>
        <w:rPr>
          <w:color w:val="auto"/>
          <w:highlight w:val="none"/>
        </w:rPr>
      </w:pPr>
      <w:r>
        <w:rPr>
          <w:rFonts w:hint="eastAsia"/>
          <w:color w:val="auto"/>
          <w:highlight w:val="none"/>
        </w:rPr>
        <w:t>生猪进场后，必须在待宰圈停留12h，生猪进场后，待宰栏工作人员会定期冲洗猪身和猪栏，保持猪栏清洁卫生；屠宰过程也会产生恶臭气体。</w:t>
      </w:r>
    </w:p>
    <w:p>
      <w:pPr>
        <w:widowControl w:val="0"/>
        <w:ind w:firstLine="480"/>
        <w:jc w:val="left"/>
        <w:rPr>
          <w:color w:val="auto"/>
          <w:highlight w:val="none"/>
        </w:rPr>
      </w:pPr>
      <w:r>
        <w:rPr>
          <w:rFonts w:hint="eastAsia"/>
          <w:color w:val="auto"/>
          <w:highlight w:val="none"/>
        </w:rPr>
        <w:t>原有因屠宰量较小，因此，采用</w:t>
      </w:r>
      <w:r>
        <w:rPr>
          <w:rFonts w:hint="eastAsia" w:ascii="宋体" w:hAnsi="宋体"/>
          <w:color w:val="auto"/>
          <w:szCs w:val="24"/>
          <w:highlight w:val="none"/>
        </w:rPr>
        <w:t>车间通风、喷洒除臭剂等方式对待宰车间、屠宰车间和污水处理设施产生的臭气进行处理。</w:t>
      </w:r>
    </w:p>
    <w:p>
      <w:pPr>
        <w:pStyle w:val="6"/>
        <w:widowControl w:val="0"/>
        <w:ind w:firstLine="241"/>
        <w:rPr>
          <w:color w:val="auto"/>
          <w:highlight w:val="none"/>
        </w:rPr>
      </w:pPr>
      <w:r>
        <w:rPr>
          <w:rFonts w:hint="eastAsia"/>
          <w:color w:val="auto"/>
          <w:highlight w:val="none"/>
        </w:rPr>
        <w:t>现有项目噪声污染源分析及污染防治措施</w:t>
      </w:r>
    </w:p>
    <w:p>
      <w:pPr>
        <w:widowControl w:val="0"/>
        <w:ind w:firstLine="480"/>
        <w:rPr>
          <w:color w:val="auto"/>
          <w:highlight w:val="none"/>
        </w:rPr>
      </w:pPr>
      <w:r>
        <w:rPr>
          <w:rFonts w:hint="eastAsia"/>
          <w:color w:val="auto"/>
          <w:highlight w:val="none"/>
        </w:rPr>
        <w:t>现有工程噪声源主要来自设备运行、污水处理站各类风机运行及待宰车间、屠宰车间的猪叫声等，噪声级分别如下：</w:t>
      </w:r>
    </w:p>
    <w:p>
      <w:pPr>
        <w:pStyle w:val="27"/>
        <w:widowControl w:val="0"/>
        <w:rPr>
          <w:color w:val="auto"/>
          <w:highlight w:val="none"/>
        </w:rPr>
      </w:pPr>
      <w:r>
        <w:rPr>
          <w:rFonts w:hint="eastAsia"/>
          <w:color w:val="auto"/>
          <w:highlight w:val="none"/>
        </w:rPr>
        <w:t>现有工程主要设备噪声级一览表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3689"/>
        <w:gridCol w:w="2405"/>
        <w:gridCol w:w="2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1"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3689" w:type="dxa"/>
            <w:tcBorders>
              <w:tl2br w:val="nil"/>
              <w:tr2bl w:val="nil"/>
            </w:tcBorders>
            <w:vAlign w:val="center"/>
          </w:tcPr>
          <w:p>
            <w:pPr>
              <w:pStyle w:val="28"/>
              <w:widowControl w:val="0"/>
              <w:rPr>
                <w:b/>
                <w:bCs/>
                <w:color w:val="auto"/>
                <w:highlight w:val="none"/>
              </w:rPr>
            </w:pPr>
            <w:r>
              <w:rPr>
                <w:rFonts w:hint="eastAsia"/>
                <w:b/>
                <w:bCs/>
                <w:color w:val="auto"/>
                <w:highlight w:val="none"/>
              </w:rPr>
              <w:t>噪声产生设备</w:t>
            </w:r>
          </w:p>
        </w:tc>
        <w:tc>
          <w:tcPr>
            <w:tcW w:w="2405" w:type="dxa"/>
            <w:tcBorders>
              <w:tl2br w:val="nil"/>
              <w:tr2bl w:val="nil"/>
            </w:tcBorders>
            <w:vAlign w:val="center"/>
          </w:tcPr>
          <w:p>
            <w:pPr>
              <w:pStyle w:val="28"/>
              <w:widowControl w:val="0"/>
              <w:rPr>
                <w:b/>
                <w:bCs/>
                <w:color w:val="auto"/>
                <w:highlight w:val="none"/>
              </w:rPr>
            </w:pPr>
            <w:r>
              <w:rPr>
                <w:rFonts w:hint="eastAsia"/>
                <w:b/>
                <w:bCs/>
                <w:color w:val="auto"/>
                <w:highlight w:val="none"/>
              </w:rPr>
              <w:t>噪声声级/dB（A）</w:t>
            </w:r>
          </w:p>
        </w:tc>
        <w:tc>
          <w:tcPr>
            <w:tcW w:w="2405"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1"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689" w:type="dxa"/>
            <w:tcBorders>
              <w:tl2br w:val="nil"/>
              <w:tr2bl w:val="nil"/>
            </w:tcBorders>
            <w:vAlign w:val="center"/>
          </w:tcPr>
          <w:p>
            <w:pPr>
              <w:pStyle w:val="28"/>
              <w:widowControl w:val="0"/>
              <w:rPr>
                <w:color w:val="auto"/>
                <w:highlight w:val="none"/>
              </w:rPr>
            </w:pPr>
            <w:r>
              <w:rPr>
                <w:rFonts w:hint="eastAsia"/>
                <w:color w:val="auto"/>
                <w:highlight w:val="none"/>
              </w:rPr>
              <w:t>屠宰设备</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70-75</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室内、间歇运行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1"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689" w:type="dxa"/>
            <w:tcBorders>
              <w:tl2br w:val="nil"/>
              <w:tr2bl w:val="nil"/>
            </w:tcBorders>
            <w:vAlign w:val="center"/>
          </w:tcPr>
          <w:p>
            <w:pPr>
              <w:pStyle w:val="28"/>
              <w:widowControl w:val="0"/>
              <w:rPr>
                <w:color w:val="auto"/>
                <w:highlight w:val="none"/>
              </w:rPr>
            </w:pPr>
            <w:r>
              <w:rPr>
                <w:rFonts w:hint="eastAsia"/>
                <w:color w:val="auto"/>
                <w:highlight w:val="none"/>
              </w:rPr>
              <w:t>污水处理泵站、风机</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80-95</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室内、间歇运行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1"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689" w:type="dxa"/>
            <w:tcBorders>
              <w:tl2br w:val="nil"/>
              <w:tr2bl w:val="nil"/>
            </w:tcBorders>
            <w:vAlign w:val="center"/>
          </w:tcPr>
          <w:p>
            <w:pPr>
              <w:pStyle w:val="28"/>
              <w:widowControl w:val="0"/>
              <w:rPr>
                <w:color w:val="auto"/>
                <w:highlight w:val="none"/>
              </w:rPr>
            </w:pPr>
            <w:r>
              <w:rPr>
                <w:rFonts w:hint="eastAsia"/>
                <w:color w:val="auto"/>
                <w:highlight w:val="none"/>
              </w:rPr>
              <w:t>待宰区、屠宰区猪叫声</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70-90</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室内、间歇运行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0" w:type="dxa"/>
            <w:gridSpan w:val="4"/>
            <w:tcBorders>
              <w:tl2br w:val="nil"/>
              <w:tr2bl w:val="nil"/>
            </w:tcBorders>
            <w:vAlign w:val="center"/>
          </w:tcPr>
          <w:p>
            <w:pPr>
              <w:pStyle w:val="28"/>
              <w:widowControl w:val="0"/>
              <w:rPr>
                <w:color w:val="auto"/>
                <w:highlight w:val="none"/>
              </w:rPr>
            </w:pPr>
            <w:r>
              <w:rPr>
                <w:rFonts w:hint="eastAsia" w:ascii="宋体" w:hAnsi="宋体"/>
                <w:color w:val="auto"/>
                <w:szCs w:val="24"/>
                <w:highlight w:val="none"/>
              </w:rPr>
              <w:t>厂方已对车间及设备设置隔声降噪、吸音等措施</w:t>
            </w:r>
          </w:p>
        </w:tc>
      </w:tr>
    </w:tbl>
    <w:p>
      <w:pPr>
        <w:widowControl w:val="0"/>
        <w:ind w:firstLine="480"/>
        <w:rPr>
          <w:color w:val="auto"/>
          <w:highlight w:val="none"/>
        </w:rPr>
      </w:pPr>
      <w:r>
        <w:rPr>
          <w:rFonts w:hint="eastAsia"/>
          <w:color w:val="auto"/>
          <w:highlight w:val="none"/>
        </w:rPr>
        <w:t>在选取低噪声设备、加装减震垫等措施后，项目厂界四周噪声可满足《工业企业厂界环境噪声排放标准》（GB12348－2008）2 类标准的要求，即厂界昼间噪声≤60dB（A），夜间噪声≤50dB（A）。</w:t>
      </w:r>
    </w:p>
    <w:p>
      <w:pPr>
        <w:pStyle w:val="6"/>
        <w:widowControl w:val="0"/>
        <w:ind w:firstLine="241"/>
        <w:rPr>
          <w:color w:val="auto"/>
          <w:highlight w:val="none"/>
        </w:rPr>
      </w:pPr>
      <w:r>
        <w:rPr>
          <w:rFonts w:hint="eastAsia"/>
          <w:color w:val="auto"/>
          <w:highlight w:val="none"/>
        </w:rPr>
        <w:t>现有项目固体废物污染源分析及污染防治措施</w:t>
      </w:r>
    </w:p>
    <w:p>
      <w:pPr>
        <w:widowControl w:val="0"/>
        <w:ind w:firstLine="480"/>
        <w:rPr>
          <w:color w:val="auto"/>
          <w:highlight w:val="none"/>
        </w:rPr>
      </w:pPr>
      <w:r>
        <w:rPr>
          <w:rFonts w:hint="eastAsia"/>
          <w:color w:val="auto"/>
          <w:highlight w:val="none"/>
        </w:rPr>
        <w:t>（1）检疫不合格猪、牛及病胴体、病内脏</w:t>
      </w:r>
    </w:p>
    <w:p>
      <w:pPr>
        <w:widowControl w:val="0"/>
        <w:ind w:firstLine="480"/>
        <w:rPr>
          <w:color w:val="auto"/>
          <w:highlight w:val="none"/>
        </w:rPr>
      </w:pPr>
      <w:r>
        <w:rPr>
          <w:rFonts w:hint="eastAsia"/>
          <w:color w:val="auto"/>
          <w:highlight w:val="none"/>
        </w:rPr>
        <w:t>包括生猪进场后在检疫过程产生的生猪、猪肉及动物内脏等，产生量约为1.8t/a。</w:t>
      </w:r>
    </w:p>
    <w:p>
      <w:pPr>
        <w:widowControl w:val="0"/>
        <w:ind w:firstLine="480"/>
        <w:rPr>
          <w:color w:val="auto"/>
          <w:highlight w:val="none"/>
        </w:rPr>
      </w:pPr>
      <w:r>
        <w:rPr>
          <w:rFonts w:hint="eastAsia"/>
          <w:color w:val="auto"/>
          <w:highlight w:val="none"/>
        </w:rPr>
        <w:t>检疫不合格猪及病胴体、病内脏经企业分类桶装集中收集后暂存于无害化暂存间后交由具有无害化处理资质的单位处置。</w:t>
      </w:r>
    </w:p>
    <w:p>
      <w:pPr>
        <w:widowControl w:val="0"/>
        <w:ind w:firstLine="480"/>
        <w:rPr>
          <w:color w:val="auto"/>
          <w:highlight w:val="none"/>
        </w:rPr>
      </w:pPr>
      <w:r>
        <w:rPr>
          <w:rFonts w:hint="eastAsia"/>
          <w:color w:val="auto"/>
          <w:highlight w:val="none"/>
        </w:rPr>
        <w:t>（2）粪便及肠胃内容物</w:t>
      </w:r>
    </w:p>
    <w:p>
      <w:pPr>
        <w:widowControl w:val="0"/>
        <w:ind w:firstLine="480"/>
        <w:rPr>
          <w:color w:val="auto"/>
          <w:highlight w:val="none"/>
        </w:rPr>
      </w:pPr>
      <w:r>
        <w:rPr>
          <w:rFonts w:hint="eastAsia"/>
          <w:color w:val="auto"/>
          <w:highlight w:val="none"/>
        </w:rPr>
        <w:t>项目粪便及肠胃内容物主要来源于待宰圈的排泄物和屠宰车间内脏处置，现有项目粪便及肠胃内容物产生量约40</w:t>
      </w:r>
      <w:r>
        <w:rPr>
          <w:color w:val="auto"/>
          <w:highlight w:val="none"/>
        </w:rPr>
        <w:t>t/a</w:t>
      </w:r>
      <w:r>
        <w:rPr>
          <w:rFonts w:hint="eastAsia"/>
          <w:color w:val="auto"/>
          <w:highlight w:val="none"/>
        </w:rPr>
        <w:t>。</w:t>
      </w:r>
    </w:p>
    <w:p>
      <w:pPr>
        <w:widowControl w:val="0"/>
        <w:ind w:firstLine="480"/>
        <w:jc w:val="left"/>
        <w:rPr>
          <w:rFonts w:ascii="宋体" w:hAnsi="宋体"/>
          <w:color w:val="auto"/>
          <w:highlight w:val="none"/>
        </w:rPr>
      </w:pPr>
      <w:r>
        <w:rPr>
          <w:rFonts w:hint="eastAsia" w:ascii="宋体" w:hAnsi="宋体"/>
          <w:color w:val="auto"/>
          <w:highlight w:val="none"/>
        </w:rPr>
        <w:t>粪便暂存于粪便暂存区内；肠胃内容物暂存于内脏处理间内的垃圾箱内，</w:t>
      </w:r>
      <w:r>
        <w:rPr>
          <w:rFonts w:hint="eastAsia" w:ascii="宋体" w:hAnsi="宋体"/>
          <w:color w:val="auto"/>
          <w:highlight w:val="none"/>
          <w:lang w:val="en-US" w:eastAsia="zh-CN"/>
        </w:rPr>
        <w:t>定期</w:t>
      </w:r>
      <w:r>
        <w:rPr>
          <w:rFonts w:hint="eastAsia" w:ascii="宋体" w:hAnsi="宋体"/>
          <w:color w:val="auto"/>
          <w:highlight w:val="none"/>
        </w:rPr>
        <w:t>由生产有机肥料的单位派遣车辆清运处置。</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）不可食用内脏</w:t>
      </w:r>
    </w:p>
    <w:p>
      <w:pPr>
        <w:widowControl w:val="0"/>
        <w:ind w:firstLine="480"/>
        <w:rPr>
          <w:color w:val="auto"/>
          <w:highlight w:val="none"/>
        </w:rPr>
      </w:pPr>
      <w:r>
        <w:rPr>
          <w:rFonts w:hint="eastAsia"/>
          <w:color w:val="auto"/>
          <w:highlight w:val="none"/>
        </w:rPr>
        <w:t>项目不可食用内脏包括摘除腺体及淋巴等，产生量约13</w:t>
      </w:r>
      <w:r>
        <w:rPr>
          <w:color w:val="auto"/>
          <w:highlight w:val="none"/>
        </w:rPr>
        <w:t>t/a</w:t>
      </w:r>
      <w:r>
        <w:rPr>
          <w:rFonts w:hint="eastAsia"/>
          <w:color w:val="auto"/>
          <w:highlight w:val="none"/>
        </w:rPr>
        <w:t>，收集后经企业分类桶装集中收集后暂存于无害化暂存间后交由有处理资质的单位处置。</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）检验后残渣、废弃动物组织及碎肉碎骨等</w:t>
      </w:r>
    </w:p>
    <w:p>
      <w:pPr>
        <w:widowControl w:val="0"/>
        <w:ind w:firstLine="480"/>
        <w:rPr>
          <w:color w:val="auto"/>
          <w:highlight w:val="none"/>
        </w:rPr>
      </w:pPr>
      <w:r>
        <w:rPr>
          <w:rFonts w:hint="eastAsia"/>
          <w:color w:val="auto"/>
          <w:highlight w:val="none"/>
        </w:rPr>
        <w:t>现有项目检验后残渣、废弃动物组织及碎肉碎骨等产生量约2.8</w:t>
      </w:r>
      <w:r>
        <w:rPr>
          <w:color w:val="auto"/>
          <w:highlight w:val="none"/>
        </w:rPr>
        <w:t>t/a</w:t>
      </w:r>
      <w:r>
        <w:rPr>
          <w:rFonts w:hint="eastAsia"/>
          <w:color w:val="auto"/>
          <w:highlight w:val="none"/>
        </w:rPr>
        <w:t>。</w:t>
      </w:r>
    </w:p>
    <w:p>
      <w:pPr>
        <w:widowControl w:val="0"/>
        <w:ind w:firstLine="480"/>
        <w:rPr>
          <w:color w:val="auto"/>
          <w:highlight w:val="none"/>
        </w:rPr>
      </w:pPr>
      <w:r>
        <w:rPr>
          <w:rFonts w:hint="eastAsia"/>
          <w:color w:val="auto"/>
          <w:highlight w:val="none"/>
        </w:rPr>
        <w:t>收集后经企业分类桶装集中收集后暂存于无害化暂存间后交由有处理资质的单位处置。</w:t>
      </w:r>
    </w:p>
    <w:p>
      <w:pPr>
        <w:widowControl w:val="0"/>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）污水处理站废物</w:t>
      </w:r>
    </w:p>
    <w:p>
      <w:pPr>
        <w:widowControl w:val="0"/>
        <w:ind w:firstLine="480"/>
        <w:rPr>
          <w:color w:val="auto"/>
          <w:highlight w:val="none"/>
        </w:rPr>
      </w:pPr>
      <w:r>
        <w:rPr>
          <w:rFonts w:hint="eastAsia"/>
          <w:color w:val="auto"/>
          <w:highlight w:val="none"/>
        </w:rPr>
        <w:t>项目污水处理系统产生的固体废物主要为栅渣、废油脂、污泥等。</w:t>
      </w:r>
    </w:p>
    <w:p>
      <w:pPr>
        <w:widowControl w:val="0"/>
        <w:ind w:firstLine="480"/>
        <w:rPr>
          <w:color w:val="auto"/>
          <w:highlight w:val="none"/>
        </w:rPr>
      </w:pPr>
      <w:r>
        <w:rPr>
          <w:color w:val="auto"/>
          <w:highlight w:val="none"/>
        </w:rPr>
        <w:t>1</w:t>
      </w:r>
      <w:r>
        <w:rPr>
          <w:rFonts w:hint="eastAsia"/>
          <w:color w:val="auto"/>
          <w:highlight w:val="none"/>
        </w:rPr>
        <w:t>）栅渣</w:t>
      </w:r>
    </w:p>
    <w:p>
      <w:pPr>
        <w:widowControl w:val="0"/>
        <w:ind w:firstLine="480"/>
        <w:rPr>
          <w:color w:val="auto"/>
          <w:highlight w:val="none"/>
        </w:rPr>
      </w:pPr>
      <w:r>
        <w:rPr>
          <w:rFonts w:hint="eastAsia"/>
          <w:color w:val="auto"/>
          <w:highlight w:val="none"/>
        </w:rPr>
        <w:t>项目污水处理站预处理时会产生栅渣（主要为待宰圈未能干清粪的少量粪便、内脏清理间内冲洗的胃渣、以及少量的动物毛、蹄壳等），预计产生量约1.6</w:t>
      </w:r>
      <w:r>
        <w:rPr>
          <w:color w:val="auto"/>
          <w:highlight w:val="none"/>
        </w:rPr>
        <w:t>t/a</w:t>
      </w:r>
      <w:r>
        <w:rPr>
          <w:rFonts w:hint="eastAsia"/>
          <w:color w:val="auto"/>
          <w:highlight w:val="none"/>
        </w:rPr>
        <w:t>，收集后暂存于污泥脱水间，与猪粪及肠胃内容物一并由生产有机肥料的单位每日派遣车辆清运处理。</w:t>
      </w:r>
    </w:p>
    <w:p>
      <w:pPr>
        <w:widowControl w:val="0"/>
        <w:ind w:firstLine="480"/>
        <w:rPr>
          <w:color w:val="auto"/>
          <w:highlight w:val="none"/>
        </w:rPr>
      </w:pPr>
      <w:r>
        <w:rPr>
          <w:rFonts w:hint="eastAsia"/>
          <w:color w:val="auto"/>
          <w:highlight w:val="none"/>
        </w:rPr>
        <w:t>2）污泥</w:t>
      </w:r>
    </w:p>
    <w:p>
      <w:pPr>
        <w:widowControl w:val="0"/>
        <w:ind w:firstLine="480"/>
        <w:rPr>
          <w:color w:val="auto"/>
          <w:highlight w:val="none"/>
        </w:rPr>
      </w:pPr>
      <w:r>
        <w:rPr>
          <w:rFonts w:hint="eastAsia"/>
          <w:color w:val="auto"/>
          <w:highlight w:val="none"/>
        </w:rPr>
        <w:t>现有项目污水处理设施污泥产生量约0.65t/a。污泥脱水后暂存于脱水间，</w:t>
      </w:r>
      <w:r>
        <w:rPr>
          <w:rStyle w:val="25"/>
          <w:rFonts w:hint="eastAsia"/>
          <w:color w:val="auto"/>
          <w:highlight w:val="none"/>
          <w:lang w:val="en-US" w:eastAsia="zh-CN"/>
        </w:rPr>
        <w:t>定期</w:t>
      </w:r>
      <w:r>
        <w:rPr>
          <w:rFonts w:hint="eastAsia"/>
          <w:color w:val="auto"/>
          <w:highlight w:val="none"/>
        </w:rPr>
        <w:t>交由有机肥厂界作为营养土。</w:t>
      </w:r>
    </w:p>
    <w:p>
      <w:pPr>
        <w:widowControl w:val="0"/>
        <w:ind w:firstLine="480"/>
        <w:rPr>
          <w:color w:val="auto"/>
          <w:highlight w:val="none"/>
        </w:rPr>
      </w:pPr>
      <w:r>
        <w:rPr>
          <w:color w:val="auto"/>
          <w:highlight w:val="none"/>
        </w:rPr>
        <w:t>3</w:t>
      </w:r>
      <w:r>
        <w:rPr>
          <w:rFonts w:hint="eastAsia"/>
          <w:color w:val="auto"/>
          <w:highlight w:val="none"/>
        </w:rPr>
        <w:t>）废油脂</w:t>
      </w:r>
    </w:p>
    <w:p>
      <w:pPr>
        <w:widowControl w:val="0"/>
        <w:ind w:firstLine="480"/>
        <w:rPr>
          <w:color w:val="auto"/>
          <w:highlight w:val="none"/>
        </w:rPr>
      </w:pPr>
      <w:r>
        <w:rPr>
          <w:rFonts w:hint="eastAsia"/>
          <w:color w:val="auto"/>
          <w:highlight w:val="none"/>
        </w:rPr>
        <w:t>项目生产、生活废水经隔油处理时会产生一定量的浮油，现有项目污水处理油脂产生量为0.4t/a，委托有资质的单位进行清掏处置。</w:t>
      </w:r>
    </w:p>
    <w:p>
      <w:pPr>
        <w:widowControl w:val="0"/>
        <w:ind w:firstLine="480"/>
        <w:rPr>
          <w:color w:val="auto"/>
          <w:highlight w:val="none"/>
        </w:rPr>
      </w:pPr>
      <w:r>
        <w:rPr>
          <w:rFonts w:hint="eastAsia"/>
          <w:color w:val="auto"/>
          <w:highlight w:val="none"/>
        </w:rPr>
        <w:t>（6）生活垃圾</w:t>
      </w:r>
    </w:p>
    <w:p>
      <w:pPr>
        <w:widowControl w:val="0"/>
        <w:ind w:firstLine="480"/>
        <w:jc w:val="left"/>
        <w:rPr>
          <w:rFonts w:ascii="宋体" w:hAnsi="宋体"/>
          <w:color w:val="auto"/>
          <w:highlight w:val="none"/>
        </w:rPr>
      </w:pPr>
      <w:r>
        <w:rPr>
          <w:rFonts w:hint="eastAsia" w:ascii="宋体" w:hAnsi="宋体"/>
          <w:color w:val="auto"/>
          <w:highlight w:val="none"/>
        </w:rPr>
        <w:t>项目员工定员</w:t>
      </w:r>
      <w:r>
        <w:rPr>
          <w:rFonts w:hint="eastAsia"/>
          <w:color w:val="auto"/>
          <w:highlight w:val="none"/>
        </w:rPr>
        <w:t>18</w:t>
      </w:r>
      <w:r>
        <w:rPr>
          <w:rFonts w:hint="eastAsia" w:ascii="宋体" w:hAnsi="宋体"/>
          <w:color w:val="auto"/>
          <w:highlight w:val="none"/>
        </w:rPr>
        <w:t>人（两厂总计），根据现场调查，生活垃圾产生量为</w:t>
      </w:r>
      <w:r>
        <w:rPr>
          <w:rFonts w:hint="eastAsia"/>
          <w:color w:val="auto"/>
          <w:highlight w:val="none"/>
        </w:rPr>
        <w:t>2.7</w:t>
      </w:r>
      <w:r>
        <w:rPr>
          <w:rFonts w:eastAsia="Times New Roman"/>
          <w:color w:val="auto"/>
          <w:highlight w:val="none"/>
        </w:rPr>
        <w:t>t/a</w:t>
      </w:r>
      <w:r>
        <w:rPr>
          <w:rFonts w:hint="eastAsia" w:ascii="宋体" w:hAnsi="宋体"/>
          <w:color w:val="auto"/>
          <w:highlight w:val="none"/>
        </w:rPr>
        <w:t>，生活垃圾收集后暂存生活垃圾收集点由环卫部门统一清运，日清日产。</w:t>
      </w:r>
    </w:p>
    <w:p>
      <w:pPr>
        <w:pStyle w:val="4"/>
        <w:widowControl w:val="0"/>
        <w:rPr>
          <w:color w:val="auto"/>
          <w:highlight w:val="none"/>
        </w:rPr>
      </w:pPr>
      <w:bookmarkStart w:id="50" w:name="_Toc5700"/>
      <w:r>
        <w:rPr>
          <w:rFonts w:hint="eastAsia"/>
          <w:color w:val="auto"/>
          <w:highlight w:val="none"/>
        </w:rPr>
        <w:t>现有企业存在的主要问题及“以新带老”措施</w:t>
      </w:r>
      <w:bookmarkEnd w:id="50"/>
    </w:p>
    <w:p>
      <w:pPr>
        <w:widowControl w:val="0"/>
        <w:ind w:firstLine="480"/>
        <w:rPr>
          <w:color w:val="auto"/>
          <w:highlight w:val="none"/>
        </w:rPr>
      </w:pPr>
      <w:r>
        <w:rPr>
          <w:rFonts w:hint="eastAsia"/>
          <w:color w:val="auto"/>
          <w:highlight w:val="none"/>
        </w:rPr>
        <w:t>根据现场勘察，原有项目现已拆除，</w:t>
      </w:r>
      <w:r>
        <w:rPr>
          <w:rFonts w:hint="eastAsia"/>
          <w:color w:val="auto"/>
          <w:highlight w:val="none"/>
          <w:lang w:val="en-US" w:eastAsia="zh-CN"/>
        </w:rPr>
        <w:t>项目区域由政府拿牌重新使用</w:t>
      </w:r>
      <w:r>
        <w:rPr>
          <w:rFonts w:hint="eastAsia"/>
          <w:color w:val="auto"/>
          <w:highlight w:val="none"/>
        </w:rPr>
        <w:t>使用前需要办理污染场地调查手续。</w:t>
      </w:r>
    </w:p>
    <w:p>
      <w:pPr>
        <w:widowControl w:val="0"/>
        <w:ind w:firstLine="480"/>
        <w:rPr>
          <w:color w:val="auto"/>
          <w:highlight w:val="none"/>
        </w:rPr>
      </w:pPr>
      <w:r>
        <w:rPr>
          <w:rFonts w:hint="eastAsia"/>
          <w:color w:val="auto"/>
          <w:highlight w:val="none"/>
        </w:rPr>
        <w:br w:type="page"/>
      </w:r>
    </w:p>
    <w:p>
      <w:pPr>
        <w:pStyle w:val="3"/>
        <w:widowControl w:val="0"/>
        <w:ind w:firstLine="643"/>
        <w:rPr>
          <w:color w:val="auto"/>
          <w:highlight w:val="none"/>
        </w:rPr>
      </w:pPr>
      <w:bookmarkStart w:id="51" w:name="_Toc14853"/>
      <w:r>
        <w:rPr>
          <w:rFonts w:hint="eastAsia"/>
          <w:color w:val="auto"/>
          <w:highlight w:val="none"/>
        </w:rPr>
        <w:t>本项目建设项目概况</w:t>
      </w:r>
      <w:bookmarkEnd w:id="51"/>
    </w:p>
    <w:p>
      <w:pPr>
        <w:pStyle w:val="4"/>
        <w:widowControl w:val="0"/>
        <w:rPr>
          <w:color w:val="auto"/>
          <w:highlight w:val="none"/>
        </w:rPr>
      </w:pPr>
      <w:bookmarkStart w:id="52" w:name="_Toc21603"/>
      <w:r>
        <w:rPr>
          <w:rFonts w:hint="eastAsia"/>
          <w:color w:val="auto"/>
          <w:highlight w:val="none"/>
        </w:rPr>
        <w:t>项目基本情况</w:t>
      </w:r>
      <w:bookmarkEnd w:id="52"/>
    </w:p>
    <w:p>
      <w:pPr>
        <w:widowControl w:val="0"/>
        <w:ind w:firstLine="480"/>
        <w:rPr>
          <w:color w:val="auto"/>
          <w:highlight w:val="none"/>
        </w:rPr>
      </w:pPr>
      <w:r>
        <w:rPr>
          <w:rFonts w:hint="eastAsia"/>
          <w:color w:val="auto"/>
          <w:highlight w:val="none"/>
        </w:rPr>
        <w:t>项目名称：平昌县乐顺现代牲畜屠宰冷链物流一体化建设项目</w:t>
      </w:r>
    </w:p>
    <w:p>
      <w:pPr>
        <w:widowControl w:val="0"/>
        <w:ind w:firstLine="480"/>
        <w:rPr>
          <w:color w:val="auto"/>
          <w:highlight w:val="none"/>
        </w:rPr>
      </w:pPr>
      <w:r>
        <w:rPr>
          <w:rFonts w:hint="eastAsia"/>
          <w:color w:val="auto"/>
          <w:highlight w:val="none"/>
        </w:rPr>
        <w:t>建设单位：平昌乐顺食品有限公司</w:t>
      </w:r>
    </w:p>
    <w:p>
      <w:pPr>
        <w:widowControl w:val="0"/>
        <w:ind w:firstLine="480"/>
        <w:rPr>
          <w:color w:val="auto"/>
          <w:highlight w:val="none"/>
        </w:rPr>
      </w:pPr>
      <w:r>
        <w:rPr>
          <w:rFonts w:hint="eastAsia"/>
          <w:color w:val="auto"/>
          <w:highlight w:val="none"/>
        </w:rPr>
        <w:t>建设性质：新建</w:t>
      </w:r>
    </w:p>
    <w:p>
      <w:pPr>
        <w:widowControl w:val="0"/>
        <w:ind w:firstLine="480"/>
        <w:rPr>
          <w:color w:val="auto"/>
          <w:highlight w:val="none"/>
        </w:rPr>
      </w:pPr>
      <w:r>
        <w:rPr>
          <w:rFonts w:hint="eastAsia"/>
          <w:color w:val="auto"/>
          <w:highlight w:val="none"/>
        </w:rPr>
        <w:t>建设地点：平昌县响滩镇石泉村</w:t>
      </w:r>
    </w:p>
    <w:p>
      <w:pPr>
        <w:widowControl w:val="0"/>
        <w:ind w:firstLine="480"/>
        <w:rPr>
          <w:color w:val="auto"/>
          <w:highlight w:val="none"/>
        </w:rPr>
      </w:pPr>
      <w:r>
        <w:rPr>
          <w:rFonts w:hint="eastAsia"/>
          <w:color w:val="auto"/>
          <w:highlight w:val="none"/>
        </w:rPr>
        <w:t>总投资：项目总投资5000万元，环保投资580.9万元，占总投资的11.6%</w:t>
      </w:r>
    </w:p>
    <w:p>
      <w:pPr>
        <w:widowControl w:val="0"/>
        <w:ind w:firstLine="480"/>
        <w:rPr>
          <w:color w:val="auto"/>
          <w:highlight w:val="none"/>
        </w:rPr>
      </w:pPr>
      <w:r>
        <w:rPr>
          <w:rFonts w:hint="eastAsia"/>
          <w:color w:val="auto"/>
          <w:highlight w:val="none"/>
        </w:rPr>
        <w:t>建设工期：2021年9月~2022年12月，项目建设期15个月</w:t>
      </w:r>
    </w:p>
    <w:p>
      <w:pPr>
        <w:widowControl w:val="0"/>
        <w:ind w:firstLine="480"/>
        <w:rPr>
          <w:color w:val="auto"/>
          <w:highlight w:val="none"/>
        </w:rPr>
      </w:pPr>
      <w:r>
        <w:rPr>
          <w:rFonts w:hint="eastAsia"/>
          <w:color w:val="auto"/>
          <w:highlight w:val="none"/>
        </w:rPr>
        <w:t>劳动定员：本项目劳动定员为50人</w:t>
      </w:r>
    </w:p>
    <w:p>
      <w:pPr>
        <w:widowControl w:val="0"/>
        <w:ind w:firstLine="480"/>
        <w:rPr>
          <w:color w:val="auto"/>
          <w:highlight w:val="none"/>
        </w:rPr>
      </w:pPr>
      <w:r>
        <w:rPr>
          <w:rFonts w:hint="eastAsia"/>
          <w:color w:val="auto"/>
          <w:highlight w:val="none"/>
        </w:rPr>
        <w:t>工作制度：本项目年工作350天，每天工作8小时。</w:t>
      </w:r>
    </w:p>
    <w:p>
      <w:pPr>
        <w:widowControl w:val="0"/>
        <w:ind w:firstLine="480"/>
        <w:rPr>
          <w:color w:val="auto"/>
          <w:szCs w:val="21"/>
          <w:highlight w:val="none"/>
        </w:rPr>
      </w:pPr>
      <w:r>
        <w:rPr>
          <w:rFonts w:hint="eastAsia"/>
          <w:color w:val="auto"/>
          <w:szCs w:val="21"/>
          <w:highlight w:val="none"/>
        </w:rPr>
        <w:t>主要建设内容及规模：投资5000万元在平昌县响滩镇石泉村建设平昌县乐顺现代牲畜屠宰冷链物流一体化建设项目，厂区占地面积约为29亩，总建筑面积为17825平方米，该项目建成后将成为平昌县生猪肉和生牛肉的统一屠宰、分割和冷鲜加工的集中地，项目建成后，本项目运营期间对生猪的年屠宰量将达到16万头，年屠宰肉牛1万头。</w:t>
      </w:r>
    </w:p>
    <w:p>
      <w:pPr>
        <w:pStyle w:val="12"/>
        <w:widowControl w:val="0"/>
        <w:ind w:firstLine="420"/>
        <w:rPr>
          <w:rFonts w:hint="default" w:eastAsia="宋体"/>
          <w:color w:val="auto"/>
          <w:highlight w:val="none"/>
          <w:lang w:val="en-US" w:eastAsia="zh-CN"/>
        </w:rPr>
      </w:pPr>
      <w:r>
        <w:rPr>
          <w:color w:val="auto"/>
          <w:highlight w:val="none"/>
        </w:rPr>
        <w:t>项目建设现状及未批先建违法情况</w:t>
      </w:r>
      <w:r>
        <w:rPr>
          <w:rFonts w:hint="eastAsia"/>
          <w:color w:val="auto"/>
          <w:highlight w:val="none"/>
          <w:lang w:eastAsia="zh-CN"/>
        </w:rPr>
        <w:t>：</w:t>
      </w:r>
      <w:r>
        <w:rPr>
          <w:rFonts w:hint="eastAsia"/>
          <w:color w:val="auto"/>
          <w:highlight w:val="none"/>
          <w:lang w:val="en-US" w:eastAsia="zh-CN"/>
        </w:rPr>
        <w:t>本项目目前标准厂房和主要构筑物已建设完成，设备设施暂未进厂、污水管网暂未建设。</w:t>
      </w:r>
      <w:r>
        <w:rPr>
          <w:rFonts w:hint="eastAsia"/>
          <w:color w:val="auto"/>
          <w:highlight w:val="none"/>
        </w:rPr>
        <w:t>2021年11月22日由巴中市生态环境局对本项目下达了《行政处罚听证告知书》（巴环境罚听告书字[2021]P002号）</w:t>
      </w:r>
      <w:r>
        <w:rPr>
          <w:rFonts w:hint="eastAsia"/>
          <w:color w:val="auto"/>
          <w:highlight w:val="none"/>
          <w:lang w:eastAsia="zh-CN"/>
        </w:rPr>
        <w:t>，</w:t>
      </w:r>
      <w:r>
        <w:rPr>
          <w:rFonts w:hint="eastAsia"/>
          <w:color w:val="auto"/>
          <w:highlight w:val="none"/>
          <w:lang w:val="en-US" w:eastAsia="zh-CN"/>
        </w:rPr>
        <w:t>项目立即停止了施工。项目处罚金额为291600元，建设单位已缴纳所有罚款（缴纳收据见附件7）。项目施工期间未被投诉过，项目停止施工至今未收到投诉。项目施工时采取了相应的环保治理措施，无遗留环境问题。</w:t>
      </w:r>
    </w:p>
    <w:p>
      <w:pPr>
        <w:pStyle w:val="4"/>
        <w:widowControl w:val="0"/>
        <w:rPr>
          <w:color w:val="auto"/>
          <w:highlight w:val="none"/>
        </w:rPr>
      </w:pPr>
      <w:bookmarkStart w:id="53" w:name="_Toc30488"/>
      <w:r>
        <w:rPr>
          <w:rFonts w:hint="eastAsia"/>
          <w:color w:val="auto"/>
          <w:highlight w:val="none"/>
        </w:rPr>
        <w:t>产品方案及技术经济指标</w:t>
      </w:r>
      <w:bookmarkEnd w:id="53"/>
    </w:p>
    <w:p>
      <w:pPr>
        <w:pStyle w:val="5"/>
        <w:widowControl w:val="0"/>
        <w:ind w:firstLine="120"/>
        <w:rPr>
          <w:color w:val="auto"/>
          <w:highlight w:val="none"/>
        </w:rPr>
      </w:pPr>
      <w:r>
        <w:rPr>
          <w:rFonts w:hint="eastAsia"/>
          <w:color w:val="auto"/>
          <w:highlight w:val="none"/>
        </w:rPr>
        <w:t>产品方案</w:t>
      </w:r>
    </w:p>
    <w:p>
      <w:pPr>
        <w:widowControl w:val="0"/>
        <w:ind w:firstLine="480"/>
        <w:rPr>
          <w:color w:val="auto"/>
          <w:highlight w:val="none"/>
        </w:rPr>
      </w:pPr>
      <w:r>
        <w:rPr>
          <w:rFonts w:hint="eastAsia"/>
          <w:color w:val="auto"/>
          <w:highlight w:val="none"/>
        </w:rPr>
        <w:t>产品方案为安全酮体肉及头蹄下货，其中每头肉猪胴体肉约占自身体重的61%，每头肉牛胴体肉占自身体重的45%，具体产品方案详见下表。</w:t>
      </w:r>
    </w:p>
    <w:p>
      <w:pPr>
        <w:pStyle w:val="27"/>
        <w:widowControl w:val="0"/>
        <w:rPr>
          <w:color w:val="auto"/>
          <w:highlight w:val="none"/>
        </w:rPr>
      </w:pPr>
      <w:r>
        <w:rPr>
          <w:rFonts w:hint="eastAsia"/>
          <w:color w:val="auto"/>
          <w:highlight w:val="none"/>
        </w:rPr>
        <w:t>产品方案一览表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867"/>
        <w:gridCol w:w="1968"/>
        <w:gridCol w:w="1948"/>
        <w:gridCol w:w="33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产品名称</w:t>
            </w:r>
          </w:p>
        </w:tc>
        <w:tc>
          <w:tcPr>
            <w:tcW w:w="1022" w:type="pct"/>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1012" w:type="pct"/>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1716" w:type="pct"/>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restart"/>
            <w:tcBorders>
              <w:tl2br w:val="nil"/>
              <w:tr2bl w:val="nil"/>
            </w:tcBorders>
            <w:vAlign w:val="center"/>
          </w:tcPr>
          <w:p>
            <w:pPr>
              <w:pStyle w:val="28"/>
              <w:widowControl w:val="0"/>
              <w:rPr>
                <w:color w:val="auto"/>
                <w:highlight w:val="none"/>
              </w:rPr>
            </w:pPr>
            <w:r>
              <w:rPr>
                <w:rFonts w:hint="eastAsia"/>
                <w:color w:val="auto"/>
                <w:highlight w:val="none"/>
              </w:rPr>
              <w:t>猪</w:t>
            </w: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猪肉</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11200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restart"/>
            <w:tcBorders>
              <w:tl2br w:val="nil"/>
              <w:tr2bl w:val="nil"/>
            </w:tcBorders>
            <w:vAlign w:val="center"/>
          </w:tcPr>
          <w:p>
            <w:pPr>
              <w:pStyle w:val="28"/>
              <w:widowControl w:val="0"/>
              <w:rPr>
                <w:color w:val="auto"/>
                <w:highlight w:val="none"/>
              </w:rPr>
            </w:pPr>
            <w:r>
              <w:rPr>
                <w:rFonts w:hint="eastAsia"/>
                <w:color w:val="auto"/>
                <w:highlight w:val="none"/>
              </w:rPr>
              <w:t>每头生猪的重量约为100kg，年总屠宰生猪总重16000t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头、蹄、尾</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1920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内脏</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1200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猪血</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240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14560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restart"/>
            <w:tcBorders>
              <w:tl2br w:val="nil"/>
              <w:tr2bl w:val="nil"/>
            </w:tcBorders>
            <w:vAlign w:val="center"/>
          </w:tcPr>
          <w:p>
            <w:pPr>
              <w:pStyle w:val="28"/>
              <w:widowControl w:val="0"/>
              <w:rPr>
                <w:color w:val="auto"/>
                <w:highlight w:val="none"/>
              </w:rPr>
            </w:pPr>
            <w:r>
              <w:rPr>
                <w:rFonts w:hint="eastAsia"/>
                <w:color w:val="auto"/>
                <w:highlight w:val="none"/>
              </w:rPr>
              <w:t>牛</w:t>
            </w: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牛肉</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2250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restart"/>
            <w:tcBorders>
              <w:tl2br w:val="nil"/>
              <w:tr2bl w:val="nil"/>
            </w:tcBorders>
            <w:vAlign w:val="center"/>
          </w:tcPr>
          <w:p>
            <w:pPr>
              <w:pStyle w:val="28"/>
              <w:widowControl w:val="0"/>
              <w:rPr>
                <w:color w:val="auto"/>
                <w:highlight w:val="none"/>
              </w:rPr>
            </w:pPr>
            <w:r>
              <w:rPr>
                <w:rFonts w:hint="eastAsia"/>
                <w:color w:val="auto"/>
                <w:highlight w:val="none"/>
              </w:rPr>
              <w:t>每头肉牛的重量约为500kg，年总屠宰肉牛总重5000t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头、蹄、尾</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1010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内脏</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505</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3765</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171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28"/>
              <w:widowControl w:val="0"/>
              <w:rPr>
                <w:color w:val="auto"/>
                <w:highlight w:val="none"/>
              </w:rPr>
            </w:pPr>
          </w:p>
        </w:tc>
        <w:tc>
          <w:tcPr>
            <w:tcW w:w="970" w:type="pct"/>
            <w:tcBorders>
              <w:tl2br w:val="nil"/>
              <w:tr2bl w:val="nil"/>
            </w:tcBorders>
            <w:vAlign w:val="center"/>
          </w:tcPr>
          <w:p>
            <w:pPr>
              <w:pStyle w:val="28"/>
              <w:widowControl w:val="0"/>
              <w:rPr>
                <w:color w:val="auto"/>
                <w:highlight w:val="none"/>
              </w:rPr>
            </w:pPr>
            <w:r>
              <w:rPr>
                <w:rFonts w:hint="eastAsia"/>
                <w:color w:val="auto"/>
                <w:highlight w:val="none"/>
              </w:rPr>
              <w:t>牛皮</w:t>
            </w:r>
          </w:p>
        </w:tc>
        <w:tc>
          <w:tcPr>
            <w:tcW w:w="1022" w:type="pct"/>
            <w:tcBorders>
              <w:tl2br w:val="nil"/>
              <w:tr2bl w:val="nil"/>
            </w:tcBorders>
            <w:vAlign w:val="center"/>
          </w:tcPr>
          <w:p>
            <w:pPr>
              <w:pStyle w:val="28"/>
              <w:widowControl w:val="0"/>
              <w:rPr>
                <w:color w:val="auto"/>
                <w:highlight w:val="none"/>
              </w:rPr>
            </w:pPr>
            <w:r>
              <w:rPr>
                <w:rFonts w:hint="eastAsia"/>
                <w:color w:val="auto"/>
                <w:highlight w:val="none"/>
              </w:rPr>
              <w:t>10000</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张/a</w:t>
            </w:r>
          </w:p>
        </w:tc>
        <w:tc>
          <w:tcPr>
            <w:tcW w:w="1716" w:type="pct"/>
            <w:vMerge w:val="continue"/>
            <w:tcBorders>
              <w:tl2br w:val="nil"/>
              <w:tr2bl w:val="nil"/>
            </w:tcBorders>
            <w:vAlign w:val="center"/>
          </w:tcPr>
          <w:p>
            <w:pPr>
              <w:pStyle w:val="28"/>
              <w:widowControl w:val="0"/>
              <w:rPr>
                <w:color w:val="auto"/>
                <w:highlight w:val="none"/>
              </w:rPr>
            </w:pPr>
          </w:p>
        </w:tc>
      </w:tr>
    </w:tbl>
    <w:p>
      <w:pPr>
        <w:pStyle w:val="5"/>
        <w:widowControl w:val="0"/>
        <w:ind w:firstLine="120"/>
        <w:rPr>
          <w:color w:val="auto"/>
          <w:highlight w:val="none"/>
        </w:rPr>
      </w:pPr>
      <w:r>
        <w:rPr>
          <w:rFonts w:hint="eastAsia"/>
          <w:color w:val="auto"/>
          <w:highlight w:val="none"/>
        </w:rPr>
        <w:t>项目主要经济技术指标</w:t>
      </w:r>
    </w:p>
    <w:p>
      <w:pPr>
        <w:widowControl w:val="0"/>
        <w:ind w:firstLine="480"/>
        <w:rPr>
          <w:color w:val="auto"/>
          <w:highlight w:val="none"/>
        </w:rPr>
      </w:pPr>
      <w:r>
        <w:rPr>
          <w:rFonts w:hint="eastAsia"/>
          <w:color w:val="auto"/>
          <w:highlight w:val="none"/>
        </w:rPr>
        <w:t>本项目主要经济技术指标见下表。</w:t>
      </w:r>
    </w:p>
    <w:p>
      <w:pPr>
        <w:pStyle w:val="27"/>
        <w:widowControl w:val="0"/>
        <w:rPr>
          <w:color w:val="auto"/>
          <w:highlight w:val="none"/>
        </w:rPr>
      </w:pPr>
      <w:r>
        <w:rPr>
          <w:rFonts w:hint="eastAsia"/>
          <w:color w:val="auto"/>
          <w:highlight w:val="none"/>
        </w:rPr>
        <w:t>本项目主要经济技术指标</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434"/>
        <w:gridCol w:w="1487"/>
        <w:gridCol w:w="1531"/>
        <w:gridCol w:w="3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264" w:type="pc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772" w:type="pct"/>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795" w:type="pct"/>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1789" w:type="pct"/>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总占地面积</w:t>
            </w:r>
          </w:p>
        </w:tc>
        <w:tc>
          <w:tcPr>
            <w:tcW w:w="772" w:type="pct"/>
            <w:tcBorders>
              <w:tl2br w:val="nil"/>
              <w:tr2bl w:val="nil"/>
            </w:tcBorders>
            <w:vAlign w:val="center"/>
          </w:tcPr>
          <w:p>
            <w:pPr>
              <w:pStyle w:val="28"/>
              <w:widowControl w:val="0"/>
              <w:rPr>
                <w:color w:val="auto"/>
                <w:highlight w:val="none"/>
                <w:vertAlign w:val="superscript"/>
              </w:rPr>
            </w:pPr>
            <w:r>
              <w:rPr>
                <w:rFonts w:hint="eastAsia"/>
                <w:color w:val="auto"/>
                <w:highlight w:val="none"/>
              </w:rPr>
              <w:t>亩</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约29</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建筑面积</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m</w:t>
            </w:r>
            <w:r>
              <w:rPr>
                <w:rFonts w:hint="eastAsia"/>
                <w:color w:val="auto"/>
                <w:highlight w:val="none"/>
                <w:vertAlign w:val="superscript"/>
              </w:rPr>
              <w:t>2</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17825</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容积率</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0.6</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绿地率</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18.9</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总投资</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万元</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5000</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业主自筹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生猪屠宰量</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万头</w:t>
            </w:r>
          </w:p>
        </w:tc>
        <w:tc>
          <w:tcPr>
            <w:tcW w:w="795"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16</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7</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肉牛屠宰量</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万头</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年工作天数</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天</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350</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每天工作8小时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1264" w:type="pct"/>
            <w:tcBorders>
              <w:tl2br w:val="nil"/>
              <w:tr2bl w:val="nil"/>
            </w:tcBorders>
            <w:vAlign w:val="center"/>
          </w:tcPr>
          <w:p>
            <w:pPr>
              <w:pStyle w:val="28"/>
              <w:widowControl w:val="0"/>
              <w:rPr>
                <w:color w:val="auto"/>
                <w:highlight w:val="none"/>
              </w:rPr>
            </w:pPr>
            <w:r>
              <w:rPr>
                <w:rFonts w:hint="eastAsia"/>
                <w:color w:val="auto"/>
                <w:highlight w:val="none"/>
              </w:rPr>
              <w:t>劳动定员</w:t>
            </w:r>
          </w:p>
        </w:tc>
        <w:tc>
          <w:tcPr>
            <w:tcW w:w="772" w:type="pct"/>
            <w:tcBorders>
              <w:tl2br w:val="nil"/>
              <w:tr2bl w:val="nil"/>
            </w:tcBorders>
            <w:vAlign w:val="center"/>
          </w:tcPr>
          <w:p>
            <w:pPr>
              <w:pStyle w:val="28"/>
              <w:widowControl w:val="0"/>
              <w:rPr>
                <w:color w:val="auto"/>
                <w:highlight w:val="none"/>
              </w:rPr>
            </w:pPr>
            <w:r>
              <w:rPr>
                <w:rFonts w:hint="eastAsia"/>
                <w:color w:val="auto"/>
                <w:highlight w:val="none"/>
              </w:rPr>
              <w:t>人</w:t>
            </w:r>
          </w:p>
        </w:tc>
        <w:tc>
          <w:tcPr>
            <w:tcW w:w="795" w:type="pct"/>
            <w:tcBorders>
              <w:tl2br w:val="nil"/>
              <w:tr2bl w:val="nil"/>
            </w:tcBorders>
            <w:vAlign w:val="center"/>
          </w:tcPr>
          <w:p>
            <w:pPr>
              <w:pStyle w:val="28"/>
              <w:widowControl w:val="0"/>
              <w:rPr>
                <w:color w:val="auto"/>
                <w:highlight w:val="none"/>
              </w:rPr>
            </w:pPr>
            <w:r>
              <w:rPr>
                <w:rFonts w:hint="eastAsia"/>
                <w:color w:val="auto"/>
                <w:highlight w:val="none"/>
              </w:rPr>
              <w:t>50</w:t>
            </w:r>
          </w:p>
        </w:tc>
        <w:tc>
          <w:tcPr>
            <w:tcW w:w="1789" w:type="pct"/>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4"/>
        <w:widowControl w:val="0"/>
        <w:rPr>
          <w:color w:val="auto"/>
          <w:highlight w:val="none"/>
        </w:rPr>
      </w:pPr>
      <w:bookmarkStart w:id="54" w:name="_Toc29056"/>
      <w:r>
        <w:rPr>
          <w:rFonts w:hint="eastAsia"/>
          <w:color w:val="auto"/>
          <w:highlight w:val="none"/>
        </w:rPr>
        <w:t>项目基本组成</w:t>
      </w:r>
      <w:bookmarkEnd w:id="54"/>
    </w:p>
    <w:p>
      <w:pPr>
        <w:widowControl w:val="0"/>
        <w:ind w:firstLine="480"/>
        <w:rPr>
          <w:color w:val="auto"/>
          <w:highlight w:val="none"/>
        </w:rPr>
      </w:pPr>
      <w:r>
        <w:rPr>
          <w:rFonts w:hint="eastAsia"/>
          <w:color w:val="auto"/>
          <w:highlight w:val="none"/>
        </w:rPr>
        <w:t>本项目主要由主体工程、辅助工程、公用工程、环保工程等内容组成，</w:t>
      </w:r>
      <w:r>
        <w:rPr>
          <w:rFonts w:hint="eastAsia"/>
          <w:b/>
          <w:bCs/>
          <w:color w:val="auto"/>
          <w:highlight w:val="none"/>
        </w:rPr>
        <w:t>现项目主体工程已建设完成，设备设施暂未安装</w:t>
      </w:r>
      <w:r>
        <w:rPr>
          <w:rFonts w:hint="eastAsia"/>
          <w:color w:val="auto"/>
          <w:highlight w:val="none"/>
        </w:rPr>
        <w:t>，主要工程组成见下表。</w:t>
      </w:r>
    </w:p>
    <w:p>
      <w:pPr>
        <w:pStyle w:val="27"/>
        <w:widowControl w:val="0"/>
        <w:rPr>
          <w:color w:val="auto"/>
          <w:highlight w:val="none"/>
        </w:rPr>
      </w:pPr>
      <w:r>
        <w:rPr>
          <w:rFonts w:hint="eastAsia"/>
          <w:color w:val="auto"/>
          <w:highlight w:val="none"/>
        </w:rPr>
        <w:t>现有项目组成一览表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852"/>
        <w:gridCol w:w="4836"/>
        <w:gridCol w:w="1170"/>
        <w:gridCol w:w="1155"/>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48"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工程类别</w:t>
            </w:r>
          </w:p>
        </w:tc>
        <w:tc>
          <w:tcPr>
            <w:tcW w:w="852"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单项工程名称</w:t>
            </w:r>
          </w:p>
        </w:tc>
        <w:tc>
          <w:tcPr>
            <w:tcW w:w="4836"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工程内容及工程规模</w:t>
            </w:r>
          </w:p>
        </w:tc>
        <w:tc>
          <w:tcPr>
            <w:tcW w:w="2325"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可能产生的环境问题</w:t>
            </w:r>
          </w:p>
        </w:tc>
        <w:tc>
          <w:tcPr>
            <w:tcW w:w="758"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8" w:type="dxa"/>
            <w:vMerge w:val="continue"/>
            <w:tcBorders>
              <w:tl2br w:val="nil"/>
              <w:tr2bl w:val="nil"/>
            </w:tcBorders>
            <w:vAlign w:val="center"/>
          </w:tcPr>
          <w:p>
            <w:pPr>
              <w:pStyle w:val="28"/>
              <w:widowControl w:val="0"/>
              <w:rPr>
                <w:color w:val="auto"/>
                <w:highlight w:val="none"/>
              </w:rPr>
            </w:pPr>
          </w:p>
        </w:tc>
        <w:tc>
          <w:tcPr>
            <w:tcW w:w="852" w:type="dxa"/>
            <w:vMerge w:val="continue"/>
            <w:tcBorders>
              <w:tl2br w:val="nil"/>
              <w:tr2bl w:val="nil"/>
            </w:tcBorders>
            <w:vAlign w:val="center"/>
          </w:tcPr>
          <w:p>
            <w:pPr>
              <w:pStyle w:val="28"/>
              <w:widowControl w:val="0"/>
              <w:rPr>
                <w:color w:val="auto"/>
                <w:highlight w:val="none"/>
              </w:rPr>
            </w:pPr>
          </w:p>
        </w:tc>
        <w:tc>
          <w:tcPr>
            <w:tcW w:w="4836"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b/>
                <w:bCs/>
                <w:color w:val="auto"/>
                <w:highlight w:val="none"/>
              </w:rPr>
            </w:pPr>
            <w:r>
              <w:rPr>
                <w:rFonts w:hint="eastAsia"/>
                <w:b/>
                <w:bCs/>
                <w:color w:val="auto"/>
                <w:highlight w:val="none"/>
              </w:rPr>
              <w:t>施工期</w:t>
            </w:r>
          </w:p>
        </w:tc>
        <w:tc>
          <w:tcPr>
            <w:tcW w:w="1155" w:type="dxa"/>
            <w:tcBorders>
              <w:tl2br w:val="nil"/>
              <w:tr2bl w:val="nil"/>
            </w:tcBorders>
            <w:vAlign w:val="center"/>
          </w:tcPr>
          <w:p>
            <w:pPr>
              <w:pStyle w:val="28"/>
              <w:widowControl w:val="0"/>
              <w:rPr>
                <w:b/>
                <w:bCs/>
                <w:color w:val="auto"/>
                <w:highlight w:val="none"/>
              </w:rPr>
            </w:pPr>
            <w:r>
              <w:rPr>
                <w:rFonts w:hint="eastAsia"/>
                <w:b/>
                <w:bCs/>
                <w:color w:val="auto"/>
                <w:highlight w:val="none"/>
              </w:rPr>
              <w:t>营运期</w:t>
            </w:r>
          </w:p>
        </w:tc>
        <w:tc>
          <w:tcPr>
            <w:tcW w:w="758" w:type="dxa"/>
            <w:vMerge w:val="continue"/>
            <w:tcBorders>
              <w:tl2br w:val="nil"/>
              <w:tr2bl w:val="nil"/>
            </w:tcBorders>
            <w:vAlign w:val="center"/>
          </w:tcPr>
          <w:p>
            <w:pPr>
              <w:pStyle w:val="28"/>
              <w:widowControl w:val="0"/>
              <w:rPr>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主体工程</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待宰车间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1F，轻钢结构，占地面积为2850m</w:t>
            </w:r>
            <w:r>
              <w:rPr>
                <w:rFonts w:hint="eastAsia"/>
                <w:color w:val="auto"/>
                <w:highlight w:val="none"/>
                <w:vertAlign w:val="superscript"/>
              </w:rPr>
              <w:t>2</w:t>
            </w:r>
            <w:r>
              <w:rPr>
                <w:rFonts w:hint="eastAsia"/>
                <w:color w:val="auto"/>
                <w:highlight w:val="none"/>
              </w:rPr>
              <w:t>，最大容纳1000头生猪、100头肉牛</w:t>
            </w:r>
          </w:p>
        </w:tc>
        <w:tc>
          <w:tcPr>
            <w:tcW w:w="1170" w:type="dxa"/>
            <w:vMerge w:val="restart"/>
            <w:tcBorders>
              <w:tl2br w:val="nil"/>
              <w:tr2bl w:val="nil"/>
            </w:tcBorders>
            <w:vAlign w:val="center"/>
          </w:tcPr>
          <w:p>
            <w:pPr>
              <w:pStyle w:val="28"/>
              <w:widowControl w:val="0"/>
              <w:rPr>
                <w:color w:val="auto"/>
                <w:highlight w:val="none"/>
              </w:rPr>
            </w:pPr>
            <w:r>
              <w:rPr>
                <w:rFonts w:hint="eastAsia"/>
                <w:color w:val="auto"/>
                <w:highlight w:val="none"/>
              </w:rPr>
              <w:t>扬尘、机械废气、装修废气、土石方、建筑垃圾、生产废水、生活污水、生活垃圾</w:t>
            </w:r>
          </w:p>
        </w:tc>
        <w:tc>
          <w:tcPr>
            <w:tcW w:w="1155" w:type="dxa"/>
            <w:vMerge w:val="restart"/>
            <w:tcBorders>
              <w:tl2br w:val="nil"/>
              <w:tr2bl w:val="nil"/>
            </w:tcBorders>
            <w:vAlign w:val="center"/>
          </w:tcPr>
          <w:p>
            <w:pPr>
              <w:pStyle w:val="28"/>
              <w:widowControl w:val="0"/>
              <w:rPr>
                <w:color w:val="auto"/>
                <w:highlight w:val="none"/>
              </w:rPr>
            </w:pPr>
            <w:r>
              <w:rPr>
                <w:rFonts w:hint="eastAsia"/>
                <w:color w:val="auto"/>
                <w:highlight w:val="none"/>
              </w:rPr>
              <w:t>恶臭、噪声、固废、废水</w:t>
            </w:r>
          </w:p>
        </w:tc>
        <w:tc>
          <w:tcPr>
            <w:tcW w:w="758" w:type="dxa"/>
            <w:vMerge w:val="restart"/>
            <w:tcBorders>
              <w:tl2br w:val="nil"/>
              <w:tr2bl w:val="nil"/>
            </w:tcBorders>
            <w:vAlign w:val="center"/>
          </w:tcPr>
          <w:p>
            <w:pPr>
              <w:pStyle w:val="28"/>
              <w:widowControl w:val="0"/>
              <w:rPr>
                <w:color w:val="auto"/>
                <w:highlight w:val="none"/>
              </w:rPr>
            </w:pPr>
            <w:r>
              <w:rPr>
                <w:rFonts w:hint="eastAsia"/>
                <w:b/>
                <w:bCs/>
                <w:color w:val="auto"/>
                <w:highlight w:val="none"/>
              </w:rPr>
              <w:t>厂房建设以建设完成</w:t>
            </w:r>
            <w:r>
              <w:rPr>
                <w:rFonts w:hint="eastAsia"/>
                <w:color w:val="auto"/>
                <w:highlight w:val="none"/>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生猪屠宰车间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1F，总占地面积约9500m</w:t>
            </w:r>
            <w:r>
              <w:rPr>
                <w:rFonts w:hint="eastAsia"/>
                <w:color w:val="auto"/>
                <w:highlight w:val="none"/>
                <w:vertAlign w:val="superscript"/>
              </w:rPr>
              <w:t>2</w:t>
            </w:r>
            <w:r>
              <w:rPr>
                <w:rFonts w:hint="eastAsia"/>
                <w:color w:val="auto"/>
                <w:highlight w:val="none"/>
              </w:rPr>
              <w:t>，轻钢结构，内新增屠宰设备，项目建成后可形成屠宰生猪16万头/年的生产能力</w:t>
            </w:r>
          </w:p>
        </w:tc>
        <w:tc>
          <w:tcPr>
            <w:tcW w:w="1170" w:type="dxa"/>
            <w:vMerge w:val="continue"/>
            <w:tcBorders>
              <w:tl2br w:val="nil"/>
              <w:tr2bl w:val="nil"/>
            </w:tcBorders>
            <w:vAlign w:val="center"/>
          </w:tcPr>
          <w:p>
            <w:pPr>
              <w:pStyle w:val="28"/>
              <w:widowControl w:val="0"/>
              <w:rPr>
                <w:color w:val="auto"/>
                <w:highlight w:val="none"/>
              </w:rPr>
            </w:pPr>
          </w:p>
        </w:tc>
        <w:tc>
          <w:tcPr>
            <w:tcW w:w="1155" w:type="dxa"/>
            <w:vMerge w:val="continue"/>
            <w:tcBorders>
              <w:tl2br w:val="nil"/>
              <w:tr2bl w:val="nil"/>
            </w:tcBorders>
            <w:vAlign w:val="center"/>
          </w:tcPr>
          <w:p>
            <w:pPr>
              <w:pStyle w:val="28"/>
              <w:widowControl w:val="0"/>
              <w:rPr>
                <w:color w:val="auto"/>
                <w:highlight w:val="none"/>
              </w:rPr>
            </w:pP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肉牛屠宰车间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1F，总占地面积约1950m</w:t>
            </w:r>
            <w:r>
              <w:rPr>
                <w:rFonts w:hint="eastAsia"/>
                <w:color w:val="auto"/>
                <w:highlight w:val="none"/>
                <w:vertAlign w:val="superscript"/>
              </w:rPr>
              <w:t>2</w:t>
            </w:r>
            <w:r>
              <w:rPr>
                <w:rFonts w:hint="eastAsia"/>
                <w:color w:val="auto"/>
                <w:highlight w:val="none"/>
              </w:rPr>
              <w:t>，砖混结构，内新增屠宰设备，项目建成后可形成屠宰肉牛1万头/年的生产能力</w:t>
            </w:r>
          </w:p>
        </w:tc>
        <w:tc>
          <w:tcPr>
            <w:tcW w:w="1170" w:type="dxa"/>
            <w:vMerge w:val="continue"/>
            <w:tcBorders>
              <w:tl2br w:val="nil"/>
              <w:tr2bl w:val="nil"/>
            </w:tcBorders>
            <w:vAlign w:val="center"/>
          </w:tcPr>
          <w:p>
            <w:pPr>
              <w:pStyle w:val="28"/>
              <w:widowControl w:val="0"/>
              <w:rPr>
                <w:color w:val="auto"/>
                <w:highlight w:val="none"/>
              </w:rPr>
            </w:pPr>
          </w:p>
        </w:tc>
        <w:tc>
          <w:tcPr>
            <w:tcW w:w="1155" w:type="dxa"/>
            <w:vMerge w:val="continue"/>
            <w:tcBorders>
              <w:tl2br w:val="nil"/>
              <w:tr2bl w:val="nil"/>
            </w:tcBorders>
            <w:vAlign w:val="center"/>
          </w:tcPr>
          <w:p>
            <w:pPr>
              <w:pStyle w:val="28"/>
              <w:widowControl w:val="0"/>
              <w:rPr>
                <w:color w:val="auto"/>
                <w:highlight w:val="none"/>
              </w:rPr>
            </w:pP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办公生活设施</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行政办公区</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占地面积约为1000m</w:t>
            </w:r>
            <w:r>
              <w:rPr>
                <w:rFonts w:hint="eastAsia"/>
                <w:color w:val="auto"/>
                <w:highlight w:val="none"/>
                <w:vertAlign w:val="superscript"/>
              </w:rPr>
              <w:t>2</w:t>
            </w:r>
            <w:r>
              <w:rPr>
                <w:rFonts w:hint="eastAsia"/>
                <w:color w:val="auto"/>
                <w:highlight w:val="none"/>
              </w:rPr>
              <w:t>，框架结构</w:t>
            </w:r>
          </w:p>
        </w:tc>
        <w:tc>
          <w:tcPr>
            <w:tcW w:w="1170" w:type="dxa"/>
            <w:vMerge w:val="continue"/>
            <w:tcBorders>
              <w:tl2br w:val="nil"/>
              <w:tr2bl w:val="nil"/>
            </w:tcBorders>
            <w:vAlign w:val="center"/>
          </w:tcPr>
          <w:p>
            <w:pPr>
              <w:pStyle w:val="28"/>
              <w:widowControl w:val="0"/>
              <w:rPr>
                <w:color w:val="auto"/>
                <w:highlight w:val="none"/>
              </w:rPr>
            </w:pPr>
          </w:p>
        </w:tc>
        <w:tc>
          <w:tcPr>
            <w:tcW w:w="1155" w:type="dxa"/>
            <w:vMerge w:val="restart"/>
            <w:tcBorders>
              <w:tl2br w:val="nil"/>
              <w:tr2bl w:val="nil"/>
            </w:tcBorders>
            <w:vAlign w:val="center"/>
          </w:tcPr>
          <w:p>
            <w:pPr>
              <w:pStyle w:val="28"/>
              <w:widowControl w:val="0"/>
              <w:rPr>
                <w:color w:val="auto"/>
                <w:highlight w:val="none"/>
              </w:rPr>
            </w:pPr>
            <w:r>
              <w:rPr>
                <w:rFonts w:hint="eastAsia"/>
                <w:color w:val="auto"/>
                <w:highlight w:val="none"/>
              </w:rPr>
              <w:t>废水、固废</w:t>
            </w:r>
          </w:p>
        </w:tc>
        <w:tc>
          <w:tcPr>
            <w:tcW w:w="758" w:type="dxa"/>
            <w:vMerge w:val="restart"/>
            <w:tcBorders>
              <w:tl2br w:val="nil"/>
              <w:tr2bl w:val="nil"/>
            </w:tcBorders>
            <w:vAlign w:val="center"/>
          </w:tcPr>
          <w:p>
            <w:pPr>
              <w:pStyle w:val="28"/>
              <w:widowControl w:val="0"/>
              <w:rPr>
                <w:color w:val="auto"/>
                <w:highlight w:val="none"/>
              </w:rPr>
            </w:pPr>
            <w:r>
              <w:rPr>
                <w:rFonts w:hint="eastAsia"/>
                <w:b/>
                <w:bCs/>
                <w:color w:val="auto"/>
                <w:highlight w:val="none"/>
              </w:rPr>
              <w:t>已建设完成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食堂</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项目不设置住宿，设置一间食堂，占地面积为1500m</w:t>
            </w:r>
            <w:r>
              <w:rPr>
                <w:rFonts w:hint="eastAsia"/>
                <w:color w:val="auto"/>
                <w:highlight w:val="none"/>
                <w:vertAlign w:val="superscript"/>
              </w:rPr>
              <w:t>2</w:t>
            </w:r>
            <w:r>
              <w:rPr>
                <w:rFonts w:hint="eastAsia"/>
                <w:color w:val="auto"/>
                <w:highlight w:val="none"/>
              </w:rPr>
              <w:t>，框架结构</w:t>
            </w:r>
          </w:p>
        </w:tc>
        <w:tc>
          <w:tcPr>
            <w:tcW w:w="1170" w:type="dxa"/>
            <w:vMerge w:val="continue"/>
            <w:tcBorders>
              <w:tl2br w:val="nil"/>
              <w:tr2bl w:val="nil"/>
            </w:tcBorders>
            <w:vAlign w:val="center"/>
          </w:tcPr>
          <w:p>
            <w:pPr>
              <w:pStyle w:val="28"/>
              <w:widowControl w:val="0"/>
              <w:rPr>
                <w:color w:val="auto"/>
                <w:highlight w:val="none"/>
              </w:rPr>
            </w:pPr>
          </w:p>
        </w:tc>
        <w:tc>
          <w:tcPr>
            <w:tcW w:w="1155" w:type="dxa"/>
            <w:vMerge w:val="continue"/>
            <w:tcBorders>
              <w:tl2br w:val="nil"/>
              <w:tr2bl w:val="nil"/>
            </w:tcBorders>
            <w:vAlign w:val="center"/>
          </w:tcPr>
          <w:p>
            <w:pPr>
              <w:pStyle w:val="28"/>
              <w:widowControl w:val="0"/>
              <w:rPr>
                <w:color w:val="auto"/>
                <w:highlight w:val="none"/>
              </w:rPr>
            </w:pP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辅助工程</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消防水池</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总容积约为</w:t>
            </w:r>
            <w:r>
              <w:rPr>
                <w:rFonts w:hint="eastAsia"/>
                <w:color w:val="auto"/>
                <w:highlight w:val="none"/>
                <w:lang w:val="en-US" w:eastAsia="zh-CN"/>
              </w:rPr>
              <w:t>200</w:t>
            </w:r>
            <w:r>
              <w:rPr>
                <w:rFonts w:hint="eastAsia"/>
                <w:color w:val="auto"/>
                <w:highlight w:val="none"/>
              </w:rPr>
              <w:t>m</w:t>
            </w:r>
            <w:r>
              <w:rPr>
                <w:rFonts w:hint="eastAsia"/>
                <w:color w:val="auto"/>
                <w:highlight w:val="none"/>
                <w:vertAlign w:val="superscript"/>
              </w:rPr>
              <w:t>3</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758" w:type="dxa"/>
            <w:vMerge w:val="restart"/>
            <w:tcBorders>
              <w:tl2br w:val="nil"/>
              <w:tr2bl w:val="nil"/>
            </w:tcBorders>
            <w:vAlign w:val="center"/>
          </w:tcPr>
          <w:p>
            <w:pPr>
              <w:pStyle w:val="28"/>
              <w:widowControl w:val="0"/>
              <w:rPr>
                <w:color w:val="auto"/>
                <w:highlight w:val="none"/>
              </w:rPr>
            </w:pPr>
            <w:r>
              <w:rPr>
                <w:rFonts w:hint="eastAsia"/>
                <w:color w:val="auto"/>
                <w:highlight w:val="none"/>
              </w:rPr>
              <w:t>主体工程建设完成，设备未安装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无害化暂存间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占地面积约为300m</w:t>
            </w:r>
            <w:r>
              <w:rPr>
                <w:rFonts w:hint="eastAsia"/>
                <w:color w:val="auto"/>
                <w:highlight w:val="none"/>
                <w:vertAlign w:val="superscript"/>
              </w:rPr>
              <w:t>2</w:t>
            </w:r>
            <w:r>
              <w:rPr>
                <w:rFonts w:hint="eastAsia"/>
                <w:color w:val="auto"/>
                <w:highlight w:val="none"/>
              </w:rPr>
              <w:t>，用于无害化暂存不合格猪、肉牛及病胴体、病内脏、不可食用内脏、</w:t>
            </w:r>
            <w:r>
              <w:rPr>
                <w:rStyle w:val="25"/>
                <w:rFonts w:hint="eastAsia"/>
                <w:color w:val="auto"/>
                <w:highlight w:val="none"/>
                <w:lang w:val="en-US" w:eastAsia="zh-CN"/>
              </w:rPr>
              <w:t>废弃</w:t>
            </w:r>
            <w:r>
              <w:rPr>
                <w:rFonts w:hint="eastAsia"/>
                <w:color w:val="auto"/>
                <w:highlight w:val="none"/>
              </w:rPr>
              <w:t>动物组织及碎肉碎骨等</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恶臭、噪声</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热水供给间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设置于生猪屠宰车间楼顶，其中设置</w:t>
            </w:r>
            <w:r>
              <w:rPr>
                <w:rStyle w:val="30"/>
                <w:rFonts w:hint="eastAsia" w:ascii="TimesNewRomanPSMT" w:hAnsi="TimesNewRomanPSMT" w:eastAsia="TimesNewRomanPSMT"/>
                <w:color w:val="auto"/>
                <w:sz w:val="21"/>
                <w:szCs w:val="24"/>
                <w:highlight w:val="none"/>
              </w:rPr>
              <w:t>1t/h</w:t>
            </w:r>
            <w:r>
              <w:rPr>
                <w:rFonts w:hint="eastAsia" w:ascii="TimesNewRomanPSMT" w:hAnsi="TimesNewRomanPSMT" w:eastAsia="宋体"/>
                <w:color w:val="auto"/>
                <w:sz w:val="21"/>
                <w:szCs w:val="24"/>
                <w:highlight w:val="none"/>
                <w:lang w:val="en-US" w:eastAsia="zh-CN"/>
              </w:rPr>
              <w:t>天然气</w:t>
            </w:r>
            <w:r>
              <w:rPr>
                <w:rFonts w:hint="eastAsia"/>
                <w:color w:val="auto"/>
                <w:highlight w:val="none"/>
              </w:rPr>
              <w:t>锅炉，通过天然气燃烧加热，为屠宰车间提供热水</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噪声、废气</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管网工程</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本项目建设污水管网1.5km接入元坨社区市政污水管网，并在厂区内设置1个提升泵</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公用工程</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供电工程</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项目用电由市政电网提供</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758" w:type="dxa"/>
            <w:vMerge w:val="restart"/>
            <w:tcBorders>
              <w:tl2br w:val="nil"/>
              <w:tr2bl w:val="nil"/>
            </w:tcBorders>
            <w:vAlign w:val="center"/>
          </w:tcPr>
          <w:p>
            <w:pPr>
              <w:pStyle w:val="28"/>
              <w:widowControl w:val="0"/>
              <w:rPr>
                <w:color w:val="auto"/>
                <w:highlight w:val="none"/>
              </w:rPr>
            </w:pPr>
            <w:r>
              <w:rPr>
                <w:rFonts w:hint="eastAsia"/>
                <w:color w:val="auto"/>
                <w:highlight w:val="none"/>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供水工程</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项目用水由市政给水管网提供</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排水工程</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项目产生的废水经拟建污水处理站处理达标后排入元坨社区市政污水管网，通过市政污水管网汇入响滩镇污水处理厂处理。</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供气工程</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项目所需天然气由市政天然气管网供给</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储运工程</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冷藏库</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2个，分别位于两个屠宰车间内速冻库旁，轻钢结构，主要用于暂存不能及时外销的分割肉</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758" w:type="dxa"/>
            <w:vMerge w:val="restart"/>
            <w:tcBorders>
              <w:tl2br w:val="nil"/>
              <w:tr2bl w:val="nil"/>
            </w:tcBorders>
            <w:vAlign w:val="center"/>
          </w:tcPr>
          <w:p>
            <w:pPr>
              <w:pStyle w:val="28"/>
              <w:widowControl w:val="0"/>
              <w:rPr>
                <w:color w:val="auto"/>
                <w:highlight w:val="none"/>
              </w:rPr>
            </w:pPr>
            <w:r>
              <w:rPr>
                <w:rFonts w:hint="eastAsia"/>
                <w:b/>
                <w:bCs/>
                <w:color w:val="auto"/>
                <w:highlight w:val="none"/>
              </w:rPr>
              <w:t>主体工程已建设完成</w:t>
            </w:r>
            <w:r>
              <w:rPr>
                <w:rFonts w:hint="eastAsia"/>
                <w:color w:val="auto"/>
                <w:highlight w:val="none"/>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速冻库</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2个，分别设置于两个屠宰车间（生猪屠宰车间、肉牛屠宰车间），轻钢结构，用于需要进行速冻</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药品库</w:t>
            </w:r>
          </w:p>
        </w:tc>
        <w:tc>
          <w:tcPr>
            <w:tcW w:w="4836" w:type="dxa"/>
            <w:tcBorders>
              <w:tl2br w:val="nil"/>
              <w:tr2bl w:val="nil"/>
            </w:tcBorders>
            <w:vAlign w:val="center"/>
          </w:tcPr>
          <w:p>
            <w:pPr>
              <w:pStyle w:val="28"/>
              <w:widowControl w:val="0"/>
              <w:jc w:val="both"/>
              <w:rPr>
                <w:color w:val="auto"/>
                <w:highlight w:val="none"/>
                <w:vertAlign w:val="superscript"/>
              </w:rPr>
            </w:pPr>
            <w:r>
              <w:rPr>
                <w:rFonts w:hint="eastAsia"/>
                <w:color w:val="auto"/>
                <w:highlight w:val="none"/>
              </w:rPr>
              <w:t>1间，用于存放消毒用品，建筑面积为50m</w:t>
            </w:r>
            <w:r>
              <w:rPr>
                <w:rFonts w:hint="eastAsia"/>
                <w:color w:val="auto"/>
                <w:highlight w:val="none"/>
                <w:vertAlign w:val="superscript"/>
              </w:rPr>
              <w:t>2</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28"/>
              <w:widowControl w:val="0"/>
              <w:rPr>
                <w:color w:val="auto"/>
                <w:highlight w:val="none"/>
              </w:rPr>
            </w:pPr>
            <w:r>
              <w:rPr>
                <w:rFonts w:hint="eastAsia"/>
                <w:color w:val="auto"/>
                <w:highlight w:val="none"/>
              </w:rPr>
              <w:t>环保工程</w:t>
            </w: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本项目产生的生活污水与生产废水经厂区自建污水处理站处理，污水处理站设置于厂区南侧，占地面积约600m</w:t>
            </w:r>
            <w:r>
              <w:rPr>
                <w:rFonts w:hint="eastAsia"/>
                <w:color w:val="auto"/>
                <w:highlight w:val="none"/>
                <w:vertAlign w:val="superscript"/>
              </w:rPr>
              <w:t>2</w:t>
            </w:r>
            <w:r>
              <w:rPr>
                <w:rFonts w:hint="eastAsia"/>
                <w:color w:val="auto"/>
                <w:highlight w:val="none"/>
              </w:rPr>
              <w:t>，最大日处理水量为500m</w:t>
            </w:r>
            <w:r>
              <w:rPr>
                <w:rFonts w:hint="eastAsia"/>
                <w:color w:val="auto"/>
                <w:highlight w:val="none"/>
                <w:vertAlign w:val="superscript"/>
              </w:rPr>
              <w:t>3</w:t>
            </w:r>
            <w:r>
              <w:rPr>
                <w:rFonts w:hint="eastAsia"/>
                <w:color w:val="auto"/>
                <w:highlight w:val="none"/>
              </w:rPr>
              <w:t>/d，处理工艺采用“格栅池+沉渣池+多功能生物调节池+气浮沉渣池+厌氧池+初沉池+缺氧池1+好氧池1+紫外线消毒+清水池”组合工艺</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恶臭、固废、废水</w:t>
            </w:r>
          </w:p>
        </w:tc>
        <w:tc>
          <w:tcPr>
            <w:tcW w:w="758" w:type="dxa"/>
            <w:vMerge w:val="restart"/>
            <w:tcBorders>
              <w:tl2br w:val="nil"/>
              <w:tr2bl w:val="nil"/>
            </w:tcBorders>
            <w:vAlign w:val="center"/>
          </w:tcPr>
          <w:p>
            <w:pPr>
              <w:pStyle w:val="28"/>
              <w:widowControl w:val="0"/>
              <w:rPr>
                <w:color w:val="auto"/>
                <w:highlight w:val="none"/>
              </w:rPr>
            </w:pPr>
            <w:r>
              <w:rPr>
                <w:rFonts w:hint="eastAsia"/>
                <w:b/>
                <w:bCs/>
                <w:color w:val="auto"/>
                <w:highlight w:val="none"/>
              </w:rPr>
              <w:t>主体工程建设完成</w:t>
            </w:r>
            <w:r>
              <w:rPr>
                <w:rFonts w:hint="eastAsia"/>
                <w:color w:val="auto"/>
                <w:highlight w:val="none"/>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废气</w:t>
            </w:r>
          </w:p>
        </w:tc>
        <w:tc>
          <w:tcPr>
            <w:tcW w:w="4836" w:type="dxa"/>
            <w:tcBorders>
              <w:tl2br w:val="nil"/>
              <w:tr2bl w:val="nil"/>
            </w:tcBorders>
            <w:vAlign w:val="center"/>
          </w:tcPr>
          <w:p>
            <w:pPr>
              <w:pStyle w:val="28"/>
              <w:widowControl w:val="0"/>
              <w:jc w:val="left"/>
              <w:rPr>
                <w:color w:val="auto"/>
                <w:highlight w:val="none"/>
              </w:rPr>
            </w:pPr>
            <w:r>
              <w:rPr>
                <w:rFonts w:hint="eastAsia"/>
                <w:color w:val="auto"/>
                <w:highlight w:val="none"/>
              </w:rPr>
              <w:t>污水处理站、待宰圈：污水处理站和待宰圈共用一套废气处理系统，采用“UV光解+生物洗涤塔”工艺并经过15m高排气筒（P1）排放；</w:t>
            </w:r>
          </w:p>
          <w:p>
            <w:pPr>
              <w:pStyle w:val="28"/>
              <w:widowControl w:val="0"/>
              <w:jc w:val="left"/>
              <w:rPr>
                <w:color w:val="auto"/>
                <w:highlight w:val="none"/>
              </w:rPr>
            </w:pPr>
            <w:r>
              <w:rPr>
                <w:rFonts w:hint="eastAsia"/>
                <w:color w:val="auto"/>
                <w:highlight w:val="none"/>
              </w:rPr>
              <w:t>屠宰车间：生猪、肉牛屠宰车间共用一套处理系统，采用“UV光解+生物洗涤塔”工艺并经过15排气筒（P2）排放；</w:t>
            </w:r>
          </w:p>
          <w:p>
            <w:pPr>
              <w:pStyle w:val="28"/>
              <w:widowControl w:val="0"/>
              <w:jc w:val="left"/>
              <w:rPr>
                <w:color w:val="auto"/>
                <w:highlight w:val="none"/>
              </w:rPr>
            </w:pPr>
            <w:r>
              <w:rPr>
                <w:rFonts w:hint="eastAsia"/>
                <w:color w:val="auto"/>
                <w:highlight w:val="none"/>
              </w:rPr>
              <w:t>食堂：食堂油烟一套油烟净化器，通过烟道至楼顶排放；</w:t>
            </w:r>
          </w:p>
          <w:p>
            <w:pPr>
              <w:pStyle w:val="28"/>
              <w:widowControl w:val="0"/>
              <w:jc w:val="left"/>
              <w:rPr>
                <w:color w:val="auto"/>
                <w:highlight w:val="none"/>
              </w:rPr>
            </w:pPr>
            <w:r>
              <w:rPr>
                <w:rFonts w:hint="eastAsia"/>
                <w:color w:val="auto"/>
                <w:highlight w:val="none"/>
              </w:rPr>
              <w:t>锅炉：天然气废气通过排气筒至屠宰车间楼顶排放（h=8m）</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一般固废暂存间</w:t>
            </w:r>
          </w:p>
        </w:tc>
        <w:tc>
          <w:tcPr>
            <w:tcW w:w="4836" w:type="dxa"/>
            <w:tcBorders>
              <w:tl2br w:val="nil"/>
              <w:tr2bl w:val="nil"/>
            </w:tcBorders>
            <w:vAlign w:val="center"/>
          </w:tcPr>
          <w:p>
            <w:pPr>
              <w:pStyle w:val="28"/>
              <w:widowControl w:val="0"/>
              <w:jc w:val="both"/>
              <w:rPr>
                <w:color w:val="auto"/>
                <w:highlight w:val="none"/>
                <w:vertAlign w:val="superscript"/>
              </w:rPr>
            </w:pPr>
            <w:r>
              <w:rPr>
                <w:rFonts w:hint="eastAsia"/>
                <w:color w:val="auto"/>
                <w:highlight w:val="none"/>
              </w:rPr>
              <w:t>1间，在待宰圈旁设置一般固废暂存间（内设粪便暂存区），面积约为50m</w:t>
            </w:r>
            <w:r>
              <w:rPr>
                <w:rFonts w:hint="eastAsia"/>
                <w:color w:val="auto"/>
                <w:highlight w:val="none"/>
                <w:vertAlign w:val="superscript"/>
              </w:rPr>
              <w:t>2</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危废暂存间</w:t>
            </w:r>
          </w:p>
        </w:tc>
        <w:tc>
          <w:tcPr>
            <w:tcW w:w="4836" w:type="dxa"/>
            <w:tcBorders>
              <w:tl2br w:val="nil"/>
              <w:tr2bl w:val="nil"/>
            </w:tcBorders>
            <w:vAlign w:val="center"/>
          </w:tcPr>
          <w:p>
            <w:pPr>
              <w:pStyle w:val="28"/>
              <w:widowControl w:val="0"/>
              <w:jc w:val="both"/>
              <w:rPr>
                <w:rFonts w:hint="default" w:eastAsia="宋体"/>
                <w:color w:val="auto"/>
                <w:highlight w:val="none"/>
                <w:lang w:val="en-US" w:eastAsia="zh-CN"/>
              </w:rPr>
            </w:pPr>
            <w:r>
              <w:rPr>
                <w:rFonts w:hint="eastAsia"/>
                <w:color w:val="auto"/>
                <w:highlight w:val="none"/>
              </w:rPr>
              <w:t>1间，危废暂存间设置在屠宰车间旁，面积约为40m</w:t>
            </w:r>
            <w:r>
              <w:rPr>
                <w:rFonts w:hint="eastAsia"/>
                <w:color w:val="auto"/>
                <w:highlight w:val="none"/>
                <w:vertAlign w:val="superscript"/>
              </w:rPr>
              <w:t>2</w:t>
            </w:r>
            <w:r>
              <w:rPr>
                <w:rFonts w:hint="eastAsia"/>
                <w:color w:val="auto"/>
                <w:highlight w:val="none"/>
                <w:vertAlign w:val="baseline"/>
                <w:lang w:eastAsia="zh-CN"/>
              </w:rPr>
              <w:t>，</w:t>
            </w:r>
            <w:r>
              <w:rPr>
                <w:rFonts w:hint="eastAsia"/>
                <w:color w:val="auto"/>
                <w:highlight w:val="none"/>
                <w:vertAlign w:val="baseline"/>
                <w:lang w:val="en-US" w:eastAsia="zh-CN"/>
              </w:rPr>
              <w:t>采用</w:t>
            </w:r>
            <w:r>
              <w:rPr>
                <w:rFonts w:hint="eastAsia"/>
                <w:color w:val="auto"/>
                <w:highlight w:val="none"/>
              </w:rPr>
              <w:t>防渗混凝土</w:t>
            </w:r>
            <w:r>
              <w:rPr>
                <w:color w:val="auto"/>
                <w:highlight w:val="none"/>
              </w:rPr>
              <w:t>+2mmHDPE</w:t>
            </w:r>
            <w:r>
              <w:rPr>
                <w:rFonts w:hint="eastAsia"/>
                <w:color w:val="auto"/>
                <w:highlight w:val="none"/>
              </w:rPr>
              <w:t>防渗膜+金属托盘</w:t>
            </w:r>
            <w:r>
              <w:rPr>
                <w:rFonts w:hint="eastAsia"/>
                <w:color w:val="auto"/>
                <w:highlight w:val="none"/>
                <w:lang w:val="en-US" w:eastAsia="zh-CN"/>
              </w:rPr>
              <w:t>进行重点防渗</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危废</w:t>
            </w:r>
          </w:p>
        </w:tc>
        <w:tc>
          <w:tcPr>
            <w:tcW w:w="758"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28"/>
              <w:widowControl w:val="0"/>
              <w:rPr>
                <w:color w:val="auto"/>
                <w:highlight w:val="none"/>
              </w:rPr>
            </w:pPr>
          </w:p>
        </w:tc>
        <w:tc>
          <w:tcPr>
            <w:tcW w:w="852" w:type="dxa"/>
            <w:tcBorders>
              <w:tl2br w:val="nil"/>
              <w:tr2bl w:val="nil"/>
            </w:tcBorders>
            <w:vAlign w:val="center"/>
          </w:tcPr>
          <w:p>
            <w:pPr>
              <w:pStyle w:val="28"/>
              <w:widowControl w:val="0"/>
              <w:rPr>
                <w:color w:val="auto"/>
                <w:highlight w:val="none"/>
              </w:rPr>
            </w:pPr>
            <w:r>
              <w:rPr>
                <w:rFonts w:hint="eastAsia"/>
                <w:color w:val="auto"/>
                <w:highlight w:val="none"/>
              </w:rPr>
              <w:t>生活垃圾收集措施</w:t>
            </w:r>
          </w:p>
        </w:tc>
        <w:tc>
          <w:tcPr>
            <w:tcW w:w="4836" w:type="dxa"/>
            <w:tcBorders>
              <w:tl2br w:val="nil"/>
              <w:tr2bl w:val="nil"/>
            </w:tcBorders>
            <w:vAlign w:val="center"/>
          </w:tcPr>
          <w:p>
            <w:pPr>
              <w:pStyle w:val="28"/>
              <w:widowControl w:val="0"/>
              <w:jc w:val="both"/>
              <w:rPr>
                <w:color w:val="auto"/>
                <w:highlight w:val="none"/>
              </w:rPr>
            </w:pPr>
            <w:r>
              <w:rPr>
                <w:rFonts w:hint="eastAsia"/>
                <w:color w:val="auto"/>
                <w:highlight w:val="none"/>
              </w:rPr>
              <w:t>设置生活垃圾收集桶，由环卫部门每日清运</w:t>
            </w:r>
          </w:p>
        </w:tc>
        <w:tc>
          <w:tcPr>
            <w:tcW w:w="1170" w:type="dxa"/>
            <w:vMerge w:val="continue"/>
            <w:tcBorders>
              <w:tl2br w:val="nil"/>
              <w:tr2bl w:val="nil"/>
            </w:tcBorders>
            <w:vAlign w:val="center"/>
          </w:tcPr>
          <w:p>
            <w:pPr>
              <w:pStyle w:val="28"/>
              <w:widowControl w:val="0"/>
              <w:rPr>
                <w:color w:val="auto"/>
                <w:highlight w:val="none"/>
              </w:rPr>
            </w:pPr>
          </w:p>
        </w:tc>
        <w:tc>
          <w:tcPr>
            <w:tcW w:w="1155" w:type="dxa"/>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758" w:type="dxa"/>
            <w:vMerge w:val="continue"/>
            <w:tcBorders>
              <w:tl2br w:val="nil"/>
              <w:tr2bl w:val="nil"/>
            </w:tcBorders>
            <w:vAlign w:val="center"/>
          </w:tcPr>
          <w:p>
            <w:pPr>
              <w:pStyle w:val="28"/>
              <w:widowControl w:val="0"/>
              <w:rPr>
                <w:color w:val="auto"/>
                <w:highlight w:val="none"/>
              </w:rPr>
            </w:pPr>
          </w:p>
        </w:tc>
      </w:tr>
    </w:tbl>
    <w:p>
      <w:pPr>
        <w:pStyle w:val="4"/>
        <w:widowControl w:val="0"/>
        <w:rPr>
          <w:color w:val="auto"/>
          <w:highlight w:val="none"/>
        </w:rPr>
      </w:pPr>
      <w:bookmarkStart w:id="55" w:name="_Toc29408"/>
      <w:r>
        <w:rPr>
          <w:rFonts w:hint="eastAsia"/>
          <w:color w:val="auto"/>
          <w:highlight w:val="none"/>
        </w:rPr>
        <w:t>原辅材料</w:t>
      </w:r>
      <w:bookmarkEnd w:id="55"/>
    </w:p>
    <w:p>
      <w:pPr>
        <w:widowControl w:val="0"/>
        <w:ind w:firstLine="480"/>
        <w:rPr>
          <w:color w:val="auto"/>
          <w:highlight w:val="none"/>
        </w:rPr>
      </w:pPr>
      <w:r>
        <w:rPr>
          <w:rFonts w:hint="eastAsia"/>
          <w:color w:val="auto"/>
          <w:highlight w:val="none"/>
        </w:rPr>
        <w:t>本项目运营主要原辅料消耗情况详见下表。</w:t>
      </w:r>
    </w:p>
    <w:p>
      <w:pPr>
        <w:pStyle w:val="27"/>
        <w:widowControl w:val="0"/>
        <w:rPr>
          <w:color w:val="auto"/>
          <w:highlight w:val="none"/>
        </w:rPr>
      </w:pPr>
      <w:r>
        <w:rPr>
          <w:rFonts w:hint="eastAsia"/>
          <w:color w:val="auto"/>
          <w:highlight w:val="none"/>
        </w:rPr>
        <w:t>主要原辅料一览表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51"/>
        <w:gridCol w:w="831"/>
        <w:gridCol w:w="1062"/>
        <w:gridCol w:w="1668"/>
        <w:gridCol w:w="1695"/>
        <w:gridCol w:w="2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原辅料名称</w:t>
            </w:r>
          </w:p>
        </w:tc>
        <w:tc>
          <w:tcPr>
            <w:tcW w:w="432" w:type="pct"/>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552" w:type="pct"/>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867" w:type="pct"/>
            <w:tcBorders>
              <w:tl2br w:val="nil"/>
              <w:tr2bl w:val="nil"/>
            </w:tcBorders>
            <w:vAlign w:val="center"/>
          </w:tcPr>
          <w:p>
            <w:pPr>
              <w:pStyle w:val="28"/>
              <w:widowControl w:val="0"/>
              <w:rPr>
                <w:b/>
                <w:bCs/>
                <w:color w:val="auto"/>
                <w:highlight w:val="none"/>
              </w:rPr>
            </w:pPr>
            <w:r>
              <w:rPr>
                <w:rFonts w:hint="eastAsia"/>
                <w:b/>
                <w:bCs/>
                <w:color w:val="auto"/>
                <w:highlight w:val="none"/>
              </w:rPr>
              <w:t>位置</w:t>
            </w:r>
          </w:p>
        </w:tc>
        <w:tc>
          <w:tcPr>
            <w:tcW w:w="881" w:type="pct"/>
            <w:tcBorders>
              <w:tl2br w:val="nil"/>
              <w:tr2bl w:val="nil"/>
            </w:tcBorders>
            <w:vAlign w:val="center"/>
          </w:tcPr>
          <w:p>
            <w:pPr>
              <w:pStyle w:val="28"/>
              <w:widowControl w:val="0"/>
              <w:rPr>
                <w:b/>
                <w:bCs/>
                <w:color w:val="auto"/>
                <w:highlight w:val="none"/>
              </w:rPr>
            </w:pPr>
            <w:r>
              <w:rPr>
                <w:rFonts w:hint="eastAsia"/>
                <w:b/>
                <w:bCs/>
                <w:color w:val="auto"/>
                <w:highlight w:val="none"/>
              </w:rPr>
              <w:t>来源</w:t>
            </w:r>
          </w:p>
        </w:tc>
        <w:tc>
          <w:tcPr>
            <w:tcW w:w="1376" w:type="pct"/>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16万</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头/a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生猪待宰圈</w:t>
            </w:r>
          </w:p>
        </w:tc>
        <w:tc>
          <w:tcPr>
            <w:tcW w:w="881" w:type="pct"/>
            <w:vMerge w:val="restart"/>
            <w:tcBorders>
              <w:tl2br w:val="nil"/>
              <w:tr2bl w:val="nil"/>
            </w:tcBorders>
            <w:vAlign w:val="center"/>
          </w:tcPr>
          <w:p>
            <w:pPr>
              <w:pStyle w:val="28"/>
              <w:widowControl w:val="0"/>
              <w:rPr>
                <w:color w:val="auto"/>
                <w:highlight w:val="none"/>
              </w:rPr>
            </w:pPr>
            <w:r>
              <w:rPr>
                <w:rFonts w:hint="eastAsia"/>
                <w:color w:val="auto"/>
                <w:highlight w:val="none"/>
              </w:rPr>
              <w:t>养殖场或农户</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平均100kg/头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1万</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头/a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肉牛待宰圈</w:t>
            </w:r>
          </w:p>
        </w:tc>
        <w:tc>
          <w:tcPr>
            <w:tcW w:w="881" w:type="pct"/>
            <w:vMerge w:val="continue"/>
            <w:tcBorders>
              <w:tl2br w:val="nil"/>
              <w:tr2bl w:val="nil"/>
            </w:tcBorders>
            <w:vAlign w:val="center"/>
          </w:tcPr>
          <w:p>
            <w:pPr>
              <w:pStyle w:val="28"/>
              <w:widowControl w:val="0"/>
              <w:rPr>
                <w:color w:val="auto"/>
                <w:highlight w:val="none"/>
              </w:rPr>
            </w:pP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平均500kg/头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100</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kg/a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药品间</w:t>
            </w:r>
          </w:p>
        </w:tc>
        <w:tc>
          <w:tcPr>
            <w:tcW w:w="881" w:type="pct"/>
            <w:vMerge w:val="restart"/>
            <w:tcBorders>
              <w:tl2br w:val="nil"/>
              <w:tr2bl w:val="nil"/>
            </w:tcBorders>
            <w:vAlign w:val="center"/>
          </w:tcPr>
          <w:p>
            <w:pPr>
              <w:pStyle w:val="28"/>
              <w:widowControl w:val="0"/>
              <w:rPr>
                <w:color w:val="auto"/>
                <w:highlight w:val="none"/>
              </w:rPr>
            </w:pPr>
            <w:r>
              <w:rPr>
                <w:rFonts w:hint="eastAsia"/>
                <w:color w:val="auto"/>
                <w:highlight w:val="none"/>
              </w:rPr>
              <w:t>当地动检部门专供</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屠宰场车辆进出处、屠宰车间、设备消毒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rPr>
                <w:color w:val="auto"/>
                <w:highlight w:val="none"/>
              </w:rPr>
            </w:pPr>
            <w:r>
              <w:rPr>
                <w:rFonts w:hint="eastAsia"/>
                <w:color w:val="auto"/>
                <w:highlight w:val="none"/>
              </w:rPr>
              <w:t>聚维酮碘溶液</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0.12</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药品间</w:t>
            </w:r>
          </w:p>
        </w:tc>
        <w:tc>
          <w:tcPr>
            <w:tcW w:w="881" w:type="pct"/>
            <w:vMerge w:val="continue"/>
            <w:tcBorders>
              <w:tl2br w:val="nil"/>
              <w:tr2bl w:val="nil"/>
            </w:tcBorders>
            <w:vAlign w:val="center"/>
          </w:tcPr>
          <w:p>
            <w:pPr>
              <w:pStyle w:val="28"/>
              <w:widowControl w:val="0"/>
              <w:rPr>
                <w:color w:val="auto"/>
                <w:highlight w:val="none"/>
              </w:rPr>
            </w:pP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员工进出生产车间、员工洗手消毒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ind w:firstLine="0" w:firstLineChars="0"/>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检验试纸</w:t>
            </w:r>
          </w:p>
        </w:tc>
        <w:tc>
          <w:tcPr>
            <w:tcW w:w="43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20</w:t>
            </w:r>
          </w:p>
        </w:tc>
        <w:tc>
          <w:tcPr>
            <w:tcW w:w="552" w:type="pct"/>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kg/a</w:t>
            </w:r>
          </w:p>
        </w:tc>
        <w:tc>
          <w:tcPr>
            <w:tcW w:w="867" w:type="pct"/>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药品间</w:t>
            </w:r>
          </w:p>
        </w:tc>
        <w:tc>
          <w:tcPr>
            <w:tcW w:w="881" w:type="pct"/>
            <w:vMerge w:val="continue"/>
            <w:tcBorders>
              <w:tl2br w:val="nil"/>
              <w:tr2bl w:val="nil"/>
            </w:tcBorders>
            <w:vAlign w:val="center"/>
          </w:tcPr>
          <w:p>
            <w:pPr>
              <w:pStyle w:val="28"/>
              <w:widowControl w:val="0"/>
              <w:rPr>
                <w:color w:val="auto"/>
                <w:highlight w:val="none"/>
              </w:rPr>
            </w:pPr>
          </w:p>
        </w:tc>
        <w:tc>
          <w:tcPr>
            <w:tcW w:w="1376"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动物检疫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gridSpan w:val="2"/>
            <w:tcBorders>
              <w:tl2br w:val="nil"/>
              <w:tr2bl w:val="nil"/>
            </w:tcBorders>
            <w:vAlign w:val="center"/>
          </w:tcPr>
          <w:p>
            <w:pPr>
              <w:pStyle w:val="28"/>
              <w:widowControl w:val="0"/>
              <w:ind w:firstLine="0" w:firstLineChars="0"/>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PCR试剂</w:t>
            </w:r>
          </w:p>
        </w:tc>
        <w:tc>
          <w:tcPr>
            <w:tcW w:w="43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50</w:t>
            </w:r>
          </w:p>
        </w:tc>
        <w:tc>
          <w:tcPr>
            <w:tcW w:w="552" w:type="pct"/>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kg/a</w:t>
            </w:r>
          </w:p>
        </w:tc>
        <w:tc>
          <w:tcPr>
            <w:tcW w:w="867" w:type="pct"/>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药品间</w:t>
            </w:r>
          </w:p>
        </w:tc>
        <w:tc>
          <w:tcPr>
            <w:tcW w:w="881" w:type="pct"/>
            <w:vMerge w:val="continue"/>
            <w:tcBorders>
              <w:tl2br w:val="nil"/>
              <w:tr2bl w:val="nil"/>
            </w:tcBorders>
            <w:vAlign w:val="center"/>
          </w:tcPr>
          <w:p>
            <w:pPr>
              <w:pStyle w:val="28"/>
              <w:widowControl w:val="0"/>
              <w:rPr>
                <w:color w:val="auto"/>
                <w:highlight w:val="none"/>
              </w:rPr>
            </w:pPr>
          </w:p>
        </w:tc>
        <w:tc>
          <w:tcPr>
            <w:tcW w:w="1376" w:type="pct"/>
            <w:tcBorders>
              <w:tl2br w:val="nil"/>
              <w:tr2bl w:val="nil"/>
            </w:tcBorders>
            <w:vAlign w:val="center"/>
          </w:tcPr>
          <w:p>
            <w:pPr>
              <w:pStyle w:val="28"/>
              <w:widowControl w:val="0"/>
              <w:rPr>
                <w:rFonts w:hint="eastAsia"/>
                <w:color w:val="auto"/>
                <w:highlight w:val="none"/>
              </w:rPr>
            </w:pPr>
            <w:r>
              <w:rPr>
                <w:rFonts w:hint="eastAsia"/>
                <w:color w:val="auto"/>
                <w:highlight w:val="none"/>
                <w:lang w:val="en-US" w:eastAsia="zh-CN"/>
              </w:rPr>
              <w:t>动物检疫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88" w:type="pct"/>
            <w:gridSpan w:val="2"/>
            <w:tcBorders>
              <w:tl2br w:val="nil"/>
              <w:tr2bl w:val="nil"/>
            </w:tcBorders>
            <w:vAlign w:val="center"/>
          </w:tcPr>
          <w:p>
            <w:pPr>
              <w:pStyle w:val="28"/>
              <w:widowControl w:val="0"/>
              <w:rPr>
                <w:color w:val="auto"/>
                <w:highlight w:val="none"/>
              </w:rPr>
            </w:pPr>
            <w:r>
              <w:rPr>
                <w:rFonts w:hint="eastAsia"/>
                <w:color w:val="auto"/>
                <w:highlight w:val="none"/>
              </w:rPr>
              <w:t>R507A制冷剂</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0.9</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冷藏库、速冻库</w:t>
            </w:r>
          </w:p>
        </w:tc>
        <w:tc>
          <w:tcPr>
            <w:tcW w:w="881" w:type="pct"/>
            <w:tcBorders>
              <w:tl2br w:val="nil"/>
              <w:tr2bl w:val="nil"/>
            </w:tcBorders>
            <w:vAlign w:val="center"/>
          </w:tcPr>
          <w:p>
            <w:pPr>
              <w:pStyle w:val="28"/>
              <w:widowControl w:val="0"/>
              <w:rPr>
                <w:color w:val="auto"/>
                <w:highlight w:val="none"/>
              </w:rPr>
            </w:pPr>
            <w:r>
              <w:rPr>
                <w:rFonts w:hint="eastAsia"/>
                <w:color w:val="auto"/>
                <w:highlight w:val="none"/>
              </w:rPr>
              <w:t>外购</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冷藏库、速冻库冷媒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restart"/>
            <w:tcBorders>
              <w:tl2br w:val="nil"/>
              <w:tr2bl w:val="nil"/>
            </w:tcBorders>
            <w:vAlign w:val="center"/>
          </w:tcPr>
          <w:p>
            <w:pPr>
              <w:pStyle w:val="28"/>
              <w:widowControl w:val="0"/>
              <w:rPr>
                <w:color w:val="auto"/>
                <w:highlight w:val="none"/>
              </w:rPr>
            </w:pPr>
            <w:r>
              <w:rPr>
                <w:rFonts w:hint="eastAsia"/>
                <w:color w:val="auto"/>
                <w:highlight w:val="none"/>
              </w:rPr>
              <w:t>能源</w:t>
            </w: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电</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100</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万KWh/a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881" w:type="pct"/>
            <w:tcBorders>
              <w:tl2br w:val="nil"/>
              <w:tr2bl w:val="nil"/>
            </w:tcBorders>
            <w:vAlign w:val="center"/>
          </w:tcPr>
          <w:p>
            <w:pPr>
              <w:pStyle w:val="28"/>
              <w:widowControl w:val="0"/>
              <w:rPr>
                <w:color w:val="auto"/>
                <w:highlight w:val="none"/>
              </w:rPr>
            </w:pPr>
            <w:r>
              <w:rPr>
                <w:rFonts w:hint="eastAsia"/>
                <w:color w:val="auto"/>
                <w:highlight w:val="none"/>
              </w:rPr>
              <w:t>市政供电</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vMerge w:val="continue"/>
            <w:tcBorders>
              <w:tl2br w:val="nil"/>
              <w:tr2bl w:val="nil"/>
            </w:tcBorders>
            <w:vAlign w:val="center"/>
          </w:tcPr>
          <w:p>
            <w:pPr>
              <w:pStyle w:val="28"/>
              <w:widowControl w:val="0"/>
              <w:rPr>
                <w:color w:val="auto"/>
                <w:highlight w:val="none"/>
              </w:rPr>
            </w:pP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自来水</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万m</w:t>
            </w:r>
            <w:r>
              <w:rPr>
                <w:rFonts w:hint="eastAsia"/>
                <w:color w:val="auto"/>
                <w:highlight w:val="none"/>
                <w:vertAlign w:val="superscript"/>
              </w:rPr>
              <w:t>3</w:t>
            </w:r>
            <w:r>
              <w:rPr>
                <w:rFonts w:hint="eastAsia"/>
                <w:color w:val="auto"/>
                <w:highlight w:val="none"/>
              </w:rPr>
              <w:t>/a</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881" w:type="pct"/>
            <w:tcBorders>
              <w:tl2br w:val="nil"/>
              <w:tr2bl w:val="nil"/>
            </w:tcBorders>
            <w:vAlign w:val="center"/>
          </w:tcPr>
          <w:p>
            <w:pPr>
              <w:pStyle w:val="28"/>
              <w:widowControl w:val="0"/>
              <w:rPr>
                <w:color w:val="auto"/>
                <w:highlight w:val="none"/>
              </w:rPr>
            </w:pPr>
            <w:r>
              <w:rPr>
                <w:rFonts w:hint="eastAsia"/>
                <w:color w:val="auto"/>
                <w:highlight w:val="none"/>
              </w:rPr>
              <w:t>市政供水</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vMerge w:val="continue"/>
            <w:tcBorders>
              <w:tl2br w:val="nil"/>
              <w:tr2bl w:val="nil"/>
            </w:tcBorders>
            <w:vAlign w:val="center"/>
          </w:tcPr>
          <w:p>
            <w:pPr>
              <w:pStyle w:val="28"/>
              <w:widowControl w:val="0"/>
              <w:rPr>
                <w:color w:val="auto"/>
                <w:highlight w:val="none"/>
              </w:rPr>
            </w:pP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天然气</w:t>
            </w:r>
          </w:p>
        </w:tc>
        <w:tc>
          <w:tcPr>
            <w:tcW w:w="432"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552" w:type="pct"/>
            <w:tcBorders>
              <w:tl2br w:val="nil"/>
              <w:tr2bl w:val="nil"/>
            </w:tcBorders>
            <w:vAlign w:val="center"/>
          </w:tcPr>
          <w:p>
            <w:pPr>
              <w:pStyle w:val="28"/>
              <w:widowControl w:val="0"/>
              <w:rPr>
                <w:color w:val="auto"/>
                <w:highlight w:val="none"/>
              </w:rPr>
            </w:pPr>
            <w:r>
              <w:rPr>
                <w:rFonts w:hint="eastAsia"/>
                <w:color w:val="auto"/>
                <w:highlight w:val="none"/>
              </w:rPr>
              <w:t>万</w:t>
            </w:r>
            <w:r>
              <w:rPr>
                <w:color w:val="auto"/>
                <w:highlight w:val="none"/>
              </w:rPr>
              <w:t>Nm</w:t>
            </w:r>
            <w:r>
              <w:rPr>
                <w:color w:val="auto"/>
                <w:highlight w:val="none"/>
                <w:vertAlign w:val="superscript"/>
              </w:rPr>
              <w:t>3</w:t>
            </w:r>
          </w:p>
        </w:tc>
        <w:tc>
          <w:tcPr>
            <w:tcW w:w="867" w:type="pct"/>
            <w:tcBorders>
              <w:tl2br w:val="nil"/>
              <w:tr2bl w:val="nil"/>
            </w:tcBorders>
            <w:vAlign w:val="center"/>
          </w:tcPr>
          <w:p>
            <w:pPr>
              <w:pStyle w:val="28"/>
              <w:widowControl w:val="0"/>
              <w:rPr>
                <w:color w:val="auto"/>
                <w:highlight w:val="none"/>
              </w:rPr>
            </w:pPr>
            <w:r>
              <w:rPr>
                <w:rFonts w:hint="eastAsia"/>
                <w:color w:val="auto"/>
                <w:highlight w:val="none"/>
              </w:rPr>
              <w:t>高温热水设备</w:t>
            </w:r>
          </w:p>
        </w:tc>
        <w:tc>
          <w:tcPr>
            <w:tcW w:w="881" w:type="pct"/>
            <w:tcBorders>
              <w:tl2br w:val="nil"/>
              <w:tr2bl w:val="nil"/>
            </w:tcBorders>
            <w:vAlign w:val="center"/>
          </w:tcPr>
          <w:p>
            <w:pPr>
              <w:pStyle w:val="28"/>
              <w:widowControl w:val="0"/>
              <w:rPr>
                <w:color w:val="auto"/>
                <w:highlight w:val="none"/>
              </w:rPr>
            </w:pPr>
            <w:r>
              <w:rPr>
                <w:rFonts w:hint="eastAsia"/>
                <w:color w:val="auto"/>
                <w:highlight w:val="none"/>
              </w:rPr>
              <w:t>市政供气</w:t>
            </w:r>
          </w:p>
        </w:tc>
        <w:tc>
          <w:tcPr>
            <w:tcW w:w="1376" w:type="pct"/>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2"/>
        <w:rPr>
          <w:b/>
          <w:bCs/>
          <w:color w:val="auto"/>
          <w:highlight w:val="none"/>
        </w:rPr>
      </w:pPr>
      <w:r>
        <w:rPr>
          <w:rFonts w:hint="eastAsia"/>
          <w:b/>
          <w:bCs/>
          <w:color w:val="auto"/>
          <w:highlight w:val="none"/>
        </w:rPr>
        <w:t>原辅材料理化性：</w:t>
      </w:r>
    </w:p>
    <w:p>
      <w:pPr>
        <w:widowControl w:val="0"/>
        <w:ind w:firstLine="482"/>
        <w:rPr>
          <w:color w:val="auto"/>
          <w:highlight w:val="none"/>
        </w:rPr>
      </w:pPr>
      <w:r>
        <w:rPr>
          <w:rFonts w:hint="eastAsia"/>
          <w:b/>
          <w:bCs/>
          <w:color w:val="auto"/>
          <w:highlight w:val="none"/>
        </w:rPr>
        <w:t>R507A：</w:t>
      </w:r>
      <w:r>
        <w:rPr>
          <w:rFonts w:hint="eastAsia"/>
          <w:color w:val="auto"/>
          <w:highlight w:val="none"/>
        </w:rPr>
        <w:t>由R-125和R-143a混合而成，在常温下为无色气体，在自身压力下为无色透明液体，无毒不易燃，属于HFC型非共沸环保制冷剂，不会对臭氧层造成破坏，具有清洁、无毒、不燃、制冷效果好等特点；</w:t>
      </w:r>
    </w:p>
    <w:p>
      <w:pPr>
        <w:widowControl w:val="0"/>
        <w:ind w:firstLine="482"/>
        <w:rPr>
          <w:color w:val="auto"/>
          <w:highlight w:val="none"/>
        </w:rPr>
      </w:pPr>
      <w:r>
        <w:rPr>
          <w:rFonts w:hint="eastAsia"/>
          <w:b/>
          <w:bCs/>
          <w:color w:val="auto"/>
          <w:highlight w:val="none"/>
        </w:rPr>
        <w:t>二氯异氰尿酸钠：</w:t>
      </w:r>
      <w:r>
        <w:rPr>
          <w:rFonts w:hint="eastAsia"/>
          <w:color w:val="auto"/>
          <w:highlight w:val="none"/>
        </w:rPr>
        <w:t>白色结晶，有氯气味。熔点230~250</w:t>
      </w:r>
      <w:r>
        <w:rPr>
          <w:color w:val="auto"/>
          <w:highlight w:val="none"/>
        </w:rPr>
        <w:t>℃</w:t>
      </w:r>
      <w:r>
        <w:rPr>
          <w:rFonts w:hint="eastAsia"/>
          <w:color w:val="auto"/>
          <w:highlight w:val="none"/>
        </w:rPr>
        <w:t>，溶于水，用于漂白、消毒、清洗等。急性毒性：LD50：1420mgkg（大鼠经口）；刺激性：家兔经皮：500mg，重点刺激；家兔经眼：10mg/24h，中毒刺激。禁配物：易燃或可燃物、铵盐、含氮化合物、强氧化剂、强碱、潮湿空气。接触潮气可分解。助燃，具有强烈刺激性。强氧化剂。与易燃物、有机物接触易着火燃烧。与含氮化合物（如氨、尿素等）反应生成易爆炸的三氯化氮。受热或遇潮易分解释出剧毒的烟气。</w:t>
      </w:r>
    </w:p>
    <w:p>
      <w:pPr>
        <w:widowControl w:val="0"/>
        <w:ind w:firstLine="482"/>
        <w:rPr>
          <w:color w:val="auto"/>
          <w:highlight w:val="none"/>
        </w:rPr>
      </w:pPr>
      <w:r>
        <w:rPr>
          <w:rFonts w:hint="eastAsia"/>
          <w:b/>
          <w:bCs/>
          <w:color w:val="auto"/>
          <w:highlight w:val="none"/>
        </w:rPr>
        <w:t>聚维酮碘溶液：</w:t>
      </w:r>
      <w:r>
        <w:rPr>
          <w:rFonts w:hint="eastAsia"/>
          <w:color w:val="auto"/>
          <w:highlight w:val="none"/>
        </w:rPr>
        <w:t>红棕色液体，主要成分为聚维酮碘，辅料为乙二胺四乙酸二钠、碘酸钾、碘化钾、氢氧化钠、纯化水。用于小面积皮肤、黏膜创口的消毒</w:t>
      </w:r>
    </w:p>
    <w:p>
      <w:pPr>
        <w:pStyle w:val="4"/>
        <w:widowControl w:val="0"/>
        <w:rPr>
          <w:color w:val="auto"/>
          <w:highlight w:val="none"/>
        </w:rPr>
      </w:pPr>
      <w:bookmarkStart w:id="56" w:name="_Toc5226"/>
      <w:r>
        <w:rPr>
          <w:rFonts w:hint="eastAsia"/>
          <w:color w:val="auto"/>
          <w:highlight w:val="none"/>
        </w:rPr>
        <w:t>项目总平面布置合理性分析</w:t>
      </w:r>
      <w:bookmarkEnd w:id="56"/>
    </w:p>
    <w:p>
      <w:pPr>
        <w:pStyle w:val="5"/>
        <w:widowControl w:val="0"/>
        <w:ind w:firstLine="120"/>
        <w:rPr>
          <w:color w:val="auto"/>
          <w:highlight w:val="none"/>
        </w:rPr>
      </w:pPr>
      <w:r>
        <w:rPr>
          <w:rFonts w:hint="eastAsia"/>
          <w:color w:val="auto"/>
          <w:highlight w:val="none"/>
        </w:rPr>
        <w:t>总平面布置环境合理性分析</w:t>
      </w:r>
    </w:p>
    <w:p>
      <w:pPr>
        <w:pStyle w:val="6"/>
        <w:widowControl w:val="0"/>
        <w:ind w:left="-160" w:firstLineChars="0"/>
        <w:rPr>
          <w:color w:val="auto"/>
          <w:highlight w:val="none"/>
        </w:rPr>
      </w:pPr>
      <w:r>
        <w:rPr>
          <w:rFonts w:hint="eastAsia"/>
          <w:color w:val="auto"/>
          <w:highlight w:val="none"/>
        </w:rPr>
        <w:t>车间建筑平面布置合理性</w:t>
      </w:r>
    </w:p>
    <w:p>
      <w:pPr>
        <w:widowControl w:val="0"/>
        <w:ind w:firstLine="480"/>
        <w:rPr>
          <w:color w:val="auto"/>
          <w:highlight w:val="none"/>
        </w:rPr>
      </w:pPr>
      <w:r>
        <w:rPr>
          <w:rFonts w:hint="eastAsia"/>
          <w:color w:val="auto"/>
          <w:highlight w:val="none"/>
        </w:rPr>
        <w:t>根据项目平面布置可知，项目主要由屠宰车间、待宰车间、污水处理站、倒班房等组成。倒班房布置于厂区东北侧、屠宰车间布置于厂区东侧（车间内由北至南为冷藏库、分割区、屠宰区，隔离间和急宰间），待宰车间位于屠宰车间西侧，无害化暂存间、垃圾回收站和危废暂存间位于待宰车间南侧。根据项目建设单位生产线布置方案，项目屠宰区、待宰区、隔离间和急宰间布置于车间南部，冷藏库和分割区布置于车间北侧，则项目脏区和净区相对独立，避免了各个区域的交叉影响，保证了食品安全。</w:t>
      </w:r>
    </w:p>
    <w:p>
      <w:pPr>
        <w:widowControl w:val="0"/>
        <w:ind w:firstLine="480"/>
        <w:rPr>
          <w:color w:val="auto"/>
          <w:highlight w:val="none"/>
        </w:rPr>
      </w:pPr>
      <w:r>
        <w:rPr>
          <w:rFonts w:hint="eastAsia"/>
          <w:color w:val="auto"/>
          <w:highlight w:val="none"/>
        </w:rPr>
        <w:t>根据工程分析可知，项目主要恶臭污染源为生猪运输通道及卸载平台、待宰车间、屠宰车间（含内脏处理区、隔离间及急宰间）、污水处理站、无害化暂存间等区域，根据设计待宰车间、屠宰车间均位于车间内（位于厂区中南部），无害化暂存间位于待宰车间东侧，污水处理站位于厂区南部。</w:t>
      </w:r>
    </w:p>
    <w:p>
      <w:pPr>
        <w:widowControl w:val="0"/>
        <w:ind w:firstLine="480"/>
        <w:rPr>
          <w:color w:val="auto"/>
          <w:highlight w:val="none"/>
        </w:rPr>
      </w:pPr>
      <w:r>
        <w:rPr>
          <w:rFonts w:hint="eastAsia"/>
          <w:color w:val="auto"/>
          <w:highlight w:val="none"/>
        </w:rPr>
        <w:t>根据调查，项目区主导风向为西北风，项目将污水处理站布置在车间侧下风向，项目将净区布置在脏区侧上风向，避免对净区产生影响。</w:t>
      </w:r>
    </w:p>
    <w:p>
      <w:pPr>
        <w:widowControl w:val="0"/>
        <w:ind w:firstLine="480"/>
        <w:rPr>
          <w:color w:val="auto"/>
          <w:highlight w:val="none"/>
        </w:rPr>
      </w:pPr>
      <w:r>
        <w:rPr>
          <w:rFonts w:hint="eastAsia"/>
          <w:color w:val="auto"/>
          <w:highlight w:val="none"/>
        </w:rPr>
        <w:t>根据调查，项目临近的濛溪河地表水体常年水位保持在291.10m，20年一遇最高洪水水位为293.0m，厂址最低标高为295.3m高于此洪水水位，因此厂址选择不受项目周边地表水体洪水影响。</w:t>
      </w:r>
    </w:p>
    <w:p>
      <w:pPr>
        <w:widowControl w:val="0"/>
        <w:ind w:firstLine="480"/>
        <w:rPr>
          <w:color w:val="auto"/>
          <w:highlight w:val="none"/>
        </w:rPr>
      </w:pPr>
      <w:r>
        <w:rPr>
          <w:rFonts w:hint="eastAsia"/>
          <w:color w:val="auto"/>
          <w:highlight w:val="none"/>
        </w:rPr>
        <w:t>结合外环境关系，项目周边的敏感点主要分布在北侧的石泉村居民</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产污环节主要集中在厂区中部和南部，远离周围环境敏感点，减小了对周边居民的影响</w:t>
      </w:r>
      <w:r>
        <w:rPr>
          <w:rFonts w:hint="eastAsia"/>
          <w:color w:val="auto"/>
          <w:highlight w:val="none"/>
        </w:rPr>
        <w:t>。</w:t>
      </w:r>
    </w:p>
    <w:p>
      <w:pPr>
        <w:pStyle w:val="6"/>
        <w:widowControl w:val="0"/>
        <w:ind w:left="-160" w:firstLineChars="0"/>
        <w:rPr>
          <w:color w:val="auto"/>
          <w:highlight w:val="none"/>
        </w:rPr>
      </w:pPr>
      <w:r>
        <w:rPr>
          <w:rFonts w:hint="eastAsia"/>
          <w:color w:val="auto"/>
          <w:highlight w:val="none"/>
        </w:rPr>
        <w:t>环保设施设置合理性</w:t>
      </w:r>
    </w:p>
    <w:p>
      <w:pPr>
        <w:widowControl w:val="0"/>
        <w:ind w:firstLine="480"/>
        <w:rPr>
          <w:color w:val="auto"/>
          <w:highlight w:val="none"/>
        </w:rPr>
      </w:pPr>
      <w:r>
        <w:rPr>
          <w:rFonts w:hint="eastAsia"/>
          <w:color w:val="auto"/>
          <w:highlight w:val="none"/>
        </w:rPr>
        <w:t>污水处理站布置合理性：项目将污水处理站设置于项目西南，项目建成运营后，东南侧</w:t>
      </w:r>
      <w:r>
        <w:rPr>
          <w:color w:val="auto"/>
          <w:highlight w:val="none"/>
        </w:rPr>
        <w:t>200m</w:t>
      </w:r>
      <w:r>
        <w:rPr>
          <w:rFonts w:hint="eastAsia"/>
          <w:color w:val="auto"/>
          <w:highlight w:val="none"/>
        </w:rPr>
        <w:t>范围内的居民距离污水处理站均在</w:t>
      </w:r>
      <w:r>
        <w:rPr>
          <w:color w:val="auto"/>
          <w:highlight w:val="none"/>
        </w:rPr>
        <w:t>200m</w:t>
      </w:r>
      <w:r>
        <w:rPr>
          <w:rFonts w:hint="eastAsia"/>
          <w:color w:val="auto"/>
          <w:highlight w:val="none"/>
        </w:rPr>
        <w:t>以上，对周边的居民距离较远，因此污水处理站设置在此具有环境合理性。</w:t>
      </w:r>
    </w:p>
    <w:p>
      <w:pPr>
        <w:widowControl w:val="0"/>
        <w:ind w:firstLine="480"/>
        <w:rPr>
          <w:color w:val="auto"/>
          <w:highlight w:val="none"/>
        </w:rPr>
      </w:pPr>
      <w:r>
        <w:rPr>
          <w:rFonts w:hint="eastAsia"/>
          <w:color w:val="auto"/>
          <w:highlight w:val="none"/>
        </w:rPr>
        <w:t>根据设计，项目场地内地坪全部填平，在一个水平面上（地面标高为</w:t>
      </w:r>
      <w:r>
        <w:rPr>
          <w:color w:val="auto"/>
          <w:highlight w:val="none"/>
        </w:rPr>
        <w:t>0</w:t>
      </w:r>
      <w:r>
        <w:rPr>
          <w:rFonts w:hint="eastAsia"/>
          <w:color w:val="auto"/>
          <w:highlight w:val="none"/>
        </w:rPr>
        <w:t>），管道埋地敷设可通过坡度自流进入污水处理站。屠宰车间、待宰圈以及洗车场外侧设置截水沟，地面微倾斜于截水沟，初期雨水及地坪冲洗水通过坡度自流入截水沟，截水沟设置阀门控制与雨、污水管道相接，平时关闭雨水管道相接阀门，开启污水阀门，通过污水管道排至污水处理站；雨天</w:t>
      </w:r>
      <w:r>
        <w:rPr>
          <w:color w:val="auto"/>
          <w:highlight w:val="none"/>
        </w:rPr>
        <w:t>15</w:t>
      </w:r>
      <w:r>
        <w:rPr>
          <w:rFonts w:hint="eastAsia"/>
          <w:color w:val="auto"/>
          <w:highlight w:val="none"/>
        </w:rPr>
        <w:t>分钟后再开启雨水阀门，关闭污水阀门，通过雨水管道</w:t>
      </w:r>
      <w:r>
        <w:rPr>
          <w:rFonts w:hint="eastAsia"/>
          <w:color w:val="auto"/>
          <w:highlight w:val="none"/>
          <w:lang w:val="en-US" w:eastAsia="zh-CN"/>
        </w:rPr>
        <w:t>排入濛溪河</w:t>
      </w:r>
      <w:r>
        <w:rPr>
          <w:rFonts w:hint="eastAsia"/>
          <w:color w:val="auto"/>
          <w:highlight w:val="none"/>
        </w:rPr>
        <w:t>。</w:t>
      </w:r>
    </w:p>
    <w:p>
      <w:pPr>
        <w:widowControl w:val="0"/>
        <w:ind w:firstLine="480"/>
        <w:rPr>
          <w:color w:val="auto"/>
          <w:highlight w:val="none"/>
        </w:rPr>
      </w:pPr>
      <w:r>
        <w:rPr>
          <w:rFonts w:hint="eastAsia"/>
          <w:color w:val="auto"/>
          <w:highlight w:val="none"/>
        </w:rPr>
        <w:t>废气处理设施布置合理性：项目废气主要为恶臭，恶臭产生单元主要为生猪运输通道及卸载平台、待宰车间、屠宰车间（含内脏处理区、隔离间及急宰间）、污水处理站、无害化暂存间等区域，为减小恶臭对周边环境的影响。建设单位将生猪运输通道及卸载区布置于西南侧，减小生猪卸载及运输对周边环境的影响，车间产生的恶臭经处理后通过排气筒排放，排气筒布置在厂区南侧，项目区域主导风向为西北风，周围敏感点主要在排气筒的侧风向，该排气筒设置合理，布置具有合理性。</w:t>
      </w:r>
    </w:p>
    <w:p>
      <w:pPr>
        <w:pStyle w:val="6"/>
        <w:widowControl w:val="0"/>
        <w:ind w:firstLine="241"/>
        <w:rPr>
          <w:color w:val="auto"/>
          <w:highlight w:val="none"/>
        </w:rPr>
      </w:pPr>
      <w:r>
        <w:rPr>
          <w:rFonts w:hint="eastAsia"/>
          <w:color w:val="auto"/>
          <w:highlight w:val="none"/>
        </w:rPr>
        <w:t>污水管道布置合理性分析</w:t>
      </w:r>
    </w:p>
    <w:p>
      <w:pPr>
        <w:widowControl w:val="0"/>
        <w:ind w:firstLine="480"/>
        <w:rPr>
          <w:rFonts w:hint="eastAsia"/>
          <w:color w:val="auto"/>
          <w:highlight w:val="none"/>
        </w:rPr>
      </w:pPr>
      <w:r>
        <w:rPr>
          <w:rFonts w:hint="eastAsia"/>
          <w:color w:val="auto"/>
          <w:highlight w:val="none"/>
        </w:rPr>
        <w:t>本项目污水管道总长约1.5km，管道末端连接至元坨社区市政污水管网，管道均沿现有道路进行敷设，不涉及拆迁，</w:t>
      </w:r>
      <w:r>
        <w:rPr>
          <w:color w:val="auto"/>
          <w:highlight w:val="none"/>
        </w:rPr>
        <w:t>选线不涉及重要文物保护区、自然保护区、风景名胜区、森林公园等生态敏感区。沿途</w:t>
      </w:r>
      <w:r>
        <w:rPr>
          <w:rFonts w:hint="eastAsia"/>
          <w:color w:val="auto"/>
          <w:highlight w:val="none"/>
        </w:rPr>
        <w:t>无</w:t>
      </w:r>
      <w:r>
        <w:rPr>
          <w:color w:val="auto"/>
          <w:highlight w:val="none"/>
        </w:rPr>
        <w:t>重大穿跨越，无不良地质段。同时，本项目管线沿道路</w:t>
      </w:r>
      <w:r>
        <w:rPr>
          <w:rFonts w:hint="eastAsia"/>
          <w:color w:val="auto"/>
          <w:highlight w:val="none"/>
        </w:rPr>
        <w:t>边的绿化带</w:t>
      </w:r>
      <w:r>
        <w:rPr>
          <w:color w:val="auto"/>
          <w:highlight w:val="none"/>
        </w:rPr>
        <w:t>铺设，交通方便，施工期采取措施后可将影响减至最低。</w:t>
      </w:r>
      <w:r>
        <w:rPr>
          <w:rFonts w:hint="eastAsia"/>
          <w:color w:val="auto"/>
          <w:highlight w:val="none"/>
        </w:rPr>
        <w:t>因此，本项目污水管道布置具有合理性。</w:t>
      </w:r>
    </w:p>
    <w:p>
      <w:pPr>
        <w:pStyle w:val="5"/>
        <w:widowControl w:val="0"/>
        <w:ind w:firstLine="120"/>
        <w:rPr>
          <w:color w:val="auto"/>
          <w:highlight w:val="none"/>
        </w:rPr>
      </w:pPr>
      <w:r>
        <w:rPr>
          <w:rFonts w:hint="eastAsia"/>
          <w:color w:val="auto"/>
          <w:highlight w:val="none"/>
        </w:rPr>
        <w:t>屠宰车间与《猪屠宰与分割车间设计规范》（</w:t>
      </w:r>
      <w:r>
        <w:rPr>
          <w:color w:val="auto"/>
          <w:highlight w:val="none"/>
        </w:rPr>
        <w:t>GB50317-2009</w:t>
      </w:r>
      <w:r>
        <w:rPr>
          <w:rFonts w:hint="eastAsia"/>
          <w:color w:val="auto"/>
          <w:highlight w:val="none"/>
        </w:rPr>
        <w:t>）的符合性</w:t>
      </w:r>
    </w:p>
    <w:p>
      <w:pPr>
        <w:widowControl w:val="0"/>
        <w:ind w:firstLine="480"/>
        <w:rPr>
          <w:color w:val="auto"/>
          <w:highlight w:val="none"/>
        </w:rPr>
      </w:pPr>
      <w:r>
        <w:rPr>
          <w:rFonts w:hint="eastAsia"/>
          <w:color w:val="auto"/>
          <w:highlight w:val="none"/>
        </w:rPr>
        <w:t>根据《猪屠宰与分割车间设计规范》（</w:t>
      </w:r>
      <w:r>
        <w:rPr>
          <w:color w:val="auto"/>
          <w:highlight w:val="none"/>
        </w:rPr>
        <w:t>GB50317-2009</w:t>
      </w:r>
      <w:r>
        <w:rPr>
          <w:rFonts w:hint="eastAsia"/>
          <w:color w:val="auto"/>
          <w:highlight w:val="none"/>
        </w:rPr>
        <w:t>）要求，项目屠宰与分割车间合理性分析见3</w:t>
      </w:r>
      <w:r>
        <w:rPr>
          <w:color w:val="auto"/>
          <w:highlight w:val="none"/>
        </w:rPr>
        <w:t>.5-1</w:t>
      </w:r>
      <w:r>
        <w:rPr>
          <w:rFonts w:hint="eastAsia"/>
          <w:color w:val="auto"/>
          <w:highlight w:val="none"/>
        </w:rPr>
        <w:t>。</w:t>
      </w:r>
    </w:p>
    <w:p>
      <w:pPr>
        <w:pStyle w:val="27"/>
        <w:widowControl w:val="0"/>
        <w:rPr>
          <w:color w:val="auto"/>
          <w:highlight w:val="none"/>
        </w:rPr>
      </w:pPr>
      <w:r>
        <w:rPr>
          <w:rFonts w:hint="eastAsia"/>
          <w:color w:val="auto"/>
          <w:highlight w:val="none"/>
        </w:rPr>
        <w:t>项目屠宰与分割车间平面布置合理性分析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14"/>
        <w:gridCol w:w="3735"/>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28"/>
              <w:widowControl w:val="0"/>
              <w:rPr>
                <w:color w:val="auto"/>
                <w:highlight w:val="none"/>
              </w:rPr>
            </w:pPr>
            <w:r>
              <w:rPr>
                <w:rFonts w:hint="eastAsia"/>
                <w:color w:val="auto"/>
                <w:highlight w:val="none"/>
              </w:rPr>
              <w:t>《猪屠宰与分割车间设计规范》（</w:t>
            </w:r>
            <w:r>
              <w:rPr>
                <w:color w:val="auto"/>
                <w:highlight w:val="none"/>
              </w:rPr>
              <w:t>GB50317-2009</w:t>
            </w:r>
            <w:r>
              <w:rPr>
                <w:rFonts w:hint="eastAsia"/>
                <w:color w:val="auto"/>
                <w:highlight w:val="none"/>
              </w:rPr>
              <w:t>）总平面布置要求</w:t>
            </w:r>
          </w:p>
        </w:tc>
        <w:tc>
          <w:tcPr>
            <w:tcW w:w="3735" w:type="dxa"/>
            <w:tcBorders>
              <w:tl2br w:val="nil"/>
              <w:tr2bl w:val="nil"/>
            </w:tcBorders>
            <w:vAlign w:val="center"/>
          </w:tcPr>
          <w:p>
            <w:pPr>
              <w:pStyle w:val="28"/>
              <w:widowControl w:val="0"/>
              <w:rPr>
                <w:color w:val="auto"/>
                <w:highlight w:val="none"/>
              </w:rPr>
            </w:pPr>
            <w:r>
              <w:rPr>
                <w:rFonts w:hint="eastAsia"/>
                <w:color w:val="auto"/>
                <w:highlight w:val="none"/>
              </w:rPr>
              <w:t>本项目</w:t>
            </w:r>
          </w:p>
        </w:tc>
        <w:tc>
          <w:tcPr>
            <w:tcW w:w="673" w:type="dxa"/>
            <w:tcBorders>
              <w:tl2br w:val="nil"/>
              <w:tr2bl w:val="nil"/>
            </w:tcBorders>
            <w:vAlign w:val="center"/>
          </w:tcPr>
          <w:p>
            <w:pPr>
              <w:pStyle w:val="28"/>
              <w:widowControl w:val="0"/>
              <w:rPr>
                <w:color w:val="auto"/>
                <w:highlight w:val="none"/>
              </w:rPr>
            </w:pPr>
            <w:r>
              <w:rPr>
                <w:rFonts w:hint="eastAsia"/>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28"/>
              <w:widowControl w:val="0"/>
              <w:rPr>
                <w:color w:val="auto"/>
                <w:highlight w:val="none"/>
              </w:rPr>
            </w:pPr>
            <w:r>
              <w:rPr>
                <w:rFonts w:hint="eastAsia"/>
                <w:color w:val="auto"/>
                <w:highlight w:val="none"/>
              </w:rPr>
              <w:t>厂区应划分为生产区和非生产区。生产区必须单独设置生猪与废弃物的出入口，产品和人员出入口需另设，且产品与生猪、废弃物在厂内不得共用一个通道。</w:t>
            </w:r>
          </w:p>
        </w:tc>
        <w:tc>
          <w:tcPr>
            <w:tcW w:w="3735" w:type="dxa"/>
            <w:tcBorders>
              <w:tl2br w:val="nil"/>
              <w:tr2bl w:val="nil"/>
            </w:tcBorders>
            <w:vAlign w:val="center"/>
          </w:tcPr>
          <w:p>
            <w:pPr>
              <w:pStyle w:val="28"/>
              <w:widowControl w:val="0"/>
              <w:rPr>
                <w:color w:val="auto"/>
                <w:highlight w:val="none"/>
              </w:rPr>
            </w:pPr>
            <w:r>
              <w:rPr>
                <w:rFonts w:hint="eastAsia"/>
                <w:color w:val="auto"/>
                <w:highlight w:val="none"/>
              </w:rPr>
              <w:t>设计厂区分为生产区和非生产区。设计</w:t>
            </w:r>
            <w:r>
              <w:rPr>
                <w:color w:val="auto"/>
                <w:highlight w:val="none"/>
              </w:rPr>
              <w:t>2</w:t>
            </w:r>
            <w:r>
              <w:rPr>
                <w:rFonts w:hint="eastAsia"/>
                <w:color w:val="auto"/>
                <w:highlight w:val="none"/>
              </w:rPr>
              <w:t>个出入口，生猪与废弃物的出入口，产品和人员出入口。</w:t>
            </w:r>
          </w:p>
        </w:tc>
        <w:tc>
          <w:tcPr>
            <w:tcW w:w="673" w:type="dxa"/>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28"/>
              <w:widowControl w:val="0"/>
              <w:rPr>
                <w:color w:val="auto"/>
                <w:highlight w:val="none"/>
              </w:rPr>
            </w:pPr>
            <w:r>
              <w:rPr>
                <w:rFonts w:hint="eastAsia"/>
                <w:color w:val="auto"/>
                <w:highlight w:val="none"/>
              </w:rPr>
              <w:t>生产区各车间的布局与设施必须满足生产工艺流程和卫生要求。厂内清洁区与非清洁区应严格分开。</w:t>
            </w:r>
          </w:p>
        </w:tc>
        <w:tc>
          <w:tcPr>
            <w:tcW w:w="3735" w:type="dxa"/>
            <w:tcBorders>
              <w:tl2br w:val="nil"/>
              <w:tr2bl w:val="nil"/>
            </w:tcBorders>
            <w:vAlign w:val="center"/>
          </w:tcPr>
          <w:p>
            <w:pPr>
              <w:pStyle w:val="28"/>
              <w:widowControl w:val="0"/>
              <w:rPr>
                <w:color w:val="auto"/>
                <w:highlight w:val="none"/>
              </w:rPr>
            </w:pPr>
            <w:r>
              <w:rPr>
                <w:rFonts w:hint="eastAsia"/>
                <w:color w:val="auto"/>
                <w:highlight w:val="none"/>
              </w:rPr>
              <w:t>生产区各车间的布局与设施满足生产工艺流程和卫生要求。厂内清洁区与非清洁区应严格分开。</w:t>
            </w:r>
          </w:p>
        </w:tc>
        <w:tc>
          <w:tcPr>
            <w:tcW w:w="673" w:type="dxa"/>
            <w:tcBorders>
              <w:tl2br w:val="nil"/>
              <w:tr2bl w:val="nil"/>
            </w:tcBorders>
            <w:vAlign w:val="center"/>
          </w:tcPr>
          <w:p>
            <w:pPr>
              <w:pStyle w:val="28"/>
              <w:widowControl w:val="0"/>
              <w:rPr>
                <w:color w:val="auto"/>
                <w:highlight w:val="none"/>
              </w:rPr>
            </w:pPr>
            <w:r>
              <w:rPr>
                <w:rFonts w:hint="eastAsia"/>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屠宰清洁区与分割车间不应设置在无害化暂存间、废弃物集存场所、污水处理站、锅炉房、煤场等建</w:t>
            </w:r>
            <w:r>
              <w:rPr>
                <w:rFonts w:hint="eastAsia"/>
                <w:color w:val="auto"/>
                <w:sz w:val="22"/>
                <w:szCs w:val="24"/>
                <w:highlight w:val="none"/>
              </w:rPr>
              <w:t>（构）</w:t>
            </w:r>
            <w:r>
              <w:rPr>
                <w:rFonts w:hint="eastAsia" w:ascii="宋体" w:hAnsi="宋体"/>
                <w:color w:val="auto"/>
                <w:sz w:val="22"/>
                <w:szCs w:val="24"/>
                <w:highlight w:val="none"/>
              </w:rPr>
              <w:t>筑物及场所的主导风向的下风侧，其间距应符合环保、食品卫生以及建筑防火等方面的要求。</w:t>
            </w:r>
          </w:p>
        </w:tc>
        <w:tc>
          <w:tcPr>
            <w:tcW w:w="3735" w:type="dxa"/>
            <w:tcBorders>
              <w:tl2br w:val="nil"/>
              <w:tr2bl w:val="nil"/>
            </w:tcBorders>
            <w:vAlign w:val="center"/>
          </w:tcPr>
          <w:p>
            <w:pPr>
              <w:pStyle w:val="28"/>
              <w:widowControl w:val="0"/>
              <w:rPr>
                <w:color w:val="auto"/>
                <w:highlight w:val="none"/>
              </w:rPr>
            </w:pPr>
            <w:r>
              <w:rPr>
                <w:rFonts w:hint="eastAsia"/>
                <w:color w:val="auto"/>
                <w:highlight w:val="none"/>
              </w:rPr>
              <w:t>屠宰清洁区与分割车间位于无害化暂存间、垃圾回收站、危废暂存间的主导风向的上风向及侧风向，其间距应符合环保、食品卫生以及建筑防火等方面的要求。</w:t>
            </w:r>
          </w:p>
        </w:tc>
        <w:tc>
          <w:tcPr>
            <w:tcW w:w="673" w:type="dxa"/>
            <w:tcBorders>
              <w:tl2br w:val="nil"/>
              <w:tr2bl w:val="nil"/>
            </w:tcBorders>
            <w:vAlign w:val="center"/>
          </w:tcPr>
          <w:p>
            <w:pPr>
              <w:pStyle w:val="28"/>
              <w:widowControl w:val="0"/>
              <w:rPr>
                <w:color w:val="auto"/>
                <w:highlight w:val="none"/>
              </w:rPr>
            </w:pPr>
            <w:r>
              <w:rPr>
                <w:rFonts w:hint="eastAsia"/>
                <w:color w:val="auto"/>
                <w:highlight w:val="none"/>
              </w:rPr>
              <w:t>符合</w:t>
            </w:r>
          </w:p>
        </w:tc>
      </w:tr>
    </w:tbl>
    <w:p>
      <w:pPr>
        <w:widowControl w:val="0"/>
        <w:ind w:firstLine="480"/>
        <w:rPr>
          <w:color w:val="auto"/>
          <w:highlight w:val="none"/>
        </w:rPr>
      </w:pPr>
      <w:r>
        <w:rPr>
          <w:rFonts w:hint="eastAsia"/>
          <w:color w:val="auto"/>
          <w:highlight w:val="none"/>
        </w:rPr>
        <w:t>由表</w:t>
      </w:r>
      <w:r>
        <w:rPr>
          <w:rFonts w:hint="eastAsia"/>
          <w:color w:val="auto"/>
          <w:highlight w:val="none"/>
          <w:lang w:val="en-US" w:eastAsia="zh-CN"/>
        </w:rPr>
        <w:t>3.5</w:t>
      </w:r>
      <w:r>
        <w:rPr>
          <w:color w:val="auto"/>
          <w:highlight w:val="none"/>
        </w:rPr>
        <w:t>-1</w:t>
      </w:r>
      <w:r>
        <w:rPr>
          <w:rFonts w:hint="eastAsia"/>
          <w:color w:val="auto"/>
          <w:highlight w:val="none"/>
        </w:rPr>
        <w:t>可知，本项目屠宰与分割车间平面布置符合《猪屠宰与分割车间设计规范》（</w:t>
      </w:r>
      <w:r>
        <w:rPr>
          <w:color w:val="auto"/>
          <w:highlight w:val="none"/>
        </w:rPr>
        <w:t>GB50317-2009</w:t>
      </w:r>
      <w:r>
        <w:rPr>
          <w:rFonts w:hint="eastAsia"/>
          <w:color w:val="auto"/>
          <w:highlight w:val="none"/>
        </w:rPr>
        <w:t>）要求。</w:t>
      </w:r>
    </w:p>
    <w:p>
      <w:pPr>
        <w:pStyle w:val="4"/>
        <w:widowControl w:val="0"/>
        <w:rPr>
          <w:color w:val="auto"/>
          <w:highlight w:val="none"/>
        </w:rPr>
      </w:pPr>
      <w:bookmarkStart w:id="57" w:name="_Toc6268"/>
      <w:r>
        <w:rPr>
          <w:rFonts w:hint="eastAsia"/>
          <w:color w:val="auto"/>
          <w:highlight w:val="none"/>
        </w:rPr>
        <w:t>主要设备</w:t>
      </w:r>
      <w:bookmarkEnd w:id="57"/>
    </w:p>
    <w:p>
      <w:pPr>
        <w:widowControl w:val="0"/>
        <w:ind w:firstLine="480"/>
        <w:rPr>
          <w:color w:val="auto"/>
          <w:highlight w:val="none"/>
        </w:rPr>
      </w:pPr>
      <w:r>
        <w:rPr>
          <w:rFonts w:hint="eastAsia"/>
          <w:color w:val="auto"/>
          <w:highlight w:val="none"/>
        </w:rPr>
        <w:t>本项目新建生猪屠宰生产线及肉牛屠宰生产线，生产设备可满足本项目需求，本项目设备清单详见下表。</w:t>
      </w:r>
    </w:p>
    <w:p>
      <w:pPr>
        <w:pStyle w:val="27"/>
        <w:widowControl w:val="0"/>
        <w:rPr>
          <w:color w:val="auto"/>
          <w:highlight w:val="none"/>
        </w:rPr>
      </w:pPr>
      <w:r>
        <w:rPr>
          <w:rFonts w:hint="eastAsia"/>
          <w:color w:val="auto"/>
          <w:highlight w:val="none"/>
        </w:rPr>
        <w:t>主要设备一览表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3577"/>
        <w:gridCol w:w="1176"/>
        <w:gridCol w:w="936"/>
        <w:gridCol w:w="3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3577" w:type="dxa"/>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1176" w:type="dxa"/>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936" w:type="dxa"/>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3294"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rFonts w:hint="eastAsia"/>
                <w:b/>
                <w:bCs/>
                <w:color w:val="auto"/>
                <w:highlight w:val="none"/>
              </w:rPr>
              <w:t>生猪屠宰设备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赶猪通道</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一台双L=8m，一台单L=5m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托胸活挂输送机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活挂毛猪提升机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三点式麻电输送机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卧式放血平板输送机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平板毛猪提升机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欧式自动放血线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驱动装置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气动涨紧装置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导向装置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L=18m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欧式洗猪机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放血区缓冲轨道</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管轨放血吊链</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放血吊链返回系统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7台回空输送机，总长36米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放血缓冲护栏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气动道岔</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缓冲护栏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运河烫毛输送机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52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欧式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驱动装置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气动涨紧装置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导向装置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欧式宽体运河式烫毛隧道</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L=24m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水循环装置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气动卸猪器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刨毛机进猪滑槽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拆卸式螺旋脱毛机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喷淋水循环水池</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土建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喷淋水循环装置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喷淋水温度控制系统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螺旋式猪毛输送机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猪毛风送系统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含风送管道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刨毛机出猪滑槽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平板修刮输送机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L=5.5m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白条提升机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立式燎毛输送机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双轨、L=12m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预干机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燎毛炉</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抛光机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气动卸猪器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烫池</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烫池</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L=4.5m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400型液压刨毛机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拉毛机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清水池</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L=5.5m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白条提升机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立式修刮输送机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双轨、L=9m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缓冲护栏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头蹄输送带L=26m</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含不锈钢街头槽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欧式胴体加工自动线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96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驱动装置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气动涨紧装置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导向装置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落地式白脏检疫线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白脏盘清洗消毒机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悬挂式红脏检疫线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28m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自动脱钩装置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红脏钩清洗消毒机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白脏滑槽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红脏滑槽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机器人自动劈半机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机器人底座</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安全围栏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带式劈半锯</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含平衡器、进口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劈半防浅屏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胴体冲淋机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气动道岔</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气动喂入装置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欧式胴体快速冷却自动线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115</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驱动装置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气动涨紧装置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导向装置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下降机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双轨手推线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786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双轨滑轮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1000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人字形扁担钩</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1000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滑轮返回系统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7台回空输送机，总长90米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断轨器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修刮及取内脏工作站台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人工修刮工作站台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人工刮黑工作站台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未脱钩紧急处理工作站台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color w:val="auto"/>
                <w:highlight w:val="none"/>
              </w:rPr>
              <w:t>1700</w:t>
            </w:r>
            <w:r>
              <w:rPr>
                <w:rFonts w:hint="eastAsia"/>
                <w:color w:val="auto"/>
                <w:highlight w:val="none"/>
              </w:rPr>
              <w:t>*</w:t>
            </w:r>
            <w:r>
              <w:rPr>
                <w:color w:val="auto"/>
                <w:highlight w:val="none"/>
              </w:rPr>
              <w:t>800</w:t>
            </w:r>
            <w:r>
              <w:rPr>
                <w:rFonts w:hint="eastAsia"/>
                <w:color w:val="auto"/>
                <w:highlight w:val="none"/>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打毛机维护工作站台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30</w:t>
            </w:r>
            <w:r>
              <w:rPr>
                <w:color w:val="auto"/>
                <w:highlight w:val="none"/>
              </w:rPr>
              <w:t>00</w:t>
            </w:r>
            <w:r>
              <w:rPr>
                <w:rFonts w:hint="eastAsia"/>
                <w:color w:val="auto"/>
                <w:highlight w:val="none"/>
              </w:rPr>
              <w:t>*6</w:t>
            </w:r>
            <w:r>
              <w:rPr>
                <w:color w:val="auto"/>
                <w:highlight w:val="none"/>
              </w:rPr>
              <w:t>00</w:t>
            </w:r>
            <w:r>
              <w:rPr>
                <w:rFonts w:hint="eastAsia"/>
                <w:color w:val="auto"/>
                <w:highlight w:val="none"/>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去头工作站台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雕圈工作站台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开胸工作站台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取白脏工作站台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3000*1000mm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取红脏工作站台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旋检取样工作站台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劈半工作站台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胴体检疫工作站台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内脏检疫工作站台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2000*800mm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撕板油工作站台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修整工作站台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分级工作站台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盖章工作站台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称重工作站台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下降机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前段接收输送机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L=70</w:t>
            </w:r>
            <w:r>
              <w:rPr>
                <w:color w:val="auto"/>
                <w:highlight w:val="none"/>
              </w:rPr>
              <w:t>00</w:t>
            </w:r>
            <w:r>
              <w:rPr>
                <w:rFonts w:hint="eastAsia"/>
                <w:color w:val="auto"/>
                <w:highlight w:val="none"/>
              </w:rPr>
              <w:t>x1550mm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中段接收输送机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L=5500x1050mm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后段接收输送机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L=5500x550mm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跨臂式分段锯</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双层前段分割输送机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L=12500mm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双层中段分割输送机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L=13000mm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双层后段分割输送机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L=13500mm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分割工作台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400X900mm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箱架</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84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单层包装输送机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L=6000mm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包装台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18</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张</w:t>
            </w:r>
          </w:p>
        </w:tc>
        <w:tc>
          <w:tcPr>
            <w:tcW w:w="3294" w:type="dxa"/>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2" w:type="dxa"/>
            <w:gridSpan w:val="5"/>
            <w:tcBorders>
              <w:tl2br w:val="nil"/>
              <w:tr2bl w:val="nil"/>
            </w:tcBorders>
            <w:vAlign w:val="center"/>
          </w:tcPr>
          <w:p>
            <w:pPr>
              <w:pStyle w:val="28"/>
              <w:widowControl w:val="0"/>
              <w:rPr>
                <w:color w:val="auto"/>
                <w:highlight w:val="none"/>
              </w:rPr>
            </w:pPr>
            <w:r>
              <w:rPr>
                <w:b/>
                <w:bCs/>
                <w:color w:val="auto"/>
                <w:highlight w:val="none"/>
              </w:rPr>
              <w:t>肉牛屠宰设备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赶牛道</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牵牛机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气动翻板箱</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安全桩</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件</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接牛栏</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毛牛提升上挂系统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color w:val="auto"/>
                <w:highlight w:val="none"/>
              </w:rPr>
              <w:t>304不锈钢板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沥血槽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牛放血输送机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管轨20m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放血吊链返回系统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放血吊链</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去角、前蹄站台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后腿预剥换轨站台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毛牛换轨提升机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双轨滑轮吊钩</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胴体加工输送机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六工位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气动双柱升降台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液压扯皮机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含固定桩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气动单柱升降台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L=600mm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白内脏检疫输送机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落地式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取白脏站台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气动白内脏滑槽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135</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气动白脏接收滑槽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含病内脏分离系统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取红脏站台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红内脏接收滑槽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红内脏输送机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开胸锯</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红白脏检疫固定式站台</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四分体下降机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四分体装置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胴体轨道电子秤</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开胸锯消毒槽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副梁吊点</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吨</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手持喷淋器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屠宰P</w:t>
            </w:r>
            <w:r>
              <w:rPr>
                <w:color w:val="auto"/>
                <w:highlight w:val="none"/>
              </w:rPr>
              <w:t>LC中央控制系统</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双轨手推线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296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米</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轨道不锈钢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断轨器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手动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rFonts w:hint="eastAsia"/>
                <w:b/>
                <w:bCs/>
                <w:color w:val="auto"/>
                <w:highlight w:val="none"/>
              </w:rPr>
              <w:t>污水处理设备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格渣机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宽400mm，间隙3mm，N=1.5KW，主架不锈钢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排渣泵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50GW20-15-1.5，铸铁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液位控制器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0-6m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提升泵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80QW40-15-4，铸铁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刮渣机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非标制作、满足刮渣需求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推流器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QJB1.5/8-260/3-960/C；N＝1.5kw；D=260mm叶轮转速：960r/min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排渣泵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65GW25-15-2.2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泥水分离装置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溢流装置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污泥泵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推流器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QJB1.5/8-260/3-960/C；N＝1.5kw；D=260mm</w:t>
            </w:r>
          </w:p>
          <w:p>
            <w:pPr>
              <w:pStyle w:val="28"/>
              <w:widowControl w:val="0"/>
              <w:rPr>
                <w:color w:val="auto"/>
                <w:highlight w:val="none"/>
              </w:rPr>
            </w:pPr>
            <w:r>
              <w:rPr>
                <w:rFonts w:hint="eastAsia"/>
                <w:color w:val="auto"/>
                <w:highlight w:val="none"/>
              </w:rPr>
              <w:t>叶轮转速：960r/min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微孔曝气器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980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Φ215，橡胶膜片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罗茨风机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N=37kw，Q=24.06m</w:t>
            </w:r>
            <w:r>
              <w:rPr>
                <w:rFonts w:hint="eastAsia"/>
                <w:color w:val="auto"/>
                <w:highlight w:val="none"/>
                <w:vertAlign w:val="superscript"/>
              </w:rPr>
              <w:t>3</w:t>
            </w:r>
            <w:r>
              <w:rPr>
                <w:rFonts w:hint="eastAsia"/>
                <w:color w:val="auto"/>
                <w:highlight w:val="none"/>
              </w:rPr>
              <w:t>/min；升压：53.9Kpa；转速：850r/min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回流泵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80GW80-15-7.5，铸铁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泥水分离装置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溢流装置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污泥泵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回流泵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80GW40-15-4，铸铁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搅拌装置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非标制作，铸铁材质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加药装置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排泥泵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50GW20-15-1.5，铸铁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泥水分离装置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溢流装置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布水装置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反冲洗水泵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100QW85-10-4，铸铁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紫外消毒设备</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不锈钢材质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26</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巴歇尔槽</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个</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4#槽、玻璃钢材质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27</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超声波流量计</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28</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污泥泵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29</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叠罗脱水机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1.5t/h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加药装置</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数采仪</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控制系统及电控设备</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33</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管道、阀门、管件</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34</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辅料及电缆</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b/>
                <w:bCs/>
                <w:color w:val="auto"/>
                <w:highlight w:val="none"/>
              </w:rPr>
              <w:t>废气处理设备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生物洗涤塔</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rFonts w:hint="eastAsia"/>
                <w:color w:val="auto"/>
                <w:highlight w:val="none"/>
              </w:rPr>
              <w:t>UV光解设备</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color w:val="auto"/>
                <w:highlight w:val="none"/>
              </w:rPr>
              <w:t>风管</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color w:val="auto"/>
                <w:highlight w:val="none"/>
              </w:rPr>
              <w:t>Ф</w:t>
            </w:r>
            <w:r>
              <w:rPr>
                <w:rFonts w:hint="eastAsia"/>
                <w:color w:val="auto"/>
                <w:highlight w:val="none"/>
              </w:rPr>
              <w:t>800、</w:t>
            </w:r>
            <w:r>
              <w:rPr>
                <w:color w:val="auto"/>
                <w:highlight w:val="none"/>
              </w:rPr>
              <w:t>Ф</w:t>
            </w:r>
            <w:r>
              <w:rPr>
                <w:rFonts w:hint="eastAsia"/>
                <w:color w:val="auto"/>
                <w:highlight w:val="none"/>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color w:val="auto"/>
                <w:highlight w:val="none"/>
              </w:rPr>
              <w:t>弯头</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color w:val="auto"/>
                <w:highlight w:val="none"/>
              </w:rPr>
              <w:t>Ф</w:t>
            </w:r>
            <w:r>
              <w:rPr>
                <w:rFonts w:hint="eastAsia"/>
                <w:color w:val="auto"/>
                <w:highlight w:val="none"/>
              </w:rPr>
              <w:t>800、</w:t>
            </w:r>
            <w:r>
              <w:rPr>
                <w:color w:val="auto"/>
                <w:highlight w:val="none"/>
              </w:rPr>
              <w:t>Ф</w:t>
            </w:r>
            <w:r>
              <w:rPr>
                <w:rFonts w:hint="eastAsia"/>
                <w:color w:val="auto"/>
                <w:highlight w:val="none"/>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color w:val="auto"/>
                <w:highlight w:val="none"/>
              </w:rPr>
              <w:t>风机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Q＝</w:t>
            </w:r>
            <w:r>
              <w:rPr>
                <w:rFonts w:hint="eastAsia"/>
                <w:color w:val="auto"/>
                <w:highlight w:val="none"/>
                <w:lang w:val="en-US" w:eastAsia="zh-CN"/>
              </w:rPr>
              <w:t>230000</w:t>
            </w:r>
            <w:r>
              <w:rPr>
                <w:color w:val="auto"/>
                <w:highlight w:val="none"/>
              </w:rPr>
              <w:t>m</w:t>
            </w:r>
            <w:r>
              <w:rPr>
                <w:color w:val="auto"/>
                <w:highlight w:val="none"/>
                <w:vertAlign w:val="superscript"/>
              </w:rPr>
              <w:t>3</w:t>
            </w:r>
            <w:r>
              <w:rPr>
                <w:color w:val="auto"/>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color w:val="auto"/>
                <w:highlight w:val="none"/>
              </w:rPr>
              <w:t>风机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Q＝</w:t>
            </w:r>
            <w:r>
              <w:rPr>
                <w:rFonts w:hint="eastAsia"/>
                <w:color w:val="auto"/>
                <w:highlight w:val="none"/>
                <w:lang w:val="en-US" w:eastAsia="zh-CN"/>
              </w:rPr>
              <w:t>47000</w:t>
            </w:r>
            <w:r>
              <w:rPr>
                <w:color w:val="auto"/>
                <w:highlight w:val="none"/>
              </w:rPr>
              <w:t>m</w:t>
            </w:r>
            <w:r>
              <w:rPr>
                <w:color w:val="auto"/>
                <w:highlight w:val="none"/>
                <w:vertAlign w:val="superscript"/>
              </w:rPr>
              <w:t>3</w:t>
            </w:r>
            <w:r>
              <w:rPr>
                <w:color w:val="auto"/>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lang w:val="en-US" w:eastAsia="zh-CN"/>
              </w:rPr>
              <w:t>7</w:t>
            </w:r>
          </w:p>
        </w:tc>
        <w:tc>
          <w:tcPr>
            <w:tcW w:w="3577" w:type="dxa"/>
            <w:tcBorders>
              <w:tl2br w:val="nil"/>
              <w:tr2bl w:val="nil"/>
            </w:tcBorders>
            <w:vAlign w:val="center"/>
          </w:tcPr>
          <w:p>
            <w:pPr>
              <w:pStyle w:val="28"/>
              <w:widowControl w:val="0"/>
              <w:ind w:firstLine="0" w:firstLineChars="0"/>
              <w:rPr>
                <w:color w:val="auto"/>
                <w:highlight w:val="none"/>
              </w:rPr>
            </w:pPr>
            <w:r>
              <w:rPr>
                <w:color w:val="auto"/>
                <w:highlight w:val="none"/>
              </w:rPr>
              <w:t>风机</w:t>
            </w:r>
          </w:p>
        </w:tc>
        <w:tc>
          <w:tcPr>
            <w:tcW w:w="1176" w:type="dxa"/>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Q＝</w:t>
            </w:r>
            <w:r>
              <w:rPr>
                <w:rFonts w:hint="eastAsia"/>
                <w:color w:val="auto"/>
                <w:highlight w:val="none"/>
                <w:lang w:val="en-US" w:eastAsia="zh-CN"/>
              </w:rPr>
              <w:t>17000</w:t>
            </w:r>
            <w:r>
              <w:rPr>
                <w:color w:val="auto"/>
                <w:highlight w:val="none"/>
              </w:rPr>
              <w:t>m</w:t>
            </w:r>
            <w:r>
              <w:rPr>
                <w:color w:val="auto"/>
                <w:highlight w:val="none"/>
                <w:vertAlign w:val="superscript"/>
              </w:rPr>
              <w:t>3</w:t>
            </w:r>
            <w:r>
              <w:rPr>
                <w:color w:val="auto"/>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8</w:t>
            </w:r>
          </w:p>
        </w:tc>
        <w:tc>
          <w:tcPr>
            <w:tcW w:w="3577" w:type="dxa"/>
            <w:tcBorders>
              <w:tl2br w:val="nil"/>
              <w:tr2bl w:val="nil"/>
            </w:tcBorders>
            <w:vAlign w:val="center"/>
          </w:tcPr>
          <w:p>
            <w:pPr>
              <w:pStyle w:val="28"/>
              <w:widowControl w:val="0"/>
              <w:ind w:firstLine="0" w:firstLineChars="0"/>
              <w:rPr>
                <w:color w:val="auto"/>
                <w:highlight w:val="none"/>
              </w:rPr>
            </w:pPr>
            <w:r>
              <w:rPr>
                <w:color w:val="auto"/>
                <w:highlight w:val="none"/>
              </w:rPr>
              <w:t>风机</w:t>
            </w:r>
          </w:p>
        </w:tc>
        <w:tc>
          <w:tcPr>
            <w:tcW w:w="1176" w:type="dxa"/>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ind w:firstLine="0" w:firstLineChars="0"/>
              <w:rPr>
                <w:rFonts w:hint="eastAsia"/>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Q＝</w:t>
            </w:r>
            <w:r>
              <w:rPr>
                <w:rFonts w:hint="eastAsia"/>
                <w:color w:val="auto"/>
                <w:highlight w:val="none"/>
                <w:lang w:val="en-US" w:eastAsia="zh-CN"/>
              </w:rPr>
              <w:t>86000</w:t>
            </w:r>
            <w:r>
              <w:rPr>
                <w:color w:val="auto"/>
                <w:highlight w:val="none"/>
              </w:rPr>
              <w:t>m</w:t>
            </w:r>
            <w:r>
              <w:rPr>
                <w:color w:val="auto"/>
                <w:highlight w:val="none"/>
                <w:vertAlign w:val="superscript"/>
              </w:rPr>
              <w:t>3</w:t>
            </w:r>
            <w:r>
              <w:rPr>
                <w:color w:val="auto"/>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rFonts w:hint="eastAsia"/>
                <w:b/>
                <w:bCs/>
                <w:color w:val="auto"/>
                <w:highlight w:val="none"/>
              </w:rPr>
              <w:t>高温热水设备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color w:val="auto"/>
                <w:highlight w:val="none"/>
              </w:rPr>
              <w:t>热泵热水机组</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10P机，单机制热量32KW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color w:val="auto"/>
                <w:highlight w:val="none"/>
              </w:rPr>
              <w:t>全自动恒温</w:t>
            </w:r>
            <w:r>
              <w:rPr>
                <w:rFonts w:hint="eastAsia"/>
                <w:color w:val="auto"/>
                <w:highlight w:val="none"/>
              </w:rPr>
              <w:t>锅炉</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燃料为天然气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color w:val="auto"/>
                <w:highlight w:val="none"/>
              </w:rPr>
              <w:t>太阳能采热</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T</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color w:val="auto"/>
                <w:highlight w:val="none"/>
              </w:rPr>
              <w:t>循环泵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color w:val="auto"/>
                <w:highlight w:val="none"/>
              </w:rPr>
              <w:t>增压泵</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color w:val="auto"/>
                <w:highlight w:val="none"/>
              </w:rPr>
              <w:t>圆形恒温箱</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16</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3577" w:type="dxa"/>
            <w:tcBorders>
              <w:tl2br w:val="nil"/>
              <w:tr2bl w:val="nil"/>
            </w:tcBorders>
            <w:vAlign w:val="center"/>
          </w:tcPr>
          <w:p>
            <w:pPr>
              <w:pStyle w:val="28"/>
              <w:widowControl w:val="0"/>
              <w:rPr>
                <w:color w:val="auto"/>
                <w:highlight w:val="none"/>
              </w:rPr>
            </w:pPr>
            <w:r>
              <w:rPr>
                <w:color w:val="auto"/>
                <w:highlight w:val="none"/>
              </w:rPr>
              <w:t>Y补型水过电滤磁器阀</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只</w:t>
            </w:r>
          </w:p>
        </w:tc>
        <w:tc>
          <w:tcPr>
            <w:tcW w:w="3294" w:type="dxa"/>
            <w:tcBorders>
              <w:tl2br w:val="nil"/>
              <w:tr2bl w:val="nil"/>
            </w:tcBorders>
            <w:vAlign w:val="center"/>
          </w:tcPr>
          <w:p>
            <w:pPr>
              <w:pStyle w:val="28"/>
              <w:widowControl w:val="0"/>
              <w:rPr>
                <w:color w:val="auto"/>
                <w:highlight w:val="none"/>
              </w:rPr>
            </w:pPr>
            <w:r>
              <w:rPr>
                <w:color w:val="auto"/>
                <w:highlight w:val="none"/>
              </w:rPr>
              <w:t>DN40</w:t>
            </w: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3577" w:type="dxa"/>
            <w:tcBorders>
              <w:tl2br w:val="nil"/>
              <w:tr2bl w:val="nil"/>
            </w:tcBorders>
            <w:vAlign w:val="center"/>
          </w:tcPr>
          <w:p>
            <w:pPr>
              <w:pStyle w:val="28"/>
              <w:widowControl w:val="0"/>
              <w:rPr>
                <w:color w:val="auto"/>
                <w:highlight w:val="none"/>
              </w:rPr>
            </w:pPr>
            <w:r>
              <w:rPr>
                <w:color w:val="auto"/>
                <w:highlight w:val="none"/>
              </w:rPr>
              <w:t>水位控制器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套</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w:t>
            </w:r>
          </w:p>
        </w:tc>
        <w:tc>
          <w:tcPr>
            <w:tcW w:w="3577" w:type="dxa"/>
            <w:tcBorders>
              <w:tl2br w:val="nil"/>
              <w:tr2bl w:val="nil"/>
            </w:tcBorders>
            <w:vAlign w:val="center"/>
          </w:tcPr>
          <w:p>
            <w:pPr>
              <w:pStyle w:val="28"/>
              <w:widowControl w:val="0"/>
              <w:rPr>
                <w:color w:val="auto"/>
                <w:highlight w:val="none"/>
              </w:rPr>
            </w:pPr>
            <w:r>
              <w:rPr>
                <w:color w:val="auto"/>
                <w:highlight w:val="none"/>
              </w:rPr>
              <w:t>热浸锌管道</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3577" w:type="dxa"/>
            <w:tcBorders>
              <w:tl2br w:val="nil"/>
              <w:tr2bl w:val="nil"/>
            </w:tcBorders>
            <w:vAlign w:val="center"/>
          </w:tcPr>
          <w:p>
            <w:pPr>
              <w:pStyle w:val="28"/>
              <w:widowControl w:val="0"/>
              <w:rPr>
                <w:color w:val="auto"/>
                <w:highlight w:val="none"/>
              </w:rPr>
            </w:pPr>
            <w:r>
              <w:rPr>
                <w:color w:val="auto"/>
                <w:highlight w:val="none"/>
              </w:rPr>
              <w:t>橡塑保温棉</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批</w:t>
            </w:r>
          </w:p>
        </w:tc>
        <w:tc>
          <w:tcPr>
            <w:tcW w:w="3294" w:type="dxa"/>
            <w:tcBorders>
              <w:tl2br w:val="nil"/>
              <w:tr2bl w:val="nil"/>
            </w:tcBorders>
            <w:vAlign w:val="center"/>
          </w:tcPr>
          <w:p>
            <w:pPr>
              <w:pStyle w:val="28"/>
              <w:widowControl w:val="0"/>
              <w:rPr>
                <w:color w:val="auto"/>
                <w:highlight w:val="none"/>
              </w:rPr>
            </w:pPr>
            <w:r>
              <w:rPr>
                <w:color w:val="auto"/>
                <w:highlight w:val="none"/>
              </w:rPr>
              <w:t>橡塑保温棉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b/>
                <w:bCs/>
                <w:color w:val="auto"/>
                <w:highlight w:val="none"/>
              </w:rPr>
              <w:t>冷库制冷设备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3577" w:type="dxa"/>
            <w:tcBorders>
              <w:tl2br w:val="nil"/>
              <w:tr2bl w:val="nil"/>
            </w:tcBorders>
            <w:vAlign w:val="center"/>
          </w:tcPr>
          <w:p>
            <w:pPr>
              <w:pStyle w:val="28"/>
              <w:widowControl w:val="0"/>
              <w:rPr>
                <w:color w:val="auto"/>
                <w:highlight w:val="none"/>
              </w:rPr>
            </w:pPr>
            <w:r>
              <w:rPr>
                <w:color w:val="auto"/>
                <w:highlight w:val="none"/>
              </w:rPr>
              <w:t>冷库板</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630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p>
        </w:tc>
        <w:tc>
          <w:tcPr>
            <w:tcW w:w="3294" w:type="dxa"/>
            <w:tcBorders>
              <w:tl2br w:val="nil"/>
              <w:tr2bl w:val="nil"/>
            </w:tcBorders>
            <w:vAlign w:val="center"/>
          </w:tcPr>
          <w:p>
            <w:pPr>
              <w:pStyle w:val="28"/>
              <w:widowControl w:val="0"/>
              <w:rPr>
                <w:color w:val="auto"/>
                <w:highlight w:val="none"/>
              </w:rPr>
            </w:pPr>
            <w:r>
              <w:rPr>
                <w:color w:val="auto"/>
                <w:highlight w:val="none"/>
              </w:rPr>
              <w:t>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3577" w:type="dxa"/>
            <w:tcBorders>
              <w:tl2br w:val="nil"/>
              <w:tr2bl w:val="nil"/>
            </w:tcBorders>
            <w:vAlign w:val="center"/>
          </w:tcPr>
          <w:p>
            <w:pPr>
              <w:pStyle w:val="28"/>
              <w:widowControl w:val="0"/>
              <w:rPr>
                <w:color w:val="auto"/>
                <w:highlight w:val="none"/>
              </w:rPr>
            </w:pPr>
            <w:r>
              <w:rPr>
                <w:color w:val="auto"/>
                <w:highlight w:val="none"/>
              </w:rPr>
              <w:t>推拉库门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扇</w:t>
            </w:r>
          </w:p>
        </w:tc>
        <w:tc>
          <w:tcPr>
            <w:tcW w:w="3294" w:type="dxa"/>
            <w:tcBorders>
              <w:tl2br w:val="nil"/>
              <w:tr2bl w:val="nil"/>
            </w:tcBorders>
            <w:vAlign w:val="center"/>
          </w:tcPr>
          <w:p>
            <w:pPr>
              <w:pStyle w:val="28"/>
              <w:widowControl w:val="0"/>
              <w:rPr>
                <w:color w:val="auto"/>
                <w:highlight w:val="none"/>
              </w:rPr>
            </w:pPr>
            <w:r>
              <w:rPr>
                <w:color w:val="auto"/>
                <w:highlight w:val="none"/>
              </w:rPr>
              <w:t>1.7m*0.7m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577" w:type="dxa"/>
            <w:tcBorders>
              <w:tl2br w:val="nil"/>
              <w:tr2bl w:val="nil"/>
            </w:tcBorders>
            <w:vAlign w:val="center"/>
          </w:tcPr>
          <w:p>
            <w:pPr>
              <w:pStyle w:val="28"/>
              <w:widowControl w:val="0"/>
              <w:rPr>
                <w:color w:val="auto"/>
                <w:highlight w:val="none"/>
              </w:rPr>
            </w:pPr>
            <w:r>
              <w:rPr>
                <w:color w:val="auto"/>
                <w:highlight w:val="none"/>
              </w:rPr>
              <w:t>平移门</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扇</w:t>
            </w:r>
          </w:p>
        </w:tc>
        <w:tc>
          <w:tcPr>
            <w:tcW w:w="3294" w:type="dxa"/>
            <w:tcBorders>
              <w:tl2br w:val="nil"/>
              <w:tr2bl w:val="nil"/>
            </w:tcBorders>
            <w:vAlign w:val="center"/>
          </w:tcPr>
          <w:p>
            <w:pPr>
              <w:pStyle w:val="28"/>
              <w:widowControl w:val="0"/>
              <w:rPr>
                <w:color w:val="auto"/>
                <w:highlight w:val="none"/>
              </w:rPr>
            </w:pPr>
            <w:r>
              <w:rPr>
                <w:color w:val="auto"/>
                <w:highlight w:val="none"/>
              </w:rPr>
              <w:t>1.2m*2m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3577" w:type="dxa"/>
            <w:tcBorders>
              <w:tl2br w:val="nil"/>
              <w:tr2bl w:val="nil"/>
            </w:tcBorders>
            <w:vAlign w:val="center"/>
          </w:tcPr>
          <w:p>
            <w:pPr>
              <w:pStyle w:val="28"/>
              <w:widowControl w:val="0"/>
              <w:rPr>
                <w:color w:val="auto"/>
                <w:highlight w:val="none"/>
              </w:rPr>
            </w:pPr>
            <w:r>
              <w:rPr>
                <w:color w:val="auto"/>
                <w:highlight w:val="none"/>
              </w:rPr>
              <w:t>冷风机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vertAlign w:val="superscript"/>
              </w:rPr>
            </w:pPr>
            <w:r>
              <w:rPr>
                <w:color w:val="auto"/>
                <w:highlight w:val="none"/>
              </w:rPr>
              <w:t>300m</w:t>
            </w:r>
            <w:r>
              <w:rPr>
                <w:rFonts w:hint="eastAsia"/>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3577" w:type="dxa"/>
            <w:tcBorders>
              <w:tl2br w:val="nil"/>
              <w:tr2bl w:val="nil"/>
            </w:tcBorders>
            <w:vAlign w:val="center"/>
          </w:tcPr>
          <w:p>
            <w:pPr>
              <w:pStyle w:val="28"/>
              <w:widowControl w:val="0"/>
              <w:rPr>
                <w:color w:val="auto"/>
                <w:highlight w:val="none"/>
              </w:rPr>
            </w:pPr>
            <w:r>
              <w:rPr>
                <w:color w:val="auto"/>
                <w:highlight w:val="none"/>
              </w:rPr>
              <w:t>排管</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2250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m</w:t>
            </w:r>
          </w:p>
        </w:tc>
        <w:tc>
          <w:tcPr>
            <w:tcW w:w="3294" w:type="dxa"/>
            <w:tcBorders>
              <w:tl2br w:val="nil"/>
              <w:tr2bl w:val="nil"/>
            </w:tcBorders>
            <w:vAlign w:val="center"/>
          </w:tcPr>
          <w:p>
            <w:pPr>
              <w:pStyle w:val="28"/>
              <w:widowControl w:val="0"/>
              <w:rPr>
                <w:color w:val="auto"/>
                <w:highlight w:val="none"/>
              </w:rPr>
            </w:pPr>
            <w:r>
              <w:rPr>
                <w:color w:val="auto"/>
                <w:highlight w:val="none"/>
              </w:rPr>
              <w:t>Q32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3577" w:type="dxa"/>
            <w:tcBorders>
              <w:tl2br w:val="nil"/>
              <w:tr2bl w:val="nil"/>
            </w:tcBorders>
            <w:vAlign w:val="center"/>
          </w:tcPr>
          <w:p>
            <w:pPr>
              <w:pStyle w:val="28"/>
              <w:widowControl w:val="0"/>
              <w:rPr>
                <w:color w:val="auto"/>
                <w:highlight w:val="none"/>
              </w:rPr>
            </w:pPr>
            <w:r>
              <w:rPr>
                <w:color w:val="auto"/>
                <w:highlight w:val="none"/>
              </w:rPr>
              <w:t>铝排</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850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Q32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3577" w:type="dxa"/>
            <w:tcBorders>
              <w:tl2br w:val="nil"/>
              <w:tr2bl w:val="nil"/>
            </w:tcBorders>
            <w:vAlign w:val="center"/>
          </w:tcPr>
          <w:p>
            <w:pPr>
              <w:pStyle w:val="28"/>
              <w:widowControl w:val="0"/>
              <w:rPr>
                <w:color w:val="auto"/>
                <w:highlight w:val="none"/>
              </w:rPr>
            </w:pPr>
            <w:r>
              <w:rPr>
                <w:color w:val="auto"/>
                <w:highlight w:val="none"/>
              </w:rPr>
              <w:t>压缩机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20P水冷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3577" w:type="dxa"/>
            <w:tcBorders>
              <w:tl2br w:val="nil"/>
              <w:tr2bl w:val="nil"/>
            </w:tcBorders>
            <w:vAlign w:val="center"/>
          </w:tcPr>
          <w:p>
            <w:pPr>
              <w:pStyle w:val="28"/>
              <w:widowControl w:val="0"/>
              <w:rPr>
                <w:color w:val="auto"/>
                <w:highlight w:val="none"/>
              </w:rPr>
            </w:pPr>
            <w:r>
              <w:rPr>
                <w:color w:val="auto"/>
                <w:highlight w:val="none"/>
              </w:rPr>
              <w:t>冷却塔</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color w:val="auto"/>
                <w:highlight w:val="none"/>
              </w:rPr>
              <w:t>20T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28"/>
              <w:widowControl w:val="0"/>
              <w:rPr>
                <w:color w:val="auto"/>
                <w:highlight w:val="none"/>
              </w:rPr>
            </w:pPr>
            <w:r>
              <w:rPr>
                <w:rFonts w:hint="eastAsia"/>
                <w:color w:val="auto"/>
                <w:highlight w:val="none"/>
              </w:rPr>
              <w:t>9</w:t>
            </w:r>
          </w:p>
        </w:tc>
        <w:tc>
          <w:tcPr>
            <w:tcW w:w="3577" w:type="dxa"/>
            <w:tcBorders>
              <w:tl2br w:val="nil"/>
              <w:tr2bl w:val="nil"/>
            </w:tcBorders>
            <w:vAlign w:val="center"/>
          </w:tcPr>
          <w:p>
            <w:pPr>
              <w:pStyle w:val="28"/>
              <w:widowControl w:val="0"/>
              <w:rPr>
                <w:color w:val="auto"/>
                <w:highlight w:val="none"/>
              </w:rPr>
            </w:pPr>
            <w:r>
              <w:rPr>
                <w:color w:val="auto"/>
                <w:highlight w:val="none"/>
              </w:rPr>
              <w:t>风幕机</w:t>
            </w:r>
          </w:p>
        </w:tc>
        <w:tc>
          <w:tcPr>
            <w:tcW w:w="1176"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936" w:type="dxa"/>
            <w:tcBorders>
              <w:tl2br w:val="nil"/>
              <w:tr2bl w:val="nil"/>
            </w:tcBorders>
            <w:vAlign w:val="center"/>
          </w:tcPr>
          <w:p>
            <w:pPr>
              <w:pStyle w:val="28"/>
              <w:widowControl w:val="0"/>
              <w:rPr>
                <w:color w:val="auto"/>
                <w:highlight w:val="none"/>
              </w:rPr>
            </w:pPr>
            <w:r>
              <w:rPr>
                <w:rFonts w:hint="eastAsia"/>
                <w:color w:val="auto"/>
                <w:highlight w:val="none"/>
              </w:rPr>
              <w:t>台</w:t>
            </w:r>
          </w:p>
        </w:tc>
        <w:tc>
          <w:tcPr>
            <w:tcW w:w="3294"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4"/>
        <w:widowControl w:val="0"/>
        <w:rPr>
          <w:color w:val="auto"/>
          <w:highlight w:val="none"/>
        </w:rPr>
      </w:pPr>
      <w:bookmarkStart w:id="58" w:name="_Toc1319"/>
      <w:r>
        <w:rPr>
          <w:rFonts w:hint="eastAsia"/>
          <w:color w:val="auto"/>
          <w:highlight w:val="none"/>
        </w:rPr>
        <w:t>公用工程</w:t>
      </w:r>
      <w:bookmarkEnd w:id="58"/>
    </w:p>
    <w:p>
      <w:pPr>
        <w:pStyle w:val="5"/>
        <w:widowControl w:val="0"/>
        <w:ind w:firstLine="120"/>
        <w:rPr>
          <w:color w:val="auto"/>
          <w:highlight w:val="none"/>
        </w:rPr>
      </w:pPr>
      <w:r>
        <w:rPr>
          <w:rFonts w:hint="eastAsia"/>
          <w:color w:val="auto"/>
          <w:highlight w:val="none"/>
        </w:rPr>
        <w:t>给排水</w:t>
      </w:r>
    </w:p>
    <w:p>
      <w:pPr>
        <w:pStyle w:val="6"/>
        <w:widowControl w:val="0"/>
        <w:ind w:left="-160" w:firstLineChars="0"/>
        <w:rPr>
          <w:color w:val="auto"/>
          <w:highlight w:val="none"/>
        </w:rPr>
      </w:pPr>
      <w:r>
        <w:rPr>
          <w:rFonts w:hint="eastAsia"/>
          <w:color w:val="auto"/>
          <w:highlight w:val="none"/>
        </w:rPr>
        <w:t>给水</w:t>
      </w:r>
    </w:p>
    <w:p>
      <w:pPr>
        <w:widowControl w:val="0"/>
        <w:ind w:firstLine="480"/>
        <w:rPr>
          <w:color w:val="auto"/>
          <w:highlight w:val="none"/>
        </w:rPr>
      </w:pPr>
      <w:r>
        <w:rPr>
          <w:rFonts w:hint="eastAsia" w:ascii="宋体" w:hAnsi="宋体"/>
          <w:color w:val="auto"/>
          <w:highlight w:val="none"/>
        </w:rPr>
        <w:t>本项目用水主要为屠宰用水、清洗用水及生活用水。本项目北侧为石泉村，该村均接通自来水，有市政给水管网供给，项目拟接入市政给水管网，本项目用水均由市政给水管网供给，可以满足本项目生活及生产用水需求。</w:t>
      </w:r>
    </w:p>
    <w:p>
      <w:pPr>
        <w:pStyle w:val="6"/>
        <w:widowControl w:val="0"/>
        <w:ind w:left="-160" w:firstLineChars="0"/>
        <w:rPr>
          <w:color w:val="auto"/>
          <w:highlight w:val="none"/>
        </w:rPr>
      </w:pPr>
      <w:r>
        <w:rPr>
          <w:rFonts w:hint="eastAsia"/>
          <w:color w:val="auto"/>
          <w:highlight w:val="none"/>
        </w:rPr>
        <w:t>排水</w:t>
      </w:r>
    </w:p>
    <w:p>
      <w:pPr>
        <w:widowControl w:val="0"/>
        <w:ind w:firstLine="480"/>
        <w:rPr>
          <w:color w:val="auto"/>
          <w:highlight w:val="none"/>
        </w:rPr>
      </w:pPr>
      <w:r>
        <w:rPr>
          <w:rFonts w:hint="eastAsia"/>
          <w:color w:val="auto"/>
          <w:highlight w:val="none"/>
        </w:rPr>
        <w:t>本项目排水系统采用雨污分流制。</w:t>
      </w:r>
    </w:p>
    <w:p>
      <w:pPr>
        <w:widowControl w:val="0"/>
        <w:ind w:firstLine="480"/>
        <w:rPr>
          <w:color w:val="auto"/>
          <w:highlight w:val="none"/>
        </w:rPr>
      </w:pPr>
      <w:r>
        <w:rPr>
          <w:rFonts w:hint="eastAsia"/>
          <w:color w:val="auto"/>
          <w:highlight w:val="none"/>
        </w:rPr>
        <w:t>（1）雨水：项目雨水收集后排入厂区雨水管道，然后排入市政雨水管网。</w:t>
      </w:r>
    </w:p>
    <w:p>
      <w:pPr>
        <w:widowControl w:val="0"/>
        <w:ind w:firstLine="480"/>
        <w:rPr>
          <w:color w:val="auto"/>
          <w:highlight w:val="none"/>
        </w:rPr>
      </w:pPr>
      <w:r>
        <w:rPr>
          <w:rFonts w:hint="eastAsia"/>
          <w:color w:val="auto"/>
          <w:highlight w:val="none"/>
        </w:rPr>
        <w:t>（2）污水：项目生活污水、生产废水经自建污水处理站处理达到《肉类加工工业水污染物排放标准》（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畜类屠宰三级排放标准后排入元坨社区市政污水管网，通过市政污水管网汇入响滩镇污水处理厂处理，经污水处理厂处理后排入濛溪河。</w:t>
      </w:r>
    </w:p>
    <w:p>
      <w:pPr>
        <w:pStyle w:val="5"/>
        <w:widowControl w:val="0"/>
        <w:ind w:firstLine="120"/>
        <w:rPr>
          <w:color w:val="auto"/>
          <w:highlight w:val="none"/>
        </w:rPr>
      </w:pPr>
      <w:r>
        <w:rPr>
          <w:rFonts w:hint="eastAsia"/>
          <w:color w:val="auto"/>
          <w:highlight w:val="none"/>
        </w:rPr>
        <w:t>供电</w:t>
      </w:r>
    </w:p>
    <w:p>
      <w:pPr>
        <w:widowControl w:val="0"/>
        <w:ind w:firstLine="480"/>
        <w:rPr>
          <w:color w:val="auto"/>
          <w:highlight w:val="none"/>
        </w:rPr>
      </w:pPr>
      <w:r>
        <w:rPr>
          <w:rFonts w:hint="eastAsia"/>
          <w:color w:val="auto"/>
          <w:highlight w:val="none"/>
        </w:rPr>
        <w:t>本项目用电由市政电网统一供电，可满足项目的用电需求。</w:t>
      </w:r>
    </w:p>
    <w:p>
      <w:pPr>
        <w:pStyle w:val="5"/>
        <w:widowControl w:val="0"/>
        <w:ind w:firstLine="120"/>
        <w:rPr>
          <w:color w:val="auto"/>
          <w:highlight w:val="none"/>
        </w:rPr>
      </w:pPr>
      <w:r>
        <w:rPr>
          <w:rFonts w:hint="eastAsia"/>
          <w:color w:val="auto"/>
          <w:highlight w:val="none"/>
        </w:rPr>
        <w:t>供气</w:t>
      </w:r>
    </w:p>
    <w:p>
      <w:pPr>
        <w:widowControl w:val="0"/>
        <w:ind w:firstLine="480"/>
        <w:rPr>
          <w:color w:val="auto"/>
          <w:highlight w:val="none"/>
        </w:rPr>
      </w:pPr>
      <w:r>
        <w:rPr>
          <w:rFonts w:hint="eastAsia" w:ascii="宋体" w:hAnsi="宋体"/>
          <w:color w:val="auto"/>
          <w:highlight w:val="none"/>
        </w:rPr>
        <w:t>厂区用气全部由市政天然气管网供给，主要供应食堂用气。</w:t>
      </w:r>
    </w:p>
    <w:p>
      <w:pPr>
        <w:pStyle w:val="5"/>
        <w:widowControl w:val="0"/>
        <w:ind w:firstLine="120"/>
        <w:rPr>
          <w:color w:val="auto"/>
          <w:highlight w:val="none"/>
        </w:rPr>
      </w:pPr>
      <w:r>
        <w:rPr>
          <w:rFonts w:hint="eastAsia"/>
          <w:color w:val="auto"/>
          <w:highlight w:val="none"/>
        </w:rPr>
        <w:t>制冷</w:t>
      </w:r>
    </w:p>
    <w:p>
      <w:pPr>
        <w:widowControl w:val="0"/>
        <w:ind w:firstLine="480"/>
        <w:rPr>
          <w:color w:val="auto"/>
          <w:highlight w:val="none"/>
        </w:rPr>
      </w:pPr>
      <w:r>
        <w:rPr>
          <w:rFonts w:hint="eastAsia" w:ascii="宋体" w:hAnsi="宋体"/>
          <w:color w:val="auto"/>
          <w:highlight w:val="none"/>
        </w:rPr>
        <w:t>本项目备有制冷设备一套，主要用于生产制冷，</w:t>
      </w:r>
      <w:r>
        <w:rPr>
          <w:rFonts w:hint="eastAsia"/>
          <w:color w:val="auto"/>
          <w:highlight w:val="none"/>
        </w:rPr>
        <w:t>制冷剂选用为R507A</w:t>
      </w:r>
      <w:r>
        <w:rPr>
          <w:rFonts w:hint="eastAsia" w:ascii="宋体" w:hAnsi="宋体"/>
          <w:color w:val="auto"/>
          <w:highlight w:val="none"/>
        </w:rPr>
        <w:t>。</w:t>
      </w:r>
    </w:p>
    <w:p>
      <w:pPr>
        <w:pStyle w:val="5"/>
        <w:widowControl w:val="0"/>
        <w:ind w:firstLine="120"/>
        <w:rPr>
          <w:color w:val="auto"/>
          <w:highlight w:val="none"/>
        </w:rPr>
      </w:pPr>
      <w:r>
        <w:rPr>
          <w:rFonts w:hint="eastAsia"/>
          <w:color w:val="auto"/>
          <w:highlight w:val="none"/>
        </w:rPr>
        <w:t>时间进度安排</w:t>
      </w:r>
    </w:p>
    <w:p>
      <w:pPr>
        <w:widowControl w:val="0"/>
        <w:ind w:firstLine="480"/>
        <w:rPr>
          <w:color w:val="auto"/>
          <w:highlight w:val="none"/>
        </w:rPr>
      </w:pPr>
      <w:r>
        <w:rPr>
          <w:rFonts w:hint="eastAsia"/>
          <w:color w:val="auto"/>
          <w:highlight w:val="none"/>
        </w:rPr>
        <w:t>本项目厂房建设施工期已结束，于2021年11月22日停止了施工，拟于2022年9月开始进行设备安装及调试，至2022年12月竣工验收并投入使用。</w:t>
      </w:r>
    </w:p>
    <w:p>
      <w:pPr>
        <w:pStyle w:val="5"/>
        <w:widowControl w:val="0"/>
        <w:ind w:firstLine="120"/>
        <w:rPr>
          <w:color w:val="auto"/>
          <w:highlight w:val="none"/>
        </w:rPr>
      </w:pPr>
      <w:r>
        <w:rPr>
          <w:rFonts w:hint="eastAsia"/>
          <w:color w:val="auto"/>
          <w:highlight w:val="none"/>
        </w:rPr>
        <w:t>供气</w:t>
      </w:r>
    </w:p>
    <w:p>
      <w:pPr>
        <w:widowControl w:val="0"/>
        <w:ind w:firstLine="480"/>
        <w:rPr>
          <w:color w:val="auto"/>
          <w:highlight w:val="none"/>
        </w:rPr>
      </w:pPr>
      <w:r>
        <w:rPr>
          <w:rFonts w:hint="eastAsia"/>
          <w:color w:val="auto"/>
          <w:highlight w:val="none"/>
        </w:rPr>
        <w:t>厂区用气全部由市政天然气管网供给，主要供应食堂用气和锅炉加热供气。</w:t>
      </w:r>
    </w:p>
    <w:p>
      <w:pPr>
        <w:pStyle w:val="5"/>
        <w:widowControl w:val="0"/>
        <w:ind w:firstLine="120"/>
        <w:rPr>
          <w:color w:val="auto"/>
          <w:highlight w:val="none"/>
        </w:rPr>
      </w:pPr>
      <w:r>
        <w:rPr>
          <w:rFonts w:hint="eastAsia"/>
          <w:color w:val="auto"/>
          <w:highlight w:val="none"/>
        </w:rPr>
        <w:t>供热</w:t>
      </w:r>
    </w:p>
    <w:p>
      <w:pPr>
        <w:widowControl w:val="0"/>
        <w:ind w:firstLine="480"/>
        <w:rPr>
          <w:color w:val="auto"/>
          <w:highlight w:val="none"/>
        </w:rPr>
      </w:pPr>
      <w:r>
        <w:rPr>
          <w:rFonts w:hint="eastAsia"/>
          <w:color w:val="auto"/>
          <w:highlight w:val="none"/>
        </w:rPr>
        <w:t>本项目设置两台全自动恒温锅炉，该设备采用天然气加热</w:t>
      </w:r>
      <w:r>
        <w:rPr>
          <w:rFonts w:hint="eastAsia" w:ascii="Arial" w:hAnsi="Arial" w:cs="Arial"/>
          <w:color w:val="auto"/>
          <w:szCs w:val="24"/>
          <w:highlight w:val="none"/>
          <w:shd w:val="clear" w:color="auto" w:fill="FFFFFF"/>
        </w:rPr>
        <w:t>。该设备加热的高温热水用于生猪及肉牛脱毛工序使用。</w:t>
      </w:r>
    </w:p>
    <w:p>
      <w:pPr>
        <w:pStyle w:val="4"/>
        <w:widowControl w:val="0"/>
        <w:rPr>
          <w:color w:val="auto"/>
          <w:highlight w:val="none"/>
        </w:rPr>
      </w:pPr>
      <w:bookmarkStart w:id="59" w:name="_Toc31670"/>
      <w:r>
        <w:rPr>
          <w:rFonts w:hint="eastAsia"/>
          <w:color w:val="auto"/>
          <w:highlight w:val="none"/>
        </w:rPr>
        <w:t>储运工程</w:t>
      </w:r>
      <w:bookmarkEnd w:id="59"/>
    </w:p>
    <w:p>
      <w:pPr>
        <w:widowControl w:val="0"/>
        <w:ind w:firstLine="480"/>
        <w:rPr>
          <w:color w:val="auto"/>
          <w:highlight w:val="none"/>
        </w:rPr>
      </w:pPr>
      <w:r>
        <w:rPr>
          <w:rFonts w:hint="eastAsia"/>
          <w:color w:val="auto"/>
          <w:highlight w:val="none"/>
        </w:rPr>
        <w:t>项目储运工程主要包括副产品暂存、冷鲜肉冷藏库和药品库。</w:t>
      </w:r>
    </w:p>
    <w:p>
      <w:pPr>
        <w:pStyle w:val="5"/>
        <w:widowControl w:val="0"/>
        <w:ind w:firstLine="120"/>
        <w:rPr>
          <w:color w:val="auto"/>
          <w:highlight w:val="none"/>
        </w:rPr>
      </w:pPr>
      <w:r>
        <w:rPr>
          <w:rFonts w:hint="eastAsia"/>
          <w:color w:val="auto"/>
          <w:highlight w:val="none"/>
        </w:rPr>
        <w:t>冻库</w:t>
      </w:r>
    </w:p>
    <w:p>
      <w:pPr>
        <w:widowControl w:val="0"/>
        <w:ind w:firstLine="480"/>
        <w:rPr>
          <w:color w:val="auto"/>
          <w:highlight w:val="none"/>
        </w:rPr>
      </w:pPr>
      <w:r>
        <w:rPr>
          <w:rFonts w:hint="eastAsia"/>
          <w:color w:val="auto"/>
          <w:highlight w:val="none"/>
        </w:rPr>
        <w:t>项目冷库采用风冷式制冷机组进行制冷，冻库设施见下表。</w:t>
      </w:r>
    </w:p>
    <w:p>
      <w:pPr>
        <w:pStyle w:val="27"/>
        <w:widowControl w:val="0"/>
        <w:rPr>
          <w:color w:val="auto"/>
          <w:highlight w:val="none"/>
        </w:rPr>
      </w:pPr>
      <w:r>
        <w:rPr>
          <w:rFonts w:hint="eastAsia"/>
          <w:color w:val="auto"/>
          <w:highlight w:val="none"/>
        </w:rPr>
        <w:t>冻库设施一览表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190"/>
        <w:gridCol w:w="1065"/>
        <w:gridCol w:w="1200"/>
        <w:gridCol w:w="3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1" w:type="dxa"/>
            <w:tcBorders>
              <w:tl2br w:val="nil"/>
              <w:tr2bl w:val="nil"/>
            </w:tcBorders>
            <w:vAlign w:val="center"/>
          </w:tcPr>
          <w:p>
            <w:pPr>
              <w:pStyle w:val="28"/>
              <w:widowControl w:val="0"/>
              <w:rPr>
                <w:b/>
                <w:bCs/>
                <w:color w:val="auto"/>
                <w:highlight w:val="none"/>
              </w:rPr>
            </w:pPr>
            <w:r>
              <w:rPr>
                <w:rFonts w:hint="eastAsia"/>
                <w:b/>
                <w:bCs/>
                <w:color w:val="auto"/>
                <w:highlight w:val="none"/>
              </w:rPr>
              <w:t>存储设施</w:t>
            </w:r>
          </w:p>
        </w:tc>
        <w:tc>
          <w:tcPr>
            <w:tcW w:w="2190" w:type="dxa"/>
            <w:tcBorders>
              <w:tl2br w:val="nil"/>
              <w:tr2bl w:val="nil"/>
            </w:tcBorders>
            <w:vAlign w:val="center"/>
          </w:tcPr>
          <w:p>
            <w:pPr>
              <w:pStyle w:val="28"/>
              <w:widowControl w:val="0"/>
              <w:rPr>
                <w:b/>
                <w:bCs/>
                <w:color w:val="auto"/>
                <w:highlight w:val="none"/>
              </w:rPr>
            </w:pPr>
            <w:r>
              <w:rPr>
                <w:rFonts w:hint="eastAsia"/>
                <w:b/>
                <w:bCs/>
                <w:color w:val="auto"/>
                <w:highlight w:val="none"/>
              </w:rPr>
              <w:t>工作温度</w:t>
            </w:r>
          </w:p>
        </w:tc>
        <w:tc>
          <w:tcPr>
            <w:tcW w:w="1065" w:type="dxa"/>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1200" w:type="dxa"/>
            <w:tcBorders>
              <w:tl2br w:val="nil"/>
              <w:tr2bl w:val="nil"/>
            </w:tcBorders>
            <w:vAlign w:val="center"/>
          </w:tcPr>
          <w:p>
            <w:pPr>
              <w:pStyle w:val="28"/>
              <w:widowControl w:val="0"/>
              <w:rPr>
                <w:b/>
                <w:bCs/>
                <w:color w:val="auto"/>
                <w:highlight w:val="none"/>
              </w:rPr>
            </w:pPr>
            <w:r>
              <w:rPr>
                <w:rFonts w:hint="eastAsia"/>
                <w:b/>
                <w:bCs/>
                <w:color w:val="auto"/>
                <w:highlight w:val="none"/>
              </w:rPr>
              <w:t>制冷剂</w:t>
            </w:r>
          </w:p>
        </w:tc>
        <w:tc>
          <w:tcPr>
            <w:tcW w:w="3926" w:type="dxa"/>
            <w:tcBorders>
              <w:tl2br w:val="nil"/>
              <w:tr2bl w:val="nil"/>
            </w:tcBorders>
            <w:vAlign w:val="center"/>
          </w:tcPr>
          <w:p>
            <w:pPr>
              <w:pStyle w:val="28"/>
              <w:widowControl w:val="0"/>
              <w:rPr>
                <w:b/>
                <w:bCs/>
                <w:color w:val="auto"/>
                <w:highlight w:val="none"/>
              </w:rPr>
            </w:pPr>
            <w:r>
              <w:rPr>
                <w:rFonts w:hint="eastAsia"/>
                <w:b/>
                <w:bCs/>
                <w:color w:val="auto"/>
                <w:highlight w:val="none"/>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28"/>
              <w:widowControl w:val="0"/>
              <w:rPr>
                <w:color w:val="auto"/>
                <w:highlight w:val="none"/>
              </w:rPr>
            </w:pPr>
            <w:r>
              <w:rPr>
                <w:rFonts w:hint="eastAsia"/>
                <w:color w:val="auto"/>
                <w:highlight w:val="none"/>
              </w:rPr>
              <w:t>排酸间</w:t>
            </w:r>
          </w:p>
        </w:tc>
        <w:tc>
          <w:tcPr>
            <w:tcW w:w="2190" w:type="dxa"/>
            <w:tcBorders>
              <w:tl2br w:val="nil"/>
              <w:tr2bl w:val="nil"/>
            </w:tcBorders>
            <w:vAlign w:val="center"/>
          </w:tcPr>
          <w:p>
            <w:pPr>
              <w:pStyle w:val="28"/>
              <w:widowControl w:val="0"/>
              <w:rPr>
                <w:color w:val="auto"/>
                <w:highlight w:val="none"/>
              </w:rPr>
            </w:pPr>
            <w:r>
              <w:rPr>
                <w:rFonts w:hint="eastAsia"/>
                <w:color w:val="auto"/>
                <w:highlight w:val="none"/>
              </w:rPr>
              <w:t>0~2</w:t>
            </w:r>
            <w:r>
              <w:rPr>
                <w:color w:val="auto"/>
                <w:highlight w:val="none"/>
              </w:rPr>
              <w:t>℃</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2间</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R507A</w:t>
            </w:r>
          </w:p>
        </w:tc>
        <w:tc>
          <w:tcPr>
            <w:tcW w:w="3926" w:type="dxa"/>
            <w:tcBorders>
              <w:tl2br w:val="nil"/>
              <w:tr2bl w:val="nil"/>
            </w:tcBorders>
            <w:vAlign w:val="center"/>
          </w:tcPr>
          <w:p>
            <w:pPr>
              <w:pStyle w:val="28"/>
              <w:widowControl w:val="0"/>
              <w:rPr>
                <w:color w:val="auto"/>
                <w:highlight w:val="none"/>
              </w:rPr>
            </w:pPr>
            <w:r>
              <w:rPr>
                <w:rFonts w:hint="eastAsia"/>
                <w:color w:val="auto"/>
                <w:highlight w:val="none"/>
              </w:rPr>
              <w:t>用于需要进行分割的鲜肉排酸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28"/>
              <w:widowControl w:val="0"/>
              <w:rPr>
                <w:color w:val="auto"/>
                <w:highlight w:val="none"/>
              </w:rPr>
            </w:pPr>
            <w:r>
              <w:rPr>
                <w:rFonts w:hint="eastAsia"/>
                <w:color w:val="auto"/>
                <w:highlight w:val="none"/>
              </w:rPr>
              <w:t>速冻库</w:t>
            </w:r>
          </w:p>
        </w:tc>
        <w:tc>
          <w:tcPr>
            <w:tcW w:w="2190" w:type="dxa"/>
            <w:tcBorders>
              <w:tl2br w:val="nil"/>
              <w:tr2bl w:val="nil"/>
            </w:tcBorders>
            <w:vAlign w:val="center"/>
          </w:tcPr>
          <w:p>
            <w:pPr>
              <w:pStyle w:val="28"/>
              <w:widowControl w:val="0"/>
              <w:rPr>
                <w:color w:val="auto"/>
                <w:highlight w:val="none"/>
              </w:rPr>
            </w:pPr>
            <w:r>
              <w:rPr>
                <w:rFonts w:hint="eastAsia"/>
                <w:color w:val="auto"/>
                <w:highlight w:val="none"/>
              </w:rPr>
              <w:t>-35</w:t>
            </w:r>
            <w:r>
              <w:rPr>
                <w:color w:val="auto"/>
                <w:highlight w:val="none"/>
              </w:rPr>
              <w:t>℃</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2间</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R507A</w:t>
            </w:r>
          </w:p>
        </w:tc>
        <w:tc>
          <w:tcPr>
            <w:tcW w:w="3926" w:type="dxa"/>
            <w:tcBorders>
              <w:tl2br w:val="nil"/>
              <w:tr2bl w:val="nil"/>
            </w:tcBorders>
            <w:vAlign w:val="center"/>
          </w:tcPr>
          <w:p>
            <w:pPr>
              <w:pStyle w:val="28"/>
              <w:widowControl w:val="0"/>
              <w:rPr>
                <w:color w:val="auto"/>
                <w:highlight w:val="none"/>
              </w:rPr>
            </w:pPr>
            <w:r>
              <w:rPr>
                <w:rFonts w:hint="eastAsia"/>
                <w:color w:val="auto"/>
                <w:highlight w:val="none"/>
              </w:rPr>
              <w:t>用于排酸分割后进入超市的猪肉进行急冻，急冻后外销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28"/>
              <w:widowControl w:val="0"/>
              <w:rPr>
                <w:color w:val="auto"/>
                <w:highlight w:val="none"/>
              </w:rPr>
            </w:pPr>
            <w:r>
              <w:rPr>
                <w:rFonts w:hint="eastAsia"/>
                <w:color w:val="auto"/>
                <w:highlight w:val="none"/>
              </w:rPr>
              <w:t>冷藏库</w:t>
            </w:r>
          </w:p>
        </w:tc>
        <w:tc>
          <w:tcPr>
            <w:tcW w:w="2190" w:type="dxa"/>
            <w:tcBorders>
              <w:tl2br w:val="nil"/>
              <w:tr2bl w:val="nil"/>
            </w:tcBorders>
            <w:vAlign w:val="center"/>
          </w:tcPr>
          <w:p>
            <w:pPr>
              <w:pStyle w:val="28"/>
              <w:widowControl w:val="0"/>
              <w:rPr>
                <w:color w:val="auto"/>
                <w:highlight w:val="none"/>
              </w:rPr>
            </w:pPr>
            <w:r>
              <w:rPr>
                <w:rFonts w:hint="eastAsia"/>
                <w:color w:val="auto"/>
                <w:highlight w:val="none"/>
              </w:rPr>
              <w:t>8~12</w:t>
            </w:r>
            <w:r>
              <w:rPr>
                <w:color w:val="auto"/>
                <w:highlight w:val="none"/>
              </w:rPr>
              <w:t>℃</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2间</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R507A</w:t>
            </w:r>
          </w:p>
        </w:tc>
        <w:tc>
          <w:tcPr>
            <w:tcW w:w="3926" w:type="dxa"/>
            <w:tcBorders>
              <w:tl2br w:val="nil"/>
              <w:tr2bl w:val="nil"/>
            </w:tcBorders>
            <w:vAlign w:val="center"/>
          </w:tcPr>
          <w:p>
            <w:pPr>
              <w:pStyle w:val="28"/>
              <w:widowControl w:val="0"/>
              <w:rPr>
                <w:color w:val="auto"/>
                <w:highlight w:val="none"/>
              </w:rPr>
            </w:pPr>
            <w:r>
              <w:rPr>
                <w:rFonts w:hint="eastAsia"/>
                <w:color w:val="auto"/>
                <w:highlight w:val="none"/>
              </w:rPr>
              <w:t>用于不能及时外销的分割肉暂存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28"/>
              <w:widowControl w:val="0"/>
              <w:rPr>
                <w:color w:val="auto"/>
                <w:highlight w:val="none"/>
              </w:rPr>
            </w:pPr>
            <w:r>
              <w:rPr>
                <w:rFonts w:hint="eastAsia"/>
                <w:color w:val="auto"/>
                <w:highlight w:val="none"/>
              </w:rPr>
              <w:t>无害化暂存间</w:t>
            </w:r>
          </w:p>
        </w:tc>
        <w:tc>
          <w:tcPr>
            <w:tcW w:w="2190" w:type="dxa"/>
            <w:tcBorders>
              <w:tl2br w:val="nil"/>
              <w:tr2bl w:val="nil"/>
            </w:tcBorders>
            <w:vAlign w:val="center"/>
          </w:tcPr>
          <w:p>
            <w:pPr>
              <w:pStyle w:val="28"/>
              <w:widowControl w:val="0"/>
              <w:rPr>
                <w:color w:val="auto"/>
                <w:highlight w:val="none"/>
              </w:rPr>
            </w:pPr>
            <w:r>
              <w:rPr>
                <w:rFonts w:hint="eastAsia"/>
                <w:color w:val="auto"/>
                <w:highlight w:val="none"/>
              </w:rPr>
              <w:t>-2~8</w:t>
            </w:r>
            <w:r>
              <w:rPr>
                <w:color w:val="auto"/>
                <w:highlight w:val="none"/>
              </w:rPr>
              <w:t>℃</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1间</w:t>
            </w:r>
          </w:p>
        </w:tc>
        <w:tc>
          <w:tcPr>
            <w:tcW w:w="1200" w:type="dxa"/>
            <w:tcBorders>
              <w:tl2br w:val="nil"/>
              <w:tr2bl w:val="nil"/>
            </w:tcBorders>
            <w:vAlign w:val="center"/>
          </w:tcPr>
          <w:p>
            <w:pPr>
              <w:pStyle w:val="28"/>
              <w:widowControl w:val="0"/>
              <w:rPr>
                <w:color w:val="auto"/>
                <w:highlight w:val="none"/>
              </w:rPr>
            </w:pPr>
            <w:r>
              <w:rPr>
                <w:rFonts w:hint="eastAsia"/>
                <w:color w:val="auto"/>
                <w:highlight w:val="none"/>
              </w:rPr>
              <w:t>R507A</w:t>
            </w:r>
          </w:p>
        </w:tc>
        <w:tc>
          <w:tcPr>
            <w:tcW w:w="3926" w:type="dxa"/>
            <w:tcBorders>
              <w:tl2br w:val="nil"/>
              <w:tr2bl w:val="nil"/>
            </w:tcBorders>
            <w:vAlign w:val="center"/>
          </w:tcPr>
          <w:p>
            <w:pPr>
              <w:pStyle w:val="28"/>
              <w:widowControl w:val="0"/>
              <w:rPr>
                <w:color w:val="auto"/>
                <w:highlight w:val="none"/>
              </w:rPr>
            </w:pPr>
            <w:r>
              <w:rPr>
                <w:rFonts w:hint="eastAsia"/>
                <w:color w:val="auto"/>
                <w:highlight w:val="none"/>
              </w:rPr>
              <w:t>用于暂存待无害化处理的动物废弃物</w:t>
            </w:r>
          </w:p>
        </w:tc>
      </w:tr>
    </w:tbl>
    <w:p>
      <w:pPr>
        <w:pStyle w:val="5"/>
        <w:widowControl w:val="0"/>
        <w:ind w:firstLine="120"/>
        <w:rPr>
          <w:color w:val="auto"/>
          <w:highlight w:val="none"/>
        </w:rPr>
      </w:pPr>
      <w:r>
        <w:rPr>
          <w:rFonts w:hint="eastAsia"/>
          <w:color w:val="auto"/>
          <w:highlight w:val="none"/>
        </w:rPr>
        <w:t>化学品储存间</w:t>
      </w:r>
    </w:p>
    <w:p>
      <w:pPr>
        <w:widowControl w:val="0"/>
        <w:ind w:firstLine="480"/>
        <w:rPr>
          <w:rFonts w:hint="eastAsia"/>
          <w:color w:val="auto"/>
          <w:highlight w:val="none"/>
        </w:rPr>
      </w:pPr>
      <w:r>
        <w:rPr>
          <w:rFonts w:hint="eastAsia"/>
          <w:color w:val="auto"/>
          <w:highlight w:val="none"/>
        </w:rPr>
        <w:t>项目日常运营中涉及二氯异氰尿酸钠、聚维酮碘溶液以及制冷剂R507A的使用，项目于待宰车间东侧设置药品库1座，建筑面积约50m</w:t>
      </w:r>
      <w:r>
        <w:rPr>
          <w:rFonts w:hint="eastAsia"/>
          <w:color w:val="auto"/>
          <w:highlight w:val="none"/>
          <w:vertAlign w:val="superscript"/>
        </w:rPr>
        <w:t>2</w:t>
      </w:r>
      <w:r>
        <w:rPr>
          <w:rFonts w:hint="eastAsia"/>
          <w:color w:val="auto"/>
          <w:highlight w:val="none"/>
        </w:rPr>
        <w:t>，用于存放二氯异氰尿酸钠和聚维酮碘溶液；项目冷库所需制冷及由厂家定期进行更换添加，不在本项目厂区内储存。</w:t>
      </w:r>
    </w:p>
    <w:p>
      <w:pPr>
        <w:widowControl w:val="0"/>
        <w:ind w:firstLine="480"/>
        <w:rPr>
          <w:rFonts w:hint="eastAsia"/>
          <w:color w:val="auto"/>
          <w:highlight w:val="none"/>
        </w:rPr>
      </w:pPr>
    </w:p>
    <w:p>
      <w:pPr>
        <w:pStyle w:val="27"/>
        <w:widowControl w:val="0"/>
        <w:rPr>
          <w:color w:val="auto"/>
          <w:highlight w:val="none"/>
        </w:rPr>
      </w:pPr>
      <w:r>
        <w:rPr>
          <w:rFonts w:hint="eastAsia"/>
          <w:color w:val="auto"/>
          <w:highlight w:val="none"/>
        </w:rPr>
        <w:t>化学品存储一览表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740"/>
        <w:gridCol w:w="1380"/>
        <w:gridCol w:w="1065"/>
        <w:gridCol w:w="1695"/>
        <w:gridCol w:w="2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tcBorders>
              <w:tl2br w:val="nil"/>
              <w:tr2bl w:val="nil"/>
            </w:tcBorders>
            <w:vAlign w:val="center"/>
          </w:tcPr>
          <w:p>
            <w:pPr>
              <w:pStyle w:val="28"/>
              <w:widowControl w:val="0"/>
              <w:rPr>
                <w:b/>
                <w:bCs/>
                <w:color w:val="auto"/>
                <w:highlight w:val="none"/>
              </w:rPr>
            </w:pPr>
            <w:r>
              <w:rPr>
                <w:rFonts w:hint="eastAsia"/>
                <w:b/>
                <w:bCs/>
                <w:color w:val="auto"/>
                <w:highlight w:val="none"/>
              </w:rPr>
              <w:t>存储设施</w:t>
            </w:r>
          </w:p>
        </w:tc>
        <w:tc>
          <w:tcPr>
            <w:tcW w:w="1740" w:type="dxa"/>
            <w:tcBorders>
              <w:tl2br w:val="nil"/>
              <w:tr2bl w:val="nil"/>
            </w:tcBorders>
            <w:vAlign w:val="center"/>
          </w:tcPr>
          <w:p>
            <w:pPr>
              <w:pStyle w:val="28"/>
              <w:widowControl w:val="0"/>
              <w:rPr>
                <w:b/>
                <w:bCs/>
                <w:color w:val="auto"/>
                <w:highlight w:val="none"/>
              </w:rPr>
            </w:pPr>
            <w:r>
              <w:rPr>
                <w:rFonts w:hint="eastAsia"/>
                <w:b/>
                <w:bCs/>
                <w:color w:val="auto"/>
                <w:highlight w:val="none"/>
              </w:rPr>
              <w:t>存储物料</w:t>
            </w:r>
          </w:p>
        </w:tc>
        <w:tc>
          <w:tcPr>
            <w:tcW w:w="1380" w:type="dxa"/>
            <w:tcBorders>
              <w:tl2br w:val="nil"/>
              <w:tr2bl w:val="nil"/>
            </w:tcBorders>
            <w:vAlign w:val="center"/>
          </w:tcPr>
          <w:p>
            <w:pPr>
              <w:pStyle w:val="28"/>
              <w:widowControl w:val="0"/>
              <w:rPr>
                <w:b/>
                <w:bCs/>
                <w:color w:val="auto"/>
                <w:highlight w:val="none"/>
              </w:rPr>
            </w:pPr>
            <w:r>
              <w:rPr>
                <w:rFonts w:hint="eastAsia"/>
                <w:b/>
                <w:bCs/>
                <w:color w:val="auto"/>
                <w:highlight w:val="none"/>
              </w:rPr>
              <w:t>最大存储量</w:t>
            </w:r>
          </w:p>
        </w:tc>
        <w:tc>
          <w:tcPr>
            <w:tcW w:w="1065" w:type="dxa"/>
            <w:tcBorders>
              <w:tl2br w:val="nil"/>
              <w:tr2bl w:val="nil"/>
            </w:tcBorders>
            <w:vAlign w:val="center"/>
          </w:tcPr>
          <w:p>
            <w:pPr>
              <w:pStyle w:val="28"/>
              <w:widowControl w:val="0"/>
              <w:rPr>
                <w:b/>
                <w:bCs/>
                <w:color w:val="auto"/>
                <w:highlight w:val="none"/>
              </w:rPr>
            </w:pPr>
            <w:r>
              <w:rPr>
                <w:rFonts w:hint="eastAsia"/>
                <w:b/>
                <w:bCs/>
                <w:color w:val="auto"/>
                <w:highlight w:val="none"/>
              </w:rPr>
              <w:t>年耗量</w:t>
            </w:r>
          </w:p>
        </w:tc>
        <w:tc>
          <w:tcPr>
            <w:tcW w:w="1695" w:type="dxa"/>
            <w:tcBorders>
              <w:tl2br w:val="nil"/>
              <w:tr2bl w:val="nil"/>
            </w:tcBorders>
            <w:vAlign w:val="center"/>
          </w:tcPr>
          <w:p>
            <w:pPr>
              <w:pStyle w:val="28"/>
              <w:widowControl w:val="0"/>
              <w:rPr>
                <w:b/>
                <w:bCs/>
                <w:color w:val="auto"/>
                <w:highlight w:val="none"/>
              </w:rPr>
            </w:pPr>
            <w:r>
              <w:rPr>
                <w:rFonts w:hint="eastAsia"/>
                <w:b/>
                <w:bCs/>
                <w:color w:val="auto"/>
                <w:highlight w:val="none"/>
              </w:rPr>
              <w:t>规格</w:t>
            </w:r>
          </w:p>
        </w:tc>
        <w:tc>
          <w:tcPr>
            <w:tcW w:w="2606"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vMerge w:val="restart"/>
            <w:tcBorders>
              <w:tl2br w:val="nil"/>
              <w:tr2bl w:val="nil"/>
            </w:tcBorders>
            <w:vAlign w:val="center"/>
          </w:tcPr>
          <w:p>
            <w:pPr>
              <w:pStyle w:val="28"/>
              <w:widowControl w:val="0"/>
              <w:rPr>
                <w:color w:val="auto"/>
                <w:highlight w:val="none"/>
              </w:rPr>
            </w:pPr>
            <w:r>
              <w:rPr>
                <w:rFonts w:hint="eastAsia"/>
                <w:color w:val="auto"/>
                <w:highlight w:val="none"/>
              </w:rPr>
              <w:t>药品库</w:t>
            </w:r>
          </w:p>
        </w:tc>
        <w:tc>
          <w:tcPr>
            <w:tcW w:w="1740" w:type="dxa"/>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1380" w:type="dxa"/>
            <w:tcBorders>
              <w:tl2br w:val="nil"/>
              <w:tr2bl w:val="nil"/>
            </w:tcBorders>
            <w:vAlign w:val="center"/>
          </w:tcPr>
          <w:p>
            <w:pPr>
              <w:pStyle w:val="28"/>
              <w:widowControl w:val="0"/>
              <w:rPr>
                <w:color w:val="auto"/>
                <w:highlight w:val="none"/>
              </w:rPr>
            </w:pPr>
            <w:r>
              <w:rPr>
                <w:rFonts w:hint="eastAsia"/>
                <w:color w:val="auto"/>
                <w:highlight w:val="none"/>
              </w:rPr>
              <w:t>0.02t</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0.1t/a</w:t>
            </w:r>
          </w:p>
        </w:tc>
        <w:tc>
          <w:tcPr>
            <w:tcW w:w="1695" w:type="dxa"/>
            <w:tcBorders>
              <w:tl2br w:val="nil"/>
              <w:tr2bl w:val="nil"/>
            </w:tcBorders>
            <w:vAlign w:val="center"/>
          </w:tcPr>
          <w:p>
            <w:pPr>
              <w:pStyle w:val="28"/>
              <w:widowControl w:val="0"/>
              <w:rPr>
                <w:color w:val="auto"/>
                <w:highlight w:val="none"/>
              </w:rPr>
            </w:pPr>
            <w:r>
              <w:rPr>
                <w:rFonts w:hint="eastAsia"/>
                <w:color w:val="auto"/>
                <w:highlight w:val="none"/>
              </w:rPr>
              <w:t>袋装，25kg/袋</w:t>
            </w:r>
          </w:p>
        </w:tc>
        <w:tc>
          <w:tcPr>
            <w:tcW w:w="2606" w:type="dxa"/>
            <w:tcBorders>
              <w:tl2br w:val="nil"/>
              <w:tr2bl w:val="nil"/>
            </w:tcBorders>
            <w:vAlign w:val="center"/>
          </w:tcPr>
          <w:p>
            <w:pPr>
              <w:pStyle w:val="28"/>
              <w:widowControl w:val="0"/>
              <w:rPr>
                <w:color w:val="auto"/>
                <w:highlight w:val="none"/>
              </w:rPr>
            </w:pPr>
            <w:r>
              <w:rPr>
                <w:rFonts w:hint="eastAsia"/>
                <w:color w:val="auto"/>
                <w:highlight w:val="none"/>
              </w:rPr>
              <w:t>屠宰场车辆进出厂、车间、设备消毒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vMerge w:val="continue"/>
            <w:tcBorders>
              <w:tl2br w:val="nil"/>
              <w:tr2bl w:val="nil"/>
            </w:tcBorders>
            <w:vAlign w:val="center"/>
          </w:tcPr>
          <w:p>
            <w:pPr>
              <w:pStyle w:val="28"/>
              <w:widowControl w:val="0"/>
              <w:rPr>
                <w:color w:val="auto"/>
                <w:highlight w:val="none"/>
              </w:rPr>
            </w:pPr>
          </w:p>
        </w:tc>
        <w:tc>
          <w:tcPr>
            <w:tcW w:w="1740" w:type="dxa"/>
            <w:tcBorders>
              <w:tl2br w:val="nil"/>
              <w:tr2bl w:val="nil"/>
            </w:tcBorders>
            <w:vAlign w:val="center"/>
          </w:tcPr>
          <w:p>
            <w:pPr>
              <w:pStyle w:val="28"/>
              <w:widowControl w:val="0"/>
              <w:rPr>
                <w:color w:val="auto"/>
                <w:highlight w:val="none"/>
              </w:rPr>
            </w:pPr>
            <w:r>
              <w:rPr>
                <w:rFonts w:hint="eastAsia"/>
                <w:color w:val="auto"/>
                <w:highlight w:val="none"/>
              </w:rPr>
              <w:t>聚维酮碘溶液</w:t>
            </w:r>
          </w:p>
        </w:tc>
        <w:tc>
          <w:tcPr>
            <w:tcW w:w="1380"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0.02m</w:t>
            </w:r>
            <w:r>
              <w:rPr>
                <w:rFonts w:hint="eastAsia"/>
                <w:color w:val="auto"/>
                <w:highlight w:val="none"/>
                <w:vertAlign w:val="superscript"/>
              </w:rPr>
              <w:t>3</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0.12m</w:t>
            </w:r>
            <w:r>
              <w:rPr>
                <w:rFonts w:hint="eastAsia"/>
                <w:color w:val="auto"/>
                <w:highlight w:val="none"/>
                <w:vertAlign w:val="superscript"/>
              </w:rPr>
              <w:t>3</w:t>
            </w:r>
            <w:r>
              <w:rPr>
                <w:rFonts w:hint="eastAsia"/>
                <w:color w:val="auto"/>
                <w:highlight w:val="none"/>
              </w:rPr>
              <w:t>/a</w:t>
            </w:r>
          </w:p>
        </w:tc>
        <w:tc>
          <w:tcPr>
            <w:tcW w:w="1695" w:type="dxa"/>
            <w:tcBorders>
              <w:tl2br w:val="nil"/>
              <w:tr2bl w:val="nil"/>
            </w:tcBorders>
            <w:vAlign w:val="center"/>
          </w:tcPr>
          <w:p>
            <w:pPr>
              <w:pStyle w:val="28"/>
              <w:widowControl w:val="0"/>
              <w:rPr>
                <w:color w:val="auto"/>
                <w:highlight w:val="none"/>
              </w:rPr>
            </w:pPr>
            <w:r>
              <w:rPr>
                <w:rFonts w:hint="eastAsia"/>
                <w:color w:val="auto"/>
                <w:highlight w:val="none"/>
              </w:rPr>
              <w:t>瓶装，250ml/瓶</w:t>
            </w:r>
          </w:p>
        </w:tc>
        <w:tc>
          <w:tcPr>
            <w:tcW w:w="2606" w:type="dxa"/>
            <w:tcBorders>
              <w:tl2br w:val="nil"/>
              <w:tr2bl w:val="nil"/>
            </w:tcBorders>
            <w:vAlign w:val="center"/>
          </w:tcPr>
          <w:p>
            <w:pPr>
              <w:pStyle w:val="28"/>
              <w:widowControl w:val="0"/>
              <w:rPr>
                <w:color w:val="auto"/>
                <w:highlight w:val="none"/>
              </w:rPr>
            </w:pPr>
            <w:r>
              <w:rPr>
                <w:rFonts w:hint="eastAsia"/>
                <w:color w:val="auto"/>
                <w:highlight w:val="none"/>
              </w:rPr>
              <w:t>员工进出车间、洗手消毒</w:t>
            </w:r>
          </w:p>
        </w:tc>
      </w:tr>
    </w:tbl>
    <w:p>
      <w:pPr>
        <w:pStyle w:val="4"/>
        <w:widowControl w:val="0"/>
        <w:rPr>
          <w:color w:val="auto"/>
          <w:highlight w:val="none"/>
        </w:rPr>
      </w:pPr>
      <w:bookmarkStart w:id="60" w:name="_Toc11464"/>
      <w:r>
        <w:rPr>
          <w:rFonts w:hint="eastAsia"/>
          <w:color w:val="auto"/>
          <w:highlight w:val="none"/>
        </w:rPr>
        <w:t>管道工程</w:t>
      </w:r>
      <w:bookmarkEnd w:id="60"/>
    </w:p>
    <w:p>
      <w:pPr>
        <w:widowControl w:val="0"/>
        <w:ind w:firstLine="480"/>
        <w:rPr>
          <w:color w:val="auto"/>
          <w:highlight w:val="none"/>
        </w:rPr>
      </w:pPr>
      <w:r>
        <w:rPr>
          <w:rFonts w:hint="eastAsia"/>
          <w:color w:val="auto"/>
          <w:highlight w:val="none"/>
        </w:rPr>
        <w:t>市政污水管网位于本项目西北侧1.2km，本项目废水排入市政污水管网需自建1.5km污水管网，管道沿三大路沿线铺设，起点为本项目污水处理站，重点接入元坨社区污水管网，由于本项目处于地势较低处，因此，在本项目厂内设置1个提升泵确保将被本项目污水送至市政污水管网。</w:t>
      </w: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pStyle w:val="4"/>
        <w:widowControl w:val="0"/>
        <w:numPr>
          <w:ilvl w:val="1"/>
          <w:numId w:val="0"/>
        </w:numPr>
        <w:rPr>
          <w:color w:val="auto"/>
          <w:highlight w:val="none"/>
        </w:rPr>
      </w:pPr>
      <w:r>
        <w:rPr>
          <w:color w:val="auto"/>
          <w:highlight w:val="none"/>
        </w:rPr>
        <w:br w:type="page"/>
      </w:r>
      <w:bookmarkStart w:id="61" w:name="_Toc15361"/>
      <w:bookmarkEnd w:id="61"/>
    </w:p>
    <w:p>
      <w:pPr>
        <w:pStyle w:val="3"/>
        <w:widowControl w:val="0"/>
        <w:ind w:firstLine="643"/>
        <w:rPr>
          <w:color w:val="auto"/>
          <w:highlight w:val="none"/>
        </w:rPr>
      </w:pPr>
      <w:bookmarkStart w:id="62" w:name="_Toc17658"/>
      <w:r>
        <w:rPr>
          <w:rFonts w:hint="eastAsia"/>
          <w:color w:val="auto"/>
          <w:highlight w:val="none"/>
        </w:rPr>
        <w:t>工程分析</w:t>
      </w:r>
      <w:bookmarkEnd w:id="62"/>
    </w:p>
    <w:p>
      <w:pPr>
        <w:pStyle w:val="4"/>
        <w:widowControl w:val="0"/>
        <w:rPr>
          <w:color w:val="auto"/>
          <w:highlight w:val="none"/>
        </w:rPr>
      </w:pPr>
      <w:bookmarkStart w:id="63" w:name="_Toc27731"/>
      <w:r>
        <w:rPr>
          <w:rFonts w:hint="eastAsia"/>
          <w:color w:val="auto"/>
          <w:highlight w:val="none"/>
        </w:rPr>
        <w:t>施工期工程分析</w:t>
      </w:r>
      <w:bookmarkEnd w:id="63"/>
    </w:p>
    <w:p>
      <w:pPr>
        <w:widowControl w:val="0"/>
        <w:ind w:firstLine="480"/>
        <w:rPr>
          <w:color w:val="auto"/>
          <w:highlight w:val="none"/>
        </w:rPr>
      </w:pPr>
      <w:r>
        <w:rPr>
          <w:rFonts w:hint="eastAsia"/>
          <w:color w:val="auto"/>
          <w:highlight w:val="none"/>
        </w:rPr>
        <w:t>本项目属于未批先建，</w:t>
      </w:r>
      <w:r>
        <w:rPr>
          <w:rFonts w:hint="eastAsia"/>
          <w:color w:val="auto"/>
          <w:highlight w:val="none"/>
          <w:lang w:val="en-US" w:eastAsia="zh-CN"/>
        </w:rPr>
        <w:t>2021年</w:t>
      </w:r>
      <w:r>
        <w:rPr>
          <w:rFonts w:hint="eastAsia"/>
          <w:color w:val="auto"/>
          <w:highlight w:val="none"/>
        </w:rPr>
        <w:t>11月22日全厂停止施工。</w:t>
      </w:r>
      <w:r>
        <w:rPr>
          <w:rFonts w:hint="eastAsia"/>
          <w:color w:val="auto"/>
          <w:highlight w:val="none"/>
          <w:lang w:val="en-US" w:eastAsia="zh-CN"/>
        </w:rPr>
        <w:t>建设单位已缴纳罚款291600元。项目施工期间以及停工至今未收到投诉。</w:t>
      </w:r>
      <w:r>
        <w:rPr>
          <w:rFonts w:hint="eastAsia"/>
          <w:color w:val="auto"/>
          <w:highlight w:val="none"/>
        </w:rPr>
        <w:t>项目主体工程建设已结束，设备设施未进厂安装，以及污水管道暂未铺设，根据现场踏勘了解，</w:t>
      </w:r>
      <w:r>
        <w:rPr>
          <w:color w:val="auto"/>
          <w:szCs w:val="24"/>
          <w:highlight w:val="none"/>
        </w:rPr>
        <w:t>采取了现场围档、湿法作业、车辆冲洗、车辆密闭运输</w:t>
      </w:r>
      <w:r>
        <w:rPr>
          <w:bCs/>
          <w:color w:val="auto"/>
          <w:szCs w:val="24"/>
          <w:highlight w:val="none"/>
        </w:rPr>
        <w:t>等措施后，施工场地扬尘排放能够满足《四川省施工场地扬尘排放标准》（DB51/2682-2020）中相关限值要求，</w:t>
      </w:r>
      <w:r>
        <w:rPr>
          <w:color w:val="auto"/>
          <w:szCs w:val="24"/>
          <w:highlight w:val="none"/>
        </w:rPr>
        <w:t>无遗留环境问题</w:t>
      </w:r>
      <w:r>
        <w:rPr>
          <w:rFonts w:hint="eastAsia"/>
          <w:bCs/>
          <w:color w:val="auto"/>
          <w:szCs w:val="24"/>
          <w:highlight w:val="none"/>
        </w:rPr>
        <w:t>；</w:t>
      </w:r>
      <w:r>
        <w:rPr>
          <w:color w:val="auto"/>
          <w:szCs w:val="24"/>
          <w:highlight w:val="none"/>
        </w:rPr>
        <w:t>施工期生活污水经旱厕处理后用于农肥；土方阶段降尘用水、混凝土养护用水全部蒸发损失，车辆冲洗水经沉淀后回用，不外排</w:t>
      </w:r>
      <w:r>
        <w:rPr>
          <w:bCs/>
          <w:color w:val="auto"/>
          <w:szCs w:val="24"/>
          <w:highlight w:val="none"/>
        </w:rPr>
        <w:t>，</w:t>
      </w:r>
      <w:r>
        <w:rPr>
          <w:color w:val="auto"/>
          <w:szCs w:val="24"/>
          <w:highlight w:val="none"/>
        </w:rPr>
        <w:t>无遗留环境问题</w:t>
      </w:r>
      <w:r>
        <w:rPr>
          <w:rFonts w:hint="eastAsia"/>
          <w:bCs/>
          <w:color w:val="auto"/>
          <w:szCs w:val="24"/>
          <w:highlight w:val="none"/>
        </w:rPr>
        <w:t>；</w:t>
      </w:r>
      <w:r>
        <w:rPr>
          <w:color w:val="auto"/>
          <w:szCs w:val="24"/>
          <w:highlight w:val="none"/>
        </w:rPr>
        <w:t>施工期噪声采取了低噪声机械设备、合理布局、合理安排施工物料的运输时间等措施后，施工期间的场界噪声满足《建筑施工场界环境噪声排放标准》（GBl2523-2011）要求，</w:t>
      </w:r>
      <w:r>
        <w:rPr>
          <w:rFonts w:hint="eastAsia"/>
          <w:color w:val="auto"/>
          <w:szCs w:val="24"/>
          <w:highlight w:val="none"/>
        </w:rPr>
        <w:t>又由于</w:t>
      </w:r>
      <w:r>
        <w:rPr>
          <w:color w:val="auto"/>
          <w:szCs w:val="24"/>
          <w:highlight w:val="none"/>
        </w:rPr>
        <w:t>施工期噪声影响是短期的，</w:t>
      </w:r>
      <w:r>
        <w:rPr>
          <w:rFonts w:hint="eastAsia"/>
          <w:color w:val="auto"/>
          <w:szCs w:val="24"/>
          <w:highlight w:val="none"/>
        </w:rPr>
        <w:t>随</w:t>
      </w:r>
      <w:r>
        <w:rPr>
          <w:color w:val="auto"/>
          <w:szCs w:val="24"/>
          <w:highlight w:val="none"/>
        </w:rPr>
        <w:t>施工期结束而消失，无遗留环境问题</w:t>
      </w:r>
      <w:r>
        <w:rPr>
          <w:rFonts w:hint="eastAsia"/>
          <w:bCs/>
          <w:color w:val="auto"/>
          <w:szCs w:val="24"/>
          <w:highlight w:val="none"/>
        </w:rPr>
        <w:t>；</w:t>
      </w:r>
      <w:r>
        <w:rPr>
          <w:color w:val="auto"/>
          <w:szCs w:val="24"/>
          <w:highlight w:val="none"/>
        </w:rPr>
        <w:t>施工期生活垃圾经垃圾桶收集后由环卫部门进行清运处置；挖方全部用于填方，无弃方；废金属、钢筋、铁丝等杂物，产生量较少，交废物回收站处理；不能回收利用的建筑垃圾，运至政府指定建筑垃圾堆放点，无遗留环境问题</w:t>
      </w:r>
      <w:r>
        <w:rPr>
          <w:bCs/>
          <w:color w:val="auto"/>
          <w:szCs w:val="24"/>
          <w:highlight w:val="none"/>
        </w:rPr>
        <w:t>。</w:t>
      </w:r>
    </w:p>
    <w:p>
      <w:pPr>
        <w:widowControl w:val="0"/>
        <w:ind w:firstLine="482"/>
        <w:rPr>
          <w:b/>
          <w:bCs/>
          <w:color w:val="auto"/>
          <w:highlight w:val="none"/>
        </w:rPr>
      </w:pPr>
      <w:r>
        <w:rPr>
          <w:rFonts w:hint="eastAsia"/>
          <w:b/>
          <w:bCs/>
          <w:color w:val="auto"/>
          <w:highlight w:val="none"/>
        </w:rPr>
        <w:t>因此，本次施工期环评仅对后期污水管道建设和设备进厂安装及装饰工程进行分析，分析如下：</w:t>
      </w:r>
    </w:p>
    <w:p>
      <w:pPr>
        <w:pStyle w:val="5"/>
        <w:widowControl w:val="0"/>
        <w:ind w:firstLine="120"/>
        <w:rPr>
          <w:color w:val="auto"/>
          <w:highlight w:val="none"/>
        </w:rPr>
      </w:pPr>
      <w:r>
        <w:rPr>
          <w:rFonts w:hint="eastAsia"/>
          <w:color w:val="auto"/>
          <w:highlight w:val="none"/>
        </w:rPr>
        <w:t>工艺流程</w:t>
      </w:r>
    </w:p>
    <w:p>
      <w:pPr>
        <w:widowControl w:val="0"/>
        <w:ind w:firstLine="480"/>
        <w:rPr>
          <w:color w:val="auto"/>
          <w:highlight w:val="none"/>
        </w:rPr>
      </w:pPr>
      <w:r>
        <w:rPr>
          <w:rFonts w:hint="eastAsia"/>
          <w:color w:val="auto"/>
          <w:highlight w:val="none"/>
        </w:rPr>
        <w:t>项目主体工程已建设完成，项目施工期后期主要包括设备安装、设备调试以及污水管网铺设等，本项目</w:t>
      </w:r>
      <w:r>
        <w:rPr>
          <w:rFonts w:hint="eastAsia"/>
          <w:color w:val="auto"/>
          <w:highlight w:val="none"/>
          <w:lang w:val="en-US" w:eastAsia="zh-CN"/>
        </w:rPr>
        <w:t>污水管网与响滩镇污水处理厂污水受纳管网连通工程</w:t>
      </w:r>
      <w:r>
        <w:rPr>
          <w:rFonts w:hint="eastAsia"/>
          <w:color w:val="auto"/>
          <w:highlight w:val="none"/>
        </w:rPr>
        <w:t>均由本项目建设及维护，施工期具体工艺流程及产污环节见图4</w:t>
      </w:r>
      <w:r>
        <w:rPr>
          <w:color w:val="auto"/>
          <w:highlight w:val="none"/>
        </w:rPr>
        <w:t>.1-1</w:t>
      </w:r>
      <w:r>
        <w:rPr>
          <w:rFonts w:hint="eastAsia"/>
          <w:color w:val="auto"/>
          <w:highlight w:val="none"/>
        </w:rPr>
        <w:t>。</w:t>
      </w:r>
    </w:p>
    <w:p>
      <w:pPr>
        <w:pStyle w:val="32"/>
        <w:widowControl w:val="0"/>
        <w:ind w:firstLine="422"/>
        <w:rPr>
          <w:rFonts w:hint="default"/>
          <w:color w:val="auto"/>
          <w:highlight w:val="none"/>
        </w:rPr>
      </w:pPr>
      <w:r>
        <w:rPr>
          <w:rFonts w:hint="default"/>
          <w:color w:val="auto"/>
          <w:highlight w:val="none"/>
        </w:rPr>
        <w:pict>
          <v:shape id="_x0000_s1026" o:spid="_x0000_s1026" o:spt="75" type="#_x0000_t75" style="position:absolute;left:0pt;margin-left:77.9pt;margin-top:4.55pt;height:116.05pt;width:323.45pt;mso-wrap-distance-bottom:0pt;mso-wrap-distance-top:0pt;z-index:251671552;mso-width-relative:page;mso-height-relative:page;" o:ole="t" filled="f" o:preferrelative="t" stroked="f" coordsize="21600,21600">
            <v:path/>
            <v:fill on="f" focussize="0,0"/>
            <v:stroke on="f" joinstyle="miter"/>
            <v:imagedata r:id="rId19" cropleft="17794f" o:title=""/>
            <o:lock v:ext="edit" aspectratio="t"/>
            <w10:wrap type="topAndBottom"/>
          </v:shape>
          <o:OLEObject Type="Embed" ProgID="Visio.Drawing.15" ShapeID="_x0000_s1026" DrawAspect="Content" ObjectID="_1468075727" r:id="rId18">
            <o:LockedField>false</o:LockedField>
          </o:OLEObject>
        </w:pict>
      </w:r>
      <w:r>
        <w:rPr>
          <w:color w:val="auto"/>
          <w:highlight w:val="none"/>
        </w:rPr>
        <w:t>图4.1-1  施工期工艺流程及产污位置示意图</w:t>
      </w:r>
    </w:p>
    <w:p>
      <w:pPr>
        <w:pStyle w:val="32"/>
        <w:widowControl w:val="0"/>
        <w:ind w:firstLine="422"/>
        <w:rPr>
          <w:rFonts w:hint="default"/>
          <w:color w:val="auto"/>
          <w:highlight w:val="none"/>
        </w:rPr>
      </w:pPr>
    </w:p>
    <w:p>
      <w:pPr>
        <w:pStyle w:val="28"/>
        <w:widowControl w:val="0"/>
        <w:rPr>
          <w:color w:val="auto"/>
          <w:highlight w:val="none"/>
        </w:rPr>
      </w:pPr>
      <w:r>
        <w:rPr>
          <w:rFonts w:hint="eastAsia"/>
          <w:color w:val="auto"/>
          <w:highlight w:val="none"/>
        </w:rPr>
        <w:drawing>
          <wp:inline distT="0" distB="0" distL="114300" distR="114300">
            <wp:extent cx="5815330" cy="1813560"/>
            <wp:effectExtent l="0" t="0" r="13970" b="15240"/>
            <wp:docPr id="14" name="图片 14"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具 Model (1)"/>
                    <pic:cNvPicPr>
                      <a:picLocks noChangeAspect="1"/>
                    </pic:cNvPicPr>
                  </pic:nvPicPr>
                  <pic:blipFill>
                    <a:blip r:embed="rId20"/>
                    <a:srcRect t="39495" b="38453"/>
                    <a:stretch>
                      <a:fillRect/>
                    </a:stretch>
                  </pic:blipFill>
                  <pic:spPr>
                    <a:xfrm>
                      <a:off x="0" y="0"/>
                      <a:ext cx="5815330" cy="1813560"/>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图4.1-2  施工期管道建设工艺流程及产污位置示意图</w:t>
      </w:r>
    </w:p>
    <w:p>
      <w:pPr>
        <w:pStyle w:val="5"/>
        <w:widowControl w:val="0"/>
        <w:ind w:firstLine="120"/>
        <w:rPr>
          <w:color w:val="auto"/>
          <w:highlight w:val="none"/>
        </w:rPr>
      </w:pPr>
      <w:r>
        <w:rPr>
          <w:rFonts w:hint="eastAsia"/>
          <w:color w:val="auto"/>
          <w:highlight w:val="none"/>
        </w:rPr>
        <w:t>主要污染工序</w:t>
      </w:r>
    </w:p>
    <w:p>
      <w:pPr>
        <w:widowControl w:val="0"/>
        <w:ind w:firstLine="480"/>
        <w:jc w:val="left"/>
        <w:rPr>
          <w:color w:val="auto"/>
          <w:highlight w:val="none"/>
        </w:rPr>
      </w:pPr>
      <w:r>
        <w:rPr>
          <w:rFonts w:hint="eastAsia" w:ascii="宋体" w:hAnsi="宋体"/>
          <w:color w:val="auto"/>
          <w:highlight w:val="none"/>
        </w:rPr>
        <w:t>施工期污染因素主要为建筑垃圾、噪声、扬尘、试压废水、施工人员的生活废水、生活垃圾。</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）废气：主要为进出车辆及机械设备产生的尾气，主要污染物为CO、NO</w:t>
      </w:r>
      <w:r>
        <w:rPr>
          <w:rFonts w:hint="eastAsia"/>
          <w:color w:val="auto"/>
          <w:highlight w:val="none"/>
          <w:vertAlign w:val="subscript"/>
        </w:rPr>
        <w:t>2</w:t>
      </w:r>
      <w:r>
        <w:rPr>
          <w:rFonts w:hint="eastAsia"/>
          <w:color w:val="auto"/>
          <w:highlight w:val="none"/>
        </w:rPr>
        <w:t>。</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）废水：管道试压废水和施工人员产生的生活废水主要污染物为</w:t>
      </w:r>
      <w:r>
        <w:rPr>
          <w:color w:val="auto"/>
          <w:highlight w:val="none"/>
        </w:rPr>
        <w:t>BOD</w:t>
      </w:r>
      <w:r>
        <w:rPr>
          <w:color w:val="auto"/>
          <w:highlight w:val="none"/>
          <w:vertAlign w:val="subscript"/>
        </w:rPr>
        <w:t>5</w:t>
      </w:r>
      <w:r>
        <w:rPr>
          <w:rFonts w:hint="eastAsia"/>
          <w:color w:val="auto"/>
          <w:highlight w:val="none"/>
        </w:rPr>
        <w:t>、</w:t>
      </w:r>
      <w:r>
        <w:rPr>
          <w:color w:val="auto"/>
          <w:highlight w:val="none"/>
        </w:rPr>
        <w:t>COD</w:t>
      </w:r>
      <w:r>
        <w:rPr>
          <w:rFonts w:hint="eastAsia"/>
          <w:color w:val="auto"/>
          <w:highlight w:val="none"/>
        </w:rPr>
        <w:t>、</w:t>
      </w:r>
      <w:r>
        <w:rPr>
          <w:color w:val="auto"/>
          <w:highlight w:val="none"/>
        </w:rPr>
        <w:t>SS</w:t>
      </w:r>
      <w:r>
        <w:rPr>
          <w:rFonts w:hint="eastAsia"/>
          <w:color w:val="auto"/>
          <w:highlight w:val="none"/>
        </w:rPr>
        <w:t>。</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）噪声：各类施工机械和运输车辆等施工作业时产生设备噪声。</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）固废：建筑垃圾、生活垃圾等。</w:t>
      </w:r>
    </w:p>
    <w:p>
      <w:pPr>
        <w:pStyle w:val="5"/>
        <w:widowControl w:val="0"/>
        <w:ind w:firstLine="120"/>
        <w:rPr>
          <w:color w:val="auto"/>
          <w:highlight w:val="none"/>
        </w:rPr>
      </w:pPr>
      <w:r>
        <w:rPr>
          <w:rFonts w:hint="eastAsia"/>
          <w:color w:val="auto"/>
          <w:highlight w:val="none"/>
        </w:rPr>
        <w:t>施工期污染物排放及治理措施</w:t>
      </w:r>
    </w:p>
    <w:p>
      <w:pPr>
        <w:pStyle w:val="6"/>
        <w:widowControl w:val="0"/>
        <w:ind w:left="-160" w:firstLineChars="0"/>
        <w:rPr>
          <w:color w:val="auto"/>
          <w:highlight w:val="none"/>
        </w:rPr>
      </w:pPr>
      <w:r>
        <w:rPr>
          <w:rFonts w:hint="eastAsia"/>
          <w:color w:val="auto"/>
          <w:highlight w:val="none"/>
        </w:rPr>
        <w:t>废水排放方及治理措施</w:t>
      </w:r>
    </w:p>
    <w:p>
      <w:pPr>
        <w:widowControl w:val="0"/>
        <w:ind w:firstLine="480"/>
        <w:rPr>
          <w:color w:val="auto"/>
          <w:highlight w:val="none"/>
        </w:rPr>
      </w:pPr>
      <w:r>
        <w:rPr>
          <w:rFonts w:hint="eastAsia"/>
          <w:color w:val="auto"/>
          <w:highlight w:val="none"/>
        </w:rPr>
        <w:t>施工期的废水主要来自于施工人员的生活污水和施工废水。</w:t>
      </w:r>
    </w:p>
    <w:p>
      <w:pPr>
        <w:widowControl w:val="0"/>
        <w:ind w:firstLine="480"/>
        <w:rPr>
          <w:color w:val="auto"/>
          <w:highlight w:val="none"/>
        </w:rPr>
      </w:pPr>
      <w:r>
        <w:rPr>
          <w:rFonts w:hint="eastAsia"/>
          <w:color w:val="auto"/>
          <w:highlight w:val="none"/>
        </w:rPr>
        <w:t>生活污水：施工人员就近租用附近民宅居住，不在施工现场食宿。施工人员预计高峰期最大</w:t>
      </w:r>
      <w:r>
        <w:rPr>
          <w:color w:val="auto"/>
          <w:highlight w:val="none"/>
        </w:rPr>
        <w:t>20</w:t>
      </w:r>
      <w:r>
        <w:rPr>
          <w:rFonts w:hint="eastAsia"/>
          <w:color w:val="auto"/>
          <w:highlight w:val="none"/>
        </w:rPr>
        <w:t>人</w:t>
      </w:r>
      <w:r>
        <w:rPr>
          <w:color w:val="auto"/>
          <w:highlight w:val="none"/>
        </w:rPr>
        <w:t>/d</w:t>
      </w:r>
      <w:r>
        <w:rPr>
          <w:rFonts w:hint="eastAsia"/>
          <w:color w:val="auto"/>
          <w:highlight w:val="none"/>
        </w:rPr>
        <w:t>，根据《建筑给水排水设计标准》（</w:t>
      </w:r>
      <w:r>
        <w:rPr>
          <w:color w:val="auto"/>
          <w:highlight w:val="none"/>
        </w:rPr>
        <w:t>GB50015-20</w:t>
      </w:r>
      <w:r>
        <w:rPr>
          <w:rFonts w:hint="eastAsia"/>
          <w:color w:val="auto"/>
          <w:highlight w:val="none"/>
        </w:rPr>
        <w:t>19），用水量按</w:t>
      </w:r>
      <w:r>
        <w:rPr>
          <w:color w:val="auto"/>
          <w:highlight w:val="none"/>
        </w:rPr>
        <w:t>50L/d</w:t>
      </w:r>
      <w:r>
        <w:rPr>
          <w:rFonts w:hint="eastAsia"/>
          <w:color w:val="auto"/>
          <w:highlight w:val="none"/>
        </w:rPr>
        <w:t>·人计，排放系数</w:t>
      </w:r>
      <w:r>
        <w:rPr>
          <w:color w:val="auto"/>
          <w:highlight w:val="none"/>
        </w:rPr>
        <w:t>0.85</w:t>
      </w:r>
      <w:r>
        <w:rPr>
          <w:rFonts w:hint="eastAsia"/>
          <w:color w:val="auto"/>
          <w:highlight w:val="none"/>
        </w:rPr>
        <w:t>，将产生生活污水</w:t>
      </w:r>
      <w:r>
        <w:rPr>
          <w:color w:val="auto"/>
          <w:highlight w:val="none"/>
        </w:rPr>
        <w:t>0.85m</w:t>
      </w:r>
      <w:r>
        <w:rPr>
          <w:color w:val="auto"/>
          <w:highlight w:val="none"/>
          <w:vertAlign w:val="superscript"/>
        </w:rPr>
        <w:t>3</w:t>
      </w:r>
      <w:r>
        <w:rPr>
          <w:color w:val="auto"/>
          <w:highlight w:val="none"/>
        </w:rPr>
        <w:t>/d</w:t>
      </w:r>
      <w:r>
        <w:rPr>
          <w:rFonts w:hint="eastAsia"/>
          <w:color w:val="auto"/>
          <w:highlight w:val="none"/>
        </w:rPr>
        <w:t>，主要污染物浓度</w:t>
      </w:r>
      <w:r>
        <w:rPr>
          <w:color w:val="auto"/>
          <w:highlight w:val="none"/>
        </w:rPr>
        <w:t>COD</w:t>
      </w:r>
      <w:r>
        <w:rPr>
          <w:rFonts w:hint="eastAsia"/>
          <w:color w:val="auto"/>
          <w:highlight w:val="none"/>
        </w:rPr>
        <w:t>：</w:t>
      </w:r>
      <w:r>
        <w:rPr>
          <w:color w:val="auto"/>
          <w:highlight w:val="none"/>
        </w:rPr>
        <w:t>350</w:t>
      </w:r>
      <w:r>
        <w:rPr>
          <w:rFonts w:hint="eastAsia"/>
          <w:color w:val="auto"/>
          <w:highlight w:val="none"/>
        </w:rPr>
        <w:t>mg/L、</w:t>
      </w:r>
      <w:r>
        <w:rPr>
          <w:color w:val="auto"/>
          <w:highlight w:val="none"/>
        </w:rPr>
        <w:t>SS</w:t>
      </w:r>
      <w:r>
        <w:rPr>
          <w:rFonts w:hint="eastAsia"/>
          <w:color w:val="auto"/>
          <w:highlight w:val="none"/>
        </w:rPr>
        <w:t>：</w:t>
      </w:r>
      <w:r>
        <w:rPr>
          <w:color w:val="auto"/>
          <w:highlight w:val="none"/>
        </w:rPr>
        <w:t>300</w:t>
      </w:r>
      <w:r>
        <w:rPr>
          <w:rFonts w:hint="eastAsia"/>
          <w:color w:val="auto"/>
          <w:highlight w:val="none"/>
        </w:rPr>
        <w:t>mg/L、</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35</w:t>
      </w:r>
      <w:r>
        <w:rPr>
          <w:rFonts w:hint="eastAsia"/>
          <w:color w:val="auto"/>
          <w:highlight w:val="none"/>
        </w:rPr>
        <w:t>mg/L，污染物产生量分别为</w:t>
      </w:r>
      <w:r>
        <w:rPr>
          <w:color w:val="auto"/>
          <w:highlight w:val="none"/>
        </w:rPr>
        <w:t>COD</w:t>
      </w:r>
      <w:r>
        <w:rPr>
          <w:rFonts w:hint="eastAsia"/>
          <w:color w:val="auto"/>
          <w:highlight w:val="none"/>
        </w:rPr>
        <w:t>：</w:t>
      </w:r>
      <w:r>
        <w:rPr>
          <w:color w:val="auto"/>
          <w:highlight w:val="none"/>
        </w:rPr>
        <w:t>0.35kg/d</w:t>
      </w:r>
      <w:r>
        <w:rPr>
          <w:rFonts w:hint="eastAsia"/>
          <w:color w:val="auto"/>
          <w:highlight w:val="none"/>
        </w:rPr>
        <w:t>、</w:t>
      </w:r>
      <w:r>
        <w:rPr>
          <w:color w:val="auto"/>
          <w:highlight w:val="none"/>
        </w:rPr>
        <w:t>SS</w:t>
      </w:r>
      <w:r>
        <w:rPr>
          <w:rFonts w:hint="eastAsia"/>
          <w:color w:val="auto"/>
          <w:highlight w:val="none"/>
        </w:rPr>
        <w:t>：</w:t>
      </w:r>
      <w:r>
        <w:rPr>
          <w:color w:val="auto"/>
          <w:highlight w:val="none"/>
        </w:rPr>
        <w:t>0.3kg/d</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0.035kg/d</w:t>
      </w:r>
      <w:r>
        <w:rPr>
          <w:rFonts w:hint="eastAsia"/>
          <w:color w:val="auto"/>
          <w:highlight w:val="none"/>
        </w:rPr>
        <w:t>。产生的生活污水依托周边农户已有卫生设施进行处理。</w:t>
      </w:r>
    </w:p>
    <w:p>
      <w:pPr>
        <w:widowControl w:val="0"/>
        <w:ind w:firstLine="480"/>
        <w:rPr>
          <w:color w:val="auto"/>
          <w:highlight w:val="none"/>
        </w:rPr>
      </w:pPr>
      <w:r>
        <w:rPr>
          <w:rFonts w:hint="eastAsia"/>
          <w:color w:val="auto"/>
          <w:highlight w:val="none"/>
        </w:rPr>
        <w:t>施工废水：项目施工废水主要污染物为SS，经项目临时沉淀池处理后用于场地喷淋降尘。</w:t>
      </w:r>
    </w:p>
    <w:p>
      <w:pPr>
        <w:widowControl w:val="0"/>
        <w:ind w:firstLine="480"/>
        <w:rPr>
          <w:color w:val="auto"/>
          <w:highlight w:val="none"/>
        </w:rPr>
      </w:pPr>
      <w:r>
        <w:rPr>
          <w:rFonts w:hint="eastAsia"/>
          <w:color w:val="auto"/>
          <w:highlight w:val="none"/>
        </w:rPr>
        <w:t>试压废水：</w:t>
      </w:r>
      <w:r>
        <w:rPr>
          <w:color w:val="auto"/>
          <w:highlight w:val="none"/>
        </w:rPr>
        <w:t>试压废水中含有的污染物</w:t>
      </w:r>
      <w:r>
        <w:rPr>
          <w:rFonts w:hint="eastAsia"/>
          <w:color w:val="auto"/>
          <w:highlight w:val="none"/>
        </w:rPr>
        <w:t>主要为</w:t>
      </w:r>
      <w:r>
        <w:rPr>
          <w:rFonts w:hint="eastAsia"/>
          <w:color w:val="auto"/>
          <w:highlight w:val="none"/>
          <w:lang w:val="en-US" w:eastAsia="zh-CN"/>
        </w:rPr>
        <w:t>SS</w:t>
      </w:r>
      <w:r>
        <w:rPr>
          <w:rFonts w:hint="eastAsia"/>
          <w:color w:val="auto"/>
          <w:highlight w:val="none"/>
        </w:rPr>
        <w:t>且含量</w:t>
      </w:r>
      <w:r>
        <w:rPr>
          <w:color w:val="auto"/>
          <w:highlight w:val="none"/>
        </w:rPr>
        <w:t>较少，</w:t>
      </w:r>
      <w:r>
        <w:rPr>
          <w:rFonts w:hint="eastAsia"/>
          <w:color w:val="auto"/>
          <w:highlight w:val="none"/>
        </w:rPr>
        <w:t>试压完成后的试压废水</w:t>
      </w:r>
      <w:r>
        <w:rPr>
          <w:rFonts w:hint="eastAsia"/>
          <w:color w:val="auto"/>
          <w:highlight w:val="none"/>
          <w:lang w:val="en-US" w:eastAsia="zh-CN"/>
        </w:rPr>
        <w:t>通过沉淀池沉淀后排入濛溪河</w:t>
      </w:r>
      <w:r>
        <w:rPr>
          <w:rFonts w:hint="eastAsia"/>
          <w:color w:val="auto"/>
          <w:highlight w:val="none"/>
        </w:rPr>
        <w:t>。</w:t>
      </w:r>
    </w:p>
    <w:p>
      <w:pPr>
        <w:pStyle w:val="6"/>
        <w:widowControl w:val="0"/>
        <w:ind w:left="-160" w:firstLineChars="0"/>
        <w:rPr>
          <w:rFonts w:ascii="宋体" w:hAnsi="宋体"/>
          <w:color w:val="auto"/>
          <w:highlight w:val="none"/>
        </w:rPr>
      </w:pPr>
      <w:r>
        <w:rPr>
          <w:rFonts w:hint="eastAsia" w:ascii="宋体" w:hAnsi="宋体"/>
          <w:color w:val="auto"/>
          <w:highlight w:val="none"/>
        </w:rPr>
        <w:t>废气排放及治理措施</w:t>
      </w:r>
    </w:p>
    <w:p>
      <w:pPr>
        <w:widowControl w:val="0"/>
        <w:ind w:firstLine="480"/>
        <w:rPr>
          <w:color w:val="auto"/>
          <w:highlight w:val="none"/>
        </w:rPr>
      </w:pPr>
      <w:r>
        <w:rPr>
          <w:rFonts w:hint="eastAsia"/>
          <w:color w:val="auto"/>
          <w:highlight w:val="none"/>
        </w:rPr>
        <w:t>项目施工期废气主要为施工扬尘、管道组焊产生的焊接烟尘、燃油机械废气、装修废气等。</w:t>
      </w:r>
    </w:p>
    <w:p>
      <w:pPr>
        <w:widowControl w:val="0"/>
        <w:ind w:firstLine="480"/>
        <w:rPr>
          <w:color w:val="auto"/>
          <w:highlight w:val="none"/>
        </w:rPr>
      </w:pPr>
      <w:r>
        <w:rPr>
          <w:rFonts w:hint="eastAsia"/>
          <w:color w:val="auto"/>
          <w:highlight w:val="none"/>
        </w:rPr>
        <w:t>（1）施工扬尘</w:t>
      </w:r>
    </w:p>
    <w:p>
      <w:pPr>
        <w:widowControl w:val="0"/>
        <w:ind w:firstLine="480"/>
        <w:rPr>
          <w:b/>
          <w:color w:val="auto"/>
          <w:highlight w:val="none"/>
        </w:rPr>
      </w:pPr>
      <w:r>
        <w:rPr>
          <w:rFonts w:hint="eastAsia"/>
          <w:color w:val="auto"/>
          <w:highlight w:val="none"/>
        </w:rPr>
        <w:t>本项目管道施工时</w:t>
      </w:r>
      <w:r>
        <w:rPr>
          <w:color w:val="auto"/>
          <w:highlight w:val="none"/>
        </w:rPr>
        <w:t>由于挖取土（石）及泥土、水泥、沙石等材料的装卸、运输过程中有大量施工扬尘散逸到周围环境空气中；同时，基础施工运送物料堆放期间由于风吹等都会引起扬尘污染，尤其是在风速较大和装卸、汽车行驶速度较快的情况下，粉尘、TSP的污染尤为严重。</w:t>
      </w:r>
      <w:r>
        <w:rPr>
          <w:color w:val="auto"/>
          <w:kern w:val="0"/>
          <w:highlight w:val="none"/>
        </w:rPr>
        <w:t>施工期扬尘污染造成大气中TSP值增高，严重污染区域空气质量。</w:t>
      </w:r>
      <w:r>
        <w:rPr>
          <w:color w:val="auto"/>
          <w:highlight w:val="none"/>
        </w:rPr>
        <w:t>根据类比分析，扬尘浓度一般为3.6mg/m</w:t>
      </w:r>
      <w:r>
        <w:rPr>
          <w:color w:val="auto"/>
          <w:highlight w:val="none"/>
          <w:vertAlign w:val="superscript"/>
        </w:rPr>
        <w:t>3</w:t>
      </w:r>
      <w:r>
        <w:rPr>
          <w:color w:val="auto"/>
          <w:highlight w:val="none"/>
        </w:rPr>
        <w:t>。</w:t>
      </w:r>
    </w:p>
    <w:p>
      <w:pPr>
        <w:widowControl w:val="0"/>
        <w:ind w:firstLine="480"/>
        <w:rPr>
          <w:bCs/>
          <w:color w:val="auto"/>
          <w:highlight w:val="none"/>
        </w:rPr>
      </w:pPr>
      <w:r>
        <w:rPr>
          <w:rFonts w:hint="eastAsia"/>
          <w:color w:val="auto"/>
          <w:highlight w:val="none"/>
        </w:rPr>
        <w:t>本项目管道施工时采取围挡作业、</w:t>
      </w:r>
      <w:r>
        <w:rPr>
          <w:color w:val="auto"/>
          <w:highlight w:val="none"/>
        </w:rPr>
        <w:t>湿法作业，在施工场地清理阶段，做到先洒水，后清扫，防止扬尘产生；车辆按照批准的路线和时间进行物料、渣土、垃圾的运输</w:t>
      </w:r>
      <w:r>
        <w:rPr>
          <w:rFonts w:hint="eastAsia"/>
          <w:color w:val="auto"/>
          <w:highlight w:val="none"/>
        </w:rPr>
        <w:t>，运输时采用封闭式车辆；</w:t>
      </w:r>
      <w:r>
        <w:rPr>
          <w:color w:val="auto"/>
          <w:highlight w:val="none"/>
        </w:rPr>
        <w:t>沙、石等散体建筑材料和土方应统一堆放，临时材料堆放场和弃土场，均设于线路旁，采取了设置临时表面覆盖、洒水等防扬尘措施</w:t>
      </w:r>
      <w:r>
        <w:rPr>
          <w:rFonts w:hint="eastAsia"/>
          <w:color w:val="auto"/>
          <w:highlight w:val="none"/>
        </w:rPr>
        <w:t>；</w:t>
      </w:r>
      <w:r>
        <w:rPr>
          <w:bCs/>
          <w:color w:val="auto"/>
          <w:highlight w:val="none"/>
        </w:rPr>
        <w:t>风速四级以上易产生扬尘时暂停土方开挖，采取了覆盖堆料、湿润等措施，有效减少扬尘污染；</w:t>
      </w:r>
      <w:r>
        <w:rPr>
          <w:color w:val="auto"/>
          <w:highlight w:val="none"/>
        </w:rPr>
        <w:t>把施工时间控制在最短范围内，并提起发布公告；</w:t>
      </w:r>
      <w:r>
        <w:rPr>
          <w:bCs/>
          <w:color w:val="auto"/>
          <w:highlight w:val="none"/>
        </w:rPr>
        <w:t>工程完毕后及时清理施工场地。对施工场地、堆料场及时进行清理，恢复临时占地原有使用功能。</w:t>
      </w:r>
    </w:p>
    <w:p>
      <w:pPr>
        <w:widowControl w:val="0"/>
        <w:ind w:firstLine="480"/>
        <w:rPr>
          <w:rFonts w:hint="eastAsia"/>
          <w:color w:val="auto"/>
          <w:highlight w:val="none"/>
        </w:rPr>
      </w:pPr>
      <w:r>
        <w:rPr>
          <w:rFonts w:ascii="宋体" w:hAnsi="宋体" w:eastAsia="宋体" w:cs="宋体"/>
          <w:color w:val="auto"/>
          <w:sz w:val="24"/>
          <w:szCs w:val="24"/>
          <w:highlight w:val="none"/>
        </w:rPr>
        <w:t>严格按照四川省、</w:t>
      </w:r>
      <w:r>
        <w:rPr>
          <w:rFonts w:hint="eastAsia" w:ascii="宋体" w:hAnsi="宋体" w:eastAsia="宋体" w:cs="宋体"/>
          <w:color w:val="auto"/>
          <w:sz w:val="24"/>
          <w:szCs w:val="24"/>
          <w:highlight w:val="none"/>
          <w:lang w:val="en-US" w:eastAsia="zh-CN"/>
        </w:rPr>
        <w:t>巴中</w:t>
      </w:r>
      <w:r>
        <w:rPr>
          <w:rFonts w:ascii="宋体" w:hAnsi="宋体" w:eastAsia="宋体" w:cs="宋体"/>
          <w:color w:val="auto"/>
          <w:sz w:val="24"/>
          <w:szCs w:val="24"/>
          <w:highlight w:val="none"/>
        </w:rPr>
        <w:t>市、</w:t>
      </w:r>
      <w:r>
        <w:rPr>
          <w:rFonts w:hint="eastAsia" w:ascii="宋体" w:hAnsi="宋体" w:eastAsia="宋体" w:cs="宋体"/>
          <w:color w:val="auto"/>
          <w:sz w:val="24"/>
          <w:szCs w:val="24"/>
          <w:highlight w:val="none"/>
          <w:lang w:val="en-US" w:eastAsia="zh-CN"/>
        </w:rPr>
        <w:t>平昌</w:t>
      </w:r>
      <w:r>
        <w:rPr>
          <w:rFonts w:ascii="宋体" w:hAnsi="宋体" w:eastAsia="宋体" w:cs="宋体"/>
          <w:color w:val="auto"/>
          <w:sz w:val="24"/>
          <w:szCs w:val="24"/>
          <w:highlight w:val="none"/>
        </w:rPr>
        <w:t>县相关文件对扬尘的控制措施，对施工工地严格做到“六必须”、“六不准”，加强洒水降尘，清除路面尘土，进离场路口硬化处理等防护工作。</w:t>
      </w:r>
    </w:p>
    <w:p>
      <w:pPr>
        <w:widowControl w:val="0"/>
        <w:ind w:firstLine="480"/>
        <w:rPr>
          <w:color w:val="auto"/>
          <w:highlight w:val="none"/>
        </w:rPr>
      </w:pPr>
      <w:r>
        <w:rPr>
          <w:rFonts w:hint="eastAsia"/>
          <w:color w:val="auto"/>
          <w:highlight w:val="none"/>
        </w:rPr>
        <w:t>（2）焊烟</w:t>
      </w:r>
    </w:p>
    <w:p>
      <w:pPr>
        <w:widowControl w:val="0"/>
        <w:ind w:firstLine="480"/>
        <w:rPr>
          <w:color w:val="auto"/>
          <w:highlight w:val="none"/>
        </w:rPr>
      </w:pPr>
      <w:r>
        <w:rPr>
          <w:bCs/>
          <w:color w:val="auto"/>
          <w:highlight w:val="none"/>
        </w:rPr>
        <w:t>本工程</w:t>
      </w:r>
      <w:r>
        <w:rPr>
          <w:color w:val="auto"/>
          <w:highlight w:val="none"/>
        </w:rPr>
        <w:t>管道采用国内应用技术较成熟的半自动焊进行焊接。</w:t>
      </w:r>
    </w:p>
    <w:p>
      <w:pPr>
        <w:widowControl w:val="0"/>
        <w:ind w:firstLine="480"/>
        <w:rPr>
          <w:color w:val="auto"/>
          <w:highlight w:val="none"/>
        </w:rPr>
      </w:pPr>
      <w:r>
        <w:rPr>
          <w:color w:val="auto"/>
          <w:highlight w:val="none"/>
        </w:rPr>
        <w:t>本工程管道焊接采用氩弧焊打底，手工电弧焊多层焊接盖面。本项目焊接点位较少，焊烟产生量较少，本项目旱烟直接排入大气环境。</w:t>
      </w:r>
    </w:p>
    <w:p>
      <w:pPr>
        <w:widowControl w:val="0"/>
        <w:ind w:firstLine="480"/>
        <w:rPr>
          <w:color w:val="auto"/>
          <w:highlight w:val="none"/>
        </w:rPr>
      </w:pPr>
      <w:r>
        <w:rPr>
          <w:rFonts w:hint="eastAsia"/>
          <w:color w:val="auto"/>
          <w:highlight w:val="none"/>
        </w:rPr>
        <w:t>（3）装修废气及机械燃油废气</w:t>
      </w:r>
    </w:p>
    <w:p>
      <w:pPr>
        <w:widowControl w:val="0"/>
        <w:ind w:firstLine="480"/>
        <w:rPr>
          <w:color w:val="auto"/>
          <w:highlight w:val="none"/>
        </w:rPr>
      </w:pPr>
      <w:r>
        <w:rPr>
          <w:color w:val="auto"/>
          <w:highlight w:val="none"/>
        </w:rPr>
        <w:t>施工期间，使用机动车运送原材料、设备和建筑机械设备的运转，均会排放一定量的CO、NOx以及未完全燃烧的THC等，其特点是排放量小，且属间断性无组织排放，由于施工场地开阔，扩散条件良好，因此在采取相应的措施后能够做到达标排放。在施工期内应多加注意施工设备的维护，使其能够正常的运行，提高设备原料的利用率。油漆废气主要</w:t>
      </w:r>
      <w:r>
        <w:rPr>
          <w:rFonts w:hint="eastAsia"/>
          <w:color w:val="auto"/>
          <w:highlight w:val="none"/>
        </w:rPr>
        <w:t>来自</w:t>
      </w:r>
      <w:r>
        <w:rPr>
          <w:color w:val="auto"/>
          <w:highlight w:val="none"/>
        </w:rPr>
        <w:t>管理用房、食堂、员工宿舍装修阶段，该废气的排放属无组织排放，其主要污染因子为二甲苯和甲苯，此外还有极少量的汽油、丁醇和丙醇等。由于油漆废气的排放时间和部位不能十分明确，并且装修阶段的油漆废气排放周期短，且作业量较小。因此，在装修油漆期间，施工单位在采用环保型油漆、加强了室内的通风换气情况下，再加之项目所在场地扩散条件较好，从而，项目装修施工产生的油漆废气可实现达标排放。</w:t>
      </w:r>
    </w:p>
    <w:p>
      <w:pPr>
        <w:pStyle w:val="6"/>
        <w:widowControl w:val="0"/>
        <w:ind w:left="-160" w:firstLineChars="0"/>
        <w:rPr>
          <w:color w:val="auto"/>
          <w:highlight w:val="none"/>
        </w:rPr>
      </w:pPr>
      <w:r>
        <w:rPr>
          <w:rFonts w:hint="eastAsia"/>
          <w:color w:val="auto"/>
          <w:highlight w:val="none"/>
        </w:rPr>
        <w:t>噪声排放及治理措施</w:t>
      </w:r>
    </w:p>
    <w:p>
      <w:pPr>
        <w:widowControl w:val="0"/>
        <w:ind w:firstLine="480"/>
        <w:rPr>
          <w:color w:val="auto"/>
          <w:highlight w:val="none"/>
        </w:rPr>
      </w:pPr>
      <w:r>
        <w:rPr>
          <w:rFonts w:hint="eastAsia"/>
          <w:color w:val="auto"/>
          <w:highlight w:val="none"/>
        </w:rPr>
        <w:t>本项目施工期仅对设备进行安装调试，因此主要噪声源为各类小型施工机械，如电钻、电锤和运输车辆等，根据《环境噪声与振动控制工程技术导则》（</w:t>
      </w:r>
      <w:r>
        <w:rPr>
          <w:color w:val="auto"/>
          <w:highlight w:val="none"/>
        </w:rPr>
        <w:t>HJ2034-2013</w:t>
      </w:r>
      <w:r>
        <w:rPr>
          <w:rFonts w:hint="eastAsia"/>
          <w:color w:val="auto"/>
          <w:highlight w:val="none"/>
        </w:rPr>
        <w:t>）附录</w:t>
      </w:r>
      <w:r>
        <w:rPr>
          <w:color w:val="auto"/>
          <w:highlight w:val="none"/>
        </w:rPr>
        <w:t>A</w:t>
      </w:r>
      <w:r>
        <w:rPr>
          <w:rFonts w:hint="eastAsia"/>
          <w:color w:val="auto"/>
          <w:highlight w:val="none"/>
        </w:rPr>
        <w:t>表</w:t>
      </w:r>
      <w:r>
        <w:rPr>
          <w:color w:val="auto"/>
          <w:highlight w:val="none"/>
        </w:rPr>
        <w:t>A.2</w:t>
      </w:r>
      <w:r>
        <w:rPr>
          <w:rFonts w:hint="eastAsia"/>
          <w:color w:val="auto"/>
          <w:highlight w:val="none"/>
        </w:rPr>
        <w:t>及相关资料可知，常见施工设备噪声源不同距离声压级，具体噪声值见表4</w:t>
      </w:r>
      <w:r>
        <w:rPr>
          <w:color w:val="auto"/>
          <w:highlight w:val="none"/>
        </w:rPr>
        <w:t>.1-1</w:t>
      </w:r>
      <w:r>
        <w:rPr>
          <w:rFonts w:hint="eastAsia"/>
          <w:color w:val="auto"/>
          <w:highlight w:val="none"/>
        </w:rPr>
        <w:t>。</w:t>
      </w:r>
    </w:p>
    <w:p>
      <w:pPr>
        <w:pStyle w:val="27"/>
        <w:widowControl w:val="0"/>
        <w:rPr>
          <w:color w:val="auto"/>
          <w:highlight w:val="none"/>
        </w:rPr>
      </w:pPr>
      <w:r>
        <w:rPr>
          <w:rFonts w:hint="eastAsia"/>
          <w:color w:val="auto"/>
          <w:highlight w:val="none"/>
        </w:rPr>
        <w:t>常见施工设备噪声源不同距离声压级</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3205"/>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Borders>
              <w:tl2br w:val="nil"/>
              <w:tr2bl w:val="nil"/>
            </w:tcBorders>
            <w:vAlign w:val="center"/>
          </w:tcPr>
          <w:p>
            <w:pPr>
              <w:pStyle w:val="28"/>
              <w:widowControl w:val="0"/>
              <w:rPr>
                <w:b/>
                <w:bCs/>
                <w:color w:val="auto"/>
                <w:highlight w:val="none"/>
              </w:rPr>
            </w:pPr>
            <w:r>
              <w:rPr>
                <w:rFonts w:hint="eastAsia"/>
                <w:b/>
                <w:bCs/>
                <w:color w:val="auto"/>
                <w:highlight w:val="none"/>
              </w:rPr>
              <w:t>施工设备名称</w:t>
            </w:r>
          </w:p>
        </w:tc>
        <w:tc>
          <w:tcPr>
            <w:tcW w:w="1666" w:type="pct"/>
            <w:tcBorders>
              <w:tl2br w:val="nil"/>
              <w:tr2bl w:val="nil"/>
            </w:tcBorders>
            <w:vAlign w:val="center"/>
          </w:tcPr>
          <w:p>
            <w:pPr>
              <w:pStyle w:val="28"/>
              <w:widowControl w:val="0"/>
              <w:rPr>
                <w:b/>
                <w:bCs/>
                <w:color w:val="auto"/>
                <w:highlight w:val="none"/>
              </w:rPr>
            </w:pPr>
            <w:r>
              <w:rPr>
                <w:rFonts w:hint="eastAsia"/>
                <w:b/>
                <w:bCs/>
                <w:color w:val="auto"/>
                <w:highlight w:val="none"/>
              </w:rPr>
              <w:t>距声源5m</w:t>
            </w:r>
          </w:p>
        </w:tc>
        <w:tc>
          <w:tcPr>
            <w:tcW w:w="1667" w:type="pct"/>
            <w:tcBorders>
              <w:tl2br w:val="nil"/>
              <w:tr2bl w:val="nil"/>
            </w:tcBorders>
            <w:vAlign w:val="center"/>
          </w:tcPr>
          <w:p>
            <w:pPr>
              <w:pStyle w:val="28"/>
              <w:widowControl w:val="0"/>
              <w:rPr>
                <w:b/>
                <w:bCs/>
                <w:color w:val="auto"/>
                <w:highlight w:val="none"/>
              </w:rPr>
            </w:pPr>
            <w:r>
              <w:rPr>
                <w:rFonts w:hint="eastAsia"/>
                <w:b/>
                <w:bCs/>
                <w:color w:val="auto"/>
                <w:highlight w:val="none"/>
              </w:rPr>
              <w:t>距声源10m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pPr>
              <w:pStyle w:val="28"/>
              <w:widowControl w:val="0"/>
              <w:rPr>
                <w:rFonts w:ascii="宋体" w:hAnsi="宋体"/>
                <w:color w:val="auto"/>
                <w:sz w:val="22"/>
                <w:highlight w:val="none"/>
              </w:rPr>
            </w:pPr>
            <w:r>
              <w:rPr>
                <w:rFonts w:hint="eastAsia" w:ascii="宋体" w:hAnsi="宋体"/>
                <w:color w:val="auto"/>
                <w:sz w:val="22"/>
                <w:highlight w:val="none"/>
              </w:rPr>
              <w:t>电钻</w:t>
            </w:r>
          </w:p>
        </w:tc>
        <w:tc>
          <w:tcPr>
            <w:tcW w:w="1666" w:type="pct"/>
            <w:tcBorders>
              <w:tl2br w:val="nil"/>
              <w:tr2bl w:val="nil"/>
            </w:tcBorders>
            <w:vAlign w:val="center"/>
          </w:tcPr>
          <w:p>
            <w:pPr>
              <w:pStyle w:val="28"/>
              <w:widowControl w:val="0"/>
              <w:rPr>
                <w:color w:val="auto"/>
                <w:highlight w:val="none"/>
              </w:rPr>
            </w:pPr>
            <w:r>
              <w:rPr>
                <w:rFonts w:hint="eastAsia"/>
                <w:color w:val="auto"/>
                <w:highlight w:val="none"/>
              </w:rPr>
              <w:t>78~86</w:t>
            </w:r>
          </w:p>
        </w:tc>
        <w:tc>
          <w:tcPr>
            <w:tcW w:w="1667" w:type="pct"/>
            <w:tcBorders>
              <w:tl2br w:val="nil"/>
              <w:tr2bl w:val="nil"/>
            </w:tcBorders>
            <w:vAlign w:val="center"/>
          </w:tcPr>
          <w:p>
            <w:pPr>
              <w:pStyle w:val="28"/>
              <w:widowControl w:val="0"/>
              <w:rPr>
                <w:color w:val="auto"/>
                <w:highlight w:val="none"/>
              </w:rPr>
            </w:pPr>
            <w:r>
              <w:rPr>
                <w:rFonts w:hint="eastAsia"/>
                <w:color w:val="auto"/>
                <w:highlight w:val="none"/>
              </w:rPr>
              <w:t>68~75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6" w:type="pct"/>
            <w:tcBorders>
              <w:tl2br w:val="nil"/>
              <w:tr2bl w:val="nil"/>
            </w:tcBorders>
            <w:vAlign w:val="center"/>
          </w:tcPr>
          <w:p>
            <w:pPr>
              <w:pStyle w:val="28"/>
              <w:widowControl w:val="0"/>
              <w:rPr>
                <w:rFonts w:ascii="宋体" w:hAnsi="宋体"/>
                <w:color w:val="auto"/>
                <w:sz w:val="22"/>
                <w:highlight w:val="none"/>
              </w:rPr>
            </w:pPr>
            <w:r>
              <w:rPr>
                <w:rFonts w:hint="eastAsia" w:ascii="宋体" w:hAnsi="宋体"/>
                <w:color w:val="auto"/>
                <w:sz w:val="22"/>
                <w:highlight w:val="none"/>
              </w:rPr>
              <w:t>电锤</w:t>
            </w:r>
          </w:p>
        </w:tc>
        <w:tc>
          <w:tcPr>
            <w:tcW w:w="1666" w:type="pct"/>
            <w:tcBorders>
              <w:tl2br w:val="nil"/>
              <w:tr2bl w:val="nil"/>
            </w:tcBorders>
            <w:vAlign w:val="center"/>
          </w:tcPr>
          <w:p>
            <w:pPr>
              <w:pStyle w:val="28"/>
              <w:widowControl w:val="0"/>
              <w:rPr>
                <w:color w:val="auto"/>
                <w:highlight w:val="none"/>
              </w:rPr>
            </w:pPr>
            <w:r>
              <w:rPr>
                <w:rFonts w:hint="eastAsia"/>
                <w:color w:val="auto"/>
                <w:highlight w:val="none"/>
              </w:rPr>
              <w:t>80~85</w:t>
            </w:r>
          </w:p>
        </w:tc>
        <w:tc>
          <w:tcPr>
            <w:tcW w:w="1667" w:type="pct"/>
            <w:tcBorders>
              <w:tl2br w:val="nil"/>
              <w:tr2bl w:val="nil"/>
            </w:tcBorders>
            <w:vAlign w:val="center"/>
          </w:tcPr>
          <w:p>
            <w:pPr>
              <w:pStyle w:val="28"/>
              <w:widowControl w:val="0"/>
              <w:rPr>
                <w:color w:val="auto"/>
                <w:highlight w:val="none"/>
              </w:rPr>
            </w:pPr>
            <w:r>
              <w:rPr>
                <w:rFonts w:hint="eastAsia"/>
                <w:color w:val="auto"/>
                <w:highlight w:val="none"/>
              </w:rPr>
              <w:t>70~75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pPr>
              <w:pStyle w:val="28"/>
              <w:widowControl w:val="0"/>
              <w:rPr>
                <w:rFonts w:ascii="宋体" w:hAnsi="宋体"/>
                <w:color w:val="auto"/>
                <w:sz w:val="22"/>
                <w:highlight w:val="none"/>
              </w:rPr>
            </w:pPr>
            <w:r>
              <w:rPr>
                <w:rFonts w:hint="eastAsia" w:ascii="宋体" w:hAnsi="宋体"/>
                <w:color w:val="auto"/>
                <w:sz w:val="22"/>
                <w:highlight w:val="none"/>
              </w:rPr>
              <w:t>重型运输车</w:t>
            </w:r>
          </w:p>
        </w:tc>
        <w:tc>
          <w:tcPr>
            <w:tcW w:w="1666" w:type="pct"/>
            <w:tcBorders>
              <w:tl2br w:val="nil"/>
              <w:tr2bl w:val="nil"/>
            </w:tcBorders>
            <w:vAlign w:val="center"/>
          </w:tcPr>
          <w:p>
            <w:pPr>
              <w:pStyle w:val="28"/>
              <w:widowControl w:val="0"/>
              <w:rPr>
                <w:color w:val="auto"/>
                <w:highlight w:val="none"/>
              </w:rPr>
            </w:pPr>
            <w:r>
              <w:rPr>
                <w:rFonts w:hint="eastAsia"/>
                <w:color w:val="auto"/>
                <w:highlight w:val="none"/>
              </w:rPr>
              <w:t>82~90</w:t>
            </w:r>
          </w:p>
        </w:tc>
        <w:tc>
          <w:tcPr>
            <w:tcW w:w="1667" w:type="pct"/>
            <w:tcBorders>
              <w:tl2br w:val="nil"/>
              <w:tr2bl w:val="nil"/>
            </w:tcBorders>
            <w:vAlign w:val="center"/>
          </w:tcPr>
          <w:p>
            <w:pPr>
              <w:pStyle w:val="28"/>
              <w:widowControl w:val="0"/>
              <w:rPr>
                <w:color w:val="auto"/>
                <w:highlight w:val="none"/>
              </w:rPr>
            </w:pPr>
            <w:r>
              <w:rPr>
                <w:rFonts w:hint="eastAsia"/>
                <w:color w:val="auto"/>
                <w:highlight w:val="none"/>
              </w:rPr>
              <w:t>78~86</w:t>
            </w:r>
          </w:p>
        </w:tc>
      </w:tr>
    </w:tbl>
    <w:p>
      <w:pPr>
        <w:widowControl w:val="0"/>
        <w:ind w:firstLine="480"/>
        <w:jc w:val="left"/>
        <w:rPr>
          <w:color w:val="auto"/>
          <w:highlight w:val="none"/>
        </w:rPr>
      </w:pPr>
      <w:r>
        <w:rPr>
          <w:rFonts w:hint="eastAsia" w:ascii="宋体" w:hAnsi="宋体"/>
          <w:color w:val="auto"/>
          <w:highlight w:val="none"/>
        </w:rPr>
        <w:t>环评要求施工单位采取合理布置施工总平面，合理安排施工时间，采用低噪声设备，对设备适时维护维修，文明施工，加强人员、车辆管理等措施。</w:t>
      </w:r>
    </w:p>
    <w:p>
      <w:pPr>
        <w:pStyle w:val="6"/>
        <w:widowControl w:val="0"/>
        <w:ind w:left="-160" w:firstLineChars="0"/>
        <w:rPr>
          <w:color w:val="auto"/>
          <w:highlight w:val="none"/>
        </w:rPr>
      </w:pPr>
      <w:r>
        <w:rPr>
          <w:rFonts w:hint="eastAsia"/>
          <w:color w:val="auto"/>
          <w:highlight w:val="none"/>
        </w:rPr>
        <w:t>固废排放及治理措施</w:t>
      </w:r>
    </w:p>
    <w:p>
      <w:pPr>
        <w:widowControl w:val="0"/>
        <w:ind w:firstLine="480"/>
        <w:rPr>
          <w:color w:val="auto"/>
          <w:highlight w:val="none"/>
        </w:rPr>
      </w:pPr>
      <w:r>
        <w:rPr>
          <w:rFonts w:hint="eastAsia"/>
          <w:color w:val="auto"/>
          <w:highlight w:val="none"/>
        </w:rPr>
        <w:t>施工期固废主要包括建筑垃圾以及生活垃圾。</w:t>
      </w:r>
    </w:p>
    <w:p>
      <w:pPr>
        <w:widowControl w:val="0"/>
        <w:ind w:firstLine="480"/>
        <w:rPr>
          <w:color w:val="auto"/>
          <w:highlight w:val="none"/>
        </w:rPr>
      </w:pPr>
      <w:r>
        <w:rPr>
          <w:rFonts w:hint="eastAsia"/>
          <w:color w:val="auto"/>
          <w:highlight w:val="none"/>
        </w:rPr>
        <w:t>拟建项目产生的建筑垃圾主要为项目拆除原有建筑产生的以及建设过程中产生的废弃建筑材料包括废钢筋、绑扎丝、废管材和废包装材料，根据有关资料，施工期装修垃圾产生系数为5~10</w:t>
      </w:r>
      <w:r>
        <w:rPr>
          <w:color w:val="auto"/>
          <w:highlight w:val="none"/>
        </w:rPr>
        <w:t>kg/m</w:t>
      </w:r>
      <w:r>
        <w:rPr>
          <w:color w:val="auto"/>
          <w:highlight w:val="none"/>
          <w:vertAlign w:val="superscript"/>
        </w:rPr>
        <w:t>2</w:t>
      </w:r>
      <w:r>
        <w:rPr>
          <w:rFonts w:hint="eastAsia"/>
          <w:color w:val="auto"/>
          <w:highlight w:val="none"/>
        </w:rPr>
        <w:t>，拟建项目建筑面积约为17825</w:t>
      </w:r>
      <w:r>
        <w:rPr>
          <w:color w:val="auto"/>
          <w:highlight w:val="none"/>
        </w:rPr>
        <w:t>m</w:t>
      </w:r>
      <w:r>
        <w:rPr>
          <w:color w:val="auto"/>
          <w:highlight w:val="none"/>
          <w:vertAlign w:val="superscript"/>
        </w:rPr>
        <w:t>2</w:t>
      </w:r>
      <w:r>
        <w:rPr>
          <w:rFonts w:hint="eastAsia"/>
          <w:color w:val="auto"/>
          <w:highlight w:val="none"/>
        </w:rPr>
        <w:t>，原有建筑已拆除完成，估算出拟建项目产生的建筑垃圾量约为8.9</w:t>
      </w:r>
      <w:r>
        <w:rPr>
          <w:color w:val="auto"/>
          <w:highlight w:val="none"/>
        </w:rPr>
        <w:t>t</w:t>
      </w:r>
      <w:r>
        <w:rPr>
          <w:rFonts w:hint="eastAsia"/>
          <w:color w:val="auto"/>
          <w:highlight w:val="none"/>
        </w:rPr>
        <w:t>。建筑垃圾运至政府部门指定的建筑垃圾填埋场处置。</w:t>
      </w:r>
    </w:p>
    <w:p>
      <w:pPr>
        <w:widowControl w:val="0"/>
        <w:ind w:firstLine="480"/>
        <w:rPr>
          <w:color w:val="auto"/>
          <w:highlight w:val="none"/>
        </w:rPr>
      </w:pPr>
      <w:r>
        <w:rPr>
          <w:rFonts w:hint="eastAsia"/>
          <w:color w:val="auto"/>
          <w:highlight w:val="none"/>
        </w:rPr>
        <w:t>施工产生的建筑垃圾在施工现场应设置临时建筑废物堆放场并进行密闭处理，建筑垃圾除部分用于回收，剩余部分堆放达一定量时应及时清运到政府指定的建筑垃圾场处理。</w:t>
      </w:r>
    </w:p>
    <w:p>
      <w:pPr>
        <w:widowControl w:val="0"/>
        <w:ind w:firstLine="480"/>
        <w:rPr>
          <w:color w:val="auto"/>
          <w:highlight w:val="none"/>
        </w:rPr>
      </w:pPr>
      <w:r>
        <w:rPr>
          <w:rFonts w:hint="eastAsia"/>
          <w:color w:val="auto"/>
          <w:highlight w:val="none"/>
        </w:rPr>
        <w:t>施工人数按高峰期</w:t>
      </w:r>
      <w:r>
        <w:rPr>
          <w:color w:val="auto"/>
          <w:highlight w:val="none"/>
        </w:rPr>
        <w:t>20</w:t>
      </w:r>
      <w:r>
        <w:rPr>
          <w:rFonts w:hint="eastAsia"/>
          <w:color w:val="auto"/>
          <w:highlight w:val="none"/>
        </w:rPr>
        <w:t>人</w:t>
      </w:r>
      <w:r>
        <w:rPr>
          <w:color w:val="auto"/>
          <w:highlight w:val="none"/>
        </w:rPr>
        <w:t>/</w:t>
      </w:r>
      <w:r>
        <w:rPr>
          <w:rFonts w:hint="eastAsia"/>
          <w:color w:val="auto"/>
          <w:highlight w:val="none"/>
        </w:rPr>
        <w:t>天计，产生量按</w:t>
      </w:r>
      <w:r>
        <w:rPr>
          <w:color w:val="auto"/>
          <w:highlight w:val="none"/>
        </w:rPr>
        <w:t>0.5kg/</w:t>
      </w:r>
      <w:r>
        <w:rPr>
          <w:rFonts w:hint="eastAsia"/>
          <w:color w:val="auto"/>
          <w:highlight w:val="none"/>
        </w:rPr>
        <w:t>人·</w:t>
      </w:r>
      <w:r>
        <w:rPr>
          <w:color w:val="auto"/>
          <w:highlight w:val="none"/>
        </w:rPr>
        <w:t>d</w:t>
      </w:r>
      <w:r>
        <w:rPr>
          <w:rFonts w:hint="eastAsia"/>
          <w:color w:val="auto"/>
          <w:highlight w:val="none"/>
        </w:rPr>
        <w:t>计，则产生生活垃圾</w:t>
      </w:r>
      <w:r>
        <w:rPr>
          <w:color w:val="auto"/>
          <w:highlight w:val="none"/>
        </w:rPr>
        <w:t>10kg/d</w:t>
      </w:r>
      <w:r>
        <w:rPr>
          <w:rFonts w:hint="eastAsia"/>
          <w:color w:val="auto"/>
          <w:highlight w:val="none"/>
        </w:rPr>
        <w:t>，垃圾袋收集后由这当地环卫部门统一清运，日产日清。</w:t>
      </w:r>
    </w:p>
    <w:p>
      <w:pPr>
        <w:widowControl w:val="0"/>
        <w:ind w:firstLine="480"/>
        <w:rPr>
          <w:color w:val="auto"/>
          <w:highlight w:val="none"/>
        </w:rPr>
      </w:pPr>
      <w:r>
        <w:rPr>
          <w:rFonts w:hint="eastAsia"/>
          <w:color w:val="auto"/>
          <w:highlight w:val="none"/>
        </w:rPr>
        <w:t>综上所述，项目施工期在严格落实了本环评提出的上述措施后，其施工期的固体废物可实现清洁处理和处置，不致造成二次污染。</w:t>
      </w:r>
    </w:p>
    <w:p>
      <w:pPr>
        <w:pStyle w:val="4"/>
        <w:widowControl w:val="0"/>
        <w:rPr>
          <w:color w:val="auto"/>
          <w:highlight w:val="none"/>
        </w:rPr>
      </w:pPr>
      <w:bookmarkStart w:id="64" w:name="_Toc15594"/>
      <w:r>
        <w:rPr>
          <w:rFonts w:hint="eastAsia"/>
          <w:color w:val="auto"/>
          <w:highlight w:val="none"/>
        </w:rPr>
        <w:t>营运期工程分析</w:t>
      </w:r>
      <w:bookmarkEnd w:id="64"/>
    </w:p>
    <w:p>
      <w:pPr>
        <w:pStyle w:val="5"/>
        <w:widowControl w:val="0"/>
        <w:ind w:firstLine="120"/>
        <w:rPr>
          <w:color w:val="auto"/>
          <w:highlight w:val="none"/>
        </w:rPr>
      </w:pPr>
      <w:r>
        <w:rPr>
          <w:rFonts w:hint="eastAsia"/>
          <w:color w:val="auto"/>
          <w:highlight w:val="none"/>
        </w:rPr>
        <w:t>生猪屠宰工艺流程</w:t>
      </w:r>
    </w:p>
    <w:p>
      <w:pPr>
        <w:pStyle w:val="6"/>
        <w:widowControl w:val="0"/>
        <w:ind w:left="-160" w:firstLineChars="0"/>
        <w:rPr>
          <w:color w:val="auto"/>
          <w:highlight w:val="none"/>
        </w:rPr>
      </w:pPr>
      <w:r>
        <w:rPr>
          <w:rFonts w:hint="eastAsia"/>
          <w:color w:val="auto"/>
          <w:highlight w:val="none"/>
        </w:rPr>
        <w:t>白条肉生产工艺</w:t>
      </w:r>
    </w:p>
    <w:p>
      <w:pPr>
        <w:pStyle w:val="32"/>
        <w:widowControl w:val="0"/>
        <w:ind w:firstLine="422"/>
        <w:rPr>
          <w:rFonts w:hint="default"/>
          <w:color w:val="auto"/>
          <w:highlight w:val="none"/>
        </w:rPr>
        <w:sectPr>
          <w:pgSz w:w="12240" w:h="15840"/>
          <w:pgMar w:top="1134" w:right="1417" w:bottom="1134"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color w:val="auto"/>
          <w:highlight w:val="none"/>
        </w:rPr>
        <w:drawing>
          <wp:anchor distT="0" distB="0" distL="114300" distR="114300" simplePos="0" relativeHeight="251662336" behindDoc="0" locked="0" layoutInCell="1" allowOverlap="1">
            <wp:simplePos x="0" y="0"/>
            <wp:positionH relativeFrom="column">
              <wp:posOffset>238125</wp:posOffset>
            </wp:positionH>
            <wp:positionV relativeFrom="paragraph">
              <wp:posOffset>5715</wp:posOffset>
            </wp:positionV>
            <wp:extent cx="5365750" cy="7344410"/>
            <wp:effectExtent l="0" t="0" r="6350" b="8890"/>
            <wp:wrapTopAndBottom/>
            <wp:docPr id="7" name="图片 7" descr="页面提取自－简阳屠宰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页面提取自－简阳屠宰场_副本"/>
                    <pic:cNvPicPr>
                      <a:picLocks noChangeAspect="1"/>
                    </pic:cNvPicPr>
                  </pic:nvPicPr>
                  <pic:blipFill>
                    <a:blip r:embed="rId21"/>
                    <a:stretch>
                      <a:fillRect/>
                    </a:stretch>
                  </pic:blipFill>
                  <pic:spPr>
                    <a:xfrm>
                      <a:off x="0" y="0"/>
                      <a:ext cx="5365750" cy="7344410"/>
                    </a:xfrm>
                    <a:prstGeom prst="rect">
                      <a:avLst/>
                    </a:prstGeom>
                  </pic:spPr>
                </pic:pic>
              </a:graphicData>
            </a:graphic>
          </wp:anchor>
        </w:drawing>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5013960</wp:posOffset>
                </wp:positionH>
                <wp:positionV relativeFrom="paragraph">
                  <wp:posOffset>2605405</wp:posOffset>
                </wp:positionV>
                <wp:extent cx="550545" cy="2456815"/>
                <wp:effectExtent l="0" t="0" r="1905" b="635"/>
                <wp:wrapNone/>
                <wp:docPr id="29" name="文本框 29"/>
                <wp:cNvGraphicFramePr/>
                <a:graphic xmlns:a="http://schemas.openxmlformats.org/drawingml/2006/main">
                  <a:graphicData uri="http://schemas.microsoft.com/office/word/2010/wordprocessingShape">
                    <wps:wsp>
                      <wps:cNvSpPr txBox="1"/>
                      <wps:spPr>
                        <a:xfrm>
                          <a:off x="0" y="0"/>
                          <a:ext cx="550545" cy="2456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ascii="宋体" w:hAnsi="宋体"/>
                                <w:sz w:val="18"/>
                                <w:szCs w:val="18"/>
                              </w:rPr>
                            </w:pPr>
                            <w:r>
                              <w:rPr>
                                <w:rStyle w:val="30"/>
                                <w:sz w:val="18"/>
                                <w:szCs w:val="18"/>
                              </w:rPr>
                              <w:t>交由</w:t>
                            </w:r>
                            <w:r>
                              <w:rPr>
                                <w:rStyle w:val="30"/>
                                <w:rFonts w:hint="eastAsia"/>
                                <w:sz w:val="18"/>
                                <w:szCs w:val="18"/>
                              </w:rPr>
                              <w:t>具有无害化处理资质的单位</w:t>
                            </w:r>
                            <w:r>
                              <w:rPr>
                                <w:rFonts w:hint="eastAsia" w:ascii="宋体" w:hAnsi="宋体"/>
                                <w:sz w:val="18"/>
                                <w:szCs w:val="18"/>
                              </w:rPr>
                              <w:t>进行无害化处置</w:t>
                            </w:r>
                          </w:p>
                          <w:p>
                            <w:pPr>
                              <w:pStyle w:val="2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8pt;margin-top:205.15pt;height:193.45pt;width:43.35pt;z-index:251670528;mso-width-relative:page;mso-height-relative:page;" filled="f" stroked="f" coordsize="21600,21600" o:gfxdata="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2PFdsAAAALAQAADwAAAAAAAAABACAAAAAiAAAA&#10;ZHJzL2Rvd25yZXYueG1sUEsBAhQAFAAAAAgAh07iQEg7S4w9AgAAaAQAAA4AAAAAAAAAAQAgAAAA&#10;KgEAAGRycy9lMm9Eb2MueG1sUEsFBgAAAAAGAAYAWQEAANkFAAAAAA==&#10;">
                <v:fill on="f" focussize="0,0"/>
                <v:stroke on="f" weight="0.5pt"/>
                <v:imagedata o:title=""/>
                <o:lock v:ext="edit" aspectratio="f"/>
                <v:textbox>
                  <w:txbxContent>
                    <w:p>
                      <w:pPr>
                        <w:pStyle w:val="28"/>
                        <w:rPr>
                          <w:rFonts w:ascii="宋体" w:hAnsi="宋体"/>
                          <w:sz w:val="18"/>
                          <w:szCs w:val="18"/>
                        </w:rPr>
                      </w:pPr>
                      <w:r>
                        <w:rPr>
                          <w:rStyle w:val="30"/>
                          <w:sz w:val="18"/>
                          <w:szCs w:val="18"/>
                        </w:rPr>
                        <w:t>交由</w:t>
                      </w:r>
                      <w:r>
                        <w:rPr>
                          <w:rStyle w:val="30"/>
                          <w:rFonts w:hint="eastAsia"/>
                          <w:sz w:val="18"/>
                          <w:szCs w:val="18"/>
                        </w:rPr>
                        <w:t>具有无害化处理资质的单位</w:t>
                      </w:r>
                      <w:r>
                        <w:rPr>
                          <w:rFonts w:hint="eastAsia" w:ascii="宋体" w:hAnsi="宋体"/>
                          <w:sz w:val="18"/>
                          <w:szCs w:val="18"/>
                        </w:rPr>
                        <w:t>进行无害化处置</w:t>
                      </w:r>
                    </w:p>
                    <w:p>
                      <w:pPr>
                        <w:pStyle w:val="28"/>
                      </w:pPr>
                    </w:p>
                  </w:txbxContent>
                </v:textbox>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5270500</wp:posOffset>
                </wp:positionH>
                <wp:positionV relativeFrom="paragraph">
                  <wp:posOffset>1967230</wp:posOffset>
                </wp:positionV>
                <wp:extent cx="0" cy="676275"/>
                <wp:effectExtent l="50800" t="0" r="63500" b="9525"/>
                <wp:wrapNone/>
                <wp:docPr id="27" name="直接箭头连接符 27"/>
                <wp:cNvGraphicFramePr/>
                <a:graphic xmlns:a="http://schemas.openxmlformats.org/drawingml/2006/main">
                  <a:graphicData uri="http://schemas.microsoft.com/office/word/2010/wordprocessingShape">
                    <wps:wsp>
                      <wps:cNvCnPr/>
                      <wps:spPr>
                        <a:xfrm>
                          <a:off x="6170295" y="3677920"/>
                          <a:ext cx="0" cy="67627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5pt;margin-top:154.9pt;height:53.25pt;width:0pt;z-index:251669504;mso-width-relative:page;mso-height-relative:page;" filled="f" stroked="t" coordsize="21600,21600" o:gfxdata="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uoh39YAAAALAQAADwAAAAAAAAAB&#10;ACAAAAAiAAAAZHJzL2Rvd25yZXYueG1sUEsBAhQAFAAAAAgAh07iQNIA0PISAgAA7AMAAA4AAAAA&#10;AAAAAQAgAAAAJQEAAGRycy9lMm9Eb2MueG1sUEsFBgAAAAAGAAYAWQEAAKkFAAAAAA==&#10;">
                <v:fill on="f" focussize="0,0"/>
                <v:stroke weight="1pt" color="#000000 [3213]" miterlimit="8" joinstyle="miter" endarrow="open"/>
                <v:imagedata o:title=""/>
                <o:lock v:ext="edit" aspectratio="f"/>
              </v:shape>
            </w:pict>
          </mc:Fallback>
        </mc:AlternateContent>
      </w:r>
      <w:r>
        <w:rPr>
          <w:color w:val="auto"/>
          <w:highlight w:val="none"/>
        </w:rPr>
        <w:t>图4.2-1  生猪白条肉生产工艺流程及产污环节图</w:t>
      </w:r>
    </w:p>
    <w:p>
      <w:pPr>
        <w:widowControl w:val="0"/>
        <w:ind w:firstLine="482"/>
        <w:rPr>
          <w:color w:val="auto"/>
          <w:highlight w:val="none"/>
        </w:rPr>
      </w:pPr>
      <w:r>
        <w:rPr>
          <w:rFonts w:hint="eastAsia"/>
          <w:b/>
          <w:bCs/>
          <w:color w:val="auto"/>
          <w:highlight w:val="none"/>
        </w:rPr>
        <w:t>（1）进场检疫：</w:t>
      </w:r>
      <w:r>
        <w:rPr>
          <w:rFonts w:hint="eastAsia"/>
          <w:color w:val="auto"/>
          <w:highlight w:val="none"/>
        </w:rPr>
        <w:t>项目收购的生猪运至待宰圈静养观察12~24h后，再进行屠宰。项目收购的合格生猪由货车从厂区污物出入口进入，进入厂区前在厂区门口查验生猪检疫证、非疫区证明、车辆消毒证明，核对生猪耳标号，若有不符则拒收。验证同时由检疫部门驻厂兽医对所载生猪进行临车视检，若发现疑病猪，则全部遣返拒收。同时对生猪采用检测试纸对尿液进行抽检瘦肉精，若有疑似，则直接进入急宰间宰杀后送入无害化暂存间处置；对生猪抽取血液进行非洲猪瘟抽检，若有疑似进入隔离间静养后再次检测，同时向上级主管部门汇报，由上级主管部门进行核查，若确认，按《非洲猪瘟应急疫情处理指南（试行）》进行处置。抽检率为</w:t>
      </w:r>
      <w:r>
        <w:rPr>
          <w:color w:val="auto"/>
          <w:highlight w:val="none"/>
        </w:rPr>
        <w:t>5%</w:t>
      </w:r>
      <w:r>
        <w:rPr>
          <w:rFonts w:hint="eastAsia"/>
          <w:color w:val="auto"/>
          <w:highlight w:val="none"/>
        </w:rPr>
        <w:t>。</w:t>
      </w:r>
    </w:p>
    <w:p>
      <w:pPr>
        <w:widowControl w:val="0"/>
        <w:ind w:firstLine="480"/>
        <w:rPr>
          <w:color w:val="auto"/>
          <w:highlight w:val="none"/>
        </w:rPr>
      </w:pPr>
      <w:r>
        <w:rPr>
          <w:rFonts w:hint="eastAsia"/>
          <w:color w:val="auto"/>
          <w:highlight w:val="none"/>
        </w:rPr>
        <w:t>根据了解，目前非洲猪瘟检测主要采用“荧光定量</w:t>
      </w:r>
      <w:r>
        <w:rPr>
          <w:color w:val="auto"/>
          <w:highlight w:val="none"/>
        </w:rPr>
        <w:t>PCR</w:t>
      </w:r>
      <w:r>
        <w:rPr>
          <w:rFonts w:hint="eastAsia"/>
          <w:color w:val="auto"/>
          <w:highlight w:val="none"/>
        </w:rPr>
        <w:t>方法”，主要采用便携式实时荧光定量</w:t>
      </w:r>
      <w:r>
        <w:rPr>
          <w:color w:val="auto"/>
          <w:highlight w:val="none"/>
        </w:rPr>
        <w:t>PCR</w:t>
      </w:r>
      <w:r>
        <w:rPr>
          <w:rFonts w:hint="eastAsia"/>
          <w:color w:val="auto"/>
          <w:highlight w:val="none"/>
        </w:rPr>
        <w:t>仪，迷你离心机、移液器、</w:t>
      </w:r>
      <w:r>
        <w:rPr>
          <w:color w:val="auto"/>
          <w:highlight w:val="none"/>
        </w:rPr>
        <w:t>PCR</w:t>
      </w:r>
      <w:r>
        <w:rPr>
          <w:rFonts w:hint="eastAsia"/>
          <w:color w:val="auto"/>
          <w:highlight w:val="none"/>
        </w:rPr>
        <w:t>八连管等设备，采用非洲猪瘟荧光检测</w:t>
      </w:r>
      <w:r>
        <w:rPr>
          <w:color w:val="auto"/>
          <w:highlight w:val="none"/>
        </w:rPr>
        <w:t>PCR</w:t>
      </w:r>
      <w:r>
        <w:rPr>
          <w:rFonts w:hint="eastAsia"/>
          <w:color w:val="auto"/>
          <w:highlight w:val="none"/>
        </w:rPr>
        <w:t>试剂盒进行检查。</w:t>
      </w:r>
    </w:p>
    <w:p>
      <w:pPr>
        <w:widowControl w:val="0"/>
        <w:ind w:firstLine="480"/>
        <w:rPr>
          <w:color w:val="auto"/>
          <w:highlight w:val="none"/>
        </w:rPr>
      </w:pPr>
      <w:r>
        <w:rPr>
          <w:rFonts w:hint="eastAsia"/>
          <w:color w:val="auto"/>
          <w:highlight w:val="none"/>
        </w:rPr>
        <w:t>该过程会产生猪叫声、废试纸、废</w:t>
      </w:r>
      <w:r>
        <w:rPr>
          <w:color w:val="auto"/>
          <w:highlight w:val="none"/>
        </w:rPr>
        <w:t>PCR</w:t>
      </w:r>
      <w:r>
        <w:rPr>
          <w:rFonts w:hint="eastAsia"/>
          <w:color w:val="auto"/>
          <w:highlight w:val="none"/>
        </w:rPr>
        <w:t>试剂盒。</w:t>
      </w:r>
    </w:p>
    <w:p>
      <w:pPr>
        <w:widowControl w:val="0"/>
        <w:ind w:firstLine="482"/>
        <w:jc w:val="left"/>
        <w:rPr>
          <w:rFonts w:ascii="宋体" w:hAnsi="宋体"/>
          <w:color w:val="auto"/>
          <w:highlight w:val="none"/>
        </w:rPr>
      </w:pPr>
      <w:r>
        <w:rPr>
          <w:rFonts w:hint="eastAsia"/>
          <w:b/>
          <w:bCs/>
          <w:color w:val="auto"/>
          <w:highlight w:val="none"/>
        </w:rPr>
        <w:t>（2）静养：</w:t>
      </w:r>
      <w:r>
        <w:rPr>
          <w:rFonts w:hint="eastAsia" w:ascii="宋体" w:hAnsi="宋体"/>
          <w:color w:val="auto"/>
          <w:highlight w:val="none"/>
        </w:rPr>
        <w:t>检疫合格的载猪车辆通过消毒通道喷雾消毒</w:t>
      </w:r>
      <w:r>
        <w:rPr>
          <w:rFonts w:eastAsia="Times New Roman"/>
          <w:color w:val="auto"/>
          <w:highlight w:val="none"/>
        </w:rPr>
        <w:t>30s</w:t>
      </w:r>
      <w:r>
        <w:rPr>
          <w:rFonts w:hint="eastAsia" w:ascii="宋体" w:hAnsi="宋体"/>
          <w:color w:val="auto"/>
          <w:highlight w:val="none"/>
        </w:rPr>
        <w:t>后入厂。进厂后将生猪卸下，生猪通过生猪通道人工赶入待宰圈静养</w:t>
      </w:r>
      <w:r>
        <w:rPr>
          <w:rFonts w:eastAsia="Times New Roman"/>
          <w:color w:val="auto"/>
          <w:highlight w:val="none"/>
        </w:rPr>
        <w:t>12~24h</w:t>
      </w:r>
      <w:r>
        <w:rPr>
          <w:rFonts w:hint="eastAsia" w:ascii="宋体" w:hAnsi="宋体"/>
          <w:color w:val="auto"/>
          <w:highlight w:val="none"/>
        </w:rPr>
        <w:t>。生猪静养期间停食，同时由主管部门驻场兽医进行巡查，按照《生猪产地检疫规程》中“临床检查”部分实施检查，通过观察生猪群体的精神状况、外貌、呼吸状态及排泄物状态等情况进行检查，则将疑病猪关入隔离圈内观察</w:t>
      </w:r>
      <w:r>
        <w:rPr>
          <w:rFonts w:eastAsia="Times New Roman"/>
          <w:color w:val="auto"/>
          <w:highlight w:val="none"/>
        </w:rPr>
        <w:t>24h</w:t>
      </w:r>
      <w:r>
        <w:rPr>
          <w:rFonts w:hint="eastAsia" w:ascii="宋体" w:hAnsi="宋体"/>
          <w:color w:val="auto"/>
          <w:highlight w:val="none"/>
        </w:rPr>
        <w:t>或确定为病猪后立刻进入急宰间进行宰杀，若有需要宰杀后解剖后将样品送第三方检测机构进行检测，观察</w:t>
      </w:r>
      <w:r>
        <w:rPr>
          <w:rFonts w:eastAsia="Times New Roman"/>
          <w:color w:val="auto"/>
          <w:highlight w:val="none"/>
        </w:rPr>
        <w:t>24h</w:t>
      </w:r>
      <w:r>
        <w:rPr>
          <w:rFonts w:hint="eastAsia" w:ascii="宋体" w:hAnsi="宋体"/>
          <w:color w:val="auto"/>
          <w:highlight w:val="none"/>
        </w:rPr>
        <w:t>后恢复正常的赶回待宰圈，宰杀后的猪送至无害化暂存间处置。</w:t>
      </w:r>
    </w:p>
    <w:p>
      <w:pPr>
        <w:widowControl w:val="0"/>
        <w:ind w:firstLine="480"/>
        <w:rPr>
          <w:color w:val="auto"/>
          <w:highlight w:val="none"/>
        </w:rPr>
      </w:pPr>
      <w:r>
        <w:rPr>
          <w:rFonts w:hint="eastAsia" w:ascii="宋体" w:hAnsi="宋体"/>
          <w:color w:val="auto"/>
          <w:highlight w:val="none"/>
        </w:rPr>
        <w:t>该过程将产生恶臭、猪粪、待宰圈清洁废水及检疫不合格猪。</w:t>
      </w:r>
    </w:p>
    <w:p>
      <w:pPr>
        <w:widowControl w:val="0"/>
        <w:ind w:firstLine="482"/>
        <w:rPr>
          <w:color w:val="auto"/>
          <w:highlight w:val="none"/>
        </w:rPr>
      </w:pPr>
      <w:r>
        <w:rPr>
          <w:rFonts w:hint="eastAsia" w:ascii="宋体" w:hAnsi="宋体"/>
          <w:b/>
          <w:bCs/>
          <w:color w:val="auto"/>
          <w:highlight w:val="none"/>
        </w:rPr>
        <w:t>（</w:t>
      </w:r>
      <w:r>
        <w:rPr>
          <w:b/>
          <w:bCs/>
          <w:color w:val="auto"/>
          <w:highlight w:val="none"/>
        </w:rPr>
        <w:t>3</w:t>
      </w:r>
      <w:r>
        <w:rPr>
          <w:rFonts w:hint="eastAsia"/>
          <w:b/>
          <w:bCs/>
          <w:color w:val="auto"/>
          <w:highlight w:val="none"/>
        </w:rPr>
        <w:t>）冲洗：</w:t>
      </w:r>
      <w:r>
        <w:rPr>
          <w:rFonts w:hint="eastAsia"/>
          <w:color w:val="auto"/>
          <w:highlight w:val="none"/>
        </w:rPr>
        <w:t>静养后的生猪人工驱赶至淋浴间，人工采用水管对猪身体表面进行冲洗去除体表的大块粪污等污物，单头冲洗时间为</w:t>
      </w:r>
      <w:r>
        <w:rPr>
          <w:color w:val="auto"/>
          <w:highlight w:val="none"/>
        </w:rPr>
        <w:t>30s</w:t>
      </w:r>
      <w:r>
        <w:rPr>
          <w:rFonts w:hint="eastAsia"/>
          <w:color w:val="auto"/>
          <w:highlight w:val="none"/>
        </w:rPr>
        <w:t>，冲洗后由赶猪通道人工驱赶进入屠宰车间。</w:t>
      </w:r>
    </w:p>
    <w:p>
      <w:pPr>
        <w:widowControl w:val="0"/>
        <w:ind w:firstLine="480"/>
        <w:rPr>
          <w:color w:val="auto"/>
          <w:highlight w:val="none"/>
        </w:rPr>
      </w:pPr>
      <w:r>
        <w:rPr>
          <w:rFonts w:hint="eastAsia"/>
          <w:color w:val="auto"/>
          <w:highlight w:val="none"/>
        </w:rPr>
        <w:t>该过程将产生恶臭、生猪冲洗废水、猪粪。</w:t>
      </w:r>
    </w:p>
    <w:p>
      <w:pPr>
        <w:widowControl w:val="0"/>
        <w:ind w:firstLine="482"/>
        <w:rPr>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）宰杀（电麻、刺杀放血、头部检验）：</w:t>
      </w:r>
      <w:r>
        <w:rPr>
          <w:rFonts w:hint="eastAsia" w:ascii="宋体" w:hAnsi="宋体"/>
          <w:color w:val="auto"/>
          <w:highlight w:val="none"/>
        </w:rPr>
        <w:t>生猪进入屠宰车间，首先经三点式麻电机致昏，再经滑轮导轨将生猪倒立提升至离地</w:t>
      </w:r>
      <w:r>
        <w:rPr>
          <w:rFonts w:eastAsia="Times New Roman"/>
          <w:color w:val="auto"/>
          <w:highlight w:val="none"/>
        </w:rPr>
        <w:t>2m</w:t>
      </w:r>
      <w:r>
        <w:rPr>
          <w:rFonts w:hint="eastAsia" w:ascii="宋体" w:hAnsi="宋体"/>
          <w:color w:val="auto"/>
          <w:highlight w:val="none"/>
        </w:rPr>
        <w:t>高处，人工刺颈，通过放血输送机边传送边向沥血槽（</w:t>
      </w:r>
      <w:r>
        <w:rPr>
          <w:rFonts w:eastAsia="Times New Roman"/>
          <w:color w:val="auto"/>
          <w:highlight w:val="none"/>
        </w:rPr>
        <w:t>16000×1000×</w:t>
      </w:r>
      <w:r>
        <w:rPr>
          <w:rFonts w:hint="eastAsia"/>
          <w:color w:val="auto"/>
          <w:highlight w:val="none"/>
        </w:rPr>
        <w:t>220</w:t>
      </w:r>
      <w:r>
        <w:rPr>
          <w:rFonts w:eastAsia="Times New Roman"/>
          <w:color w:val="auto"/>
          <w:highlight w:val="none"/>
        </w:rPr>
        <w:t>mm</w:t>
      </w:r>
      <w:r>
        <w:rPr>
          <w:rFonts w:hint="eastAsia" w:ascii="宋体" w:hAnsi="宋体"/>
          <w:color w:val="auto"/>
          <w:highlight w:val="none"/>
        </w:rPr>
        <w:t>）沥血，沥血时间</w:t>
      </w:r>
      <w:r>
        <w:rPr>
          <w:rFonts w:eastAsia="Times New Roman"/>
          <w:color w:val="auto"/>
          <w:highlight w:val="none"/>
        </w:rPr>
        <w:t>5min</w:t>
      </w:r>
      <w:r>
        <w:rPr>
          <w:rFonts w:hint="eastAsia" w:ascii="宋体" w:hAnsi="宋体"/>
          <w:color w:val="auto"/>
          <w:highlight w:val="none"/>
        </w:rPr>
        <w:t>。沥血完成后逐只进行头部视检，不合格生猪由病猪通道送至无害化暂存间处置。猪血经放血槽收集后由管道抽入位于猪血暂存间的制冷罐（</w:t>
      </w:r>
      <w:r>
        <w:rPr>
          <w:rFonts w:eastAsia="Times New Roman"/>
          <w:color w:val="auto"/>
          <w:highlight w:val="none"/>
        </w:rPr>
        <w:t>6t</w:t>
      </w:r>
      <w:r>
        <w:rPr>
          <w:rFonts w:hint="eastAsia" w:ascii="宋体" w:hAnsi="宋体"/>
          <w:color w:val="auto"/>
          <w:highlight w:val="none"/>
        </w:rPr>
        <w:t>）内暂存，每日作为副产品直接外售。</w:t>
      </w:r>
    </w:p>
    <w:p>
      <w:pPr>
        <w:widowControl w:val="0"/>
        <w:ind w:firstLine="480"/>
        <w:rPr>
          <w:color w:val="auto"/>
          <w:highlight w:val="none"/>
        </w:rPr>
      </w:pPr>
      <w:r>
        <w:rPr>
          <w:rFonts w:hint="eastAsia" w:ascii="宋体" w:hAnsi="宋体"/>
          <w:color w:val="auto"/>
          <w:highlight w:val="none"/>
        </w:rPr>
        <w:t>该过程将产生恶臭。</w:t>
      </w:r>
    </w:p>
    <w:p>
      <w:pPr>
        <w:widowControl w:val="0"/>
        <w:ind w:firstLine="482"/>
        <w:jc w:val="left"/>
        <w:rPr>
          <w:color w:val="auto"/>
          <w:highlight w:val="none"/>
        </w:rPr>
      </w:pPr>
      <w:r>
        <w:rPr>
          <w:rFonts w:hint="eastAsia" w:ascii="宋体" w:hAnsi="宋体"/>
          <w:b/>
          <w:bCs/>
          <w:color w:val="auto"/>
          <w:highlight w:val="none"/>
        </w:rPr>
        <w:t>（</w:t>
      </w:r>
      <w:r>
        <w:rPr>
          <w:rFonts w:eastAsia="Times New Roman"/>
          <w:b/>
          <w:bCs/>
          <w:color w:val="auto"/>
          <w:highlight w:val="none"/>
        </w:rPr>
        <w:t>5</w:t>
      </w:r>
      <w:r>
        <w:rPr>
          <w:rFonts w:hint="eastAsia" w:ascii="宋体" w:hAnsi="宋体"/>
          <w:b/>
          <w:bCs/>
          <w:color w:val="auto"/>
          <w:highlight w:val="none"/>
        </w:rPr>
        <w:t>）清洗：</w:t>
      </w:r>
      <w:r>
        <w:rPr>
          <w:rFonts w:hint="eastAsia"/>
          <w:color w:val="auto"/>
          <w:highlight w:val="none"/>
        </w:rPr>
        <w:t>生猪沥血完毕后，由滑轮导轨送入洗猪机，经摩擦清洗去除猪身污垢。</w:t>
      </w:r>
    </w:p>
    <w:p>
      <w:pPr>
        <w:widowControl w:val="0"/>
        <w:ind w:firstLine="480"/>
        <w:rPr>
          <w:color w:val="auto"/>
          <w:highlight w:val="none"/>
        </w:rPr>
      </w:pPr>
      <w:r>
        <w:rPr>
          <w:rFonts w:hint="eastAsia"/>
          <w:color w:val="auto"/>
          <w:highlight w:val="none"/>
        </w:rPr>
        <w:t>该过程将产生清洗废水、恶臭。</w:t>
      </w:r>
    </w:p>
    <w:p>
      <w:pPr>
        <w:widowControl w:val="0"/>
        <w:ind w:firstLine="482"/>
        <w:rPr>
          <w:b/>
          <w:bCs/>
          <w:color w:val="auto"/>
          <w:highlight w:val="none"/>
        </w:rPr>
      </w:pPr>
      <w:r>
        <w:rPr>
          <w:rFonts w:hint="eastAsia"/>
          <w:b/>
          <w:bCs/>
          <w:color w:val="auto"/>
          <w:highlight w:val="none"/>
        </w:rPr>
        <w:t>（</w:t>
      </w:r>
      <w:r>
        <w:rPr>
          <w:b/>
          <w:bCs/>
          <w:color w:val="auto"/>
          <w:highlight w:val="none"/>
        </w:rPr>
        <w:t>6</w:t>
      </w:r>
      <w:r>
        <w:rPr>
          <w:rFonts w:hint="eastAsia"/>
          <w:b/>
          <w:bCs/>
          <w:color w:val="auto"/>
          <w:highlight w:val="none"/>
        </w:rPr>
        <w:t>）烫毛</w:t>
      </w:r>
    </w:p>
    <w:p>
      <w:pPr>
        <w:widowControl w:val="0"/>
        <w:ind w:firstLine="480"/>
        <w:rPr>
          <w:color w:val="auto"/>
          <w:highlight w:val="none"/>
        </w:rPr>
      </w:pPr>
      <w:r>
        <w:rPr>
          <w:rFonts w:hint="eastAsia"/>
          <w:color w:val="auto"/>
          <w:highlight w:val="none"/>
        </w:rPr>
        <w:t>生猪经滑轮导轨送至不锈钢烫池，由气动卸猪器将毛猪卸入烫池内，烫池（</w:t>
      </w:r>
      <w:r>
        <w:rPr>
          <w:color w:val="auto"/>
          <w:highlight w:val="none"/>
        </w:rPr>
        <w:t>7000</w:t>
      </w:r>
      <w:r>
        <w:rPr>
          <w:rFonts w:eastAsia="Times New Roman"/>
          <w:color w:val="auto"/>
          <w:highlight w:val="none"/>
        </w:rPr>
        <w:t>×</w:t>
      </w:r>
      <w:r>
        <w:rPr>
          <w:rFonts w:hint="eastAsia"/>
          <w:color w:val="auto"/>
          <w:highlight w:val="none"/>
        </w:rPr>
        <w:t>3000</w:t>
      </w:r>
      <w:r>
        <w:rPr>
          <w:rFonts w:eastAsia="Times New Roman"/>
          <w:color w:val="auto"/>
          <w:highlight w:val="none"/>
        </w:rPr>
        <w:t>×</w:t>
      </w:r>
      <w:r>
        <w:rPr>
          <w:color w:val="auto"/>
          <w:highlight w:val="none"/>
        </w:rPr>
        <w:t>700mm</w:t>
      </w:r>
      <w:r>
        <w:rPr>
          <w:rFonts w:hint="eastAsia"/>
          <w:color w:val="auto"/>
          <w:highlight w:val="none"/>
        </w:rPr>
        <w:t>）热水由空气能高温热泵（由空气能热泵将空气中的热能转换到水里，加热水至</w:t>
      </w:r>
      <w:r>
        <w:rPr>
          <w:color w:val="auto"/>
          <w:highlight w:val="none"/>
        </w:rPr>
        <w:t>65℃</w:t>
      </w:r>
      <w:r>
        <w:rPr>
          <w:rFonts w:hint="eastAsia"/>
          <w:color w:val="auto"/>
          <w:highlight w:val="none"/>
        </w:rPr>
        <w:t>，并持续供热，维持恒温）提供，生猪烫毛时间和温度（一般控制在</w:t>
      </w:r>
      <w:r>
        <w:rPr>
          <w:color w:val="auto"/>
          <w:highlight w:val="none"/>
        </w:rPr>
        <w:t>65℃</w:t>
      </w:r>
      <w:r>
        <w:rPr>
          <w:rFonts w:hint="eastAsia"/>
          <w:color w:val="auto"/>
          <w:highlight w:val="none"/>
        </w:rPr>
        <w:t>左右，</w:t>
      </w:r>
      <w:r>
        <w:rPr>
          <w:color w:val="auto"/>
          <w:highlight w:val="none"/>
        </w:rPr>
        <w:t>2min</w:t>
      </w:r>
      <w:r>
        <w:rPr>
          <w:rFonts w:hint="eastAsia"/>
          <w:color w:val="auto"/>
          <w:highlight w:val="none"/>
        </w:rPr>
        <w:t>左右）根据季节进行控制，在烫毛过程中，烫毛池内水不断由猪胴体带出，又通过水蒸气补充。</w:t>
      </w:r>
    </w:p>
    <w:p>
      <w:pPr>
        <w:widowControl w:val="0"/>
        <w:ind w:firstLine="480"/>
        <w:rPr>
          <w:color w:val="auto"/>
          <w:highlight w:val="none"/>
        </w:rPr>
      </w:pPr>
      <w:r>
        <w:rPr>
          <w:rFonts w:hint="eastAsia"/>
          <w:color w:val="auto"/>
          <w:highlight w:val="none"/>
        </w:rPr>
        <w:t>该过程将产生烫毛废水、恶臭。</w:t>
      </w:r>
    </w:p>
    <w:p>
      <w:pPr>
        <w:widowControl w:val="0"/>
        <w:ind w:firstLine="482"/>
        <w:rPr>
          <w:b/>
          <w:bCs/>
          <w:color w:val="auto"/>
          <w:highlight w:val="none"/>
        </w:rPr>
      </w:pPr>
      <w:r>
        <w:rPr>
          <w:rFonts w:hint="eastAsia"/>
          <w:b/>
          <w:bCs/>
          <w:color w:val="auto"/>
          <w:highlight w:val="none"/>
        </w:rPr>
        <w:t>（</w:t>
      </w:r>
      <w:r>
        <w:rPr>
          <w:b/>
          <w:bCs/>
          <w:color w:val="auto"/>
          <w:highlight w:val="none"/>
        </w:rPr>
        <w:t>7</w:t>
      </w:r>
      <w:r>
        <w:rPr>
          <w:rFonts w:hint="eastAsia"/>
          <w:b/>
          <w:bCs/>
          <w:color w:val="auto"/>
          <w:highlight w:val="none"/>
        </w:rPr>
        <w:t>）刨毛</w:t>
      </w:r>
    </w:p>
    <w:p>
      <w:pPr>
        <w:widowControl w:val="0"/>
        <w:ind w:firstLine="480"/>
        <w:rPr>
          <w:color w:val="auto"/>
          <w:highlight w:val="none"/>
        </w:rPr>
      </w:pPr>
      <w:r>
        <w:rPr>
          <w:rFonts w:hint="eastAsia"/>
          <w:color w:val="auto"/>
          <w:highlight w:val="none"/>
        </w:rPr>
        <w:t>猪屠体烫毛完成后，由打毛机耙齿卷升至打毛机内进行刨毛，猪屠体在打毛机</w:t>
      </w:r>
      <w:r>
        <w:rPr>
          <w:color w:val="auto"/>
          <w:highlight w:val="none"/>
        </w:rPr>
        <w:t>U</w:t>
      </w:r>
      <w:r>
        <w:rPr>
          <w:rFonts w:hint="eastAsia"/>
          <w:color w:val="auto"/>
          <w:highlight w:val="none"/>
        </w:rPr>
        <w:t>型腔室内翻滚，在自身重量压力下，皮刀与猪屠体、猪屠体与猪屠体之间相互摩擦，从而达到脱毛目的。打毛机内设有喷淋头，以提高刨毛效果和冲洗已脱落的猪毛。</w:t>
      </w:r>
    </w:p>
    <w:p>
      <w:pPr>
        <w:widowControl w:val="0"/>
        <w:ind w:firstLine="480"/>
        <w:rPr>
          <w:color w:val="auto"/>
          <w:highlight w:val="none"/>
        </w:rPr>
      </w:pPr>
      <w:r>
        <w:rPr>
          <w:rFonts w:hint="eastAsia"/>
          <w:color w:val="auto"/>
          <w:highlight w:val="none"/>
        </w:rPr>
        <w:t>猪毛、蹄壳经刨毛机自带风机风干后由管道输送入猪毛、蹄壳暂存间装袋后作为副产品出售。</w:t>
      </w:r>
    </w:p>
    <w:p>
      <w:pPr>
        <w:widowControl w:val="0"/>
        <w:ind w:firstLine="480"/>
        <w:rPr>
          <w:color w:val="auto"/>
          <w:highlight w:val="none"/>
        </w:rPr>
      </w:pPr>
      <w:r>
        <w:rPr>
          <w:rFonts w:hint="eastAsia"/>
          <w:color w:val="auto"/>
          <w:highlight w:val="none"/>
        </w:rPr>
        <w:t>该过程将产生刨毛废水、恶臭。</w:t>
      </w:r>
    </w:p>
    <w:p>
      <w:pPr>
        <w:widowControl w:val="0"/>
        <w:ind w:firstLine="482"/>
        <w:rPr>
          <w:b/>
          <w:bCs/>
          <w:color w:val="auto"/>
          <w:highlight w:val="none"/>
        </w:rPr>
      </w:pPr>
      <w:r>
        <w:rPr>
          <w:rFonts w:hint="eastAsia"/>
          <w:b/>
          <w:bCs/>
          <w:color w:val="auto"/>
          <w:highlight w:val="none"/>
        </w:rPr>
        <w:t>（</w:t>
      </w:r>
      <w:r>
        <w:rPr>
          <w:b/>
          <w:bCs/>
          <w:color w:val="auto"/>
          <w:highlight w:val="none"/>
        </w:rPr>
        <w:t>8</w:t>
      </w:r>
      <w:r>
        <w:rPr>
          <w:rFonts w:hint="eastAsia"/>
          <w:b/>
          <w:bCs/>
          <w:color w:val="auto"/>
          <w:highlight w:val="none"/>
        </w:rPr>
        <w:t>）清洗、修整</w:t>
      </w:r>
    </w:p>
    <w:p>
      <w:pPr>
        <w:widowControl w:val="0"/>
        <w:ind w:firstLine="480"/>
        <w:rPr>
          <w:color w:val="auto"/>
          <w:highlight w:val="none"/>
        </w:rPr>
      </w:pPr>
      <w:r>
        <w:rPr>
          <w:rFonts w:hint="eastAsia"/>
          <w:color w:val="auto"/>
          <w:highlight w:val="none"/>
        </w:rPr>
        <w:t>刨毛完成后的猪胴体从刨毛机另一侧送出，通过滑道滑入清水池（</w:t>
      </w:r>
      <w:r>
        <w:rPr>
          <w:color w:val="auto"/>
          <w:highlight w:val="none"/>
        </w:rPr>
        <w:t>4000×1800×700mm</w:t>
      </w:r>
      <w:r>
        <w:rPr>
          <w:rFonts w:hint="eastAsia"/>
          <w:color w:val="auto"/>
          <w:highlight w:val="none"/>
        </w:rPr>
        <w:t>）中清洗，人工将猪胴体依次推向清水池另一侧（清水池水不断由猪胴体带出部分，同时通过管道补充），由人工捞4起挂吊钩并由白条提升机提升至滑轮导轨，提升后由人工对部分主体残存猪毛进行修整并去蹄壳，修整完毕后进入抛光机对猪胴体表面进行最终清洗。猪毛、蹄壳暂存于猪毛、蹄壳暂存间后统一作为副产品外售。</w:t>
      </w:r>
    </w:p>
    <w:p>
      <w:pPr>
        <w:widowControl w:val="0"/>
        <w:ind w:firstLine="480"/>
        <w:rPr>
          <w:color w:val="auto"/>
          <w:highlight w:val="none"/>
        </w:rPr>
      </w:pPr>
      <w:r>
        <w:rPr>
          <w:rFonts w:hint="eastAsia"/>
          <w:color w:val="auto"/>
          <w:highlight w:val="none"/>
        </w:rPr>
        <w:t>该过程将产生清洗废水、恶臭。</w:t>
      </w:r>
    </w:p>
    <w:p>
      <w:pPr>
        <w:widowControl w:val="0"/>
        <w:ind w:firstLine="482"/>
        <w:rPr>
          <w:color w:val="auto"/>
          <w:highlight w:val="none"/>
        </w:rPr>
      </w:pPr>
      <w:r>
        <w:rPr>
          <w:rFonts w:hint="eastAsia"/>
          <w:b/>
          <w:bCs/>
          <w:color w:val="auto"/>
          <w:highlight w:val="none"/>
        </w:rPr>
        <w:t>（</w:t>
      </w:r>
      <w:r>
        <w:rPr>
          <w:b/>
          <w:bCs/>
          <w:color w:val="auto"/>
          <w:highlight w:val="none"/>
        </w:rPr>
        <w:t>9</w:t>
      </w:r>
      <w:r>
        <w:rPr>
          <w:rFonts w:hint="eastAsia"/>
          <w:b/>
          <w:bCs/>
          <w:color w:val="auto"/>
          <w:highlight w:val="none"/>
        </w:rPr>
        <w:t>）摘尾开肛、开胸、取内脏：</w:t>
      </w:r>
      <w:r>
        <w:rPr>
          <w:rFonts w:hint="eastAsia"/>
          <w:color w:val="auto"/>
          <w:highlight w:val="none"/>
        </w:rPr>
        <w:t>抛光后的猪胴体经滑轮导轨送至自动解剖线，由人工进行摘尾开肛、锯胸骨开膛、取出红、白内脏，红、白内脏单独收集后由内脏输送机送至红、白内脏处理间处理。自动解剖线设置有喷淋头，在解剖过程中水喷淋猪胴体去除污物。</w:t>
      </w:r>
    </w:p>
    <w:p>
      <w:pPr>
        <w:widowControl w:val="0"/>
        <w:ind w:firstLine="480"/>
        <w:rPr>
          <w:color w:val="auto"/>
          <w:highlight w:val="none"/>
        </w:rPr>
      </w:pPr>
      <w:r>
        <w:rPr>
          <w:rFonts w:hint="eastAsia"/>
          <w:color w:val="auto"/>
          <w:highlight w:val="none"/>
        </w:rPr>
        <w:t>该过程将产生清洗废水、恶臭、废弃动物组织和肠胃内容物。</w:t>
      </w:r>
    </w:p>
    <w:p>
      <w:pPr>
        <w:widowControl w:val="0"/>
        <w:ind w:firstLine="482"/>
        <w:rPr>
          <w:color w:val="auto"/>
          <w:highlight w:val="none"/>
        </w:rPr>
      </w:pPr>
      <w:r>
        <w:rPr>
          <w:rFonts w:hint="eastAsia"/>
          <w:b/>
          <w:bCs/>
          <w:color w:val="auto"/>
          <w:highlight w:val="none"/>
        </w:rPr>
        <w:t>（10）检疫：</w:t>
      </w:r>
      <w:r>
        <w:rPr>
          <w:rFonts w:hint="eastAsia"/>
          <w:color w:val="auto"/>
          <w:highlight w:val="none"/>
        </w:rPr>
        <w:t>对猪胴体、内脏等实施同步卫生检验（人工观察检验），检验是否有肿瘤、病变等。不合格的猪胴体、内脏等，根据《中华人民共和国动物防疫法》、《畜禽屠宰卫生检疫规范》（</w:t>
      </w:r>
      <w:r>
        <w:rPr>
          <w:color w:val="auto"/>
          <w:highlight w:val="none"/>
        </w:rPr>
        <w:t>NY467-2001</w:t>
      </w:r>
      <w:r>
        <w:rPr>
          <w:rFonts w:hint="eastAsia"/>
          <w:color w:val="auto"/>
          <w:highlight w:val="none"/>
        </w:rPr>
        <w:t>）、《生猪屠宰产品品质检验规程》（</w:t>
      </w:r>
      <w:r>
        <w:rPr>
          <w:color w:val="auto"/>
          <w:highlight w:val="none"/>
        </w:rPr>
        <w:t>GB/T17996-1999</w:t>
      </w:r>
      <w:r>
        <w:rPr>
          <w:rFonts w:hint="eastAsia"/>
          <w:color w:val="auto"/>
          <w:highlight w:val="none"/>
        </w:rPr>
        <w:t>）、《生猪屠宰操作规程》（</w:t>
      </w:r>
      <w:r>
        <w:rPr>
          <w:color w:val="auto"/>
          <w:highlight w:val="none"/>
        </w:rPr>
        <w:t>GB/T17236-1998</w:t>
      </w:r>
      <w:r>
        <w:rPr>
          <w:rFonts w:hint="eastAsia"/>
          <w:color w:val="auto"/>
          <w:highlight w:val="none"/>
        </w:rPr>
        <w:t>）、《病害动物和病害动物产品生物安全处理规程》（</w:t>
      </w:r>
      <w:r>
        <w:rPr>
          <w:color w:val="auto"/>
          <w:highlight w:val="none"/>
        </w:rPr>
        <w:t>GB16548-2006</w:t>
      </w:r>
      <w:r>
        <w:rPr>
          <w:rFonts w:hint="eastAsia"/>
          <w:color w:val="auto"/>
          <w:highlight w:val="none"/>
        </w:rPr>
        <w:t>）等相关规定，由病猪通道送至无害化暂存间处置。</w:t>
      </w:r>
    </w:p>
    <w:p>
      <w:pPr>
        <w:widowControl w:val="0"/>
        <w:ind w:firstLine="480"/>
        <w:rPr>
          <w:color w:val="auto"/>
          <w:highlight w:val="none"/>
        </w:rPr>
      </w:pPr>
      <w:r>
        <w:rPr>
          <w:rFonts w:hint="eastAsia"/>
          <w:color w:val="auto"/>
          <w:highlight w:val="none"/>
        </w:rPr>
        <w:t>该过程将产生恶臭、检疫不合格猪及病胴体、病内脏、废弃动物组织等。</w:t>
      </w:r>
    </w:p>
    <w:p>
      <w:pPr>
        <w:widowControl w:val="0"/>
        <w:ind w:firstLine="482"/>
        <w:rPr>
          <w:color w:val="auto"/>
          <w:highlight w:val="none"/>
        </w:rPr>
      </w:pPr>
      <w:r>
        <w:rPr>
          <w:rFonts w:hint="eastAsia"/>
          <w:b/>
          <w:bCs/>
          <w:color w:val="auto"/>
          <w:highlight w:val="none"/>
        </w:rPr>
        <w:t>（</w:t>
      </w:r>
      <w:r>
        <w:rPr>
          <w:b/>
          <w:bCs/>
          <w:color w:val="auto"/>
          <w:highlight w:val="none"/>
        </w:rPr>
        <w:t>11</w:t>
      </w:r>
      <w:r>
        <w:rPr>
          <w:rFonts w:hint="eastAsia"/>
          <w:b/>
          <w:bCs/>
          <w:color w:val="auto"/>
          <w:highlight w:val="none"/>
        </w:rPr>
        <w:t>）去头蹄、劈半、清洗、检疫工序：</w:t>
      </w:r>
      <w:r>
        <w:rPr>
          <w:rFonts w:hint="eastAsia"/>
          <w:color w:val="auto"/>
          <w:highlight w:val="none"/>
        </w:rPr>
        <w:t>检疫合格的胴体去头蹄尾后，再经滑轮导轨送至锯半区，经机器人自动劈半机和带式劈半锯锯半，然后人工对锯半后的胴体进行修整（即去掉体内的血块、碎肉等），修整同时对胴体进行冲洗。</w:t>
      </w:r>
    </w:p>
    <w:p>
      <w:pPr>
        <w:widowControl w:val="0"/>
        <w:ind w:firstLine="480"/>
        <w:rPr>
          <w:color w:val="auto"/>
          <w:highlight w:val="none"/>
        </w:rPr>
      </w:pPr>
      <w:r>
        <w:rPr>
          <w:rFonts w:hint="eastAsia"/>
          <w:color w:val="auto"/>
          <w:highlight w:val="none"/>
        </w:rPr>
        <w:t>冲洗后对肉品进行复检，即人工检查猪体内是否有旋毛虫等寄生虫，合格的分级盖章后部分直接送鲜销大厅外售，部分进入分割车间进行分割，不合格的由病猪通道送无害化暂存间进行处置。</w:t>
      </w:r>
    </w:p>
    <w:p>
      <w:pPr>
        <w:widowControl w:val="0"/>
        <w:ind w:firstLine="480"/>
        <w:rPr>
          <w:color w:val="auto"/>
          <w:highlight w:val="none"/>
        </w:rPr>
      </w:pPr>
      <w:r>
        <w:rPr>
          <w:rFonts w:hint="eastAsia"/>
          <w:color w:val="auto"/>
          <w:highlight w:val="none"/>
        </w:rPr>
        <w:t>该过程将产生清洗废水、恶臭、废弃动物组织、病胴体等。</w:t>
      </w:r>
    </w:p>
    <w:p>
      <w:pPr>
        <w:widowControl w:val="0"/>
        <w:ind w:firstLine="482"/>
        <w:jc w:val="left"/>
        <w:rPr>
          <w:rFonts w:ascii="宋体" w:hAnsi="宋体"/>
          <w:b/>
          <w:bCs/>
          <w:color w:val="auto"/>
          <w:highlight w:val="none"/>
        </w:rPr>
      </w:pPr>
      <w:r>
        <w:rPr>
          <w:rFonts w:hint="eastAsia" w:ascii="宋体" w:hAnsi="宋体"/>
          <w:b/>
          <w:bCs/>
          <w:color w:val="auto"/>
          <w:highlight w:val="none"/>
        </w:rPr>
        <w:t>本项目宰后检疫方法主要通过感官进行检查：</w:t>
      </w:r>
    </w:p>
    <w:p>
      <w:pPr>
        <w:widowControl w:val="0"/>
        <w:ind w:firstLine="480"/>
        <w:rPr>
          <w:color w:val="auto"/>
          <w:highlight w:val="none"/>
        </w:rPr>
      </w:pPr>
      <w:r>
        <w:rPr>
          <w:rFonts w:hint="eastAsia"/>
          <w:color w:val="auto"/>
          <w:highlight w:val="none"/>
        </w:rPr>
        <w:t>头蹄及体表检查：视检体表的完整性、颜色，检查有无本规程规定疫病引起的皮肤病变、关节肿大等。观察吻突、齿龈和蹄部有无水疱、溃疡、烂斑等。放血后脱毛前，沿放血孔纵向切开下颌区，直到颌骨高峰区，剖开两侧下颌淋巴结，视检有无肿大、坏死灶（紫、黑、灰、黄），切面是否呈砖红色，周围有无水肿、胶样浸润等。剖检两侧咬肌，充分暴露剖面，检查有无猪囊尾蚴。</w:t>
      </w:r>
    </w:p>
    <w:p>
      <w:pPr>
        <w:widowControl w:val="0"/>
        <w:ind w:firstLine="480"/>
        <w:rPr>
          <w:color w:val="auto"/>
          <w:highlight w:val="none"/>
        </w:rPr>
      </w:pPr>
      <w:r>
        <w:rPr>
          <w:rFonts w:hint="eastAsia"/>
          <w:color w:val="auto"/>
          <w:highlight w:val="none"/>
        </w:rPr>
        <w:t>内脏检查：取出内脏前，观察胸腔、腹腔有无积液、粘连、纤维素性渗出物。检查脾脏、肠系膜淋巴结有无肠炭疽。取出内脏后，检查心脏、肺脏、肝脏、脾脏、胃肠、支气管淋巴结、肝门淋巴结等。主要为视检各个内脏的形状、大小、色泽，触检弹性。心脏需视检心包，切开心包膜，检查有无变性、心包积液、渗出、淤血、出血、坏死等症状。肺脏剖开一侧支气管淋巴结，检查有无出血、淤血、肿胀、坏死等，必要时剖检气管、支气管。肝脏剖开肝门淋巴结，检查有无出血、淤血、肿胀、坏死等必要时剖检胆管。脾脏检查有无显著肿胀、淤血、颜色变暗、质地变脆、坏死灶、边缘出血性梗死、被膜隆起及粘连等，必要时剖检脾实质。视检胃肠浆膜，观察大小、色泽、质地，检查有无淤血、出血、坏死、胶冻样渗出物和粘连。对肠系膜淋巴结做长度不少于</w:t>
      </w:r>
      <w:r>
        <w:rPr>
          <w:color w:val="auto"/>
          <w:highlight w:val="none"/>
        </w:rPr>
        <w:t>20</w:t>
      </w:r>
      <w:r>
        <w:rPr>
          <w:rFonts w:hint="eastAsia"/>
          <w:color w:val="auto"/>
          <w:highlight w:val="none"/>
        </w:rPr>
        <w:t>厘米的弧形切口，检查有无增大、水肿、淤血、出血、坏死、溃疡等病变。必要时剖检胃肠，检查黏膜有无淤血、出血、水肿、坏死、溃疡。</w:t>
      </w:r>
    </w:p>
    <w:p>
      <w:pPr>
        <w:widowControl w:val="0"/>
        <w:ind w:firstLine="480"/>
        <w:rPr>
          <w:color w:val="auto"/>
          <w:highlight w:val="none"/>
        </w:rPr>
      </w:pPr>
      <w:r>
        <w:rPr>
          <w:rFonts w:hint="eastAsia"/>
          <w:color w:val="auto"/>
          <w:highlight w:val="none"/>
        </w:rPr>
        <w:t>胴体检查：检查皮肤、皮下组织、脂肪、肌肉、淋巴结、骨骼以及胸腔、腹腔浆膜有无淤血、出血、疹块、黄染、脓肿和其他异常等。剖开腹部底壁皮下、后肢内侧、腹股沟皮下环附近的两侧腹股沟浅淋巴结，检查有无淤血、水肿、出血、坏死、增生等病变。必要时剖检腹股沟深淋巴结、髂下淋巴结及髂内淋巴结。沿荐椎与腰椎结合部两侧肌纤维方向切开</w:t>
      </w:r>
      <w:r>
        <w:rPr>
          <w:color w:val="auto"/>
          <w:highlight w:val="none"/>
        </w:rPr>
        <w:t>10</w:t>
      </w:r>
      <w:r>
        <w:rPr>
          <w:rFonts w:hint="eastAsia"/>
          <w:color w:val="auto"/>
          <w:highlight w:val="none"/>
        </w:rPr>
        <w:t>厘米左右切口，检查有无猪囊尾蚴。剥离两侧肾被膜，视检肾脏形状、大小、色泽，触检质地，观察有无贫血、出血、淤血、肿胀等病变。必要时纵向剖检肾脏，检查切面皮质部有无颜色变化、出血及隆起等。</w:t>
      </w:r>
    </w:p>
    <w:p>
      <w:pPr>
        <w:widowControl w:val="0"/>
        <w:ind w:firstLine="480"/>
        <w:rPr>
          <w:color w:val="auto"/>
          <w:highlight w:val="none"/>
        </w:rPr>
      </w:pPr>
      <w:r>
        <w:rPr>
          <w:rFonts w:hint="eastAsia"/>
          <w:color w:val="auto"/>
          <w:highlight w:val="none"/>
        </w:rPr>
        <w:t>旋毛虫检查：取左右膈脚各</w:t>
      </w:r>
      <w:r>
        <w:rPr>
          <w:color w:val="auto"/>
          <w:highlight w:val="none"/>
        </w:rPr>
        <w:t>30</w:t>
      </w:r>
      <w:r>
        <w:rPr>
          <w:rFonts w:hint="eastAsia"/>
          <w:color w:val="auto"/>
          <w:highlight w:val="none"/>
        </w:rPr>
        <w:t>克左右，与胴体编号一致，撕去肌膜，感官检查后镜检。</w:t>
      </w:r>
    </w:p>
    <w:p>
      <w:pPr>
        <w:pStyle w:val="6"/>
        <w:widowControl w:val="0"/>
        <w:ind w:left="-160" w:firstLineChars="0"/>
        <w:rPr>
          <w:color w:val="auto"/>
          <w:highlight w:val="none"/>
        </w:rPr>
      </w:pPr>
      <w:r>
        <w:rPr>
          <w:rFonts w:hint="eastAsia"/>
          <w:color w:val="auto"/>
          <w:highlight w:val="none"/>
        </w:rPr>
        <w:t>分割肉生产工艺</w:t>
      </w:r>
    </w:p>
    <w:p>
      <w:pPr>
        <w:pStyle w:val="32"/>
        <w:widowControl w:val="0"/>
        <w:ind w:firstLine="422"/>
        <w:rPr>
          <w:rFonts w:hint="default"/>
          <w:color w:val="auto"/>
          <w:highlight w:val="none"/>
        </w:rPr>
      </w:pPr>
      <w:r>
        <w:rPr>
          <w:color w:val="auto"/>
          <w:highlight w:val="none"/>
        </w:rPr>
        <w:drawing>
          <wp:anchor distT="0" distB="0" distL="114300" distR="114300" simplePos="0" relativeHeight="251663360" behindDoc="0" locked="0" layoutInCell="1" allowOverlap="1">
            <wp:simplePos x="0" y="0"/>
            <wp:positionH relativeFrom="column">
              <wp:posOffset>47625</wp:posOffset>
            </wp:positionH>
            <wp:positionV relativeFrom="paragraph">
              <wp:posOffset>47625</wp:posOffset>
            </wp:positionV>
            <wp:extent cx="5969635" cy="854075"/>
            <wp:effectExtent l="0" t="0" r="12065" b="3175"/>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969635" cy="854075"/>
                    </a:xfrm>
                    <a:prstGeom prst="rect">
                      <a:avLst/>
                    </a:prstGeom>
                    <a:noFill/>
                    <a:ln>
                      <a:noFill/>
                    </a:ln>
                  </pic:spPr>
                </pic:pic>
              </a:graphicData>
            </a:graphic>
          </wp:anchor>
        </w:drawing>
      </w:r>
      <w:r>
        <w:rPr>
          <w:color w:val="auto"/>
          <w:highlight w:val="none"/>
        </w:rPr>
        <w:t>图4.2-2  分割肉生产工艺流程及产污环节图</w:t>
      </w:r>
    </w:p>
    <w:p>
      <w:pPr>
        <w:widowControl w:val="0"/>
        <w:ind w:firstLine="482"/>
        <w:rPr>
          <w:b/>
          <w:bCs/>
          <w:color w:val="auto"/>
          <w:highlight w:val="none"/>
        </w:rPr>
      </w:pPr>
      <w:r>
        <w:rPr>
          <w:rFonts w:hint="eastAsia"/>
          <w:b/>
          <w:bCs/>
          <w:color w:val="auto"/>
          <w:highlight w:val="none"/>
        </w:rPr>
        <w:t>（1）排酸</w:t>
      </w:r>
    </w:p>
    <w:p>
      <w:pPr>
        <w:widowControl w:val="0"/>
        <w:ind w:firstLine="480"/>
        <w:rPr>
          <w:color w:val="auto"/>
          <w:highlight w:val="none"/>
        </w:rPr>
      </w:pPr>
      <w:r>
        <w:rPr>
          <w:rFonts w:hint="eastAsia"/>
          <w:color w:val="auto"/>
          <w:highlight w:val="none"/>
        </w:rPr>
        <w:t>合格的白条肉送至排酸间进行排酸，排酸温度为</w:t>
      </w:r>
      <w:r>
        <w:rPr>
          <w:color w:val="auto"/>
          <w:highlight w:val="none"/>
        </w:rPr>
        <w:t>0-</w:t>
      </w:r>
      <w:r>
        <w:rPr>
          <w:rFonts w:hint="eastAsia"/>
          <w:color w:val="auto"/>
          <w:highlight w:val="none"/>
          <w:lang w:val="en-US" w:eastAsia="zh-CN"/>
        </w:rPr>
        <w:t>2</w:t>
      </w:r>
      <w:r>
        <w:rPr>
          <w:color w:val="auto"/>
          <w:highlight w:val="none"/>
        </w:rPr>
        <w:t>℃</w:t>
      </w:r>
      <w:r>
        <w:rPr>
          <w:rFonts w:hint="eastAsia"/>
          <w:color w:val="auto"/>
          <w:highlight w:val="none"/>
        </w:rPr>
        <w:t>，排酸时间为</w:t>
      </w:r>
      <w:r>
        <w:rPr>
          <w:color w:val="auto"/>
          <w:highlight w:val="none"/>
        </w:rPr>
        <w:t>24</w:t>
      </w:r>
      <w:r>
        <w:rPr>
          <w:rFonts w:hint="eastAsia"/>
          <w:color w:val="auto"/>
          <w:highlight w:val="none"/>
        </w:rPr>
        <w:t>小时。</w:t>
      </w:r>
    </w:p>
    <w:p>
      <w:pPr>
        <w:widowControl w:val="0"/>
        <w:ind w:firstLine="480"/>
        <w:rPr>
          <w:color w:val="auto"/>
          <w:highlight w:val="none"/>
        </w:rPr>
      </w:pPr>
      <w:r>
        <w:rPr>
          <w:rFonts w:hint="eastAsia"/>
          <w:color w:val="auto"/>
          <w:highlight w:val="none"/>
        </w:rPr>
        <w:t>排酸是指生猪屠宰经自然冷却至常温后，将两份胴体送入冷却间，在一定的温度、湿度和风速下将肉中的乳酸成分分解为二氧化碳、水和酒精，然后挥发掉，同时细胞内的大分子三磷酸腺苷在酶的作用下分解为鲜味物质基苷</w:t>
      </w:r>
      <w:r>
        <w:rPr>
          <w:color w:val="auto"/>
          <w:highlight w:val="none"/>
        </w:rPr>
        <w:t>IMP</w:t>
      </w:r>
      <w:r>
        <w:rPr>
          <w:rFonts w:hint="eastAsia"/>
          <w:color w:val="auto"/>
          <w:highlight w:val="none"/>
        </w:rPr>
        <w:t>（味精的主要成分），经过排酸后的肉的口感得到了极大改善，味道鲜嫩，肉的酸碱度被改变，新陈代谢产物被最大程度地分解和排出，从而达到无害化，同时改变了肉的分子结构，有利于人体的吸收和消化。</w:t>
      </w:r>
    </w:p>
    <w:p>
      <w:pPr>
        <w:widowControl w:val="0"/>
        <w:ind w:firstLine="480"/>
        <w:rPr>
          <w:color w:val="auto"/>
          <w:highlight w:val="none"/>
        </w:rPr>
      </w:pPr>
      <w:r>
        <w:rPr>
          <w:rFonts w:hint="eastAsia"/>
          <w:color w:val="auto"/>
          <w:highlight w:val="none"/>
        </w:rPr>
        <w:t>该过程不会产生污染物。</w:t>
      </w:r>
    </w:p>
    <w:p>
      <w:pPr>
        <w:widowControl w:val="0"/>
        <w:ind w:firstLine="482"/>
        <w:rPr>
          <w:b/>
          <w:bCs/>
          <w:color w:val="auto"/>
          <w:highlight w:val="none"/>
        </w:rPr>
      </w:pPr>
      <w:r>
        <w:rPr>
          <w:rFonts w:hint="eastAsia"/>
          <w:b/>
          <w:bCs/>
          <w:color w:val="auto"/>
          <w:highlight w:val="none"/>
        </w:rPr>
        <w:t>（2）分割</w:t>
      </w:r>
    </w:p>
    <w:p>
      <w:pPr>
        <w:widowControl w:val="0"/>
        <w:ind w:firstLine="480"/>
        <w:rPr>
          <w:color w:val="auto"/>
          <w:highlight w:val="none"/>
        </w:rPr>
      </w:pPr>
      <w:r>
        <w:rPr>
          <w:rFonts w:hint="eastAsia"/>
          <w:color w:val="auto"/>
          <w:highlight w:val="none"/>
        </w:rPr>
        <w:t>排酸后的白条肉由分段输送线输送至分段锯工作台，采用卧式分段锯将白条肉分成</w:t>
      </w:r>
      <w:r>
        <w:rPr>
          <w:color w:val="auto"/>
          <w:highlight w:val="none"/>
        </w:rPr>
        <w:t>3</w:t>
      </w:r>
      <w:r>
        <w:rPr>
          <w:rFonts w:hint="eastAsia"/>
          <w:color w:val="auto"/>
          <w:highlight w:val="none"/>
        </w:rPr>
        <w:t>段，通过分割输送线传送至分割人员的工位，再由分割人员分割成各个部位肉。</w:t>
      </w:r>
    </w:p>
    <w:p>
      <w:pPr>
        <w:widowControl w:val="0"/>
        <w:ind w:firstLine="480"/>
        <w:rPr>
          <w:color w:val="auto"/>
          <w:highlight w:val="none"/>
        </w:rPr>
      </w:pPr>
      <w:r>
        <w:rPr>
          <w:rFonts w:hint="eastAsia"/>
          <w:color w:val="auto"/>
          <w:highlight w:val="none"/>
        </w:rPr>
        <w:t>该过程将产生碎肉、碎骨等。</w:t>
      </w:r>
    </w:p>
    <w:p>
      <w:pPr>
        <w:widowControl w:val="0"/>
        <w:ind w:firstLine="482"/>
        <w:rPr>
          <w:b/>
          <w:bCs/>
          <w:color w:val="auto"/>
          <w:highlight w:val="none"/>
        </w:rPr>
      </w:pPr>
      <w:r>
        <w:rPr>
          <w:rFonts w:hint="eastAsia"/>
          <w:b/>
          <w:bCs/>
          <w:color w:val="auto"/>
          <w:highlight w:val="none"/>
        </w:rPr>
        <w:t>（3）包装、急冻、冷藏</w:t>
      </w:r>
    </w:p>
    <w:p>
      <w:pPr>
        <w:widowControl w:val="0"/>
        <w:ind w:firstLine="480"/>
        <w:rPr>
          <w:color w:val="auto"/>
          <w:highlight w:val="none"/>
        </w:rPr>
      </w:pPr>
      <w:r>
        <w:rPr>
          <w:rFonts w:hint="eastAsia"/>
          <w:color w:val="auto"/>
          <w:highlight w:val="none"/>
        </w:rPr>
        <w:t>分割好的部位肉人工称重包装后送入速冻间（</w:t>
      </w:r>
      <w:r>
        <w:rPr>
          <w:color w:val="auto"/>
          <w:highlight w:val="none"/>
        </w:rPr>
        <w:t>-35℃</w:t>
      </w:r>
      <w:r>
        <w:rPr>
          <w:rFonts w:hint="eastAsia"/>
          <w:color w:val="auto"/>
          <w:highlight w:val="none"/>
        </w:rPr>
        <w:t>）进行急冻后外销，不能及时外销的送入冷藏库（</w:t>
      </w:r>
      <w:r>
        <w:rPr>
          <w:color w:val="auto"/>
          <w:highlight w:val="none"/>
        </w:rPr>
        <w:t>-28℃</w:t>
      </w:r>
      <w:r>
        <w:rPr>
          <w:rFonts w:hint="eastAsia"/>
          <w:color w:val="auto"/>
          <w:highlight w:val="none"/>
        </w:rPr>
        <w:t>）冷藏。</w:t>
      </w:r>
    </w:p>
    <w:p>
      <w:pPr>
        <w:widowControl w:val="0"/>
        <w:ind w:firstLine="480"/>
        <w:rPr>
          <w:color w:val="auto"/>
          <w:highlight w:val="none"/>
        </w:rPr>
      </w:pPr>
      <w:r>
        <w:rPr>
          <w:rFonts w:hint="eastAsia" w:ascii="宋体" w:hAnsi="宋体"/>
          <w:color w:val="auto"/>
          <w:highlight w:val="none"/>
        </w:rPr>
        <w:t>该过程将产生废包装材料。</w:t>
      </w:r>
    </w:p>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）车间消毒</w:t>
      </w:r>
    </w:p>
    <w:p>
      <w:pPr>
        <w:widowControl w:val="0"/>
        <w:ind w:firstLine="480"/>
        <w:rPr>
          <w:color w:val="auto"/>
          <w:highlight w:val="none"/>
        </w:rPr>
      </w:pPr>
      <w:r>
        <w:rPr>
          <w:rFonts w:hint="eastAsia"/>
          <w:color w:val="auto"/>
          <w:highlight w:val="none"/>
        </w:rPr>
        <w:t>每天生产结束后，员工将用喷雾器对待宰圈、屠宰车间等处进行消毒。</w:t>
      </w:r>
    </w:p>
    <w:p>
      <w:pPr>
        <w:pStyle w:val="6"/>
        <w:widowControl w:val="0"/>
        <w:ind w:left="-160" w:firstLineChars="0"/>
        <w:rPr>
          <w:color w:val="auto"/>
          <w:highlight w:val="none"/>
        </w:rPr>
      </w:pPr>
      <w:r>
        <w:rPr>
          <w:rFonts w:hint="eastAsia"/>
          <w:color w:val="auto"/>
          <w:highlight w:val="none"/>
        </w:rPr>
        <w:t>副产品整理工艺</w:t>
      </w:r>
    </w:p>
    <w:p>
      <w:pPr>
        <w:widowControl w:val="0"/>
        <w:ind w:firstLine="480"/>
        <w:rPr>
          <w:color w:val="auto"/>
          <w:highlight w:val="none"/>
        </w:rPr>
      </w:pPr>
      <w:r>
        <w:rPr>
          <w:color w:val="auto"/>
          <w:highlight w:val="none"/>
        </w:rPr>
        <w:drawing>
          <wp:inline distT="0" distB="0" distL="114300" distR="114300">
            <wp:extent cx="5486400" cy="358394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486863" cy="3584354"/>
                    </a:xfrm>
                    <a:prstGeom prst="rect">
                      <a:avLst/>
                    </a:prstGeom>
                    <a:noFill/>
                    <a:ln>
                      <a:noFill/>
                    </a:ln>
                  </pic:spPr>
                </pic:pic>
              </a:graphicData>
            </a:graphic>
          </wp:inline>
        </w:drawing>
      </w:r>
    </w:p>
    <w:p>
      <w:pPr>
        <w:pStyle w:val="32"/>
        <w:widowControl w:val="0"/>
        <w:ind w:firstLine="422"/>
        <w:rPr>
          <w:rFonts w:hint="default"/>
          <w:color w:val="auto"/>
          <w:highlight w:val="none"/>
        </w:rPr>
      </w:pPr>
      <w:r>
        <w:rPr>
          <w:color w:val="auto"/>
          <w:highlight w:val="none"/>
        </w:rPr>
        <w:t>图4.2-3  副产品加工工艺流程及产污环节图</w:t>
      </w:r>
    </w:p>
    <w:p>
      <w:pPr>
        <w:widowControl w:val="0"/>
        <w:ind w:firstLine="482"/>
        <w:rPr>
          <w:color w:val="auto"/>
          <w:highlight w:val="none"/>
        </w:rPr>
      </w:pPr>
      <w:r>
        <w:rPr>
          <w:rFonts w:hint="eastAsia"/>
          <w:b/>
          <w:bCs/>
          <w:color w:val="auto"/>
          <w:highlight w:val="none"/>
        </w:rPr>
        <w:t>红、白内脏：</w:t>
      </w:r>
      <w:r>
        <w:rPr>
          <w:rFonts w:hint="eastAsia"/>
          <w:color w:val="auto"/>
          <w:highlight w:val="none"/>
        </w:rPr>
        <w:t>红、白内脏送入内脏整理车间后，先由人工分离内脏、板油和不可食用内脏等。白内脏经人工清粪，红内脏经人工修整（剔除油渣，规整整齐），然后再用清水进行清洗。清洗过程采用喷淋装置。清洗后放置在暂存区域沥水后称重外售。</w:t>
      </w:r>
    </w:p>
    <w:p>
      <w:pPr>
        <w:widowControl w:val="0"/>
        <w:ind w:firstLine="480"/>
        <w:rPr>
          <w:color w:val="auto"/>
          <w:highlight w:val="none"/>
        </w:rPr>
      </w:pPr>
      <w:r>
        <w:rPr>
          <w:rFonts w:hint="eastAsia"/>
          <w:color w:val="auto"/>
          <w:highlight w:val="none"/>
        </w:rPr>
        <w:t>该过程将产生清洗废水、恶臭、不可食用内脏、猪粪和肠胃内容物等。</w:t>
      </w:r>
    </w:p>
    <w:p>
      <w:pPr>
        <w:widowControl w:val="0"/>
        <w:ind w:firstLine="482"/>
        <w:rPr>
          <w:color w:val="auto"/>
          <w:highlight w:val="none"/>
        </w:rPr>
      </w:pPr>
      <w:r>
        <w:rPr>
          <w:rFonts w:hint="eastAsia"/>
          <w:b/>
          <w:bCs/>
          <w:color w:val="auto"/>
          <w:highlight w:val="none"/>
        </w:rPr>
        <w:t>板油：</w:t>
      </w:r>
      <w:r>
        <w:rPr>
          <w:rFonts w:hint="eastAsia"/>
          <w:color w:val="auto"/>
          <w:highlight w:val="none"/>
        </w:rPr>
        <w:t>板油经分离后送至板油处理间，经人工修整（剔除碎渣，规整整齐）后称重外售。</w:t>
      </w:r>
    </w:p>
    <w:p>
      <w:pPr>
        <w:widowControl w:val="0"/>
        <w:ind w:firstLine="480"/>
        <w:rPr>
          <w:color w:val="auto"/>
          <w:highlight w:val="none"/>
        </w:rPr>
      </w:pPr>
      <w:r>
        <w:rPr>
          <w:rFonts w:hint="eastAsia"/>
          <w:color w:val="auto"/>
          <w:highlight w:val="none"/>
        </w:rPr>
        <w:t>该过程将产生恶臭、废弃动物组织。</w:t>
      </w:r>
    </w:p>
    <w:p>
      <w:pPr>
        <w:widowControl w:val="0"/>
        <w:ind w:firstLine="482"/>
        <w:rPr>
          <w:color w:val="auto"/>
          <w:highlight w:val="none"/>
        </w:rPr>
      </w:pPr>
      <w:r>
        <w:rPr>
          <w:rFonts w:hint="eastAsia"/>
          <w:b/>
          <w:bCs/>
          <w:color w:val="auto"/>
          <w:highlight w:val="none"/>
        </w:rPr>
        <w:t>头蹄尾：</w:t>
      </w:r>
      <w:r>
        <w:rPr>
          <w:rFonts w:hint="eastAsia"/>
          <w:color w:val="auto"/>
          <w:highlight w:val="none"/>
        </w:rPr>
        <w:t>头蹄尾暂存于猪头、蹄尾暂存间后直接外售。该过程将产生恶臭。</w:t>
      </w:r>
    </w:p>
    <w:p>
      <w:pPr>
        <w:widowControl w:val="0"/>
        <w:ind w:firstLine="482"/>
        <w:rPr>
          <w:color w:val="auto"/>
          <w:highlight w:val="none"/>
        </w:rPr>
      </w:pPr>
      <w:r>
        <w:rPr>
          <w:rFonts w:hint="eastAsia"/>
          <w:b/>
          <w:bCs/>
          <w:color w:val="auto"/>
          <w:highlight w:val="none"/>
        </w:rPr>
        <w:t>猪血：</w:t>
      </w:r>
      <w:r>
        <w:rPr>
          <w:rFonts w:hint="eastAsia"/>
          <w:color w:val="auto"/>
          <w:highlight w:val="none"/>
        </w:rPr>
        <w:t>猪血经放血槽收集后由管道抽入位于猪血暂存间的制冷罐（</w:t>
      </w:r>
      <w:r>
        <w:rPr>
          <w:color w:val="auto"/>
          <w:highlight w:val="none"/>
        </w:rPr>
        <w:t>6t</w:t>
      </w:r>
      <w:r>
        <w:rPr>
          <w:rFonts w:hint="eastAsia"/>
          <w:color w:val="auto"/>
          <w:highlight w:val="none"/>
        </w:rPr>
        <w:t>）内暂存，每日外售。</w:t>
      </w:r>
    </w:p>
    <w:p>
      <w:pPr>
        <w:widowControl w:val="0"/>
        <w:ind w:firstLine="482"/>
        <w:rPr>
          <w:color w:val="auto"/>
          <w:highlight w:val="none"/>
        </w:rPr>
      </w:pPr>
      <w:r>
        <w:rPr>
          <w:rFonts w:hint="eastAsia"/>
          <w:b/>
          <w:bCs/>
          <w:color w:val="auto"/>
          <w:highlight w:val="none"/>
        </w:rPr>
        <w:t>猪毛、蹄壳：</w:t>
      </w:r>
      <w:r>
        <w:rPr>
          <w:rFonts w:hint="eastAsia"/>
          <w:color w:val="auto"/>
          <w:highlight w:val="none"/>
        </w:rPr>
        <w:t>人工装袋后直接外售。该过程将产生恶臭。</w:t>
      </w:r>
    </w:p>
    <w:p>
      <w:pPr>
        <w:pStyle w:val="5"/>
        <w:widowControl w:val="0"/>
        <w:ind w:firstLine="120"/>
        <w:rPr>
          <w:color w:val="auto"/>
          <w:highlight w:val="none"/>
        </w:rPr>
      </w:pPr>
      <w:r>
        <w:rPr>
          <w:rFonts w:hint="eastAsia"/>
          <w:color w:val="auto"/>
          <w:highlight w:val="none"/>
        </w:rPr>
        <w:t>肉牛屠宰工艺流程</w:t>
      </w:r>
    </w:p>
    <w:p>
      <w:pPr>
        <w:widowControl w:val="0"/>
        <w:ind w:firstLine="480"/>
        <w:jc w:val="left"/>
        <w:rPr>
          <w:color w:val="auto"/>
          <w:highlight w:val="none"/>
        </w:rPr>
      </w:pPr>
      <w:r>
        <w:rPr>
          <w:rFonts w:hint="eastAsia" w:ascii="宋体" w:hAnsi="宋体"/>
          <w:color w:val="auto"/>
          <w:highlight w:val="none"/>
        </w:rPr>
        <w:t>本项目运营期产生的污染物包括待宰圈及屠宰车间产生的恶臭、屠宰废水、屠宰垃圾、生活污水、生活垃圾、污水站污泥等。项目屠宰在屠宰车间进行，红白脏及蹄、头加工在内脏处理间进行。</w:t>
      </w: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pStyle w:val="28"/>
        <w:ind w:firstLine="422"/>
        <w:rPr>
          <w:color w:val="auto"/>
          <w:highlight w:val="none"/>
        </w:rPr>
      </w:pPr>
    </w:p>
    <w:p>
      <w:pPr>
        <w:pStyle w:val="28"/>
        <w:ind w:firstLine="422"/>
        <w:rPr>
          <w:rFonts w:hint="eastAsia" w:eastAsia="宋体"/>
          <w:color w:val="auto"/>
          <w:highlight w:val="none"/>
          <w:lang w:eastAsia="zh-CN"/>
        </w:rPr>
      </w:pPr>
    </w:p>
    <w:p>
      <w:pPr>
        <w:pStyle w:val="28"/>
        <w:ind w:firstLine="422"/>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15330" cy="6728460"/>
            <wp:effectExtent l="0" t="0" r="13970" b="15240"/>
            <wp:docPr id="47" name="图片 47"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具 Model (1)"/>
                    <pic:cNvPicPr>
                      <a:picLocks noChangeAspect="1"/>
                    </pic:cNvPicPr>
                  </pic:nvPicPr>
                  <pic:blipFill>
                    <a:blip r:embed="rId24"/>
                    <a:srcRect t="8918" b="9266"/>
                    <a:stretch>
                      <a:fillRect/>
                    </a:stretch>
                  </pic:blipFill>
                  <pic:spPr>
                    <a:xfrm>
                      <a:off x="0" y="0"/>
                      <a:ext cx="5815330" cy="6728460"/>
                    </a:xfrm>
                    <a:prstGeom prst="rect">
                      <a:avLst/>
                    </a:prstGeom>
                  </pic:spPr>
                </pic:pic>
              </a:graphicData>
            </a:graphic>
          </wp:inline>
        </w:drawing>
      </w:r>
    </w:p>
    <w:p>
      <w:pPr>
        <w:pStyle w:val="32"/>
        <w:ind w:firstLine="422"/>
        <w:rPr>
          <w:rFonts w:hint="default"/>
          <w:color w:val="auto"/>
          <w:highlight w:val="none"/>
        </w:rPr>
      </w:pPr>
      <w:r>
        <w:rPr>
          <w:color w:val="auto"/>
          <w:highlight w:val="none"/>
        </w:rPr>
        <w:t>图4.2-4  肉牛屠宰生产工艺流程及产污位置图</w:t>
      </w:r>
    </w:p>
    <w:p>
      <w:pPr>
        <w:widowControl w:val="0"/>
        <w:ind w:firstLine="0" w:firstLineChars="0"/>
        <w:rPr>
          <w:color w:val="auto"/>
          <w:highlight w:val="none"/>
        </w:rPr>
      </w:pPr>
    </w:p>
    <w:p>
      <w:pPr>
        <w:pStyle w:val="32"/>
        <w:widowControl w:val="0"/>
        <w:ind w:firstLine="422"/>
        <w:rPr>
          <w:rFonts w:hint="default"/>
          <w:color w:val="auto"/>
          <w:highlight w:val="none"/>
        </w:rPr>
      </w:pPr>
      <w:r>
        <w:rPr>
          <w:color w:val="auto"/>
          <w:highlight w:val="none"/>
        </w:rPr>
        <w:t>图4.2-5  内脏加工工艺流程及产污位置图</w:t>
      </w:r>
      <w:r>
        <w:rPr>
          <w:color w:val="auto"/>
          <w:highlight w:val="none"/>
        </w:rPr>
        <w:drawing>
          <wp:anchor distT="0" distB="0" distL="114300" distR="114300" simplePos="0" relativeHeight="251664384" behindDoc="0" locked="0" layoutInCell="1" allowOverlap="1">
            <wp:simplePos x="0" y="0"/>
            <wp:positionH relativeFrom="column">
              <wp:posOffset>200025</wp:posOffset>
            </wp:positionH>
            <wp:positionV relativeFrom="paragraph">
              <wp:posOffset>45720</wp:posOffset>
            </wp:positionV>
            <wp:extent cx="5551805" cy="1224915"/>
            <wp:effectExtent l="0" t="0" r="10795" b="13335"/>
            <wp:wrapTopAndBottom/>
            <wp:docPr id="6" name="图片 6"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具 Model (1)"/>
                    <pic:cNvPicPr>
                      <a:picLocks noChangeAspect="1"/>
                    </pic:cNvPicPr>
                  </pic:nvPicPr>
                  <pic:blipFill>
                    <a:blip r:embed="rId25"/>
                    <a:stretch>
                      <a:fillRect/>
                    </a:stretch>
                  </pic:blipFill>
                  <pic:spPr>
                    <a:xfrm>
                      <a:off x="0" y="0"/>
                      <a:ext cx="5551805" cy="1224915"/>
                    </a:xfrm>
                    <a:prstGeom prst="rect">
                      <a:avLst/>
                    </a:prstGeom>
                  </pic:spPr>
                </pic:pic>
              </a:graphicData>
            </a:graphic>
          </wp:anchor>
        </w:drawing>
      </w:r>
    </w:p>
    <w:p>
      <w:pPr>
        <w:pStyle w:val="32"/>
        <w:widowControl w:val="0"/>
        <w:ind w:firstLine="422"/>
        <w:rPr>
          <w:rFonts w:hint="default"/>
          <w:color w:val="auto"/>
          <w:highlight w:val="none"/>
        </w:rPr>
      </w:pPr>
      <w:r>
        <w:rPr>
          <w:color w:val="auto"/>
          <w:highlight w:val="none"/>
        </w:rPr>
        <w:drawing>
          <wp:anchor distT="0" distB="0" distL="114300" distR="114300" simplePos="0" relativeHeight="251665408" behindDoc="0" locked="0" layoutInCell="1" allowOverlap="1">
            <wp:simplePos x="0" y="0"/>
            <wp:positionH relativeFrom="column">
              <wp:posOffset>-9525</wp:posOffset>
            </wp:positionH>
            <wp:positionV relativeFrom="paragraph">
              <wp:posOffset>78105</wp:posOffset>
            </wp:positionV>
            <wp:extent cx="5966460" cy="822325"/>
            <wp:effectExtent l="0" t="0" r="15240" b="15875"/>
            <wp:wrapTopAndBottom/>
            <wp:docPr id="11" name="图片 11"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具 Model (1)"/>
                    <pic:cNvPicPr>
                      <a:picLocks noChangeAspect="1"/>
                    </pic:cNvPicPr>
                  </pic:nvPicPr>
                  <pic:blipFill>
                    <a:blip r:embed="rId26"/>
                    <a:stretch>
                      <a:fillRect/>
                    </a:stretch>
                  </pic:blipFill>
                  <pic:spPr>
                    <a:xfrm>
                      <a:off x="0" y="0"/>
                      <a:ext cx="5966460" cy="822325"/>
                    </a:xfrm>
                    <a:prstGeom prst="rect">
                      <a:avLst/>
                    </a:prstGeom>
                  </pic:spPr>
                </pic:pic>
              </a:graphicData>
            </a:graphic>
          </wp:anchor>
        </w:drawing>
      </w:r>
      <w:r>
        <w:rPr>
          <w:color w:val="auto"/>
          <w:highlight w:val="none"/>
        </w:rPr>
        <w:t>图4.2-6  蹄加工工艺流程及产污位置图</w:t>
      </w:r>
    </w:p>
    <w:p>
      <w:pPr>
        <w:widowControl w:val="0"/>
        <w:ind w:firstLine="482"/>
        <w:rPr>
          <w:b/>
          <w:bCs/>
          <w:color w:val="auto"/>
          <w:highlight w:val="none"/>
        </w:rPr>
      </w:pPr>
      <w:r>
        <w:rPr>
          <w:rFonts w:hint="eastAsia"/>
          <w:b/>
          <w:bCs/>
          <w:color w:val="auto"/>
          <w:highlight w:val="none"/>
        </w:rPr>
        <w:t>肉牛屠宰工艺流程说明：</w:t>
      </w:r>
    </w:p>
    <w:p>
      <w:pPr>
        <w:widowControl w:val="0"/>
        <w:ind w:firstLine="482"/>
        <w:rPr>
          <w:color w:val="auto"/>
          <w:highlight w:val="none"/>
        </w:rPr>
      </w:pPr>
      <w:r>
        <w:rPr>
          <w:rFonts w:hint="eastAsia"/>
          <w:b/>
          <w:bCs/>
          <w:color w:val="auto"/>
          <w:highlight w:val="none"/>
        </w:rPr>
        <w:t>（1）宰前处理：</w:t>
      </w:r>
      <w:r>
        <w:rPr>
          <w:rFonts w:hint="eastAsia"/>
          <w:color w:val="auto"/>
          <w:highlight w:val="none"/>
        </w:rPr>
        <w:t>肉牛在屠宰前被运到屠宰厂，肉牛入场后不对肉牛进行喂食，并保证及时进行宰杀，肉牛在厂内停留时间不超过24小时。</w:t>
      </w:r>
    </w:p>
    <w:p>
      <w:pPr>
        <w:widowControl w:val="0"/>
        <w:ind w:firstLine="480"/>
        <w:rPr>
          <w:color w:val="auto"/>
          <w:highlight w:val="none"/>
        </w:rPr>
      </w:pPr>
      <w:r>
        <w:rPr>
          <w:rFonts w:hint="eastAsia"/>
          <w:color w:val="auto"/>
          <w:highlight w:val="none"/>
        </w:rPr>
        <w:t>该过程产生恶臭、牛粪、待宰圈冲洗废水。</w:t>
      </w:r>
    </w:p>
    <w:p>
      <w:pPr>
        <w:widowControl w:val="0"/>
        <w:ind w:firstLine="482"/>
        <w:rPr>
          <w:color w:val="auto"/>
          <w:highlight w:val="none"/>
        </w:rPr>
      </w:pPr>
      <w:r>
        <w:rPr>
          <w:rFonts w:hint="eastAsia"/>
          <w:b/>
          <w:bCs/>
          <w:color w:val="auto"/>
          <w:highlight w:val="none"/>
        </w:rPr>
        <w:t>（2）宰前检验：</w:t>
      </w:r>
      <w:r>
        <w:rPr>
          <w:rFonts w:hint="eastAsia"/>
          <w:color w:val="auto"/>
          <w:highlight w:val="none"/>
        </w:rPr>
        <w:t>宰前检验的目的是通过检疫、检测，以控制各种疫病的传入和扩散，减少污染，维护产品质量。它包括以下三个环节：进厂检疫、候宰检查、宰前检疫。</w:t>
      </w:r>
    </w:p>
    <w:p>
      <w:pPr>
        <w:widowControl w:val="0"/>
        <w:ind w:firstLine="480"/>
        <w:rPr>
          <w:color w:val="auto"/>
          <w:highlight w:val="none"/>
        </w:rPr>
      </w:pPr>
      <w:r>
        <w:rPr>
          <w:rFonts w:hint="eastAsia"/>
          <w:color w:val="auto"/>
          <w:highlight w:val="none"/>
        </w:rPr>
        <w:t>检疫过程中如发现突发性、传染性疫病的肉牛，禁止进厂。对于确认为符合《病害动物和病害动物产品生物安全处理规程》（16548-2006）中3.2.1条规定，如确认为口蹄疫、牛瘟、牛传染性胸膜肺炎、牛海绵状脑病等应该销毁的病害牛，严禁入厂；若是传染性疾病死亡的肉牛则应上报上级部门进行检查处理，并由上级主管部门制定处理方案。检疫后未发现有疫病的肉牛正常进入屠宰流程。</w:t>
      </w:r>
    </w:p>
    <w:p>
      <w:pPr>
        <w:widowControl w:val="0"/>
        <w:ind w:firstLine="480"/>
        <w:rPr>
          <w:color w:val="auto"/>
          <w:highlight w:val="none"/>
        </w:rPr>
      </w:pPr>
      <w:r>
        <w:rPr>
          <w:rFonts w:hint="eastAsia"/>
          <w:color w:val="auto"/>
          <w:highlight w:val="none"/>
        </w:rPr>
        <w:t>该过程产生恶臭和不合格肉牛。</w:t>
      </w:r>
    </w:p>
    <w:p>
      <w:pPr>
        <w:widowControl w:val="0"/>
        <w:ind w:firstLine="482"/>
        <w:rPr>
          <w:color w:val="auto"/>
          <w:highlight w:val="none"/>
        </w:rPr>
      </w:pPr>
      <w:r>
        <w:rPr>
          <w:rFonts w:hint="eastAsia"/>
          <w:b/>
          <w:bCs/>
          <w:color w:val="auto"/>
          <w:highlight w:val="none"/>
        </w:rPr>
        <w:t>（3）冲淋：</w:t>
      </w:r>
      <w:r>
        <w:rPr>
          <w:rFonts w:hint="eastAsia"/>
          <w:color w:val="auto"/>
          <w:highlight w:val="none"/>
        </w:rPr>
        <w:t>对检疫合格的肉牛进行冲淋，以减少屠宰过程中肉牛身上附着物对肉牛胴体的污染。</w:t>
      </w:r>
    </w:p>
    <w:p>
      <w:pPr>
        <w:widowControl w:val="0"/>
        <w:ind w:firstLine="480"/>
        <w:rPr>
          <w:color w:val="auto"/>
          <w:highlight w:val="none"/>
        </w:rPr>
      </w:pPr>
      <w:r>
        <w:rPr>
          <w:rFonts w:hint="eastAsia"/>
          <w:color w:val="auto"/>
          <w:highlight w:val="none"/>
        </w:rPr>
        <w:t>该过程产生冲淋废水、粪便及恶臭</w:t>
      </w:r>
    </w:p>
    <w:p>
      <w:pPr>
        <w:widowControl w:val="0"/>
        <w:ind w:firstLine="482"/>
        <w:rPr>
          <w:color w:val="auto"/>
          <w:highlight w:val="none"/>
        </w:rPr>
      </w:pPr>
      <w:r>
        <w:rPr>
          <w:rFonts w:hint="eastAsia"/>
          <w:b/>
          <w:bCs/>
          <w:color w:val="auto"/>
          <w:highlight w:val="none"/>
        </w:rPr>
        <w:t>（4）击晕：</w:t>
      </w:r>
      <w:r>
        <w:rPr>
          <w:rFonts w:hint="eastAsia"/>
          <w:color w:val="auto"/>
          <w:highlight w:val="none"/>
        </w:rPr>
        <w:t>将待宰肉牛赶入屠宰车间，固定牛头后，</w:t>
      </w:r>
      <w:r>
        <w:rPr>
          <w:rFonts w:hint="eastAsia"/>
          <w:color w:val="auto"/>
          <w:highlight w:val="none"/>
          <w:lang w:val="en-US" w:eastAsia="zh-CN"/>
        </w:rPr>
        <w:t>电击</w:t>
      </w:r>
      <w:r>
        <w:rPr>
          <w:rFonts w:hint="eastAsia"/>
          <w:color w:val="auto"/>
          <w:highlight w:val="none"/>
        </w:rPr>
        <w:t>至牛昏迷。</w:t>
      </w:r>
    </w:p>
    <w:p>
      <w:pPr>
        <w:widowControl w:val="0"/>
        <w:ind w:firstLine="482"/>
        <w:rPr>
          <w:color w:val="auto"/>
          <w:highlight w:val="none"/>
        </w:rPr>
      </w:pPr>
      <w:r>
        <w:rPr>
          <w:rFonts w:hint="eastAsia"/>
          <w:b/>
          <w:bCs/>
          <w:color w:val="auto"/>
          <w:highlight w:val="none"/>
        </w:rPr>
        <w:t>（5）宰杀放血：</w:t>
      </w:r>
      <w:r>
        <w:rPr>
          <w:rFonts w:hint="eastAsia"/>
          <w:color w:val="auto"/>
          <w:highlight w:val="none"/>
        </w:rPr>
        <w:t>经击晕后的肉牛，由人用绳索套牢牛的一条后腿，并挂在电动葫芦的吊钩上，启动电动葫芦将牛吊起送入宰杀车间内放血，从肉牛喉部下刀割断食管、气管和血管进行放血，放血时间约为9min，同时收集牛血。牛血收集后作为产品外售。</w:t>
      </w:r>
    </w:p>
    <w:p>
      <w:pPr>
        <w:widowControl w:val="0"/>
        <w:ind w:firstLine="480"/>
        <w:rPr>
          <w:color w:val="auto"/>
          <w:highlight w:val="none"/>
        </w:rPr>
      </w:pPr>
      <w:r>
        <w:rPr>
          <w:rFonts w:hint="eastAsia"/>
          <w:color w:val="auto"/>
          <w:highlight w:val="none"/>
        </w:rPr>
        <w:t>该过程产生恶臭。</w:t>
      </w:r>
    </w:p>
    <w:p>
      <w:pPr>
        <w:widowControl w:val="0"/>
        <w:ind w:firstLine="482"/>
        <w:rPr>
          <w:color w:val="auto"/>
          <w:highlight w:val="none"/>
        </w:rPr>
      </w:pPr>
      <w:r>
        <w:rPr>
          <w:rFonts w:hint="eastAsia"/>
          <w:b/>
          <w:bCs/>
          <w:color w:val="auto"/>
          <w:highlight w:val="none"/>
        </w:rPr>
        <w:t>（6）割头：</w:t>
      </w:r>
      <w:r>
        <w:rPr>
          <w:rFonts w:hint="eastAsia"/>
          <w:color w:val="auto"/>
          <w:highlight w:val="none"/>
        </w:rPr>
        <w:t>放血完成后的肉牛在车间内割去牛头，将牛头进行剥皮，分割出牛嘴、牛心舌等。牛头皮、牛嘴、牛心舌作为产品外售。</w:t>
      </w:r>
    </w:p>
    <w:p>
      <w:pPr>
        <w:widowControl w:val="0"/>
        <w:ind w:firstLine="480"/>
        <w:rPr>
          <w:color w:val="auto"/>
          <w:highlight w:val="none"/>
        </w:rPr>
      </w:pPr>
      <w:r>
        <w:rPr>
          <w:rFonts w:hint="eastAsia"/>
          <w:color w:val="auto"/>
          <w:highlight w:val="none"/>
        </w:rPr>
        <w:t>该过程产生废水、恶臭。</w:t>
      </w:r>
    </w:p>
    <w:p>
      <w:pPr>
        <w:widowControl w:val="0"/>
        <w:ind w:firstLine="482"/>
        <w:rPr>
          <w:color w:val="auto"/>
          <w:highlight w:val="none"/>
        </w:rPr>
      </w:pPr>
      <w:r>
        <w:rPr>
          <w:rFonts w:hint="eastAsia"/>
          <w:b/>
          <w:bCs/>
          <w:color w:val="auto"/>
          <w:highlight w:val="none"/>
        </w:rPr>
        <w:t>（7）剥皮去蹄：</w:t>
      </w:r>
      <w:r>
        <w:rPr>
          <w:rFonts w:hint="eastAsia"/>
          <w:color w:val="auto"/>
          <w:highlight w:val="none"/>
        </w:rPr>
        <w:t>割去牛的前后蹄，然后进行人工拔毛（肉牛屠宰工艺过程不使用锅炉蒸汽脱毛）、剥皮，牛皮剥下后用盐腌制。牛皮、牛蹄作为产品外售。</w:t>
      </w:r>
    </w:p>
    <w:p>
      <w:pPr>
        <w:widowControl w:val="0"/>
        <w:ind w:firstLine="480"/>
        <w:rPr>
          <w:color w:val="auto"/>
          <w:highlight w:val="none"/>
        </w:rPr>
      </w:pPr>
      <w:r>
        <w:rPr>
          <w:rFonts w:hint="eastAsia"/>
          <w:color w:val="auto"/>
          <w:highlight w:val="none"/>
        </w:rPr>
        <w:t>该过程产生恶臭、废水、牛毛。</w:t>
      </w:r>
    </w:p>
    <w:p>
      <w:pPr>
        <w:widowControl w:val="0"/>
        <w:ind w:firstLine="482"/>
        <w:rPr>
          <w:color w:val="auto"/>
          <w:highlight w:val="none"/>
        </w:rPr>
      </w:pPr>
      <w:r>
        <w:rPr>
          <w:rFonts w:hint="eastAsia"/>
          <w:b/>
          <w:bCs/>
          <w:color w:val="auto"/>
          <w:highlight w:val="none"/>
        </w:rPr>
        <w:t>（8）剖腹：</w:t>
      </w:r>
      <w:r>
        <w:rPr>
          <w:rFonts w:hint="eastAsia"/>
          <w:color w:val="auto"/>
          <w:highlight w:val="none"/>
        </w:rPr>
        <w:t>剥皮后立即开膛，取出内脏，取出红、白内脏，同步卫检。</w:t>
      </w:r>
    </w:p>
    <w:p>
      <w:pPr>
        <w:widowControl w:val="0"/>
        <w:ind w:firstLine="480"/>
        <w:rPr>
          <w:color w:val="auto"/>
          <w:highlight w:val="none"/>
        </w:rPr>
      </w:pPr>
      <w:r>
        <w:rPr>
          <w:rFonts w:hint="eastAsia"/>
          <w:color w:val="auto"/>
          <w:highlight w:val="none"/>
        </w:rPr>
        <w:t>该过程产生恶臭、废水、粪便。</w:t>
      </w:r>
    </w:p>
    <w:p>
      <w:pPr>
        <w:widowControl w:val="0"/>
        <w:ind w:firstLine="482"/>
        <w:rPr>
          <w:color w:val="auto"/>
          <w:highlight w:val="none"/>
        </w:rPr>
      </w:pPr>
      <w:r>
        <w:rPr>
          <w:rFonts w:hint="eastAsia"/>
          <w:b/>
          <w:bCs/>
          <w:color w:val="auto"/>
          <w:highlight w:val="none"/>
        </w:rPr>
        <w:t>（9）修整、冲淋：</w:t>
      </w:r>
      <w:r>
        <w:rPr>
          <w:rFonts w:hint="eastAsia"/>
          <w:color w:val="auto"/>
          <w:highlight w:val="none"/>
        </w:rPr>
        <w:t>修整范围包括割牛尾、扒下肾脏周围脂肪、除淤血及血凝块、修整颈肉、割除体腔内残留的零碎块和脂肪，割除胴体表面污垢，然后经冲淋洗去残留血渍、骨渣、毛等污物。</w:t>
      </w:r>
    </w:p>
    <w:p>
      <w:pPr>
        <w:widowControl w:val="0"/>
        <w:ind w:firstLine="480"/>
        <w:rPr>
          <w:color w:val="auto"/>
          <w:highlight w:val="none"/>
        </w:rPr>
      </w:pPr>
      <w:r>
        <w:rPr>
          <w:rFonts w:hint="eastAsia"/>
          <w:color w:val="auto"/>
          <w:highlight w:val="none"/>
        </w:rPr>
        <w:t>该过程产生恶臭、冲洗废水。</w:t>
      </w:r>
    </w:p>
    <w:p>
      <w:pPr>
        <w:widowControl w:val="0"/>
        <w:ind w:firstLine="482"/>
        <w:rPr>
          <w:color w:val="auto"/>
          <w:highlight w:val="none"/>
        </w:rPr>
      </w:pPr>
      <w:r>
        <w:rPr>
          <w:rFonts w:hint="eastAsia"/>
          <w:b/>
          <w:bCs/>
          <w:color w:val="auto"/>
          <w:highlight w:val="none"/>
        </w:rPr>
        <w:t>（10）宰后检疫：</w:t>
      </w:r>
      <w:r>
        <w:rPr>
          <w:rFonts w:hint="eastAsia"/>
          <w:color w:val="auto"/>
          <w:highlight w:val="none"/>
        </w:rPr>
        <w:t>将牛的胴体、牛蹄、内脏、牛头等产品实施同步卫生检验。根据《中华人民共和国动物防疫法》、《中华人民共和国食品卫生法》、《畜禽屠宰卫生检疫规范》（NY467-2001）等相关规定进行处理。</w:t>
      </w:r>
    </w:p>
    <w:p>
      <w:pPr>
        <w:widowControl w:val="0"/>
        <w:ind w:firstLine="480"/>
        <w:rPr>
          <w:color w:val="auto"/>
          <w:highlight w:val="none"/>
        </w:rPr>
      </w:pPr>
      <w:r>
        <w:rPr>
          <w:rFonts w:hint="eastAsia"/>
          <w:color w:val="auto"/>
          <w:highlight w:val="none"/>
        </w:rPr>
        <w:t>●合格的：检验合格作为食品的，其卫生检验、监督均依照《中华人民共和国食品卫生法》的规定办理。</w:t>
      </w:r>
    </w:p>
    <w:p>
      <w:pPr>
        <w:widowControl w:val="0"/>
        <w:ind w:firstLine="480"/>
        <w:rPr>
          <w:color w:val="auto"/>
          <w:highlight w:val="none"/>
        </w:rPr>
      </w:pPr>
      <w:r>
        <w:rPr>
          <w:rFonts w:hint="eastAsia"/>
          <w:color w:val="auto"/>
          <w:highlight w:val="none"/>
        </w:rPr>
        <w:t>●不合格的：</w:t>
      </w:r>
    </w:p>
    <w:p>
      <w:pPr>
        <w:widowControl w:val="0"/>
        <w:ind w:firstLine="480"/>
        <w:rPr>
          <w:color w:val="auto"/>
          <w:highlight w:val="none"/>
        </w:rPr>
      </w:pPr>
      <w:r>
        <w:rPr>
          <w:rFonts w:hint="eastAsia"/>
          <w:color w:val="auto"/>
          <w:highlight w:val="none"/>
        </w:rPr>
        <w:t>检出检疫部门公布的一类传染病、寄生虫病的其阳性动物及与其同群的其他动物全群扑杀，并销毁尸体；</w:t>
      </w:r>
    </w:p>
    <w:p>
      <w:pPr>
        <w:widowControl w:val="0"/>
        <w:ind w:firstLine="480"/>
        <w:rPr>
          <w:color w:val="auto"/>
          <w:highlight w:val="none"/>
        </w:rPr>
      </w:pPr>
      <w:r>
        <w:rPr>
          <w:rFonts w:hint="eastAsia"/>
          <w:color w:val="auto"/>
          <w:highlight w:val="none"/>
        </w:rPr>
        <w:t>检出检疫部门公布的二类传染病、寄生虫病的其阳性动物应扑杀，同群其它动物在动物检疫隔离场和动植物检疫机关指定的地点继续隔离观察；</w:t>
      </w:r>
    </w:p>
    <w:p>
      <w:pPr>
        <w:widowControl w:val="0"/>
        <w:ind w:firstLine="480"/>
        <w:rPr>
          <w:color w:val="auto"/>
          <w:highlight w:val="none"/>
        </w:rPr>
      </w:pPr>
      <w:r>
        <w:rPr>
          <w:rFonts w:hint="eastAsia"/>
          <w:color w:val="auto"/>
          <w:highlight w:val="none"/>
        </w:rPr>
        <w:t>检出一般性病害并超过规定标准的，可由专业技术人员按规程实施卫生无害化处理，以上不合格全部由畜牧局组织专业处理。</w:t>
      </w:r>
    </w:p>
    <w:p>
      <w:pPr>
        <w:widowControl w:val="0"/>
        <w:ind w:firstLine="480"/>
        <w:rPr>
          <w:color w:val="auto"/>
          <w:highlight w:val="none"/>
        </w:rPr>
      </w:pPr>
      <w:r>
        <w:rPr>
          <w:rFonts w:hint="eastAsia"/>
          <w:color w:val="auto"/>
          <w:highlight w:val="none"/>
        </w:rPr>
        <w:t>该过程产生恶臭、检疫不合格牛及病胴体、病内脏、废弃动物组织等。</w:t>
      </w:r>
    </w:p>
    <w:p>
      <w:pPr>
        <w:widowControl w:val="0"/>
        <w:ind w:firstLine="482"/>
        <w:rPr>
          <w:color w:val="auto"/>
          <w:highlight w:val="none"/>
        </w:rPr>
      </w:pPr>
      <w:r>
        <w:rPr>
          <w:rFonts w:hint="eastAsia"/>
          <w:b/>
          <w:bCs/>
          <w:color w:val="auto"/>
          <w:highlight w:val="none"/>
        </w:rPr>
        <w:t>（11）剔骨分割：</w:t>
      </w:r>
      <w:r>
        <w:rPr>
          <w:rFonts w:hint="eastAsia"/>
          <w:color w:val="auto"/>
          <w:highlight w:val="none"/>
        </w:rPr>
        <w:t>将检验合格的牛胴体按规格部分、标准进行分割</w:t>
      </w:r>
    </w:p>
    <w:p>
      <w:pPr>
        <w:pStyle w:val="5"/>
        <w:widowControl w:val="0"/>
        <w:ind w:firstLine="120"/>
        <w:rPr>
          <w:color w:val="auto"/>
          <w:highlight w:val="none"/>
        </w:rPr>
      </w:pPr>
      <w:r>
        <w:rPr>
          <w:rFonts w:hint="eastAsia"/>
          <w:color w:val="auto"/>
          <w:highlight w:val="none"/>
        </w:rPr>
        <w:t>厂区其他工艺</w:t>
      </w:r>
    </w:p>
    <w:p>
      <w:pPr>
        <w:widowControl w:val="0"/>
        <w:ind w:firstLine="482"/>
        <w:jc w:val="left"/>
        <w:rPr>
          <w:rFonts w:ascii="宋体" w:hAnsi="宋体"/>
          <w:color w:val="auto"/>
          <w:highlight w:val="none"/>
        </w:rPr>
      </w:pPr>
      <w:r>
        <w:rPr>
          <w:rFonts w:hint="eastAsia" w:ascii="宋体" w:hAnsi="宋体"/>
          <w:b/>
          <w:bCs/>
          <w:color w:val="auto"/>
          <w:highlight w:val="none"/>
        </w:rPr>
        <w:t>干清粪工艺：</w:t>
      </w:r>
      <w:r>
        <w:rPr>
          <w:rFonts w:hint="eastAsia" w:ascii="宋体" w:hAnsi="宋体"/>
          <w:color w:val="auto"/>
          <w:highlight w:val="none"/>
        </w:rPr>
        <w:t>待宰圈生猪产生猪尿通过污水沟排入污水处理站处理，猪粪经截粪井拦截，由人工收集桶装暂存于待宰圈内的垃圾箱内，后</w:t>
      </w:r>
      <w:r>
        <w:rPr>
          <w:rFonts w:hint="eastAsia" w:ascii="宋体" w:hAnsi="宋体"/>
          <w:color w:val="auto"/>
          <w:highlight w:val="none"/>
          <w:lang w:val="en-US" w:eastAsia="zh-CN"/>
        </w:rPr>
        <w:t>由有机肥料</w:t>
      </w:r>
      <w:r>
        <w:rPr>
          <w:rFonts w:hint="eastAsia" w:ascii="宋体" w:hAnsi="宋体"/>
          <w:color w:val="auto"/>
          <w:highlight w:val="none"/>
        </w:rPr>
        <w:t>单位</w:t>
      </w:r>
      <w:r>
        <w:rPr>
          <w:rFonts w:hint="eastAsia" w:ascii="宋体" w:hAnsi="宋体"/>
          <w:color w:val="auto"/>
          <w:highlight w:val="none"/>
          <w:lang w:val="en-US" w:eastAsia="zh-CN"/>
        </w:rPr>
        <w:t>回收利用</w:t>
      </w:r>
      <w:r>
        <w:rPr>
          <w:rFonts w:hint="eastAsia" w:ascii="宋体" w:hAnsi="宋体"/>
          <w:color w:val="auto"/>
          <w:highlight w:val="none"/>
        </w:rPr>
        <w:t>。</w:t>
      </w:r>
    </w:p>
    <w:p>
      <w:pPr>
        <w:widowControl w:val="0"/>
        <w:ind w:firstLine="482"/>
        <w:jc w:val="left"/>
        <w:rPr>
          <w:rFonts w:ascii="宋体" w:hAnsi="宋体"/>
          <w:color w:val="auto"/>
          <w:highlight w:val="none"/>
        </w:rPr>
      </w:pPr>
      <w:r>
        <w:rPr>
          <w:rFonts w:hint="eastAsia" w:ascii="宋体" w:hAnsi="宋体"/>
          <w:b/>
          <w:bCs/>
          <w:color w:val="auto"/>
          <w:highlight w:val="none"/>
        </w:rPr>
        <w:t>车辆清洗：</w:t>
      </w:r>
      <w:r>
        <w:rPr>
          <w:rFonts w:hint="eastAsia" w:ascii="宋体" w:hAnsi="宋体"/>
          <w:color w:val="auto"/>
          <w:highlight w:val="none"/>
        </w:rPr>
        <w:t>卸猪后的空车到厂内洗车场使用喷枪进行冲洗，清洗干净后再由污物出入口出去。</w:t>
      </w:r>
    </w:p>
    <w:p>
      <w:pPr>
        <w:widowControl w:val="0"/>
        <w:ind w:firstLine="482"/>
        <w:jc w:val="left"/>
        <w:rPr>
          <w:rFonts w:ascii="宋体" w:hAnsi="宋体"/>
          <w:color w:val="auto"/>
          <w:highlight w:val="none"/>
        </w:rPr>
      </w:pPr>
      <w:r>
        <w:rPr>
          <w:rFonts w:hint="eastAsia" w:ascii="宋体" w:hAnsi="宋体"/>
          <w:b/>
          <w:bCs/>
          <w:color w:val="auto"/>
          <w:highlight w:val="none"/>
        </w:rPr>
        <w:t>车间冲洗（含设备）：</w:t>
      </w:r>
      <w:r>
        <w:rPr>
          <w:rFonts w:hint="eastAsia" w:ascii="宋体" w:hAnsi="宋体"/>
          <w:color w:val="auto"/>
          <w:highlight w:val="none"/>
        </w:rPr>
        <w:t>每日屠宰完毕后，对车间、设备进行冲洗一次。</w:t>
      </w:r>
    </w:p>
    <w:p>
      <w:pPr>
        <w:pStyle w:val="5"/>
        <w:widowControl w:val="0"/>
        <w:ind w:firstLine="120"/>
        <w:rPr>
          <w:color w:val="auto"/>
          <w:highlight w:val="none"/>
        </w:rPr>
      </w:pPr>
      <w:r>
        <w:rPr>
          <w:rFonts w:hint="eastAsia"/>
          <w:color w:val="auto"/>
          <w:highlight w:val="none"/>
        </w:rPr>
        <w:t>项目产污情况分析</w:t>
      </w:r>
    </w:p>
    <w:p>
      <w:pPr>
        <w:widowControl w:val="0"/>
        <w:ind w:firstLine="480"/>
        <w:rPr>
          <w:color w:val="auto"/>
          <w:highlight w:val="none"/>
        </w:rPr>
      </w:pPr>
      <w:r>
        <w:rPr>
          <w:rFonts w:hint="eastAsia"/>
          <w:color w:val="auto"/>
          <w:highlight w:val="none"/>
        </w:rPr>
        <w:t>本项目营运期产污分析见下表。</w:t>
      </w:r>
    </w:p>
    <w:p>
      <w:pPr>
        <w:pStyle w:val="27"/>
        <w:widowControl w:val="0"/>
        <w:rPr>
          <w:color w:val="auto"/>
          <w:highlight w:val="none"/>
        </w:rPr>
      </w:pPr>
      <w:r>
        <w:rPr>
          <w:rFonts w:hint="eastAsia"/>
          <w:color w:val="auto"/>
          <w:highlight w:val="none"/>
        </w:rPr>
        <w:t>项目营运期产污分析一览表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085"/>
        <w:gridCol w:w="3505"/>
        <w:gridCol w:w="4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3505" w:type="dxa"/>
            <w:tcBorders>
              <w:tl2br w:val="nil"/>
              <w:tr2bl w:val="nil"/>
            </w:tcBorders>
            <w:vAlign w:val="center"/>
          </w:tcPr>
          <w:p>
            <w:pPr>
              <w:pStyle w:val="28"/>
              <w:widowControl w:val="0"/>
              <w:rPr>
                <w:b/>
                <w:bCs/>
                <w:color w:val="auto"/>
                <w:highlight w:val="none"/>
              </w:rPr>
            </w:pPr>
            <w:r>
              <w:rPr>
                <w:rFonts w:hint="eastAsia"/>
                <w:b/>
                <w:bCs/>
                <w:color w:val="auto"/>
                <w:highlight w:val="none"/>
              </w:rPr>
              <w:t>污染来源</w:t>
            </w:r>
          </w:p>
        </w:tc>
        <w:tc>
          <w:tcPr>
            <w:tcW w:w="4528" w:type="dxa"/>
            <w:tcBorders>
              <w:tl2br w:val="nil"/>
              <w:tr2bl w:val="nil"/>
            </w:tcBorders>
            <w:vAlign w:val="center"/>
          </w:tcPr>
          <w:p>
            <w:pPr>
              <w:pStyle w:val="28"/>
              <w:widowControl w:val="0"/>
              <w:rPr>
                <w:b/>
                <w:bCs/>
                <w:color w:val="auto"/>
                <w:highlight w:val="none"/>
              </w:rPr>
            </w:pPr>
            <w:r>
              <w:rPr>
                <w:rFonts w:hint="eastAsia"/>
                <w:b/>
                <w:bCs/>
                <w:color w:val="auto"/>
                <w:highlight w:val="none"/>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废气</w:t>
            </w:r>
          </w:p>
        </w:tc>
        <w:tc>
          <w:tcPr>
            <w:tcW w:w="3505" w:type="dxa"/>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待宰车间、屠宰车间、污水处理站</w:t>
            </w:r>
          </w:p>
        </w:tc>
        <w:tc>
          <w:tcPr>
            <w:tcW w:w="4528" w:type="dxa"/>
            <w:tcBorders>
              <w:tl2br w:val="nil"/>
              <w:tr2bl w:val="nil"/>
            </w:tcBorders>
            <w:vAlign w:val="center"/>
          </w:tcPr>
          <w:p>
            <w:pPr>
              <w:pStyle w:val="28"/>
              <w:widowControl w:val="0"/>
              <w:rPr>
                <w:color w:val="auto"/>
                <w:highlight w:val="none"/>
              </w:rPr>
            </w:pPr>
            <w:r>
              <w:rPr>
                <w:rFonts w:eastAsia="Times New Roman"/>
                <w:color w:val="auto"/>
                <w:sz w:val="22"/>
                <w:highlight w:val="none"/>
              </w:rPr>
              <w:t>NH</w:t>
            </w:r>
            <w:r>
              <w:rPr>
                <w:rFonts w:eastAsia="Times New Roman"/>
                <w:color w:val="auto"/>
                <w:sz w:val="14"/>
                <w:highlight w:val="none"/>
              </w:rPr>
              <w:t>3</w:t>
            </w:r>
            <w:r>
              <w:rPr>
                <w:rFonts w:hint="eastAsia" w:ascii="宋体" w:hAnsi="宋体"/>
                <w:color w:val="auto"/>
                <w:sz w:val="22"/>
                <w:highlight w:val="none"/>
              </w:rPr>
              <w:t>、</w:t>
            </w:r>
            <w:r>
              <w:rPr>
                <w:rFonts w:eastAsia="Times New Roman"/>
                <w:color w:val="auto"/>
                <w:sz w:val="22"/>
                <w:highlight w:val="none"/>
              </w:rPr>
              <w:t>H</w:t>
            </w:r>
            <w:r>
              <w:rPr>
                <w:rFonts w:eastAsia="Times New Roman"/>
                <w:color w:val="auto"/>
                <w:sz w:val="14"/>
                <w:highlight w:val="none"/>
              </w:rPr>
              <w:t>2</w:t>
            </w:r>
            <w:r>
              <w:rPr>
                <w:rFonts w:eastAsia="Times New Roman"/>
                <w:color w:val="auto"/>
                <w:sz w:val="22"/>
                <w:highlight w:val="none"/>
              </w:rPr>
              <w:t>S</w:t>
            </w:r>
            <w:r>
              <w:rPr>
                <w:rFonts w:hint="eastAsia" w:ascii="宋体" w:hAnsi="宋体"/>
                <w:color w:val="auto"/>
                <w:sz w:val="22"/>
                <w:highlight w:val="none"/>
              </w:rPr>
              <w:t>等臭气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食堂</w:t>
            </w:r>
          </w:p>
        </w:tc>
        <w:tc>
          <w:tcPr>
            <w:tcW w:w="4528" w:type="dxa"/>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餐饮油烟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备用柴油发电机</w:t>
            </w:r>
          </w:p>
        </w:tc>
        <w:tc>
          <w:tcPr>
            <w:tcW w:w="4528" w:type="dxa"/>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发电机烟气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rFonts w:ascii="宋体" w:hAnsi="宋体"/>
                <w:color w:val="auto"/>
                <w:sz w:val="22"/>
                <w:highlight w:val="none"/>
              </w:rPr>
            </w:pPr>
            <w:r>
              <w:rPr>
                <w:rFonts w:hint="eastAsia" w:ascii="宋体" w:hAnsi="宋体"/>
                <w:color w:val="auto"/>
                <w:sz w:val="22"/>
                <w:highlight w:val="none"/>
              </w:rPr>
              <w:t>锅炉</w:t>
            </w:r>
          </w:p>
        </w:tc>
        <w:tc>
          <w:tcPr>
            <w:tcW w:w="4528" w:type="dxa"/>
            <w:tcBorders>
              <w:tl2br w:val="nil"/>
              <w:tr2bl w:val="nil"/>
            </w:tcBorders>
            <w:vAlign w:val="center"/>
          </w:tcPr>
          <w:p>
            <w:pPr>
              <w:pStyle w:val="28"/>
              <w:widowControl w:val="0"/>
              <w:rPr>
                <w:rFonts w:ascii="宋体" w:hAnsi="宋体"/>
                <w:color w:val="auto"/>
                <w:sz w:val="22"/>
                <w:highlight w:val="none"/>
              </w:rPr>
            </w:pPr>
            <w:r>
              <w:rPr>
                <w:rFonts w:hint="eastAsia" w:ascii="宋体" w:hAnsi="宋体"/>
                <w:color w:val="auto"/>
                <w:sz w:val="22"/>
                <w:highlight w:val="none"/>
              </w:rPr>
              <w:t>天然气燃烧废气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restart"/>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1085" w:type="dxa"/>
            <w:vMerge w:val="restart"/>
            <w:tcBorders>
              <w:tl2br w:val="nil"/>
              <w:tr2bl w:val="nil"/>
            </w:tcBorders>
            <w:vAlign w:val="center"/>
          </w:tcPr>
          <w:p>
            <w:pPr>
              <w:pStyle w:val="28"/>
              <w:widowControl w:val="0"/>
              <w:rPr>
                <w:color w:val="auto"/>
                <w:highlight w:val="none"/>
              </w:rPr>
            </w:pPr>
            <w:r>
              <w:rPr>
                <w:rFonts w:hint="eastAsia"/>
                <w:color w:val="auto"/>
                <w:highlight w:val="none"/>
              </w:rPr>
              <w:t>生产废水</w:t>
            </w: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屠宰废水（包括生猪、肉牛冲洗水、待宰圈清洁废水、屠宰加工废水、设备和屠宰车间、设备冲洗废水）</w:t>
            </w:r>
          </w:p>
        </w:tc>
        <w:tc>
          <w:tcPr>
            <w:tcW w:w="4528" w:type="dxa"/>
            <w:tcBorders>
              <w:tl2br w:val="nil"/>
              <w:tr2bl w:val="nil"/>
            </w:tcBorders>
            <w:vAlign w:val="center"/>
          </w:tcPr>
          <w:p>
            <w:pPr>
              <w:pStyle w:val="28"/>
              <w:widowControl w:val="0"/>
              <w:rPr>
                <w:color w:val="auto"/>
                <w:highlight w:val="none"/>
              </w:rPr>
            </w:pPr>
            <w:r>
              <w:rPr>
                <w:color w:val="auto"/>
                <w:highlight w:val="none"/>
              </w:rPr>
              <w:t>BOD</w:t>
            </w:r>
            <w:r>
              <w:rPr>
                <w:color w:val="auto"/>
                <w:highlight w:val="none"/>
                <w:vertAlign w:val="subscript"/>
              </w:rPr>
              <w:t>5</w:t>
            </w:r>
            <w:r>
              <w:rPr>
                <w:rFonts w:hint="eastAsia"/>
                <w:color w:val="auto"/>
                <w:highlight w:val="none"/>
              </w:rPr>
              <w:t>、</w:t>
            </w:r>
            <w:r>
              <w:rPr>
                <w:color w:val="auto"/>
                <w:highlight w:val="none"/>
              </w:rPr>
              <w:t>COD</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SS</w:t>
            </w:r>
            <w:r>
              <w:rPr>
                <w:rFonts w:hint="eastAsia"/>
                <w:color w:val="auto"/>
                <w:highlight w:val="none"/>
              </w:rPr>
              <w:t>、动植物油、</w:t>
            </w:r>
            <w:r>
              <w:rPr>
                <w:color w:val="auto"/>
                <w:highlight w:val="none"/>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504" w:type="dxa"/>
            <w:vMerge w:val="continue"/>
            <w:tcBorders>
              <w:tl2br w:val="nil"/>
              <w:tr2bl w:val="nil"/>
            </w:tcBorders>
            <w:vAlign w:val="center"/>
          </w:tcPr>
          <w:p>
            <w:pPr>
              <w:pStyle w:val="28"/>
              <w:widowControl w:val="0"/>
              <w:rPr>
                <w:color w:val="auto"/>
                <w:highlight w:val="none"/>
              </w:rPr>
            </w:pPr>
          </w:p>
        </w:tc>
        <w:tc>
          <w:tcPr>
            <w:tcW w:w="1085" w:type="dxa"/>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ascii="宋体" w:hAnsi="宋体"/>
                <w:color w:val="auto"/>
                <w:szCs w:val="21"/>
                <w:highlight w:val="none"/>
              </w:rPr>
              <w:t>运输车辆清洗废水</w:t>
            </w:r>
          </w:p>
        </w:tc>
        <w:tc>
          <w:tcPr>
            <w:tcW w:w="4528" w:type="dxa"/>
            <w:tcBorders>
              <w:tl2br w:val="nil"/>
              <w:tr2bl w:val="nil"/>
            </w:tcBorders>
            <w:vAlign w:val="center"/>
          </w:tcPr>
          <w:p>
            <w:pPr>
              <w:pStyle w:val="28"/>
              <w:widowControl w:val="0"/>
              <w:rPr>
                <w:color w:val="auto"/>
                <w:highlight w:val="none"/>
              </w:rPr>
            </w:pPr>
            <w:r>
              <w:rPr>
                <w:rFonts w:eastAsia="Times New Roman"/>
                <w:color w:val="auto"/>
                <w:sz w:val="22"/>
                <w:highlight w:val="none"/>
              </w:rPr>
              <w:t>BOD</w:t>
            </w:r>
            <w:r>
              <w:rPr>
                <w:rFonts w:eastAsia="Times New Roman"/>
                <w:color w:val="auto"/>
                <w:sz w:val="14"/>
                <w:highlight w:val="none"/>
              </w:rPr>
              <w:t>5</w:t>
            </w:r>
            <w:r>
              <w:rPr>
                <w:rFonts w:hint="eastAsia" w:ascii="宋体" w:hAnsi="宋体"/>
                <w:color w:val="auto"/>
                <w:sz w:val="22"/>
                <w:highlight w:val="none"/>
              </w:rPr>
              <w:t>、</w:t>
            </w:r>
            <w:r>
              <w:rPr>
                <w:rFonts w:eastAsia="Times New Roman"/>
                <w:color w:val="auto"/>
                <w:sz w:val="22"/>
                <w:highlight w:val="none"/>
              </w:rPr>
              <w:t>COD</w:t>
            </w:r>
            <w:r>
              <w:rPr>
                <w:rFonts w:hint="eastAsia" w:ascii="宋体" w:hAnsi="宋体"/>
                <w:color w:val="auto"/>
                <w:sz w:val="22"/>
                <w:highlight w:val="none"/>
              </w:rPr>
              <w:t>、</w:t>
            </w:r>
            <w:r>
              <w:rPr>
                <w:rFonts w:eastAsia="Times New Roman"/>
                <w:color w:val="auto"/>
                <w:sz w:val="22"/>
                <w:highlight w:val="none"/>
              </w:rPr>
              <w:t>NH</w:t>
            </w:r>
            <w:r>
              <w:rPr>
                <w:rFonts w:eastAsia="Times New Roman"/>
                <w:color w:val="auto"/>
                <w:sz w:val="14"/>
                <w:highlight w:val="none"/>
              </w:rPr>
              <w:t>3</w:t>
            </w:r>
            <w:r>
              <w:rPr>
                <w:rFonts w:eastAsia="Times New Roman"/>
                <w:color w:val="auto"/>
                <w:sz w:val="22"/>
                <w:highlight w:val="none"/>
              </w:rPr>
              <w:t>-N</w:t>
            </w:r>
            <w:r>
              <w:rPr>
                <w:rFonts w:hint="eastAsia" w:ascii="宋体" w:hAnsi="宋体"/>
                <w:color w:val="auto"/>
                <w:sz w:val="22"/>
                <w:highlight w:val="none"/>
              </w:rPr>
              <w:t>、</w:t>
            </w:r>
            <w:r>
              <w:rPr>
                <w:rFonts w:eastAsia="Times New Roman"/>
                <w:color w:val="auto"/>
                <w:sz w:val="22"/>
                <w:highlight w:val="none"/>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continue"/>
            <w:tcBorders>
              <w:tl2br w:val="nil"/>
              <w:tr2bl w:val="nil"/>
            </w:tcBorders>
            <w:vAlign w:val="center"/>
          </w:tcPr>
          <w:p>
            <w:pPr>
              <w:pStyle w:val="28"/>
              <w:widowControl w:val="0"/>
              <w:rPr>
                <w:color w:val="auto"/>
                <w:highlight w:val="none"/>
              </w:rPr>
            </w:pPr>
          </w:p>
        </w:tc>
        <w:tc>
          <w:tcPr>
            <w:tcW w:w="1085" w:type="dxa"/>
            <w:tcBorders>
              <w:tl2br w:val="nil"/>
              <w:tr2bl w:val="nil"/>
            </w:tcBorders>
            <w:vAlign w:val="center"/>
          </w:tcPr>
          <w:p>
            <w:pPr>
              <w:pStyle w:val="28"/>
              <w:widowControl w:val="0"/>
              <w:rPr>
                <w:color w:val="auto"/>
                <w:highlight w:val="none"/>
              </w:rPr>
            </w:pPr>
            <w:r>
              <w:rPr>
                <w:rFonts w:hint="eastAsia"/>
                <w:color w:val="auto"/>
                <w:highlight w:val="none"/>
              </w:rPr>
              <w:t>生活污水</w:t>
            </w: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员工生活</w:t>
            </w:r>
          </w:p>
        </w:tc>
        <w:tc>
          <w:tcPr>
            <w:tcW w:w="4528" w:type="dxa"/>
            <w:tcBorders>
              <w:tl2br w:val="nil"/>
              <w:tr2bl w:val="nil"/>
            </w:tcBorders>
            <w:vAlign w:val="center"/>
          </w:tcPr>
          <w:p>
            <w:pPr>
              <w:pStyle w:val="28"/>
              <w:widowControl w:val="0"/>
              <w:rPr>
                <w:color w:val="auto"/>
                <w:highlight w:val="none"/>
              </w:rPr>
            </w:pPr>
            <w:r>
              <w:rPr>
                <w:color w:val="auto"/>
                <w:highlight w:val="none"/>
              </w:rPr>
              <w:t>BOD</w:t>
            </w:r>
            <w:r>
              <w:rPr>
                <w:color w:val="auto"/>
                <w:highlight w:val="none"/>
                <w:vertAlign w:val="subscript"/>
              </w:rPr>
              <w:t>5</w:t>
            </w:r>
            <w:r>
              <w:rPr>
                <w:rFonts w:hint="eastAsia"/>
                <w:color w:val="auto"/>
                <w:highlight w:val="none"/>
              </w:rPr>
              <w:t>、</w:t>
            </w:r>
            <w:r>
              <w:rPr>
                <w:color w:val="auto"/>
                <w:highlight w:val="none"/>
              </w:rPr>
              <w:t>COD</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SS</w:t>
            </w:r>
            <w:r>
              <w:rPr>
                <w:rFonts w:hint="eastAsia"/>
                <w:color w:val="auto"/>
                <w:highlight w:val="none"/>
              </w:rPr>
              <w:t>、动植物</w:t>
            </w:r>
            <w:r>
              <w:rPr>
                <w:rStyle w:val="30"/>
                <w:rFonts w:hint="eastAsia"/>
                <w:color w:val="auto"/>
                <w:highlight w:val="none"/>
              </w:rPr>
              <w:t>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continue"/>
            <w:tcBorders>
              <w:tl2br w:val="nil"/>
              <w:tr2bl w:val="nil"/>
            </w:tcBorders>
            <w:vAlign w:val="center"/>
          </w:tcPr>
          <w:p>
            <w:pPr>
              <w:pStyle w:val="28"/>
              <w:widowControl w:val="0"/>
              <w:rPr>
                <w:color w:val="auto"/>
                <w:highlight w:val="none"/>
              </w:rPr>
            </w:pPr>
          </w:p>
        </w:tc>
        <w:tc>
          <w:tcPr>
            <w:tcW w:w="1085" w:type="dxa"/>
            <w:tcBorders>
              <w:tl2br w:val="nil"/>
              <w:tr2bl w:val="nil"/>
            </w:tcBorders>
            <w:vAlign w:val="center"/>
          </w:tcPr>
          <w:p>
            <w:pPr>
              <w:pStyle w:val="28"/>
              <w:widowControl w:val="0"/>
              <w:rPr>
                <w:color w:val="auto"/>
                <w:highlight w:val="none"/>
              </w:rPr>
            </w:pPr>
            <w:r>
              <w:rPr>
                <w:rFonts w:hint="eastAsia"/>
                <w:color w:val="auto"/>
                <w:highlight w:val="none"/>
              </w:rPr>
              <w:t>食堂废水</w:t>
            </w: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食堂废水</w:t>
            </w:r>
          </w:p>
        </w:tc>
        <w:tc>
          <w:tcPr>
            <w:tcW w:w="4528" w:type="dxa"/>
            <w:tcBorders>
              <w:tl2br w:val="nil"/>
              <w:tr2bl w:val="nil"/>
            </w:tcBorders>
            <w:vAlign w:val="center"/>
          </w:tcPr>
          <w:p>
            <w:pPr>
              <w:pStyle w:val="28"/>
              <w:widowControl w:val="0"/>
              <w:rPr>
                <w:color w:val="auto"/>
                <w:highlight w:val="none"/>
              </w:rPr>
            </w:pPr>
            <w:r>
              <w:rPr>
                <w:color w:val="auto"/>
                <w:highlight w:val="none"/>
              </w:rPr>
              <w:t>BOD</w:t>
            </w:r>
            <w:r>
              <w:rPr>
                <w:color w:val="auto"/>
                <w:highlight w:val="none"/>
                <w:vertAlign w:val="subscript"/>
              </w:rPr>
              <w:t>5</w:t>
            </w:r>
            <w:r>
              <w:rPr>
                <w:rFonts w:hint="eastAsia"/>
                <w:color w:val="auto"/>
                <w:highlight w:val="none"/>
              </w:rPr>
              <w:t>、</w:t>
            </w:r>
            <w:r>
              <w:rPr>
                <w:color w:val="auto"/>
                <w:highlight w:val="none"/>
              </w:rPr>
              <w:t>COD</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color w:val="auto"/>
                <w:highlight w:val="none"/>
              </w:rPr>
              <w:t>SS</w:t>
            </w:r>
            <w:r>
              <w:rPr>
                <w:rFonts w:hint="eastAsia"/>
                <w:color w:val="auto"/>
                <w:highlight w:val="none"/>
              </w:rPr>
              <w:t>、动植物</w:t>
            </w:r>
            <w:r>
              <w:rPr>
                <w:rStyle w:val="30"/>
                <w:rFonts w:hint="eastAsia"/>
                <w:color w:val="auto"/>
                <w:highlight w:val="none"/>
              </w:rPr>
              <w:t>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设备运行噪声、猪叫声和牛叫声</w:t>
            </w:r>
          </w:p>
        </w:tc>
        <w:tc>
          <w:tcPr>
            <w:tcW w:w="4528" w:type="dxa"/>
            <w:tcBorders>
              <w:tl2br w:val="nil"/>
              <w:tr2bl w:val="nil"/>
            </w:tcBorders>
            <w:vAlign w:val="center"/>
          </w:tcPr>
          <w:p>
            <w:pPr>
              <w:pStyle w:val="28"/>
              <w:widowControl w:val="0"/>
              <w:rPr>
                <w:color w:val="auto"/>
                <w:highlight w:val="none"/>
              </w:rPr>
            </w:pPr>
            <w:r>
              <w:rPr>
                <w:color w:val="auto"/>
                <w:highlight w:val="none"/>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生猪进场</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废试纸、废PCR试剂盒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粪便、检疫不合格猪和牛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屠宰生产</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废弃动植物组织、粪便、肠胃内容物、检疫不合格猪、牛及病胴体等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分割加工</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碎骨、碎肉、废包装材、废胶手套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副产品加工</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不可食用内脏、粪便和肠胃内容物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污水处理设施</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栅渣、污泥、废油脂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机修</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废润滑油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食堂</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9" w:type="dxa"/>
            <w:gridSpan w:val="2"/>
            <w:vMerge w:val="continue"/>
            <w:tcBorders>
              <w:tl2br w:val="nil"/>
              <w:tr2bl w:val="nil"/>
            </w:tcBorders>
            <w:vAlign w:val="center"/>
          </w:tcPr>
          <w:p>
            <w:pPr>
              <w:pStyle w:val="28"/>
              <w:widowControl w:val="0"/>
              <w:rPr>
                <w:color w:val="auto"/>
                <w:highlight w:val="none"/>
              </w:rPr>
            </w:pPr>
          </w:p>
        </w:tc>
        <w:tc>
          <w:tcPr>
            <w:tcW w:w="3505" w:type="dxa"/>
            <w:tcBorders>
              <w:tl2br w:val="nil"/>
              <w:tr2bl w:val="nil"/>
            </w:tcBorders>
            <w:vAlign w:val="center"/>
          </w:tcPr>
          <w:p>
            <w:pPr>
              <w:pStyle w:val="28"/>
              <w:widowControl w:val="0"/>
              <w:rPr>
                <w:color w:val="auto"/>
                <w:highlight w:val="none"/>
              </w:rPr>
            </w:pPr>
            <w:r>
              <w:rPr>
                <w:rFonts w:hint="eastAsia"/>
                <w:color w:val="auto"/>
                <w:highlight w:val="none"/>
              </w:rPr>
              <w:t>员工生活</w:t>
            </w:r>
          </w:p>
        </w:tc>
        <w:tc>
          <w:tcPr>
            <w:tcW w:w="4528" w:type="dxa"/>
            <w:tcBorders>
              <w:tl2br w:val="nil"/>
              <w:tr2bl w:val="nil"/>
            </w:tcBorders>
            <w:vAlign w:val="center"/>
          </w:tcPr>
          <w:p>
            <w:pPr>
              <w:pStyle w:val="28"/>
              <w:widowControl w:val="0"/>
              <w:rPr>
                <w:color w:val="auto"/>
                <w:highlight w:val="none"/>
              </w:rPr>
            </w:pPr>
            <w:r>
              <w:rPr>
                <w:rFonts w:hint="eastAsia"/>
                <w:color w:val="auto"/>
                <w:highlight w:val="none"/>
              </w:rPr>
              <w:t>生活垃圾</w:t>
            </w:r>
          </w:p>
        </w:tc>
      </w:tr>
    </w:tbl>
    <w:p>
      <w:pPr>
        <w:pStyle w:val="4"/>
        <w:widowControl w:val="0"/>
        <w:rPr>
          <w:color w:val="auto"/>
          <w:highlight w:val="none"/>
        </w:rPr>
      </w:pPr>
      <w:bookmarkStart w:id="65" w:name="_Toc3822"/>
      <w:r>
        <w:rPr>
          <w:rFonts w:hint="eastAsia"/>
          <w:color w:val="auto"/>
          <w:highlight w:val="none"/>
        </w:rPr>
        <w:t>物料平衡及水平衡</w:t>
      </w:r>
      <w:bookmarkEnd w:id="65"/>
    </w:p>
    <w:p>
      <w:pPr>
        <w:pStyle w:val="5"/>
        <w:widowControl w:val="0"/>
        <w:ind w:firstLine="120"/>
        <w:rPr>
          <w:color w:val="auto"/>
          <w:highlight w:val="none"/>
        </w:rPr>
      </w:pPr>
      <w:r>
        <w:rPr>
          <w:rFonts w:hint="eastAsia"/>
          <w:color w:val="auto"/>
          <w:highlight w:val="none"/>
        </w:rPr>
        <w:t>生猪屠宰物料平衡</w:t>
      </w:r>
    </w:p>
    <w:p>
      <w:pPr>
        <w:widowControl w:val="0"/>
        <w:ind w:firstLine="480"/>
        <w:rPr>
          <w:color w:val="auto"/>
          <w:highlight w:val="none"/>
        </w:rPr>
      </w:pPr>
      <w:r>
        <w:rPr>
          <w:rFonts w:hint="eastAsia"/>
          <w:color w:val="auto"/>
          <w:highlight w:val="none"/>
        </w:rPr>
        <w:t>按照每头生猪平均重量按100kg计（年屠宰16万头），年产猪肉及副产品14560t。物料平衡见下表，生猪屠宰物料平衡见图。</w:t>
      </w:r>
    </w:p>
    <w:p>
      <w:pPr>
        <w:pStyle w:val="27"/>
        <w:widowControl w:val="0"/>
        <w:rPr>
          <w:color w:val="auto"/>
          <w:highlight w:val="none"/>
        </w:rPr>
      </w:pPr>
      <w:r>
        <w:rPr>
          <w:rFonts w:hint="eastAsia"/>
          <w:color w:val="auto"/>
          <w:highlight w:val="none"/>
        </w:rPr>
        <w:t>项目生猪屠宰物料平衡表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749"/>
        <w:gridCol w:w="1449"/>
        <w:gridCol w:w="903"/>
        <w:gridCol w:w="3143"/>
        <w:gridCol w:w="1240"/>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142" w:type="pct"/>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投入（t/a）</w:t>
            </w:r>
          </w:p>
        </w:tc>
        <w:tc>
          <w:tcPr>
            <w:tcW w:w="3498"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pStyle w:val="28"/>
              <w:widowControl w:val="0"/>
              <w:rPr>
                <w:b/>
                <w:bCs/>
                <w:color w:val="auto"/>
                <w:highlight w:val="none"/>
              </w:rPr>
            </w:pPr>
          </w:p>
        </w:tc>
        <w:tc>
          <w:tcPr>
            <w:tcW w:w="1142" w:type="pct"/>
            <w:gridSpan w:val="2"/>
            <w:vMerge w:val="continue"/>
            <w:tcBorders>
              <w:tl2br w:val="nil"/>
              <w:tr2bl w:val="nil"/>
            </w:tcBorders>
            <w:vAlign w:val="center"/>
          </w:tcPr>
          <w:p>
            <w:pPr>
              <w:pStyle w:val="28"/>
              <w:widowControl w:val="0"/>
              <w:rPr>
                <w:b/>
                <w:bCs/>
                <w:color w:val="auto"/>
                <w:highlight w:val="none"/>
              </w:rPr>
            </w:pPr>
          </w:p>
        </w:tc>
        <w:tc>
          <w:tcPr>
            <w:tcW w:w="2102"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项目</w:t>
            </w:r>
          </w:p>
        </w:tc>
        <w:tc>
          <w:tcPr>
            <w:tcW w:w="644" w:type="pct"/>
            <w:tcBorders>
              <w:tl2br w:val="nil"/>
              <w:tr2bl w:val="nil"/>
            </w:tcBorders>
            <w:vAlign w:val="center"/>
          </w:tcPr>
          <w:p>
            <w:pPr>
              <w:pStyle w:val="28"/>
              <w:widowControl w:val="0"/>
              <w:rPr>
                <w:b/>
                <w:bCs/>
                <w:color w:val="auto"/>
                <w:highlight w:val="none"/>
              </w:rPr>
            </w:pPr>
            <w:r>
              <w:rPr>
                <w:rFonts w:hint="eastAsia"/>
                <w:b/>
                <w:bCs/>
                <w:color w:val="auto"/>
                <w:highlight w:val="none"/>
              </w:rPr>
              <w:t>占比（%）</w:t>
            </w:r>
          </w:p>
        </w:tc>
        <w:tc>
          <w:tcPr>
            <w:tcW w:w="751" w:type="pct"/>
            <w:tcBorders>
              <w:tl2br w:val="nil"/>
              <w:tr2bl w:val="nil"/>
            </w:tcBorders>
            <w:vAlign w:val="center"/>
          </w:tcPr>
          <w:p>
            <w:pPr>
              <w:pStyle w:val="28"/>
              <w:widowControl w:val="0"/>
              <w:rPr>
                <w:b/>
                <w:bCs/>
                <w:color w:val="auto"/>
                <w:highlight w:val="none"/>
              </w:rPr>
            </w:pPr>
            <w:r>
              <w:rPr>
                <w:rFonts w:hint="eastAsia"/>
                <w:b/>
                <w:bCs/>
                <w:color w:val="auto"/>
                <w:highlight w:val="none"/>
              </w:rP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389"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752" w:type="pct"/>
            <w:vMerge w:val="restart"/>
            <w:tcBorders>
              <w:tl2br w:val="nil"/>
              <w:tr2bl w:val="nil"/>
            </w:tcBorders>
            <w:vAlign w:val="center"/>
          </w:tcPr>
          <w:p>
            <w:pPr>
              <w:pStyle w:val="28"/>
              <w:widowControl w:val="0"/>
              <w:rPr>
                <w:color w:val="auto"/>
                <w:highlight w:val="none"/>
              </w:rPr>
            </w:pPr>
            <w:r>
              <w:rPr>
                <w:rFonts w:hint="eastAsia"/>
                <w:color w:val="auto"/>
                <w:highlight w:val="none"/>
              </w:rPr>
              <w:t>16000</w:t>
            </w:r>
          </w:p>
          <w:p>
            <w:pPr>
              <w:pStyle w:val="28"/>
              <w:widowControl w:val="0"/>
              <w:rPr>
                <w:color w:val="auto"/>
                <w:highlight w:val="none"/>
              </w:rPr>
            </w:pPr>
            <w:r>
              <w:rPr>
                <w:rFonts w:hint="eastAsia"/>
                <w:color w:val="auto"/>
                <w:highlight w:val="none"/>
              </w:rPr>
              <w:t>（16万头）</w:t>
            </w:r>
          </w:p>
        </w:tc>
        <w:tc>
          <w:tcPr>
            <w:tcW w:w="469" w:type="pct"/>
            <w:vMerge w:val="restart"/>
            <w:tcBorders>
              <w:tl2br w:val="nil"/>
              <w:tr2bl w:val="nil"/>
            </w:tcBorders>
            <w:vAlign w:val="center"/>
          </w:tcPr>
          <w:p>
            <w:pPr>
              <w:pStyle w:val="28"/>
              <w:widowControl w:val="0"/>
              <w:rPr>
                <w:color w:val="auto"/>
                <w:highlight w:val="none"/>
              </w:rPr>
            </w:pPr>
            <w:r>
              <w:rPr>
                <w:rFonts w:hint="eastAsia"/>
                <w:color w:val="auto"/>
                <w:highlight w:val="none"/>
              </w:rPr>
              <w:t>猪肉</w:t>
            </w: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白条肉</w:t>
            </w:r>
          </w:p>
        </w:tc>
        <w:tc>
          <w:tcPr>
            <w:tcW w:w="644" w:type="pct"/>
            <w:vMerge w:val="restart"/>
            <w:tcBorders>
              <w:tl2br w:val="nil"/>
              <w:tr2bl w:val="nil"/>
            </w:tcBorders>
            <w:vAlign w:val="center"/>
          </w:tcPr>
          <w:p>
            <w:pPr>
              <w:pStyle w:val="28"/>
              <w:widowControl w:val="0"/>
              <w:rPr>
                <w:color w:val="auto"/>
                <w:highlight w:val="none"/>
              </w:rPr>
            </w:pPr>
            <w:r>
              <w:rPr>
                <w:rFonts w:hint="eastAsia"/>
                <w:color w:val="auto"/>
                <w:highlight w:val="none"/>
              </w:rPr>
              <w:t>70</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10470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分割肉</w:t>
            </w:r>
          </w:p>
        </w:tc>
        <w:tc>
          <w:tcPr>
            <w:tcW w:w="644" w:type="pct"/>
            <w:vMerge w:val="continue"/>
            <w:tcBorders>
              <w:tl2br w:val="nil"/>
              <w:tr2bl w:val="nil"/>
            </w:tcBorders>
            <w:vAlign w:val="center"/>
          </w:tcPr>
          <w:p>
            <w:pPr>
              <w:pStyle w:val="28"/>
              <w:widowControl w:val="0"/>
              <w:rPr>
                <w:color w:val="auto"/>
                <w:highlight w:val="none"/>
              </w:rPr>
            </w:pP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730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restart"/>
            <w:tcBorders>
              <w:tl2br w:val="nil"/>
              <w:tr2bl w:val="nil"/>
            </w:tcBorders>
            <w:vAlign w:val="center"/>
          </w:tcPr>
          <w:p>
            <w:pPr>
              <w:pStyle w:val="28"/>
              <w:widowControl w:val="0"/>
              <w:rPr>
                <w:color w:val="auto"/>
                <w:highlight w:val="none"/>
              </w:rPr>
            </w:pPr>
            <w:r>
              <w:rPr>
                <w:rFonts w:hint="eastAsia"/>
                <w:color w:val="auto"/>
                <w:highlight w:val="none"/>
              </w:rPr>
              <w:t>副产品</w:t>
            </w: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头、蹄、尾</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1920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猪血</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可食用内脏</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猪毛和蹄壳</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0.3</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7</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检疫不合格猪及病胴体、病内脏</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2.4</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废弃动物组织及碎肉碎骨等</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0.2</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389" w:type="pct"/>
            <w:vMerge w:val="continue"/>
            <w:tcBorders>
              <w:tl2br w:val="nil"/>
              <w:tr2bl w:val="nil"/>
            </w:tcBorders>
            <w:vAlign w:val="center"/>
          </w:tcPr>
          <w:p>
            <w:pPr>
              <w:pStyle w:val="28"/>
              <w:widowControl w:val="0"/>
              <w:rPr>
                <w:color w:val="auto"/>
                <w:highlight w:val="none"/>
              </w:rPr>
            </w:pPr>
          </w:p>
        </w:tc>
        <w:tc>
          <w:tcPr>
            <w:tcW w:w="752" w:type="pct"/>
            <w:vMerge w:val="continue"/>
            <w:tcBorders>
              <w:tl2br w:val="nil"/>
              <w:tr2bl w:val="nil"/>
            </w:tcBorders>
            <w:vAlign w:val="center"/>
          </w:tcPr>
          <w:p>
            <w:pPr>
              <w:pStyle w:val="28"/>
              <w:widowControl w:val="0"/>
              <w:rPr>
                <w:color w:val="auto"/>
                <w:highlight w:val="none"/>
              </w:rPr>
            </w:pPr>
          </w:p>
        </w:tc>
        <w:tc>
          <w:tcPr>
            <w:tcW w:w="469" w:type="pct"/>
            <w:vMerge w:val="continue"/>
            <w:tcBorders>
              <w:tl2br w:val="nil"/>
              <w:tr2bl w:val="nil"/>
            </w:tcBorders>
            <w:vAlign w:val="center"/>
          </w:tcPr>
          <w:p>
            <w:pPr>
              <w:pStyle w:val="28"/>
              <w:widowControl w:val="0"/>
              <w:rPr>
                <w:color w:val="auto"/>
                <w:highlight w:val="none"/>
              </w:rPr>
            </w:pPr>
          </w:p>
        </w:tc>
        <w:tc>
          <w:tcPr>
            <w:tcW w:w="1632" w:type="pct"/>
            <w:tcBorders>
              <w:tl2br w:val="nil"/>
              <w:tr2bl w:val="nil"/>
            </w:tcBorders>
            <w:vAlign w:val="center"/>
          </w:tcPr>
          <w:p>
            <w:pPr>
              <w:pStyle w:val="28"/>
              <w:widowControl w:val="0"/>
              <w:rPr>
                <w:color w:val="auto"/>
                <w:highlight w:val="none"/>
              </w:rPr>
            </w:pPr>
            <w:r>
              <w:rPr>
                <w:rFonts w:hint="eastAsia"/>
                <w:color w:val="auto"/>
                <w:highlight w:val="none"/>
              </w:rPr>
              <w:t>猪粪及肠胃内容物</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1447" w:type="dxa"/>
            <w:tcBorders>
              <w:tl2br w:val="nil"/>
              <w:tr2bl w:val="nil"/>
            </w:tcBorders>
            <w:vAlign w:val="center"/>
          </w:tcPr>
          <w:p>
            <w:pPr>
              <w:pStyle w:val="28"/>
              <w:widowControl w:val="0"/>
              <w:rPr>
                <w:color w:val="auto"/>
                <w:highlight w:val="none"/>
              </w:rPr>
            </w:pPr>
            <w:r>
              <w:rPr>
                <w:rFonts w:hint="eastAsia"/>
                <w:color w:val="auto"/>
                <w:highlight w:val="none"/>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1142" w:type="pct"/>
            <w:gridSpan w:val="2"/>
            <w:tcBorders>
              <w:tl2br w:val="nil"/>
              <w:tr2bl w:val="nil"/>
            </w:tcBorders>
            <w:vAlign w:val="center"/>
          </w:tcPr>
          <w:p>
            <w:pPr>
              <w:pStyle w:val="28"/>
              <w:widowControl w:val="0"/>
              <w:rPr>
                <w:color w:val="auto"/>
                <w:highlight w:val="none"/>
              </w:rPr>
            </w:pPr>
            <w:r>
              <w:rPr>
                <w:rFonts w:hint="eastAsia"/>
                <w:color w:val="auto"/>
                <w:highlight w:val="none"/>
              </w:rPr>
              <w:t>16000</w:t>
            </w:r>
          </w:p>
        </w:tc>
        <w:tc>
          <w:tcPr>
            <w:tcW w:w="2102" w:type="pct"/>
            <w:gridSpan w:val="2"/>
            <w:tcBorders>
              <w:tl2br w:val="nil"/>
              <w:tr2bl w:val="nil"/>
            </w:tcBorders>
            <w:vAlign w:val="center"/>
          </w:tcPr>
          <w:p>
            <w:pPr>
              <w:pStyle w:val="28"/>
              <w:widowControl w:val="0"/>
              <w:rPr>
                <w:color w:val="auto"/>
                <w:highlight w:val="none"/>
              </w:rPr>
            </w:pPr>
            <w:r>
              <w:rPr>
                <w:rFonts w:hint="eastAsia"/>
                <w:color w:val="auto"/>
                <w:highlight w:val="none"/>
              </w:rPr>
              <w:t>/</w:t>
            </w:r>
          </w:p>
        </w:tc>
        <w:tc>
          <w:tcPr>
            <w:tcW w:w="644" w:type="pct"/>
            <w:tcBorders>
              <w:tl2br w:val="nil"/>
              <w:tr2bl w:val="nil"/>
            </w:tcBorders>
            <w:vAlign w:val="center"/>
          </w:tcPr>
          <w:p>
            <w:pPr>
              <w:pStyle w:val="28"/>
              <w:widowControl w:val="0"/>
              <w:rPr>
                <w:color w:val="auto"/>
                <w:highlight w:val="none"/>
              </w:rPr>
            </w:pPr>
            <w:r>
              <w:rPr>
                <w:rFonts w:hint="eastAsia"/>
                <w:color w:val="auto"/>
                <w:highlight w:val="none"/>
              </w:rPr>
              <w:t>100</w:t>
            </w:r>
          </w:p>
        </w:tc>
        <w:tc>
          <w:tcPr>
            <w:tcW w:w="751" w:type="pct"/>
            <w:tcBorders>
              <w:tl2br w:val="nil"/>
              <w:tr2bl w:val="nil"/>
            </w:tcBorders>
            <w:vAlign w:val="center"/>
          </w:tcPr>
          <w:p>
            <w:pPr>
              <w:pStyle w:val="28"/>
              <w:widowControl w:val="0"/>
              <w:rPr>
                <w:color w:val="auto"/>
                <w:highlight w:val="none"/>
              </w:rPr>
            </w:pPr>
            <w:r>
              <w:rPr>
                <w:rFonts w:hint="eastAsia"/>
                <w:color w:val="auto"/>
                <w:highlight w:val="none"/>
              </w:rPr>
              <w:t>16000</w:t>
            </w:r>
          </w:p>
        </w:tc>
      </w:tr>
    </w:tbl>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pStyle w:val="28"/>
        <w:widowControl w:val="0"/>
        <w:rPr>
          <w:color w:val="auto"/>
          <w:highlight w:val="none"/>
        </w:rPr>
      </w:pPr>
    </w:p>
    <w:p>
      <w:pPr>
        <w:pStyle w:val="28"/>
        <w:widowControl w:val="0"/>
        <w:rPr>
          <w:color w:val="auto"/>
          <w:highlight w:val="none"/>
        </w:rPr>
      </w:pPr>
      <w:r>
        <w:rPr>
          <w:rFonts w:hint="eastAsia"/>
          <w:color w:val="auto"/>
          <w:highlight w:val="none"/>
        </w:rPr>
        <w:drawing>
          <wp:inline distT="0" distB="0" distL="114300" distR="114300">
            <wp:extent cx="4797425" cy="5795010"/>
            <wp:effectExtent l="0" t="0" r="3175" b="15240"/>
            <wp:docPr id="4" name="图片 4"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具 Model (1)"/>
                    <pic:cNvPicPr>
                      <a:picLocks noChangeAspect="1"/>
                    </pic:cNvPicPr>
                  </pic:nvPicPr>
                  <pic:blipFill>
                    <a:blip r:embed="rId27"/>
                    <a:srcRect t="7760" b="6833"/>
                    <a:stretch>
                      <a:fillRect/>
                    </a:stretch>
                  </pic:blipFill>
                  <pic:spPr>
                    <a:xfrm>
                      <a:off x="0" y="0"/>
                      <a:ext cx="4797425" cy="5795010"/>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图4.3-1  项目生猪屠宰物料平衡图  单位：t/a</w:t>
      </w:r>
    </w:p>
    <w:p>
      <w:pPr>
        <w:pStyle w:val="5"/>
        <w:widowControl w:val="0"/>
        <w:ind w:firstLine="120"/>
        <w:rPr>
          <w:color w:val="auto"/>
          <w:highlight w:val="none"/>
        </w:rPr>
      </w:pPr>
      <w:r>
        <w:rPr>
          <w:rFonts w:hint="eastAsia"/>
          <w:color w:val="auto"/>
          <w:highlight w:val="none"/>
        </w:rPr>
        <w:t>肉牛屠宰物料平衡</w:t>
      </w:r>
    </w:p>
    <w:p>
      <w:pPr>
        <w:widowControl w:val="0"/>
        <w:ind w:firstLine="480"/>
        <w:rPr>
          <w:color w:val="auto"/>
          <w:highlight w:val="none"/>
        </w:rPr>
      </w:pPr>
      <w:r>
        <w:rPr>
          <w:rFonts w:hint="eastAsia"/>
          <w:color w:val="auto"/>
          <w:highlight w:val="none"/>
        </w:rPr>
        <w:t>按照每头肉牛平均重量为500kg计（年屠宰1万头），年产牛肉及副产品。物料平衡见下表，物料平衡图见图。</w:t>
      </w:r>
    </w:p>
    <w:p>
      <w:pPr>
        <w:pStyle w:val="27"/>
        <w:widowControl w:val="0"/>
        <w:rPr>
          <w:color w:val="auto"/>
          <w:highlight w:val="none"/>
        </w:rPr>
      </w:pPr>
      <w:r>
        <w:rPr>
          <w:rFonts w:hint="eastAsia"/>
          <w:color w:val="auto"/>
          <w:highlight w:val="none"/>
        </w:rPr>
        <w:t>项目肉牛屠宰物料平衡表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59"/>
        <w:gridCol w:w="1370"/>
        <w:gridCol w:w="1218"/>
        <w:gridCol w:w="2685"/>
        <w:gridCol w:w="1259"/>
        <w:gridCol w:w="1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210" w:type="pct"/>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投入</w:t>
            </w:r>
          </w:p>
        </w:tc>
        <w:tc>
          <w:tcPr>
            <w:tcW w:w="3416"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tcBorders>
              <w:tl2br w:val="nil"/>
              <w:tr2bl w:val="nil"/>
            </w:tcBorders>
            <w:vAlign w:val="center"/>
          </w:tcPr>
          <w:p>
            <w:pPr>
              <w:pStyle w:val="28"/>
              <w:widowControl w:val="0"/>
              <w:rPr>
                <w:b/>
                <w:bCs/>
                <w:color w:val="auto"/>
                <w:highlight w:val="none"/>
              </w:rPr>
            </w:pPr>
          </w:p>
        </w:tc>
        <w:tc>
          <w:tcPr>
            <w:tcW w:w="1210" w:type="pct"/>
            <w:gridSpan w:val="2"/>
            <w:vMerge w:val="continue"/>
            <w:tcBorders>
              <w:tl2br w:val="nil"/>
              <w:tr2bl w:val="nil"/>
            </w:tcBorders>
            <w:vAlign w:val="center"/>
          </w:tcPr>
          <w:p>
            <w:pPr>
              <w:pStyle w:val="28"/>
              <w:widowControl w:val="0"/>
              <w:rPr>
                <w:b/>
                <w:bCs/>
                <w:color w:val="auto"/>
                <w:highlight w:val="none"/>
              </w:rPr>
            </w:pPr>
          </w:p>
        </w:tc>
        <w:tc>
          <w:tcPr>
            <w:tcW w:w="202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项目</w:t>
            </w:r>
          </w:p>
        </w:tc>
        <w:tc>
          <w:tcPr>
            <w:tcW w:w="654" w:type="pct"/>
            <w:tcBorders>
              <w:tl2br w:val="nil"/>
              <w:tr2bl w:val="nil"/>
            </w:tcBorders>
            <w:vAlign w:val="center"/>
          </w:tcPr>
          <w:p>
            <w:pPr>
              <w:pStyle w:val="28"/>
              <w:widowControl w:val="0"/>
              <w:rPr>
                <w:b/>
                <w:bCs/>
                <w:color w:val="auto"/>
                <w:highlight w:val="none"/>
              </w:rPr>
            </w:pPr>
            <w:r>
              <w:rPr>
                <w:rFonts w:hint="eastAsia"/>
                <w:b/>
                <w:bCs/>
                <w:color w:val="auto"/>
                <w:highlight w:val="none"/>
              </w:rPr>
              <w:t>占比（%）</w:t>
            </w:r>
          </w:p>
        </w:tc>
        <w:tc>
          <w:tcPr>
            <w:tcW w:w="734" w:type="pct"/>
            <w:tcBorders>
              <w:tl2br w:val="nil"/>
              <w:tr2bl w:val="nil"/>
            </w:tcBorders>
            <w:vAlign w:val="center"/>
          </w:tcPr>
          <w:p>
            <w:pPr>
              <w:pStyle w:val="28"/>
              <w:widowControl w:val="0"/>
              <w:rPr>
                <w:b/>
                <w:bCs/>
                <w:color w:val="auto"/>
                <w:highlight w:val="none"/>
              </w:rPr>
            </w:pPr>
            <w:r>
              <w:rPr>
                <w:rFonts w:hint="eastAsia"/>
                <w:b/>
                <w:bCs/>
                <w:color w:val="auto"/>
                <w:highlight w:val="none"/>
              </w:rP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498"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711" w:type="pct"/>
            <w:vMerge w:val="restart"/>
            <w:tcBorders>
              <w:tl2br w:val="nil"/>
              <w:tr2bl w:val="nil"/>
            </w:tcBorders>
            <w:vAlign w:val="center"/>
          </w:tcPr>
          <w:p>
            <w:pPr>
              <w:pStyle w:val="28"/>
              <w:widowControl w:val="0"/>
              <w:rPr>
                <w:color w:val="auto"/>
                <w:highlight w:val="none"/>
              </w:rPr>
            </w:pPr>
            <w:r>
              <w:rPr>
                <w:rFonts w:hint="eastAsia"/>
                <w:color w:val="auto"/>
                <w:highlight w:val="none"/>
              </w:rPr>
              <w:t>5000</w:t>
            </w:r>
          </w:p>
          <w:p>
            <w:pPr>
              <w:pStyle w:val="28"/>
              <w:widowControl w:val="0"/>
              <w:rPr>
                <w:color w:val="auto"/>
                <w:highlight w:val="none"/>
              </w:rPr>
            </w:pPr>
            <w:r>
              <w:rPr>
                <w:rFonts w:hint="eastAsia"/>
                <w:color w:val="auto"/>
                <w:highlight w:val="none"/>
              </w:rPr>
              <w:t>（1万头）</w:t>
            </w:r>
          </w:p>
        </w:tc>
        <w:tc>
          <w:tcPr>
            <w:tcW w:w="2028" w:type="pct"/>
            <w:gridSpan w:val="2"/>
            <w:tcBorders>
              <w:tl2br w:val="nil"/>
              <w:tr2bl w:val="nil"/>
            </w:tcBorders>
            <w:vAlign w:val="center"/>
          </w:tcPr>
          <w:p>
            <w:pPr>
              <w:pStyle w:val="28"/>
              <w:widowControl w:val="0"/>
              <w:rPr>
                <w:color w:val="auto"/>
                <w:highlight w:val="none"/>
              </w:rPr>
            </w:pPr>
            <w:r>
              <w:rPr>
                <w:rFonts w:hint="eastAsia"/>
                <w:color w:val="auto"/>
                <w:highlight w:val="none"/>
              </w:rPr>
              <w:t>牛肉</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2250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restart"/>
            <w:tcBorders>
              <w:tl2br w:val="nil"/>
              <w:tr2bl w:val="nil"/>
            </w:tcBorders>
            <w:vAlign w:val="center"/>
          </w:tcPr>
          <w:p>
            <w:pPr>
              <w:pStyle w:val="28"/>
              <w:widowControl w:val="0"/>
              <w:rPr>
                <w:color w:val="auto"/>
                <w:highlight w:val="none"/>
              </w:rPr>
            </w:pPr>
            <w:r>
              <w:rPr>
                <w:rFonts w:hint="eastAsia"/>
                <w:color w:val="auto"/>
                <w:highlight w:val="none"/>
              </w:rPr>
              <w:t>副产品</w:t>
            </w: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碎牛肉</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4.2</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牛骨</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牛皮</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牛血</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牛嘴</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0.8</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7</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牛头皮</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牛蹄</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牛尾</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0.3</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牛心舌</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0.6</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11</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633" w:type="pct"/>
            <w:vMerge w:val="continue"/>
            <w:tcBorders>
              <w:tl2br w:val="nil"/>
              <w:tr2bl w:val="nil"/>
            </w:tcBorders>
            <w:vAlign w:val="center"/>
          </w:tcPr>
          <w:p>
            <w:pPr>
              <w:pStyle w:val="28"/>
              <w:widowControl w:val="0"/>
              <w:rPr>
                <w:color w:val="auto"/>
                <w:highlight w:val="none"/>
              </w:rPr>
            </w:pPr>
          </w:p>
        </w:tc>
        <w:tc>
          <w:tcPr>
            <w:tcW w:w="1394" w:type="pct"/>
            <w:tcBorders>
              <w:tl2br w:val="nil"/>
              <w:tr2bl w:val="nil"/>
            </w:tcBorders>
            <w:vAlign w:val="center"/>
          </w:tcPr>
          <w:p>
            <w:pPr>
              <w:pStyle w:val="28"/>
              <w:widowControl w:val="0"/>
              <w:rPr>
                <w:color w:val="auto"/>
                <w:highlight w:val="none"/>
              </w:rPr>
            </w:pPr>
            <w:r>
              <w:rPr>
                <w:rFonts w:hint="eastAsia"/>
                <w:color w:val="auto"/>
                <w:highlight w:val="none"/>
              </w:rPr>
              <w:t>牛下水</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2028" w:type="pct"/>
            <w:gridSpan w:val="2"/>
            <w:tcBorders>
              <w:tl2br w:val="nil"/>
              <w:tr2bl w:val="nil"/>
            </w:tcBorders>
            <w:vAlign w:val="center"/>
          </w:tcPr>
          <w:p>
            <w:pPr>
              <w:pStyle w:val="28"/>
              <w:widowControl w:val="0"/>
              <w:rPr>
                <w:color w:val="auto"/>
                <w:highlight w:val="none"/>
              </w:rPr>
            </w:pPr>
            <w:r>
              <w:rPr>
                <w:rFonts w:hint="eastAsia"/>
                <w:color w:val="auto"/>
                <w:highlight w:val="none"/>
              </w:rPr>
              <w:t>牛粪、肠胃内容物</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4.34</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13</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2028" w:type="pct"/>
            <w:gridSpan w:val="2"/>
            <w:tcBorders>
              <w:tl2br w:val="nil"/>
              <w:tr2bl w:val="nil"/>
            </w:tcBorders>
            <w:vAlign w:val="center"/>
          </w:tcPr>
          <w:p>
            <w:pPr>
              <w:pStyle w:val="28"/>
              <w:widowControl w:val="0"/>
              <w:rPr>
                <w:color w:val="auto"/>
                <w:highlight w:val="none"/>
              </w:rPr>
            </w:pPr>
            <w:r>
              <w:rPr>
                <w:rFonts w:hint="eastAsia"/>
                <w:color w:val="auto"/>
                <w:highlight w:val="none"/>
              </w:rPr>
              <w:t>奶脯、淋巴、检疫废弃物碎肉渣等</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14</w:t>
            </w:r>
          </w:p>
        </w:tc>
        <w:tc>
          <w:tcPr>
            <w:tcW w:w="498" w:type="pct"/>
            <w:vMerge w:val="continue"/>
            <w:tcBorders>
              <w:tl2br w:val="nil"/>
              <w:tr2bl w:val="nil"/>
            </w:tcBorders>
            <w:vAlign w:val="center"/>
          </w:tcPr>
          <w:p>
            <w:pPr>
              <w:pStyle w:val="28"/>
              <w:widowControl w:val="0"/>
              <w:rPr>
                <w:color w:val="auto"/>
                <w:highlight w:val="none"/>
              </w:rPr>
            </w:pPr>
          </w:p>
        </w:tc>
        <w:tc>
          <w:tcPr>
            <w:tcW w:w="711" w:type="pct"/>
            <w:vMerge w:val="continue"/>
            <w:tcBorders>
              <w:tl2br w:val="nil"/>
              <w:tr2bl w:val="nil"/>
            </w:tcBorders>
            <w:vAlign w:val="center"/>
          </w:tcPr>
          <w:p>
            <w:pPr>
              <w:pStyle w:val="28"/>
              <w:widowControl w:val="0"/>
              <w:rPr>
                <w:color w:val="auto"/>
                <w:highlight w:val="none"/>
              </w:rPr>
            </w:pPr>
          </w:p>
        </w:tc>
        <w:tc>
          <w:tcPr>
            <w:tcW w:w="2028" w:type="pct"/>
            <w:gridSpan w:val="2"/>
            <w:tcBorders>
              <w:tl2br w:val="nil"/>
              <w:tr2bl w:val="nil"/>
            </w:tcBorders>
            <w:vAlign w:val="center"/>
          </w:tcPr>
          <w:p>
            <w:pPr>
              <w:pStyle w:val="28"/>
              <w:widowControl w:val="0"/>
              <w:rPr>
                <w:color w:val="auto"/>
                <w:highlight w:val="none"/>
              </w:rPr>
            </w:pPr>
            <w:r>
              <w:rPr>
                <w:rFonts w:hint="eastAsia"/>
                <w:color w:val="auto"/>
                <w:highlight w:val="none"/>
              </w:rPr>
              <w:t>病害牛及不合格产品</w:t>
            </w:r>
          </w:p>
        </w:tc>
        <w:tc>
          <w:tcPr>
            <w:tcW w:w="1259" w:type="dxa"/>
            <w:tcBorders>
              <w:tl2br w:val="nil"/>
              <w:tr2bl w:val="nil"/>
            </w:tcBorders>
            <w:vAlign w:val="center"/>
          </w:tcPr>
          <w:p>
            <w:pPr>
              <w:pStyle w:val="28"/>
              <w:widowControl w:val="0"/>
              <w:rPr>
                <w:color w:val="auto"/>
                <w:highlight w:val="none"/>
              </w:rPr>
            </w:pPr>
            <w:r>
              <w:rPr>
                <w:rFonts w:hint="eastAsia"/>
                <w:color w:val="auto"/>
                <w:highlight w:val="none"/>
              </w:rPr>
              <w:t>0.76</w:t>
            </w:r>
          </w:p>
        </w:tc>
        <w:tc>
          <w:tcPr>
            <w:tcW w:w="1413" w:type="dxa"/>
            <w:tcBorders>
              <w:tl2br w:val="nil"/>
              <w:tr2bl w:val="nil"/>
            </w:tcBorders>
            <w:vAlign w:val="center"/>
          </w:tcPr>
          <w:p>
            <w:pPr>
              <w:pStyle w:val="28"/>
              <w:widowControl w:val="0"/>
              <w:rPr>
                <w:color w:val="auto"/>
                <w:highlight w:val="none"/>
              </w:rPr>
            </w:pPr>
            <w:r>
              <w:rPr>
                <w:rFonts w:hint="eastAsia"/>
                <w:color w:val="auto"/>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1210" w:type="pct"/>
            <w:gridSpan w:val="2"/>
            <w:tcBorders>
              <w:tl2br w:val="nil"/>
              <w:tr2bl w:val="nil"/>
            </w:tcBorders>
            <w:vAlign w:val="center"/>
          </w:tcPr>
          <w:p>
            <w:pPr>
              <w:pStyle w:val="28"/>
              <w:widowControl w:val="0"/>
              <w:rPr>
                <w:color w:val="auto"/>
                <w:highlight w:val="none"/>
              </w:rPr>
            </w:pPr>
            <w:r>
              <w:rPr>
                <w:rFonts w:hint="eastAsia"/>
                <w:color w:val="auto"/>
                <w:highlight w:val="none"/>
              </w:rPr>
              <w:t>5000</w:t>
            </w:r>
          </w:p>
        </w:tc>
        <w:tc>
          <w:tcPr>
            <w:tcW w:w="2028" w:type="pct"/>
            <w:gridSpan w:val="2"/>
            <w:tcBorders>
              <w:tl2br w:val="nil"/>
              <w:tr2bl w:val="nil"/>
            </w:tcBorders>
            <w:vAlign w:val="center"/>
          </w:tcPr>
          <w:p>
            <w:pPr>
              <w:pStyle w:val="28"/>
              <w:widowControl w:val="0"/>
              <w:rPr>
                <w:color w:val="auto"/>
                <w:highlight w:val="none"/>
              </w:rPr>
            </w:pPr>
            <w:r>
              <w:rPr>
                <w:rFonts w:hint="eastAsia"/>
                <w:color w:val="auto"/>
                <w:highlight w:val="none"/>
              </w:rPr>
              <w:t>/</w:t>
            </w:r>
          </w:p>
        </w:tc>
        <w:tc>
          <w:tcPr>
            <w:tcW w:w="654" w:type="pct"/>
            <w:tcBorders>
              <w:tl2br w:val="nil"/>
              <w:tr2bl w:val="nil"/>
            </w:tcBorders>
            <w:vAlign w:val="center"/>
          </w:tcPr>
          <w:p>
            <w:pPr>
              <w:pStyle w:val="28"/>
              <w:widowControl w:val="0"/>
              <w:rPr>
                <w:color w:val="auto"/>
                <w:highlight w:val="none"/>
              </w:rPr>
            </w:pPr>
            <w:r>
              <w:rPr>
                <w:rFonts w:hint="eastAsia"/>
                <w:color w:val="auto"/>
                <w:highlight w:val="none"/>
              </w:rPr>
              <w:t>100</w:t>
            </w:r>
          </w:p>
        </w:tc>
        <w:tc>
          <w:tcPr>
            <w:tcW w:w="734" w:type="pct"/>
            <w:tcBorders>
              <w:tl2br w:val="nil"/>
              <w:tr2bl w:val="nil"/>
            </w:tcBorders>
            <w:vAlign w:val="center"/>
          </w:tcPr>
          <w:p>
            <w:pPr>
              <w:pStyle w:val="28"/>
              <w:widowControl w:val="0"/>
              <w:rPr>
                <w:color w:val="auto"/>
                <w:highlight w:val="none"/>
              </w:rPr>
            </w:pPr>
            <w:r>
              <w:rPr>
                <w:rFonts w:hint="eastAsia"/>
                <w:color w:val="auto"/>
                <w:highlight w:val="none"/>
              </w:rPr>
              <w:t>5000</w:t>
            </w:r>
          </w:p>
        </w:tc>
      </w:tr>
    </w:tbl>
    <w:p>
      <w:pPr>
        <w:pStyle w:val="28"/>
        <w:widowControl w:val="0"/>
        <w:rPr>
          <w:color w:val="auto"/>
          <w:highlight w:val="none"/>
        </w:rPr>
      </w:pPr>
      <w:r>
        <w:rPr>
          <w:rFonts w:hint="eastAsia"/>
          <w:color w:val="auto"/>
          <w:highlight w:val="none"/>
        </w:rPr>
        <w:drawing>
          <wp:inline distT="0" distB="0" distL="114300" distR="114300">
            <wp:extent cx="4686300" cy="5086350"/>
            <wp:effectExtent l="0" t="0" r="0" b="0"/>
            <wp:docPr id="5" name="图片 5"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具 Model (1)"/>
                    <pic:cNvPicPr>
                      <a:picLocks noChangeAspect="1"/>
                    </pic:cNvPicPr>
                  </pic:nvPicPr>
                  <pic:blipFill>
                    <a:blip r:embed="rId28"/>
                    <a:srcRect l="2621" t="13319" r="1310" b="12972"/>
                    <a:stretch>
                      <a:fillRect/>
                    </a:stretch>
                  </pic:blipFill>
                  <pic:spPr>
                    <a:xfrm>
                      <a:off x="0" y="0"/>
                      <a:ext cx="4686300" cy="5086350"/>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图4.3-2  项目肉牛屠宰物料平衡图    单位：t/a</w:t>
      </w:r>
    </w:p>
    <w:p>
      <w:pPr>
        <w:pStyle w:val="5"/>
        <w:widowControl w:val="0"/>
        <w:ind w:firstLine="120"/>
        <w:rPr>
          <w:color w:val="auto"/>
          <w:highlight w:val="none"/>
        </w:rPr>
      </w:pPr>
      <w:r>
        <w:rPr>
          <w:rFonts w:hint="eastAsia"/>
          <w:color w:val="auto"/>
          <w:highlight w:val="none"/>
        </w:rPr>
        <w:t>水平衡</w:t>
      </w:r>
    </w:p>
    <w:p>
      <w:pPr>
        <w:pStyle w:val="6"/>
        <w:widowControl w:val="0"/>
        <w:ind w:left="-160" w:firstLineChars="0"/>
        <w:rPr>
          <w:color w:val="auto"/>
          <w:highlight w:val="none"/>
        </w:rPr>
      </w:pPr>
      <w:r>
        <w:rPr>
          <w:rFonts w:hint="eastAsia"/>
          <w:color w:val="auto"/>
          <w:highlight w:val="none"/>
        </w:rPr>
        <w:t>用水</w:t>
      </w:r>
    </w:p>
    <w:p>
      <w:pPr>
        <w:widowControl w:val="0"/>
        <w:ind w:firstLine="480"/>
        <w:jc w:val="left"/>
        <w:rPr>
          <w:color w:val="auto"/>
          <w:highlight w:val="none"/>
        </w:rPr>
      </w:pPr>
      <w:r>
        <w:rPr>
          <w:rFonts w:hint="eastAsia" w:ascii="宋体" w:hAnsi="宋体"/>
          <w:color w:val="auto"/>
          <w:szCs w:val="24"/>
          <w:highlight w:val="none"/>
        </w:rPr>
        <w:t>本项目用水主要为屠宰用水、</w:t>
      </w:r>
      <w:r>
        <w:rPr>
          <w:rFonts w:hint="eastAsia"/>
          <w:color w:val="auto"/>
          <w:highlight w:val="none"/>
        </w:rPr>
        <w:t>进出车辆冲洗用水</w:t>
      </w:r>
      <w:r>
        <w:rPr>
          <w:rFonts w:hint="eastAsia" w:ascii="宋体" w:hAnsi="宋体"/>
          <w:color w:val="auto"/>
          <w:szCs w:val="24"/>
          <w:highlight w:val="none"/>
        </w:rPr>
        <w:t>、洗涤塔补水等生产用水、生活用水、食堂用水和绿化用水等。</w:t>
      </w:r>
    </w:p>
    <w:p>
      <w:pPr>
        <w:widowControl w:val="0"/>
        <w:ind w:firstLine="480"/>
        <w:rPr>
          <w:color w:val="auto"/>
          <w:highlight w:val="none"/>
        </w:rPr>
      </w:pPr>
      <w:r>
        <w:rPr>
          <w:rFonts w:hint="eastAsia"/>
          <w:color w:val="auto"/>
          <w:highlight w:val="none"/>
        </w:rPr>
        <w:t>①进出车辆冲洗用水</w:t>
      </w:r>
    </w:p>
    <w:p>
      <w:pPr>
        <w:widowControl w:val="0"/>
        <w:ind w:firstLine="480"/>
        <w:rPr>
          <w:color w:val="auto"/>
          <w:highlight w:val="none"/>
        </w:rPr>
      </w:pPr>
      <w:r>
        <w:rPr>
          <w:rFonts w:hint="eastAsia" w:ascii="宋体" w:hAnsi="宋体"/>
          <w:color w:val="auto"/>
          <w:szCs w:val="24"/>
          <w:highlight w:val="none"/>
        </w:rPr>
        <w:t>项目卸猪后空车在厂内冲洗干净后再出厂，根据四川省地方标准《四川省用水定额》（</w:t>
      </w:r>
      <w:r>
        <w:rPr>
          <w:rFonts w:hint="eastAsia"/>
          <w:color w:val="auto"/>
          <w:szCs w:val="24"/>
          <w:highlight w:val="none"/>
        </w:rPr>
        <w:t>川府函[2021]8号</w:t>
      </w:r>
      <w:r>
        <w:rPr>
          <w:rFonts w:hint="eastAsia" w:ascii="宋体" w:hAnsi="宋体"/>
          <w:color w:val="auto"/>
          <w:szCs w:val="24"/>
          <w:highlight w:val="none"/>
        </w:rPr>
        <w:t>）“洗车</w:t>
      </w:r>
      <w:r>
        <w:rPr>
          <w:rFonts w:eastAsia="Times New Roman"/>
          <w:color w:val="auto"/>
          <w:szCs w:val="24"/>
          <w:highlight w:val="none"/>
        </w:rPr>
        <w:t>-</w:t>
      </w:r>
      <w:r>
        <w:rPr>
          <w:rFonts w:hint="eastAsia" w:ascii="宋体" w:hAnsi="宋体"/>
          <w:color w:val="auto"/>
          <w:szCs w:val="24"/>
          <w:highlight w:val="none"/>
        </w:rPr>
        <w:t>公共汽车、载重汽车”定额</w:t>
      </w:r>
      <w:r>
        <w:rPr>
          <w:rFonts w:hint="eastAsia"/>
          <w:color w:val="auto"/>
          <w:szCs w:val="24"/>
          <w:highlight w:val="none"/>
        </w:rPr>
        <w:t>100</w:t>
      </w:r>
      <w:r>
        <w:rPr>
          <w:rFonts w:eastAsia="Times New Roman"/>
          <w:color w:val="auto"/>
          <w:szCs w:val="24"/>
          <w:highlight w:val="none"/>
        </w:rPr>
        <w:t>L/</w:t>
      </w:r>
      <w:r>
        <w:rPr>
          <w:rFonts w:hint="eastAsia" w:ascii="宋体" w:hAnsi="宋体"/>
          <w:color w:val="auto"/>
          <w:szCs w:val="24"/>
          <w:highlight w:val="none"/>
        </w:rPr>
        <w:t>（辆</w:t>
      </w:r>
      <w:r>
        <w:rPr>
          <w:rFonts w:eastAsia="Times New Roman"/>
          <w:color w:val="auto"/>
          <w:szCs w:val="24"/>
          <w:highlight w:val="none"/>
        </w:rPr>
        <w:t>·</w:t>
      </w:r>
      <w:r>
        <w:rPr>
          <w:rFonts w:hint="eastAsia" w:ascii="宋体" w:hAnsi="宋体"/>
          <w:color w:val="auto"/>
          <w:szCs w:val="24"/>
          <w:highlight w:val="none"/>
        </w:rPr>
        <w:t>次），本项目按每日车载</w:t>
      </w:r>
      <w:r>
        <w:rPr>
          <w:rFonts w:eastAsia="Times New Roman"/>
          <w:color w:val="auto"/>
          <w:szCs w:val="24"/>
          <w:highlight w:val="none"/>
        </w:rPr>
        <w:t>20</w:t>
      </w:r>
      <w:r>
        <w:rPr>
          <w:rFonts w:hint="eastAsia" w:ascii="宋体" w:hAnsi="宋体"/>
          <w:color w:val="auto"/>
          <w:szCs w:val="24"/>
          <w:highlight w:val="none"/>
        </w:rPr>
        <w:t>辆计，则用水量</w:t>
      </w:r>
      <w:r>
        <w:rPr>
          <w:rFonts w:eastAsia="Times New Roman"/>
          <w:color w:val="auto"/>
          <w:szCs w:val="24"/>
          <w:highlight w:val="none"/>
        </w:rPr>
        <w:t>2m</w:t>
      </w:r>
      <w:r>
        <w:rPr>
          <w:rFonts w:hint="eastAsia"/>
          <w:color w:val="auto"/>
          <w:szCs w:val="24"/>
          <w:highlight w:val="none"/>
          <w:vertAlign w:val="superscript"/>
        </w:rPr>
        <w:t>3</w:t>
      </w:r>
      <w:r>
        <w:rPr>
          <w:rFonts w:eastAsia="Times New Roman"/>
          <w:color w:val="auto"/>
          <w:szCs w:val="24"/>
          <w:highlight w:val="none"/>
        </w:rPr>
        <w:t>/d</w:t>
      </w:r>
      <w:r>
        <w:rPr>
          <w:rFonts w:hint="eastAsia" w:ascii="宋体" w:hAnsi="宋体"/>
          <w:color w:val="auto"/>
          <w:szCs w:val="24"/>
          <w:highlight w:val="none"/>
        </w:rPr>
        <w:t>，</w:t>
      </w:r>
      <w:r>
        <w:rPr>
          <w:rFonts w:hint="eastAsia"/>
          <w:color w:val="auto"/>
          <w:szCs w:val="24"/>
          <w:highlight w:val="none"/>
        </w:rPr>
        <w:t>600</w:t>
      </w:r>
      <w:r>
        <w:rPr>
          <w:rFonts w:eastAsia="Times New Roman"/>
          <w:color w:val="auto"/>
          <w:szCs w:val="24"/>
          <w:highlight w:val="none"/>
        </w:rPr>
        <w:t>m</w:t>
      </w:r>
      <w:r>
        <w:rPr>
          <w:rFonts w:hint="eastAsia"/>
          <w:color w:val="auto"/>
          <w:szCs w:val="24"/>
          <w:highlight w:val="none"/>
          <w:vertAlign w:val="superscript"/>
        </w:rPr>
        <w:t>3</w:t>
      </w:r>
      <w:r>
        <w:rPr>
          <w:rFonts w:eastAsia="Times New Roman"/>
          <w:color w:val="auto"/>
          <w:szCs w:val="24"/>
          <w:highlight w:val="none"/>
        </w:rPr>
        <w:t>/a</w:t>
      </w:r>
      <w:r>
        <w:rPr>
          <w:rFonts w:hint="eastAsia"/>
          <w:color w:val="auto"/>
          <w:highlight w:val="none"/>
        </w:rPr>
        <w:t>。</w:t>
      </w:r>
    </w:p>
    <w:p>
      <w:pPr>
        <w:widowControl w:val="0"/>
        <w:ind w:firstLine="480"/>
        <w:jc w:val="left"/>
        <w:rPr>
          <w:color w:val="auto"/>
          <w:highlight w:val="none"/>
        </w:rPr>
      </w:pPr>
      <w:r>
        <w:rPr>
          <w:rFonts w:hint="eastAsia"/>
          <w:color w:val="auto"/>
          <w:highlight w:val="none"/>
        </w:rPr>
        <w:t>②屠宰用水</w:t>
      </w:r>
    </w:p>
    <w:p>
      <w:pPr>
        <w:widowControl w:val="0"/>
        <w:ind w:firstLine="480"/>
        <w:jc w:val="left"/>
        <w:rPr>
          <w:color w:val="auto"/>
          <w:highlight w:val="none"/>
        </w:rPr>
      </w:pPr>
      <w:r>
        <w:rPr>
          <w:rFonts w:hint="eastAsia"/>
          <w:color w:val="auto"/>
          <w:highlight w:val="none"/>
        </w:rPr>
        <w:t>本项目根据市场供应需求，猪肉与牛肉供应淡季为1~4月，旺季为9~12月，5~8月较为平均，根据类别同类项目确定，本项目淡季生猪屠宰约为350头/d，肉牛屠宰约为20头/年；旺季生猪屠宰约为500头/d，肉牛屠宰约为40头/年；平均日屠宰生猪457头（年工作350日），屠宰肉牛29头（年工作350日）。</w:t>
      </w:r>
    </w:p>
    <w:p>
      <w:pPr>
        <w:widowControl w:val="0"/>
        <w:ind w:firstLine="480"/>
        <w:jc w:val="both"/>
        <w:rPr>
          <w:color w:val="auto"/>
          <w:highlight w:val="none"/>
        </w:rPr>
      </w:pPr>
      <w:r>
        <w:rPr>
          <w:rFonts w:hint="eastAsia"/>
          <w:color w:val="auto"/>
          <w:highlight w:val="none"/>
        </w:rPr>
        <w:t>根据《屠宰与肉类加工废水治理工程技术规范》（HJ2004-2010）与</w:t>
      </w:r>
      <w:r>
        <w:rPr>
          <w:rFonts w:hint="eastAsia" w:ascii="宋体" w:hAnsi="宋体"/>
          <w:color w:val="auto"/>
          <w:szCs w:val="24"/>
          <w:highlight w:val="none"/>
        </w:rPr>
        <w:t>《四川省用水定额》（</w:t>
      </w:r>
      <w:r>
        <w:rPr>
          <w:rFonts w:hint="eastAsia"/>
          <w:color w:val="auto"/>
          <w:szCs w:val="24"/>
          <w:highlight w:val="none"/>
        </w:rPr>
        <w:t>川府函[2021]8号</w:t>
      </w:r>
      <w:r>
        <w:rPr>
          <w:rFonts w:hint="eastAsia" w:ascii="宋体" w:hAnsi="宋体"/>
          <w:color w:val="auto"/>
          <w:szCs w:val="24"/>
          <w:highlight w:val="none"/>
        </w:rPr>
        <w:t>）</w:t>
      </w:r>
      <w:r>
        <w:rPr>
          <w:rFonts w:hint="eastAsia"/>
          <w:color w:val="auto"/>
          <w:highlight w:val="none"/>
        </w:rPr>
        <w:t>，本项目屠宰过程包括了</w:t>
      </w:r>
      <w:r>
        <w:rPr>
          <w:rFonts w:hint="eastAsia" w:ascii="宋体" w:hAnsi="宋体"/>
          <w:color w:val="auto"/>
          <w:szCs w:val="24"/>
          <w:highlight w:val="none"/>
        </w:rPr>
        <w:t>屠宰时进行的圈栏冲洗、宰前淋浴、宰后烫毛或剥皮、开腔、劈半、解体、内脏洗涤及车间冲洗（包括设备）等过程。</w:t>
      </w:r>
      <w:r>
        <w:rPr>
          <w:rFonts w:hint="eastAsia"/>
          <w:color w:val="auto"/>
          <w:highlight w:val="none"/>
        </w:rPr>
        <w:t>确定生猪屠宰过程用水量为0.5m</w:t>
      </w:r>
      <w:r>
        <w:rPr>
          <w:rFonts w:hint="eastAsia"/>
          <w:color w:val="auto"/>
          <w:highlight w:val="none"/>
          <w:vertAlign w:val="superscript"/>
        </w:rPr>
        <w:t>3</w:t>
      </w:r>
      <w:r>
        <w:rPr>
          <w:rFonts w:hint="eastAsia"/>
          <w:color w:val="auto"/>
          <w:highlight w:val="none"/>
        </w:rPr>
        <w:t>/头，确定肉牛屠宰过程用水量为0.8m</w:t>
      </w:r>
      <w:r>
        <w:rPr>
          <w:rFonts w:hint="eastAsia"/>
          <w:color w:val="auto"/>
          <w:highlight w:val="none"/>
          <w:vertAlign w:val="superscript"/>
        </w:rPr>
        <w:t>3</w:t>
      </w:r>
      <w:r>
        <w:rPr>
          <w:rFonts w:hint="eastAsia"/>
          <w:color w:val="auto"/>
          <w:highlight w:val="none"/>
        </w:rPr>
        <w:t>/头，故项目屠宰用水量如下表所示。</w:t>
      </w:r>
    </w:p>
    <w:p>
      <w:pPr>
        <w:pStyle w:val="27"/>
        <w:widowControl w:val="0"/>
        <w:rPr>
          <w:color w:val="auto"/>
          <w:highlight w:val="none"/>
        </w:rPr>
      </w:pPr>
      <w:r>
        <w:rPr>
          <w:rFonts w:hint="eastAsia"/>
          <w:color w:val="auto"/>
          <w:highlight w:val="none"/>
        </w:rPr>
        <w:t>牲畜屠宰用水情况一览表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2564"/>
        <w:gridCol w:w="2564"/>
        <w:gridCol w:w="2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7" w:type="pct"/>
            <w:tcBorders>
              <w:bottom w:val="single" w:color="auto" w:sz="2" w:space="0"/>
              <w:right w:val="single" w:color="auto" w:sz="2" w:space="0"/>
              <w:tl2br w:val="single" w:color="auto" w:sz="2" w:space="0"/>
            </w:tcBorders>
            <w:vAlign w:val="center"/>
          </w:tcPr>
          <w:p>
            <w:pPr>
              <w:pStyle w:val="28"/>
              <w:widowControl w:val="0"/>
              <w:rPr>
                <w:b/>
                <w:bCs/>
                <w:color w:val="auto"/>
                <w:highlight w:val="none"/>
              </w:rPr>
            </w:pPr>
            <w:r>
              <w:rPr>
                <w:rFonts w:hint="eastAsia"/>
                <w:b/>
                <w:bCs/>
                <w:color w:val="auto"/>
                <w:highlight w:val="none"/>
              </w:rPr>
              <w:t xml:space="preserve">     屠宰类别</w:t>
            </w:r>
          </w:p>
          <w:p>
            <w:pPr>
              <w:pStyle w:val="28"/>
              <w:widowControl w:val="0"/>
              <w:jc w:val="both"/>
              <w:rPr>
                <w:b/>
                <w:bCs/>
                <w:color w:val="auto"/>
                <w:highlight w:val="none"/>
              </w:rPr>
            </w:pPr>
            <w:r>
              <w:rPr>
                <w:rFonts w:hint="eastAsia"/>
                <w:b/>
                <w:bCs/>
                <w:color w:val="auto"/>
                <w:highlight w:val="none"/>
              </w:rPr>
              <w:t>时段</w:t>
            </w:r>
          </w:p>
        </w:tc>
        <w:tc>
          <w:tcPr>
            <w:tcW w:w="1334" w:type="pct"/>
            <w:tcBorders>
              <w:left w:val="single" w:color="auto" w:sz="2" w:space="0"/>
              <w:tl2br w:val="nil"/>
              <w:tr2bl w:val="nil"/>
            </w:tcBorders>
            <w:vAlign w:val="center"/>
          </w:tcPr>
          <w:p>
            <w:pPr>
              <w:pStyle w:val="28"/>
              <w:widowControl w:val="0"/>
              <w:rPr>
                <w:b/>
                <w:bCs/>
                <w:color w:val="auto"/>
                <w:highlight w:val="none"/>
              </w:rPr>
            </w:pPr>
            <w:r>
              <w:rPr>
                <w:rFonts w:hint="eastAsia"/>
                <w:b/>
                <w:bCs/>
                <w:color w:val="auto"/>
                <w:highlight w:val="none"/>
              </w:rPr>
              <w:t>生猪</w:t>
            </w:r>
          </w:p>
        </w:tc>
        <w:tc>
          <w:tcPr>
            <w:tcW w:w="1334" w:type="pct"/>
            <w:tcBorders>
              <w:tl2br w:val="nil"/>
              <w:tr2bl w:val="nil"/>
            </w:tcBorders>
            <w:vAlign w:val="center"/>
          </w:tcPr>
          <w:p>
            <w:pPr>
              <w:pStyle w:val="28"/>
              <w:widowControl w:val="0"/>
              <w:rPr>
                <w:b/>
                <w:bCs/>
                <w:color w:val="auto"/>
                <w:highlight w:val="none"/>
              </w:rPr>
            </w:pPr>
            <w:r>
              <w:rPr>
                <w:rFonts w:hint="eastAsia"/>
                <w:b/>
                <w:bCs/>
                <w:color w:val="auto"/>
                <w:highlight w:val="none"/>
              </w:rPr>
              <w:t>肉牛</w:t>
            </w:r>
          </w:p>
        </w:tc>
        <w:tc>
          <w:tcPr>
            <w:tcW w:w="1334" w:type="pct"/>
            <w:tcBorders>
              <w:tl2br w:val="nil"/>
              <w:tr2bl w:val="nil"/>
            </w:tcBorders>
            <w:vAlign w:val="center"/>
          </w:tcPr>
          <w:p>
            <w:pPr>
              <w:pStyle w:val="28"/>
              <w:widowControl w:val="0"/>
              <w:rPr>
                <w:b/>
                <w:bCs/>
                <w:color w:val="auto"/>
                <w:highlight w:val="none"/>
              </w:rPr>
            </w:pPr>
            <w:r>
              <w:rPr>
                <w:rFonts w:hint="eastAsia"/>
                <w:b/>
                <w:bCs/>
                <w:color w:val="auto"/>
                <w:highlight w:val="none"/>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97" w:type="pct"/>
            <w:tcBorders>
              <w:top w:val="single" w:color="auto" w:sz="2" w:space="0"/>
              <w:tl2br w:val="nil"/>
              <w:tr2bl w:val="nil"/>
            </w:tcBorders>
            <w:vAlign w:val="center"/>
          </w:tcPr>
          <w:p>
            <w:pPr>
              <w:pStyle w:val="28"/>
              <w:widowControl w:val="0"/>
              <w:rPr>
                <w:color w:val="auto"/>
                <w:highlight w:val="none"/>
              </w:rPr>
            </w:pPr>
            <w:r>
              <w:rPr>
                <w:rFonts w:hint="eastAsia"/>
                <w:color w:val="auto"/>
                <w:highlight w:val="none"/>
              </w:rPr>
              <w:t>旺季</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250t/d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32t/d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282t/d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7" w:type="pct"/>
            <w:tcBorders>
              <w:tl2br w:val="nil"/>
              <w:tr2bl w:val="nil"/>
            </w:tcBorders>
            <w:vAlign w:val="center"/>
          </w:tcPr>
          <w:p>
            <w:pPr>
              <w:pStyle w:val="28"/>
              <w:widowControl w:val="0"/>
              <w:rPr>
                <w:color w:val="auto"/>
                <w:highlight w:val="none"/>
              </w:rPr>
            </w:pPr>
            <w:r>
              <w:rPr>
                <w:rFonts w:hint="eastAsia"/>
                <w:color w:val="auto"/>
                <w:highlight w:val="none"/>
              </w:rPr>
              <w:t>淡季</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175t/d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16t/d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191t/d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tcBorders>
              <w:tl2br w:val="nil"/>
              <w:tr2bl w:val="nil"/>
            </w:tcBorders>
            <w:vAlign w:val="center"/>
          </w:tcPr>
          <w:p>
            <w:pPr>
              <w:pStyle w:val="28"/>
              <w:widowControl w:val="0"/>
              <w:rPr>
                <w:color w:val="auto"/>
                <w:highlight w:val="none"/>
              </w:rPr>
            </w:pPr>
            <w:r>
              <w:rPr>
                <w:rFonts w:hint="eastAsia"/>
                <w:color w:val="auto"/>
                <w:highlight w:val="none"/>
              </w:rPr>
              <w:t>日平均</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228.5t/d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23.2t/d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251.7t/d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tcBorders>
              <w:tl2br w:val="nil"/>
              <w:tr2bl w:val="nil"/>
            </w:tcBorders>
            <w:vAlign w:val="center"/>
          </w:tcPr>
          <w:p>
            <w:pPr>
              <w:pStyle w:val="28"/>
              <w:widowControl w:val="0"/>
              <w:rPr>
                <w:color w:val="auto"/>
                <w:highlight w:val="none"/>
              </w:rPr>
            </w:pPr>
            <w:r>
              <w:rPr>
                <w:rFonts w:hint="eastAsia"/>
                <w:color w:val="auto"/>
                <w:highlight w:val="none"/>
              </w:rPr>
              <w:t>全年总计</w:t>
            </w:r>
          </w:p>
        </w:tc>
        <w:tc>
          <w:tcPr>
            <w:tcW w:w="4002" w:type="pct"/>
            <w:gridSpan w:val="3"/>
            <w:tcBorders>
              <w:tl2br w:val="nil"/>
              <w:tr2bl w:val="nil"/>
            </w:tcBorders>
            <w:vAlign w:val="center"/>
          </w:tcPr>
          <w:p>
            <w:pPr>
              <w:pStyle w:val="28"/>
              <w:widowControl w:val="0"/>
              <w:rPr>
                <w:color w:val="auto"/>
                <w:highlight w:val="none"/>
              </w:rPr>
            </w:pPr>
            <w:r>
              <w:rPr>
                <w:rFonts w:hint="eastAsia"/>
                <w:color w:val="auto"/>
                <w:highlight w:val="none"/>
              </w:rPr>
              <w:t>88000t/a</w:t>
            </w:r>
          </w:p>
        </w:tc>
      </w:tr>
    </w:tbl>
    <w:p>
      <w:pPr>
        <w:widowControl w:val="0"/>
        <w:ind w:firstLine="480"/>
        <w:rPr>
          <w:rFonts w:ascii="宋体" w:hAnsi="宋体"/>
          <w:color w:val="auto"/>
          <w:szCs w:val="24"/>
          <w:highlight w:val="none"/>
        </w:rPr>
      </w:pPr>
      <w:r>
        <w:rPr>
          <w:rFonts w:hint="eastAsia"/>
          <w:color w:val="auto"/>
          <w:highlight w:val="none"/>
        </w:rPr>
        <w:t>③</w:t>
      </w:r>
      <w:r>
        <w:rPr>
          <w:rFonts w:hint="eastAsia" w:ascii="宋体" w:hAnsi="宋体"/>
          <w:color w:val="auto"/>
          <w:szCs w:val="24"/>
          <w:highlight w:val="none"/>
        </w:rPr>
        <w:t>洗涤塔补水</w:t>
      </w:r>
    </w:p>
    <w:p>
      <w:pPr>
        <w:widowControl w:val="0"/>
        <w:ind w:firstLine="480"/>
        <w:rPr>
          <w:color w:val="auto"/>
          <w:highlight w:val="none"/>
        </w:rPr>
      </w:pPr>
      <w:r>
        <w:rPr>
          <w:color w:val="auto"/>
          <w:highlight w:val="none"/>
        </w:rPr>
        <w:t>本项目在污水处理站设置废气处理装置，对污水处理站废气、待宰圈废气、屠宰区废水收集后进行处置，采用</w:t>
      </w:r>
      <w:r>
        <w:rPr>
          <w:rFonts w:hint="eastAsia"/>
          <w:color w:val="auto"/>
          <w:highlight w:val="none"/>
        </w:rPr>
        <w:t>“UV光解+生物洗涤塔”</w:t>
      </w:r>
      <w:r>
        <w:rPr>
          <w:color w:val="auto"/>
          <w:highlight w:val="none"/>
        </w:rPr>
        <w:t>工艺进行处理，经15m高排气筒排放，</w:t>
      </w:r>
      <w:r>
        <w:rPr>
          <w:rFonts w:hint="eastAsia"/>
          <w:color w:val="auto"/>
          <w:highlight w:val="none"/>
        </w:rPr>
        <w:t>为保障处理效率，保证喷淋水的浓度，需要持续排水并补充水，最大负荷下循环水为200m</w:t>
      </w:r>
      <w:r>
        <w:rPr>
          <w:rFonts w:hint="eastAsia"/>
          <w:color w:val="auto"/>
          <w:highlight w:val="none"/>
          <w:vertAlign w:val="superscript"/>
        </w:rPr>
        <w:t>3</w:t>
      </w:r>
      <w:r>
        <w:rPr>
          <w:rFonts w:hint="eastAsia"/>
          <w:color w:val="auto"/>
          <w:highlight w:val="none"/>
        </w:rPr>
        <w:t>/d，排水量按5%计，</w:t>
      </w:r>
      <w:r>
        <w:rPr>
          <w:rFonts w:hint="eastAsia" w:ascii="宋体" w:hAnsi="宋体"/>
          <w:color w:val="auto"/>
          <w:szCs w:val="24"/>
          <w:highlight w:val="none"/>
        </w:rPr>
        <w:t>由于是在常温下运行，损失很小可忽略不计，则补水量为</w:t>
      </w:r>
      <w:r>
        <w:rPr>
          <w:rFonts w:hint="eastAsia"/>
          <w:color w:val="auto"/>
          <w:szCs w:val="24"/>
          <w:highlight w:val="none"/>
        </w:rPr>
        <w:t>10</w:t>
      </w:r>
      <w:r>
        <w:rPr>
          <w:rFonts w:eastAsia="Times New Roman"/>
          <w:color w:val="auto"/>
          <w:szCs w:val="24"/>
          <w:highlight w:val="none"/>
        </w:rPr>
        <w:t>m</w:t>
      </w:r>
      <w:r>
        <w:rPr>
          <w:rFonts w:hint="eastAsia"/>
          <w:color w:val="auto"/>
          <w:szCs w:val="24"/>
          <w:highlight w:val="none"/>
          <w:vertAlign w:val="superscript"/>
        </w:rPr>
        <w:t>3</w:t>
      </w:r>
      <w:r>
        <w:rPr>
          <w:rFonts w:eastAsia="Times New Roman"/>
          <w:color w:val="auto"/>
          <w:szCs w:val="24"/>
          <w:highlight w:val="none"/>
        </w:rPr>
        <w:t>/d</w:t>
      </w:r>
      <w:r>
        <w:rPr>
          <w:rFonts w:hint="eastAsia" w:ascii="宋体" w:hAnsi="宋体"/>
          <w:color w:val="auto"/>
          <w:szCs w:val="24"/>
          <w:highlight w:val="none"/>
        </w:rPr>
        <w:t>，</w:t>
      </w:r>
      <w:r>
        <w:rPr>
          <w:rFonts w:hint="eastAsia"/>
          <w:color w:val="auto"/>
          <w:szCs w:val="24"/>
          <w:highlight w:val="none"/>
        </w:rPr>
        <w:t>3500</w:t>
      </w:r>
      <w:r>
        <w:rPr>
          <w:rFonts w:eastAsia="Times New Roman"/>
          <w:color w:val="auto"/>
          <w:szCs w:val="24"/>
          <w:highlight w:val="none"/>
        </w:rPr>
        <w:t>m</w:t>
      </w:r>
      <w:r>
        <w:rPr>
          <w:rFonts w:hint="eastAsia"/>
          <w:color w:val="auto"/>
          <w:szCs w:val="24"/>
          <w:highlight w:val="none"/>
          <w:vertAlign w:val="superscript"/>
        </w:rPr>
        <w:t>3</w:t>
      </w:r>
      <w:r>
        <w:rPr>
          <w:rFonts w:eastAsia="Times New Roman"/>
          <w:color w:val="auto"/>
          <w:szCs w:val="24"/>
          <w:highlight w:val="none"/>
        </w:rPr>
        <w:t>/a</w:t>
      </w:r>
      <w:r>
        <w:rPr>
          <w:rFonts w:hint="eastAsia"/>
          <w:color w:val="auto"/>
          <w:highlight w:val="none"/>
        </w:rPr>
        <w:t>。</w:t>
      </w:r>
    </w:p>
    <w:p>
      <w:pPr>
        <w:widowControl w:val="0"/>
        <w:ind w:firstLine="480"/>
        <w:rPr>
          <w:rFonts w:ascii="宋体" w:hAnsi="宋体"/>
          <w:color w:val="auto"/>
          <w:szCs w:val="24"/>
          <w:highlight w:val="none"/>
        </w:rPr>
      </w:pPr>
      <w:r>
        <w:rPr>
          <w:rFonts w:hint="eastAsia" w:ascii="宋体" w:hAnsi="宋体"/>
          <w:color w:val="auto"/>
          <w:szCs w:val="24"/>
          <w:highlight w:val="none"/>
        </w:rPr>
        <w:t>④生活用水</w:t>
      </w:r>
    </w:p>
    <w:p>
      <w:pPr>
        <w:widowControl w:val="0"/>
        <w:ind w:firstLine="480"/>
        <w:rPr>
          <w:color w:val="auto"/>
          <w:highlight w:val="none"/>
        </w:rPr>
      </w:pPr>
      <w:r>
        <w:rPr>
          <w:rFonts w:hint="eastAsia"/>
          <w:color w:val="auto"/>
          <w:highlight w:val="none"/>
        </w:rPr>
        <w:t>本项目劳动定员50人，项目未建宿舍楼，项目员工不在厂内留宿，根据《建筑给水排水设计标准》（GB50015-2019），工业企业建筑管理人员的生活用水定额可取</w:t>
      </w:r>
      <w:r>
        <w:rPr>
          <w:color w:val="auto"/>
          <w:highlight w:val="none"/>
        </w:rPr>
        <w:t>30L/</w:t>
      </w:r>
      <w:r>
        <w:rPr>
          <w:rFonts w:hint="eastAsia"/>
          <w:color w:val="auto"/>
          <w:highlight w:val="none"/>
        </w:rPr>
        <w:t>人</w:t>
      </w:r>
      <w:r>
        <w:rPr>
          <w:color w:val="auto"/>
          <w:highlight w:val="none"/>
        </w:rPr>
        <w:t>·</w:t>
      </w:r>
      <w:r>
        <w:rPr>
          <w:rFonts w:hint="eastAsia"/>
          <w:color w:val="auto"/>
          <w:highlight w:val="none"/>
        </w:rPr>
        <w:t>班～</w:t>
      </w:r>
      <w:r>
        <w:rPr>
          <w:color w:val="auto"/>
          <w:highlight w:val="none"/>
        </w:rPr>
        <w:t>50L/</w:t>
      </w:r>
      <w:r>
        <w:rPr>
          <w:rFonts w:hint="eastAsia"/>
          <w:color w:val="auto"/>
          <w:highlight w:val="none"/>
        </w:rPr>
        <w:t>人</w:t>
      </w:r>
      <w:r>
        <w:rPr>
          <w:color w:val="auto"/>
          <w:highlight w:val="none"/>
        </w:rPr>
        <w:t>·</w:t>
      </w:r>
      <w:r>
        <w:rPr>
          <w:rFonts w:hint="eastAsia"/>
          <w:color w:val="auto"/>
          <w:highlight w:val="none"/>
        </w:rPr>
        <w:t>班，本项目按50</w:t>
      </w:r>
      <w:r>
        <w:rPr>
          <w:color w:val="auto"/>
          <w:highlight w:val="none"/>
        </w:rPr>
        <w:t>L/</w:t>
      </w:r>
      <w:r>
        <w:rPr>
          <w:rFonts w:hint="eastAsia"/>
          <w:color w:val="auto"/>
          <w:highlight w:val="none"/>
        </w:rPr>
        <w:t>人</w:t>
      </w:r>
      <w:r>
        <w:rPr>
          <w:color w:val="auto"/>
          <w:highlight w:val="none"/>
        </w:rPr>
        <w:t>·d</w:t>
      </w:r>
      <w:r>
        <w:rPr>
          <w:rFonts w:hint="eastAsia"/>
          <w:color w:val="auto"/>
          <w:highlight w:val="none"/>
        </w:rPr>
        <w:t>，则生活用水量约为2.5m</w:t>
      </w:r>
      <w:r>
        <w:rPr>
          <w:rFonts w:hint="eastAsia"/>
          <w:color w:val="auto"/>
          <w:highlight w:val="none"/>
          <w:vertAlign w:val="superscript"/>
        </w:rPr>
        <w:t>3</w:t>
      </w:r>
      <w:r>
        <w:rPr>
          <w:rFonts w:hint="eastAsia"/>
          <w:color w:val="auto"/>
          <w:highlight w:val="none"/>
        </w:rPr>
        <w:t>/d。</w:t>
      </w:r>
    </w:p>
    <w:p>
      <w:pPr>
        <w:widowControl w:val="0"/>
        <w:ind w:firstLine="480"/>
        <w:rPr>
          <w:color w:val="auto"/>
          <w:highlight w:val="none"/>
        </w:rPr>
      </w:pPr>
      <w:r>
        <w:rPr>
          <w:rFonts w:hint="eastAsia"/>
          <w:color w:val="auto"/>
          <w:highlight w:val="none"/>
        </w:rPr>
        <w:t>⑤食堂用水</w:t>
      </w:r>
    </w:p>
    <w:p>
      <w:pPr>
        <w:widowControl w:val="0"/>
        <w:ind w:firstLine="480"/>
        <w:rPr>
          <w:color w:val="auto"/>
          <w:highlight w:val="none"/>
        </w:rPr>
      </w:pPr>
      <w:r>
        <w:rPr>
          <w:rFonts w:hint="eastAsia"/>
          <w:color w:val="auto"/>
          <w:highlight w:val="none"/>
        </w:rPr>
        <w:t>本项目设置食堂，本项目食堂仅为员工提供</w:t>
      </w:r>
      <w:r>
        <w:rPr>
          <w:rFonts w:hint="eastAsia"/>
          <w:color w:val="auto"/>
          <w:highlight w:val="none"/>
          <w:lang w:val="en-US" w:eastAsia="zh-CN"/>
        </w:rPr>
        <w:t>一</w:t>
      </w:r>
      <w:r>
        <w:rPr>
          <w:rFonts w:hint="eastAsia"/>
          <w:color w:val="auto"/>
          <w:highlight w:val="none"/>
        </w:rPr>
        <w:t>餐，根据《建筑给水排水设计标准》（</w:t>
      </w:r>
      <w:r>
        <w:rPr>
          <w:color w:val="auto"/>
          <w:highlight w:val="none"/>
        </w:rPr>
        <w:t>GB50015-</w:t>
      </w:r>
      <w:r>
        <w:rPr>
          <w:rFonts w:hint="eastAsia"/>
          <w:color w:val="auto"/>
          <w:highlight w:val="none"/>
        </w:rPr>
        <w:t>2019），快餐店、职工及学生食堂</w:t>
      </w:r>
      <w:r>
        <w:rPr>
          <w:color w:val="auto"/>
          <w:highlight w:val="none"/>
        </w:rPr>
        <w:t>20~25L/</w:t>
      </w:r>
      <w:r>
        <w:rPr>
          <w:rFonts w:hint="eastAsia"/>
          <w:color w:val="auto"/>
          <w:highlight w:val="none"/>
        </w:rPr>
        <w:t>人，本项目食堂用水按</w:t>
      </w:r>
      <w:r>
        <w:rPr>
          <w:color w:val="auto"/>
          <w:highlight w:val="none"/>
        </w:rPr>
        <w:t>20L/</w:t>
      </w:r>
      <w:r>
        <w:rPr>
          <w:rFonts w:hint="eastAsia"/>
          <w:color w:val="auto"/>
          <w:highlight w:val="none"/>
        </w:rPr>
        <w:t>人</w:t>
      </w:r>
      <w:r>
        <w:rPr>
          <w:color w:val="auto"/>
          <w:highlight w:val="none"/>
        </w:rPr>
        <w:t>·</w:t>
      </w:r>
      <w:r>
        <w:rPr>
          <w:rFonts w:hint="eastAsia"/>
          <w:color w:val="auto"/>
          <w:highlight w:val="none"/>
        </w:rPr>
        <w:t>次计，每日1餐，50人，则用水量1</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p>
    <w:p>
      <w:pPr>
        <w:widowControl w:val="0"/>
        <w:ind w:firstLine="480"/>
        <w:rPr>
          <w:color w:val="auto"/>
          <w:highlight w:val="none"/>
        </w:rPr>
      </w:pPr>
      <w:r>
        <w:rPr>
          <w:rFonts w:hint="eastAsia"/>
          <w:color w:val="auto"/>
          <w:highlight w:val="none"/>
        </w:rPr>
        <w:t>⑥绿化用水</w:t>
      </w:r>
    </w:p>
    <w:p>
      <w:pPr>
        <w:widowControl w:val="0"/>
        <w:ind w:firstLine="480"/>
        <w:rPr>
          <w:color w:val="auto"/>
          <w:highlight w:val="none"/>
        </w:rPr>
      </w:pPr>
      <w:r>
        <w:rPr>
          <w:rFonts w:hint="eastAsia"/>
          <w:color w:val="auto"/>
          <w:highlight w:val="none"/>
        </w:rPr>
        <w:t>本项目厂区四周种植绿化，厂区绿化总面积占3654m</w:t>
      </w:r>
      <w:r>
        <w:rPr>
          <w:rFonts w:hint="eastAsia"/>
          <w:color w:val="auto"/>
          <w:highlight w:val="none"/>
          <w:vertAlign w:val="superscript"/>
        </w:rPr>
        <w:t>2</w:t>
      </w:r>
      <w:r>
        <w:rPr>
          <w:rFonts w:hint="eastAsia"/>
          <w:color w:val="auto"/>
          <w:highlight w:val="none"/>
        </w:rPr>
        <w:t>，根据《四川省用水定额》（川府函[2021]8号），每平方米每年用水0.77m</w:t>
      </w:r>
      <w:r>
        <w:rPr>
          <w:rFonts w:hint="eastAsia"/>
          <w:color w:val="auto"/>
          <w:highlight w:val="none"/>
          <w:vertAlign w:val="superscript"/>
        </w:rPr>
        <w:t>3</w:t>
      </w:r>
      <w:r>
        <w:rPr>
          <w:rFonts w:hint="eastAsia"/>
          <w:color w:val="auto"/>
          <w:highlight w:val="none"/>
        </w:rPr>
        <w:t>，因此，项目每日绿化用水约10m</w:t>
      </w:r>
      <w:r>
        <w:rPr>
          <w:rFonts w:hint="eastAsia"/>
          <w:color w:val="auto"/>
          <w:highlight w:val="none"/>
          <w:vertAlign w:val="superscript"/>
        </w:rPr>
        <w:t>3</w:t>
      </w:r>
      <w:r>
        <w:rPr>
          <w:rFonts w:hint="eastAsia"/>
          <w:color w:val="auto"/>
          <w:highlight w:val="none"/>
        </w:rPr>
        <w:t>。</w:t>
      </w:r>
    </w:p>
    <w:p>
      <w:pPr>
        <w:pStyle w:val="6"/>
        <w:widowControl w:val="0"/>
        <w:ind w:left="-160" w:firstLineChars="0"/>
        <w:rPr>
          <w:color w:val="auto"/>
          <w:highlight w:val="none"/>
        </w:rPr>
      </w:pPr>
      <w:r>
        <w:rPr>
          <w:rFonts w:hint="eastAsia"/>
          <w:color w:val="auto"/>
          <w:highlight w:val="none"/>
        </w:rPr>
        <w:t>排水</w:t>
      </w:r>
    </w:p>
    <w:p>
      <w:pPr>
        <w:widowControl w:val="0"/>
        <w:ind w:firstLine="480"/>
        <w:rPr>
          <w:color w:val="auto"/>
          <w:highlight w:val="none"/>
        </w:rPr>
      </w:pPr>
      <w:r>
        <w:rPr>
          <w:rFonts w:hint="eastAsia"/>
          <w:color w:val="auto"/>
          <w:highlight w:val="none"/>
        </w:rPr>
        <w:t>①进出车辆冲洗废水</w:t>
      </w:r>
    </w:p>
    <w:p>
      <w:pPr>
        <w:widowControl w:val="0"/>
        <w:ind w:firstLine="480"/>
        <w:rPr>
          <w:color w:val="auto"/>
          <w:highlight w:val="none"/>
        </w:rPr>
      </w:pPr>
      <w:r>
        <w:rPr>
          <w:rFonts w:hint="eastAsia"/>
          <w:color w:val="auto"/>
          <w:highlight w:val="none"/>
        </w:rPr>
        <w:t>进出车辆冲洗废水按用水量0.85%计，则进出车辆冲洗废水产生量为1.8m</w:t>
      </w:r>
      <w:r>
        <w:rPr>
          <w:rFonts w:hint="eastAsia"/>
          <w:color w:val="auto"/>
          <w:highlight w:val="none"/>
          <w:vertAlign w:val="superscript"/>
        </w:rPr>
        <w:t>3</w:t>
      </w:r>
      <w:r>
        <w:rPr>
          <w:rFonts w:hint="eastAsia"/>
          <w:color w:val="auto"/>
          <w:highlight w:val="none"/>
        </w:rPr>
        <w:t>/d，540m</w:t>
      </w:r>
      <w:r>
        <w:rPr>
          <w:rFonts w:hint="eastAsia"/>
          <w:color w:val="auto"/>
          <w:highlight w:val="none"/>
          <w:vertAlign w:val="superscript"/>
        </w:rPr>
        <w:t>3</w:t>
      </w:r>
      <w:r>
        <w:rPr>
          <w:rFonts w:hint="eastAsia"/>
          <w:color w:val="auto"/>
          <w:highlight w:val="none"/>
        </w:rPr>
        <w:t>/d。</w:t>
      </w:r>
    </w:p>
    <w:p>
      <w:pPr>
        <w:widowControl w:val="0"/>
        <w:ind w:firstLine="480"/>
        <w:jc w:val="left"/>
        <w:rPr>
          <w:color w:val="auto"/>
          <w:highlight w:val="none"/>
        </w:rPr>
      </w:pPr>
      <w:r>
        <w:rPr>
          <w:rFonts w:hint="eastAsia"/>
          <w:color w:val="auto"/>
          <w:highlight w:val="none"/>
        </w:rPr>
        <w:t>②屠宰废水</w:t>
      </w:r>
    </w:p>
    <w:p>
      <w:pPr>
        <w:widowControl w:val="0"/>
        <w:ind w:firstLine="480"/>
        <w:rPr>
          <w:color w:val="auto"/>
          <w:highlight w:val="none"/>
        </w:rPr>
      </w:pPr>
      <w:r>
        <w:rPr>
          <w:rFonts w:hint="eastAsia"/>
          <w:color w:val="auto"/>
          <w:highlight w:val="none"/>
        </w:rPr>
        <w:t>根屠宰排水系数以0.85计，则生猪屠宰废水产生量0.425m</w:t>
      </w:r>
      <w:r>
        <w:rPr>
          <w:rFonts w:hint="eastAsia"/>
          <w:color w:val="auto"/>
          <w:highlight w:val="none"/>
          <w:vertAlign w:val="superscript"/>
        </w:rPr>
        <w:t>3</w:t>
      </w:r>
      <w:r>
        <w:rPr>
          <w:rFonts w:hint="eastAsia"/>
          <w:color w:val="auto"/>
          <w:highlight w:val="none"/>
        </w:rPr>
        <w:t>/头，肉牛屠宰废水产生量0.68m</w:t>
      </w:r>
      <w:r>
        <w:rPr>
          <w:rFonts w:hint="eastAsia"/>
          <w:color w:val="auto"/>
          <w:highlight w:val="none"/>
          <w:vertAlign w:val="superscript"/>
        </w:rPr>
        <w:t>3</w:t>
      </w:r>
      <w:r>
        <w:rPr>
          <w:rFonts w:hint="eastAsia"/>
          <w:color w:val="auto"/>
          <w:highlight w:val="none"/>
        </w:rPr>
        <w:t>/头，故项目屠宰产生的废水如下表所示：</w:t>
      </w:r>
    </w:p>
    <w:p>
      <w:pPr>
        <w:pStyle w:val="27"/>
        <w:widowControl w:val="0"/>
        <w:rPr>
          <w:color w:val="auto"/>
          <w:highlight w:val="none"/>
        </w:rPr>
      </w:pPr>
      <w:r>
        <w:rPr>
          <w:rFonts w:hint="eastAsia"/>
          <w:color w:val="auto"/>
          <w:highlight w:val="none"/>
        </w:rPr>
        <w:t>牲畜屠宰排水情况一览表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2566"/>
        <w:gridCol w:w="2566"/>
        <w:gridCol w:w="2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pct"/>
            <w:tcBorders>
              <w:bottom w:val="single" w:color="auto" w:sz="2" w:space="0"/>
              <w:right w:val="single" w:color="auto" w:sz="2" w:space="0"/>
              <w:tl2br w:val="single" w:color="auto" w:sz="2" w:space="0"/>
            </w:tcBorders>
            <w:vAlign w:val="center"/>
          </w:tcPr>
          <w:p>
            <w:pPr>
              <w:pStyle w:val="28"/>
              <w:widowControl w:val="0"/>
              <w:rPr>
                <w:b/>
                <w:bCs/>
                <w:color w:val="auto"/>
                <w:highlight w:val="none"/>
              </w:rPr>
            </w:pPr>
            <w:r>
              <w:rPr>
                <w:rFonts w:hint="eastAsia"/>
                <w:b/>
                <w:bCs/>
                <w:color w:val="auto"/>
                <w:highlight w:val="none"/>
              </w:rPr>
              <w:t xml:space="preserve">     屠宰类别</w:t>
            </w:r>
          </w:p>
          <w:p>
            <w:pPr>
              <w:pStyle w:val="28"/>
              <w:widowControl w:val="0"/>
              <w:jc w:val="both"/>
              <w:rPr>
                <w:b/>
                <w:bCs/>
                <w:color w:val="auto"/>
                <w:highlight w:val="none"/>
              </w:rPr>
            </w:pPr>
            <w:r>
              <w:rPr>
                <w:rFonts w:hint="eastAsia"/>
                <w:b/>
                <w:bCs/>
                <w:color w:val="auto"/>
                <w:highlight w:val="none"/>
              </w:rPr>
              <w:t>时段</w:t>
            </w:r>
          </w:p>
        </w:tc>
        <w:tc>
          <w:tcPr>
            <w:tcW w:w="1334" w:type="pct"/>
            <w:tcBorders>
              <w:left w:val="single" w:color="auto" w:sz="2" w:space="0"/>
              <w:tl2br w:val="nil"/>
              <w:tr2bl w:val="nil"/>
            </w:tcBorders>
            <w:vAlign w:val="center"/>
          </w:tcPr>
          <w:p>
            <w:pPr>
              <w:pStyle w:val="28"/>
              <w:widowControl w:val="0"/>
              <w:rPr>
                <w:b/>
                <w:bCs/>
                <w:color w:val="auto"/>
                <w:highlight w:val="none"/>
              </w:rPr>
            </w:pPr>
            <w:r>
              <w:rPr>
                <w:rFonts w:hint="eastAsia"/>
                <w:b/>
                <w:bCs/>
                <w:color w:val="auto"/>
                <w:highlight w:val="none"/>
              </w:rPr>
              <w:t>生猪</w:t>
            </w:r>
          </w:p>
        </w:tc>
        <w:tc>
          <w:tcPr>
            <w:tcW w:w="1334" w:type="pct"/>
            <w:tcBorders>
              <w:tl2br w:val="nil"/>
              <w:tr2bl w:val="nil"/>
            </w:tcBorders>
            <w:vAlign w:val="center"/>
          </w:tcPr>
          <w:p>
            <w:pPr>
              <w:pStyle w:val="28"/>
              <w:widowControl w:val="0"/>
              <w:rPr>
                <w:b/>
                <w:bCs/>
                <w:color w:val="auto"/>
                <w:highlight w:val="none"/>
              </w:rPr>
            </w:pPr>
            <w:r>
              <w:rPr>
                <w:rFonts w:hint="eastAsia"/>
                <w:b/>
                <w:bCs/>
                <w:color w:val="auto"/>
                <w:highlight w:val="none"/>
              </w:rPr>
              <w:t>肉牛</w:t>
            </w:r>
          </w:p>
        </w:tc>
        <w:tc>
          <w:tcPr>
            <w:tcW w:w="1334" w:type="pct"/>
            <w:tcBorders>
              <w:tl2br w:val="nil"/>
              <w:tr2bl w:val="nil"/>
            </w:tcBorders>
            <w:vAlign w:val="center"/>
          </w:tcPr>
          <w:p>
            <w:pPr>
              <w:pStyle w:val="28"/>
              <w:widowControl w:val="0"/>
              <w:rPr>
                <w:b/>
                <w:bCs/>
                <w:color w:val="auto"/>
                <w:highlight w:val="none"/>
              </w:rPr>
            </w:pPr>
            <w:r>
              <w:rPr>
                <w:rFonts w:hint="eastAsia"/>
                <w:b/>
                <w:bCs/>
                <w:color w:val="auto"/>
                <w:highlight w:val="none"/>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pct"/>
            <w:tcBorders>
              <w:top w:val="single" w:color="auto" w:sz="2" w:space="0"/>
              <w:tl2br w:val="nil"/>
              <w:tr2bl w:val="nil"/>
            </w:tcBorders>
            <w:vAlign w:val="center"/>
          </w:tcPr>
          <w:p>
            <w:pPr>
              <w:pStyle w:val="28"/>
              <w:widowControl w:val="0"/>
              <w:rPr>
                <w:color w:val="auto"/>
                <w:highlight w:val="none"/>
              </w:rPr>
            </w:pPr>
            <w:r>
              <w:rPr>
                <w:rFonts w:hint="eastAsia"/>
                <w:color w:val="auto"/>
                <w:highlight w:val="none"/>
              </w:rPr>
              <w:t>旺季</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212.5t/d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27.5t/d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240t/d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pct"/>
            <w:tcBorders>
              <w:tl2br w:val="nil"/>
              <w:tr2bl w:val="nil"/>
            </w:tcBorders>
            <w:vAlign w:val="center"/>
          </w:tcPr>
          <w:p>
            <w:pPr>
              <w:pStyle w:val="28"/>
              <w:widowControl w:val="0"/>
              <w:rPr>
                <w:color w:val="auto"/>
                <w:highlight w:val="none"/>
              </w:rPr>
            </w:pPr>
            <w:r>
              <w:rPr>
                <w:rFonts w:hint="eastAsia"/>
                <w:color w:val="auto"/>
                <w:highlight w:val="none"/>
              </w:rPr>
              <w:t>淡季</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148.5t/d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13.5t/d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162t/d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pPr>
              <w:pStyle w:val="28"/>
              <w:widowControl w:val="0"/>
              <w:rPr>
                <w:color w:val="auto"/>
                <w:highlight w:val="none"/>
              </w:rPr>
            </w:pPr>
            <w:r>
              <w:rPr>
                <w:rFonts w:hint="eastAsia"/>
                <w:color w:val="auto"/>
                <w:highlight w:val="none"/>
              </w:rPr>
              <w:t>日平均</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194.2t/d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19.8t/d</w:t>
            </w:r>
          </w:p>
        </w:tc>
        <w:tc>
          <w:tcPr>
            <w:tcW w:w="1334" w:type="pct"/>
            <w:tcBorders>
              <w:tl2br w:val="nil"/>
              <w:tr2bl w:val="nil"/>
            </w:tcBorders>
            <w:vAlign w:val="center"/>
          </w:tcPr>
          <w:p>
            <w:pPr>
              <w:pStyle w:val="28"/>
              <w:widowControl w:val="0"/>
              <w:rPr>
                <w:color w:val="auto"/>
                <w:highlight w:val="none"/>
              </w:rPr>
            </w:pPr>
            <w:r>
              <w:rPr>
                <w:rFonts w:hint="eastAsia"/>
                <w:color w:val="auto"/>
                <w:highlight w:val="none"/>
              </w:rPr>
              <w:t>214t/d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pPr>
              <w:pStyle w:val="28"/>
              <w:widowControl w:val="0"/>
              <w:rPr>
                <w:color w:val="auto"/>
                <w:highlight w:val="none"/>
              </w:rPr>
            </w:pPr>
            <w:r>
              <w:rPr>
                <w:rFonts w:hint="eastAsia"/>
                <w:color w:val="auto"/>
                <w:highlight w:val="none"/>
              </w:rPr>
              <w:t>全年总计</w:t>
            </w:r>
          </w:p>
        </w:tc>
        <w:tc>
          <w:tcPr>
            <w:tcW w:w="4003" w:type="pct"/>
            <w:gridSpan w:val="3"/>
            <w:tcBorders>
              <w:tl2br w:val="nil"/>
              <w:tr2bl w:val="nil"/>
            </w:tcBorders>
            <w:vAlign w:val="center"/>
          </w:tcPr>
          <w:p>
            <w:pPr>
              <w:pStyle w:val="28"/>
              <w:widowControl w:val="0"/>
              <w:rPr>
                <w:color w:val="auto"/>
                <w:highlight w:val="none"/>
              </w:rPr>
            </w:pPr>
            <w:r>
              <w:rPr>
                <w:rFonts w:hint="eastAsia"/>
                <w:color w:val="auto"/>
                <w:highlight w:val="none"/>
              </w:rPr>
              <w:t>74800t/a</w:t>
            </w:r>
          </w:p>
        </w:tc>
      </w:tr>
    </w:tbl>
    <w:p>
      <w:pPr>
        <w:widowControl w:val="0"/>
        <w:ind w:firstLine="480"/>
        <w:rPr>
          <w:rFonts w:ascii="宋体" w:hAnsi="宋体"/>
          <w:color w:val="auto"/>
          <w:szCs w:val="24"/>
          <w:highlight w:val="none"/>
        </w:rPr>
      </w:pPr>
      <w:r>
        <w:rPr>
          <w:rFonts w:hint="eastAsia"/>
          <w:color w:val="auto"/>
          <w:highlight w:val="none"/>
        </w:rPr>
        <w:t>④</w:t>
      </w:r>
      <w:r>
        <w:rPr>
          <w:rFonts w:hint="eastAsia" w:ascii="宋体" w:hAnsi="宋体"/>
          <w:color w:val="auto"/>
          <w:szCs w:val="24"/>
          <w:highlight w:val="none"/>
        </w:rPr>
        <w:t>洗涤塔排水</w:t>
      </w:r>
    </w:p>
    <w:p>
      <w:pPr>
        <w:widowControl w:val="0"/>
        <w:ind w:firstLine="480"/>
        <w:rPr>
          <w:color w:val="auto"/>
          <w:highlight w:val="none"/>
        </w:rPr>
      </w:pPr>
      <w:r>
        <w:rPr>
          <w:rFonts w:hint="eastAsia"/>
          <w:color w:val="auto"/>
          <w:highlight w:val="none"/>
        </w:rPr>
        <w:t>排水量按5%计，因此，洗涤塔排水为10</w:t>
      </w:r>
      <w:r>
        <w:rPr>
          <w:rFonts w:eastAsia="Times New Roman"/>
          <w:color w:val="auto"/>
          <w:szCs w:val="24"/>
          <w:highlight w:val="none"/>
        </w:rPr>
        <w:t>m</w:t>
      </w:r>
      <w:r>
        <w:rPr>
          <w:rFonts w:hint="eastAsia"/>
          <w:color w:val="auto"/>
          <w:szCs w:val="24"/>
          <w:highlight w:val="none"/>
          <w:vertAlign w:val="superscript"/>
        </w:rPr>
        <w:t>3</w:t>
      </w:r>
      <w:r>
        <w:rPr>
          <w:rFonts w:eastAsia="Times New Roman"/>
          <w:color w:val="auto"/>
          <w:szCs w:val="24"/>
          <w:highlight w:val="none"/>
        </w:rPr>
        <w:t>/d</w:t>
      </w:r>
      <w:r>
        <w:rPr>
          <w:rFonts w:hint="eastAsia"/>
          <w:color w:val="auto"/>
          <w:szCs w:val="24"/>
          <w:highlight w:val="none"/>
        </w:rPr>
        <w:t>。</w:t>
      </w:r>
    </w:p>
    <w:p>
      <w:pPr>
        <w:widowControl w:val="0"/>
        <w:ind w:firstLine="480"/>
        <w:rPr>
          <w:color w:val="auto"/>
          <w:highlight w:val="none"/>
        </w:rPr>
      </w:pPr>
      <w:r>
        <w:rPr>
          <w:rFonts w:hint="eastAsia"/>
          <w:color w:val="auto"/>
          <w:highlight w:val="none"/>
        </w:rPr>
        <w:t>⑤生活污水</w:t>
      </w:r>
    </w:p>
    <w:p>
      <w:pPr>
        <w:widowControl w:val="0"/>
        <w:ind w:firstLine="480"/>
        <w:rPr>
          <w:color w:val="auto"/>
          <w:highlight w:val="none"/>
        </w:rPr>
      </w:pPr>
      <w:r>
        <w:rPr>
          <w:rFonts w:hint="eastAsia"/>
          <w:color w:val="auto"/>
          <w:highlight w:val="none"/>
        </w:rPr>
        <w:t>员工日常生活废水按用水量0.85计，则生活废水产生量约为2.15m</w:t>
      </w:r>
      <w:r>
        <w:rPr>
          <w:rFonts w:hint="eastAsia"/>
          <w:color w:val="auto"/>
          <w:highlight w:val="none"/>
          <w:vertAlign w:val="superscript"/>
        </w:rPr>
        <w:t>3</w:t>
      </w:r>
      <w:r>
        <w:rPr>
          <w:rFonts w:hint="eastAsia"/>
          <w:color w:val="auto"/>
          <w:highlight w:val="none"/>
        </w:rPr>
        <w:t>/d。</w:t>
      </w:r>
    </w:p>
    <w:p>
      <w:pPr>
        <w:widowControl w:val="0"/>
        <w:ind w:firstLine="480"/>
        <w:rPr>
          <w:color w:val="auto"/>
          <w:highlight w:val="none"/>
        </w:rPr>
      </w:pPr>
      <w:r>
        <w:rPr>
          <w:rFonts w:hint="eastAsia"/>
          <w:color w:val="auto"/>
          <w:highlight w:val="none"/>
        </w:rPr>
        <w:t>⑥食堂废水</w:t>
      </w:r>
    </w:p>
    <w:p>
      <w:pPr>
        <w:widowControl w:val="0"/>
        <w:ind w:firstLine="480"/>
        <w:rPr>
          <w:color w:val="auto"/>
          <w:highlight w:val="none"/>
        </w:rPr>
      </w:pPr>
      <w:r>
        <w:rPr>
          <w:rFonts w:hint="eastAsia"/>
          <w:color w:val="auto"/>
          <w:highlight w:val="none"/>
        </w:rPr>
        <w:t>食堂废水按用水量的0.85计，则食堂废水产生量约为0.85m</w:t>
      </w:r>
      <w:r>
        <w:rPr>
          <w:rFonts w:hint="eastAsia"/>
          <w:color w:val="auto"/>
          <w:highlight w:val="none"/>
          <w:vertAlign w:val="superscript"/>
        </w:rPr>
        <w:t>3</w:t>
      </w:r>
      <w:r>
        <w:rPr>
          <w:rFonts w:hint="eastAsia"/>
          <w:color w:val="auto"/>
          <w:highlight w:val="none"/>
        </w:rPr>
        <w:t>/d。</w:t>
      </w:r>
    </w:p>
    <w:p>
      <w:pPr>
        <w:widowControl w:val="0"/>
        <w:ind w:firstLine="480"/>
        <w:rPr>
          <w:color w:val="auto"/>
          <w:highlight w:val="none"/>
        </w:rPr>
      </w:pPr>
      <w:r>
        <w:rPr>
          <w:rFonts w:hint="eastAsia"/>
          <w:color w:val="auto"/>
          <w:highlight w:val="none"/>
        </w:rPr>
        <w:t>本项目给排水情况详见下表，水平衡图详见图。</w:t>
      </w:r>
    </w:p>
    <w:p>
      <w:pPr>
        <w:pStyle w:val="27"/>
        <w:widowControl w:val="0"/>
        <w:rPr>
          <w:color w:val="auto"/>
          <w:highlight w:val="none"/>
        </w:rPr>
      </w:pPr>
      <w:r>
        <w:rPr>
          <w:rFonts w:hint="eastAsia"/>
          <w:color w:val="auto"/>
          <w:highlight w:val="none"/>
        </w:rPr>
        <w:t>本项目给排水情况一览表   单位：t/d</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10"/>
        <w:gridCol w:w="1561"/>
        <w:gridCol w:w="738"/>
        <w:gridCol w:w="702"/>
        <w:gridCol w:w="737"/>
        <w:gridCol w:w="763"/>
        <w:gridCol w:w="1115"/>
        <w:gridCol w:w="883"/>
        <w:gridCol w:w="1094"/>
        <w:gridCol w:w="150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1" w:hRule="atLeast"/>
        </w:trPr>
        <w:tc>
          <w:tcPr>
            <w:tcW w:w="1077"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项目</w:t>
            </w:r>
          </w:p>
        </w:tc>
        <w:tc>
          <w:tcPr>
            <w:tcW w:w="384" w:type="pct"/>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74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397" w:type="pct"/>
            <w:tcBorders>
              <w:tl2br w:val="nil"/>
              <w:tr2bl w:val="nil"/>
            </w:tcBorders>
            <w:vAlign w:val="center"/>
          </w:tcPr>
          <w:p>
            <w:pPr>
              <w:pStyle w:val="28"/>
              <w:widowControl w:val="0"/>
              <w:rPr>
                <w:b/>
                <w:bCs/>
                <w:color w:val="auto"/>
                <w:highlight w:val="none"/>
              </w:rPr>
            </w:pPr>
            <w:r>
              <w:rPr>
                <w:rFonts w:hint="eastAsia"/>
                <w:b/>
                <w:bCs/>
                <w:color w:val="auto"/>
                <w:highlight w:val="none"/>
              </w:rPr>
              <w:t>用水定额</w:t>
            </w:r>
          </w:p>
        </w:tc>
        <w:tc>
          <w:tcPr>
            <w:tcW w:w="580" w:type="pct"/>
            <w:tcBorders>
              <w:tl2br w:val="nil"/>
              <w:tr2bl w:val="nil"/>
            </w:tcBorders>
            <w:vAlign w:val="center"/>
          </w:tcPr>
          <w:p>
            <w:pPr>
              <w:pStyle w:val="28"/>
              <w:widowControl w:val="0"/>
              <w:rPr>
                <w:color w:val="auto"/>
                <w:highlight w:val="none"/>
              </w:rPr>
            </w:pPr>
            <w:r>
              <w:rPr>
                <w:rFonts w:hint="eastAsia"/>
                <w:b/>
                <w:bCs/>
                <w:color w:val="auto"/>
                <w:highlight w:val="none"/>
              </w:rPr>
              <w:t>日用水量</w:t>
            </w:r>
          </w:p>
        </w:tc>
        <w:tc>
          <w:tcPr>
            <w:tcW w:w="459" w:type="pct"/>
            <w:tcBorders>
              <w:tl2br w:val="nil"/>
              <w:tr2bl w:val="nil"/>
            </w:tcBorders>
            <w:vAlign w:val="center"/>
          </w:tcPr>
          <w:p>
            <w:pPr>
              <w:pStyle w:val="28"/>
              <w:widowControl w:val="0"/>
              <w:rPr>
                <w:b/>
                <w:bCs/>
                <w:color w:val="auto"/>
                <w:highlight w:val="none"/>
              </w:rPr>
            </w:pPr>
            <w:r>
              <w:rPr>
                <w:rFonts w:hint="eastAsia"/>
                <w:b/>
                <w:bCs/>
                <w:color w:val="auto"/>
                <w:highlight w:val="none"/>
              </w:rPr>
              <w:t>废水排放系数</w:t>
            </w:r>
          </w:p>
        </w:tc>
        <w:tc>
          <w:tcPr>
            <w:tcW w:w="569" w:type="pct"/>
            <w:tcBorders>
              <w:tl2br w:val="nil"/>
              <w:tr2bl w:val="nil"/>
            </w:tcBorders>
            <w:vAlign w:val="center"/>
          </w:tcPr>
          <w:p>
            <w:pPr>
              <w:pStyle w:val="28"/>
              <w:widowControl w:val="0"/>
              <w:rPr>
                <w:b/>
                <w:bCs/>
                <w:color w:val="auto"/>
                <w:highlight w:val="none"/>
              </w:rPr>
            </w:pPr>
            <w:r>
              <w:rPr>
                <w:rFonts w:hint="eastAsia"/>
                <w:b/>
                <w:bCs/>
                <w:color w:val="auto"/>
                <w:highlight w:val="none"/>
              </w:rPr>
              <w:t>日排水量</w:t>
            </w:r>
          </w:p>
        </w:tc>
        <w:tc>
          <w:tcPr>
            <w:tcW w:w="783" w:type="pct"/>
            <w:tcBorders>
              <w:tl2br w:val="nil"/>
              <w:tr2bl w:val="nil"/>
            </w:tcBorders>
            <w:vAlign w:val="center"/>
          </w:tcPr>
          <w:p>
            <w:pPr>
              <w:pStyle w:val="28"/>
              <w:widowControl w:val="0"/>
              <w:rPr>
                <w:b/>
                <w:bCs/>
                <w:color w:val="auto"/>
                <w:highlight w:val="none"/>
              </w:rPr>
            </w:pPr>
            <w:r>
              <w:rPr>
                <w:rFonts w:hint="eastAsia"/>
                <w:b/>
                <w:bCs/>
                <w:color w:val="auto"/>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5" w:type="pct"/>
            <w:vMerge w:val="restart"/>
            <w:tcBorders>
              <w:tl2br w:val="nil"/>
              <w:tr2bl w:val="nil"/>
            </w:tcBorders>
            <w:vAlign w:val="center"/>
          </w:tcPr>
          <w:p>
            <w:pPr>
              <w:pStyle w:val="28"/>
              <w:widowControl w:val="0"/>
              <w:rPr>
                <w:color w:val="auto"/>
                <w:highlight w:val="none"/>
              </w:rPr>
            </w:pPr>
            <w:r>
              <w:rPr>
                <w:rFonts w:hint="eastAsia"/>
                <w:color w:val="auto"/>
                <w:highlight w:val="none"/>
              </w:rPr>
              <w:t>生产用水</w:t>
            </w:r>
          </w:p>
        </w:tc>
        <w:tc>
          <w:tcPr>
            <w:tcW w:w="812"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生猪屠宰</w:t>
            </w:r>
          </w:p>
        </w:tc>
        <w:tc>
          <w:tcPr>
            <w:tcW w:w="384" w:type="pct"/>
            <w:vMerge w:val="restart"/>
            <w:tcBorders>
              <w:tl2br w:val="nil"/>
              <w:tr2bl w:val="nil"/>
            </w:tcBorders>
            <w:vAlign w:val="center"/>
          </w:tcPr>
          <w:p>
            <w:pPr>
              <w:pStyle w:val="28"/>
              <w:widowControl w:val="0"/>
              <w:rPr>
                <w:color w:val="auto"/>
                <w:highlight w:val="none"/>
              </w:rPr>
            </w:pPr>
            <w:r>
              <w:rPr>
                <w:rFonts w:hint="eastAsia"/>
                <w:color w:val="auto"/>
                <w:highlight w:val="none"/>
              </w:rPr>
              <w:t>头</w:t>
            </w: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旺季</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397" w:type="pct"/>
            <w:vMerge w:val="restart"/>
            <w:tcBorders>
              <w:tl2br w:val="nil"/>
              <w:tr2bl w:val="nil"/>
            </w:tcBorders>
            <w:vAlign w:val="center"/>
          </w:tcPr>
          <w:p>
            <w:pPr>
              <w:pStyle w:val="28"/>
              <w:widowControl w:val="0"/>
              <w:rPr>
                <w:color w:val="auto"/>
                <w:highlight w:val="none"/>
              </w:rPr>
            </w:pPr>
            <w:r>
              <w:rPr>
                <w:rFonts w:hint="eastAsia"/>
                <w:color w:val="auto"/>
                <w:highlight w:val="none"/>
              </w:rPr>
              <w:t>0.5</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250</w:t>
            </w:r>
          </w:p>
        </w:tc>
        <w:tc>
          <w:tcPr>
            <w:tcW w:w="459" w:type="pct"/>
            <w:vMerge w:val="restart"/>
            <w:tcBorders>
              <w:tl2br w:val="nil"/>
              <w:tr2bl w:val="nil"/>
            </w:tcBorders>
            <w:vAlign w:val="center"/>
          </w:tcPr>
          <w:p>
            <w:pPr>
              <w:pStyle w:val="28"/>
              <w:widowControl w:val="0"/>
              <w:rPr>
                <w:color w:val="auto"/>
                <w:highlight w:val="none"/>
              </w:rPr>
            </w:pPr>
            <w:r>
              <w:rPr>
                <w:rFonts w:hint="eastAsia"/>
                <w:color w:val="auto"/>
                <w:highlight w:val="none"/>
              </w:rPr>
              <w:t>0.85</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212.5</w:t>
            </w:r>
          </w:p>
        </w:tc>
        <w:tc>
          <w:tcPr>
            <w:tcW w:w="783" w:type="pct"/>
            <w:vMerge w:val="restart"/>
            <w:tcBorders>
              <w:tl2br w:val="nil"/>
              <w:tr2bl w:val="nil"/>
            </w:tcBorders>
            <w:vAlign w:val="center"/>
          </w:tcPr>
          <w:p>
            <w:pPr>
              <w:pStyle w:val="28"/>
              <w:widowControl w:val="0"/>
              <w:rPr>
                <w:color w:val="auto"/>
                <w:highlight w:val="none"/>
              </w:rPr>
            </w:pPr>
            <w:r>
              <w:rPr>
                <w:rFonts w:hint="eastAsia"/>
                <w:color w:val="auto"/>
                <w:highlight w:val="none"/>
              </w:rPr>
              <w:t>自建污水处理站→响滩镇污水处理厂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5" w:type="pct"/>
            <w:vMerge w:val="continue"/>
            <w:tcBorders>
              <w:tl2br w:val="nil"/>
              <w:tr2bl w:val="nil"/>
            </w:tcBorders>
            <w:vAlign w:val="center"/>
          </w:tcPr>
          <w:p>
            <w:pPr>
              <w:pStyle w:val="28"/>
              <w:widowControl w:val="0"/>
              <w:rPr>
                <w:color w:val="auto"/>
                <w:highlight w:val="none"/>
              </w:rPr>
            </w:pPr>
          </w:p>
        </w:tc>
        <w:tc>
          <w:tcPr>
            <w:tcW w:w="812" w:type="pct"/>
            <w:vMerge w:val="continue"/>
            <w:tcBorders>
              <w:tl2br w:val="nil"/>
              <w:tr2bl w:val="nil"/>
            </w:tcBorders>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淡季</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350</w:t>
            </w:r>
          </w:p>
        </w:tc>
        <w:tc>
          <w:tcPr>
            <w:tcW w:w="397" w:type="pct"/>
            <w:vMerge w:val="continue"/>
            <w:tcBorders>
              <w:tl2br w:val="nil"/>
              <w:tr2bl w:val="nil"/>
            </w:tcBorders>
            <w:vAlign w:val="center"/>
          </w:tcPr>
          <w:p>
            <w:pPr>
              <w:pStyle w:val="28"/>
              <w:widowControl w:val="0"/>
              <w:rPr>
                <w:color w:val="auto"/>
                <w:highlight w:val="none"/>
              </w:rPr>
            </w:pP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175</w:t>
            </w:r>
          </w:p>
        </w:tc>
        <w:tc>
          <w:tcPr>
            <w:tcW w:w="459" w:type="pct"/>
            <w:vMerge w:val="continue"/>
            <w:tcBorders>
              <w:tl2br w:val="nil"/>
              <w:tr2bl w:val="nil"/>
            </w:tcBorders>
            <w:vAlign w:val="center"/>
          </w:tcPr>
          <w:p>
            <w:pPr>
              <w:pStyle w:val="28"/>
              <w:widowControl w:val="0"/>
              <w:rPr>
                <w:color w:val="auto"/>
                <w:highlight w:val="none"/>
              </w:rPr>
            </w:pP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148.5</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5" w:type="pct"/>
            <w:vMerge w:val="continue"/>
            <w:tcBorders>
              <w:tl2br w:val="nil"/>
              <w:tr2bl w:val="nil"/>
            </w:tcBorders>
            <w:vAlign w:val="center"/>
          </w:tcPr>
          <w:p>
            <w:pPr>
              <w:pStyle w:val="28"/>
              <w:widowControl w:val="0"/>
              <w:rPr>
                <w:color w:val="auto"/>
                <w:highlight w:val="none"/>
              </w:rPr>
            </w:pPr>
          </w:p>
        </w:tc>
        <w:tc>
          <w:tcPr>
            <w:tcW w:w="812" w:type="pct"/>
            <w:vMerge w:val="continue"/>
            <w:tcBorders>
              <w:tl2br w:val="nil"/>
              <w:tr2bl w:val="nil"/>
            </w:tcBorders>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日均</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457</w:t>
            </w:r>
          </w:p>
        </w:tc>
        <w:tc>
          <w:tcPr>
            <w:tcW w:w="397" w:type="pct"/>
            <w:vMerge w:val="continue"/>
            <w:tcBorders>
              <w:tl2br w:val="nil"/>
              <w:tr2bl w:val="nil"/>
            </w:tcBorders>
            <w:vAlign w:val="center"/>
          </w:tcPr>
          <w:p>
            <w:pPr>
              <w:pStyle w:val="28"/>
              <w:widowControl w:val="0"/>
              <w:rPr>
                <w:color w:val="auto"/>
                <w:highlight w:val="none"/>
              </w:rPr>
            </w:pP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228.5</w:t>
            </w:r>
          </w:p>
        </w:tc>
        <w:tc>
          <w:tcPr>
            <w:tcW w:w="459" w:type="pct"/>
            <w:vMerge w:val="continue"/>
            <w:tcBorders>
              <w:tl2br w:val="nil"/>
              <w:tr2bl w:val="nil"/>
            </w:tcBorders>
            <w:vAlign w:val="center"/>
          </w:tcPr>
          <w:p>
            <w:pPr>
              <w:pStyle w:val="28"/>
              <w:widowControl w:val="0"/>
              <w:rPr>
                <w:color w:val="auto"/>
                <w:highlight w:val="none"/>
              </w:rPr>
            </w:pP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194.2</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65" w:type="pct"/>
            <w:vMerge w:val="continue"/>
            <w:tcBorders>
              <w:tl2br w:val="nil"/>
              <w:tr2bl w:val="nil"/>
            </w:tcBorders>
            <w:vAlign w:val="center"/>
          </w:tcPr>
          <w:p>
            <w:pPr>
              <w:pStyle w:val="28"/>
              <w:widowControl w:val="0"/>
              <w:rPr>
                <w:color w:val="auto"/>
                <w:highlight w:val="none"/>
              </w:rPr>
            </w:pPr>
          </w:p>
        </w:tc>
        <w:tc>
          <w:tcPr>
            <w:tcW w:w="812"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肉牛屠宰</w:t>
            </w:r>
          </w:p>
        </w:tc>
        <w:tc>
          <w:tcPr>
            <w:tcW w:w="384" w:type="pct"/>
            <w:vMerge w:val="restart"/>
            <w:tcBorders>
              <w:tl2br w:val="nil"/>
              <w:tr2bl w:val="nil"/>
            </w:tcBorders>
            <w:vAlign w:val="center"/>
          </w:tcPr>
          <w:p>
            <w:pPr>
              <w:pStyle w:val="28"/>
              <w:widowControl w:val="0"/>
              <w:rPr>
                <w:color w:val="auto"/>
                <w:highlight w:val="none"/>
              </w:rPr>
            </w:pPr>
            <w:r>
              <w:rPr>
                <w:rFonts w:hint="eastAsia"/>
                <w:color w:val="auto"/>
                <w:highlight w:val="none"/>
              </w:rPr>
              <w:t>头</w:t>
            </w: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旺季</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40</w:t>
            </w:r>
          </w:p>
        </w:tc>
        <w:tc>
          <w:tcPr>
            <w:tcW w:w="397" w:type="pct"/>
            <w:vMerge w:val="restart"/>
            <w:tcBorders>
              <w:tl2br w:val="nil"/>
              <w:tr2bl w:val="nil"/>
            </w:tcBorders>
            <w:vAlign w:val="center"/>
          </w:tcPr>
          <w:p>
            <w:pPr>
              <w:pStyle w:val="28"/>
              <w:widowControl w:val="0"/>
              <w:rPr>
                <w:color w:val="auto"/>
                <w:highlight w:val="none"/>
              </w:rPr>
            </w:pPr>
            <w:r>
              <w:rPr>
                <w:rFonts w:hint="eastAsia"/>
                <w:color w:val="auto"/>
                <w:highlight w:val="none"/>
              </w:rPr>
              <w:t>0.8</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32</w:t>
            </w:r>
          </w:p>
        </w:tc>
        <w:tc>
          <w:tcPr>
            <w:tcW w:w="459" w:type="pct"/>
            <w:vMerge w:val="restart"/>
            <w:tcBorders>
              <w:tl2br w:val="nil"/>
              <w:tr2bl w:val="nil"/>
            </w:tcBorders>
            <w:vAlign w:val="center"/>
          </w:tcPr>
          <w:p>
            <w:pPr>
              <w:pStyle w:val="28"/>
              <w:widowControl w:val="0"/>
              <w:rPr>
                <w:color w:val="auto"/>
                <w:highlight w:val="none"/>
              </w:rPr>
            </w:pPr>
            <w:r>
              <w:rPr>
                <w:rFonts w:hint="eastAsia"/>
                <w:color w:val="auto"/>
                <w:highlight w:val="none"/>
              </w:rPr>
              <w:t>0.85</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27.5</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5" w:type="pct"/>
            <w:vMerge w:val="continue"/>
            <w:tcBorders>
              <w:tl2br w:val="nil"/>
              <w:tr2bl w:val="nil"/>
            </w:tcBorders>
            <w:vAlign w:val="center"/>
          </w:tcPr>
          <w:p>
            <w:pPr>
              <w:pStyle w:val="28"/>
              <w:widowControl w:val="0"/>
              <w:rPr>
                <w:color w:val="auto"/>
                <w:highlight w:val="none"/>
              </w:rPr>
            </w:pPr>
          </w:p>
        </w:tc>
        <w:tc>
          <w:tcPr>
            <w:tcW w:w="812" w:type="pct"/>
            <w:vMerge w:val="continue"/>
            <w:tcBorders>
              <w:tl2br w:val="nil"/>
              <w:tr2bl w:val="nil"/>
            </w:tcBorders>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淡季</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97" w:type="pct"/>
            <w:vMerge w:val="continue"/>
            <w:tcBorders>
              <w:tl2br w:val="nil"/>
              <w:tr2bl w:val="nil"/>
            </w:tcBorders>
            <w:vAlign w:val="center"/>
          </w:tcPr>
          <w:p>
            <w:pPr>
              <w:pStyle w:val="28"/>
              <w:widowControl w:val="0"/>
              <w:rPr>
                <w:color w:val="auto"/>
                <w:highlight w:val="none"/>
              </w:rPr>
            </w:pP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16</w:t>
            </w:r>
          </w:p>
        </w:tc>
        <w:tc>
          <w:tcPr>
            <w:tcW w:w="459" w:type="pct"/>
            <w:vMerge w:val="continue"/>
            <w:tcBorders>
              <w:tl2br w:val="nil"/>
              <w:tr2bl w:val="nil"/>
            </w:tcBorders>
            <w:vAlign w:val="center"/>
          </w:tcPr>
          <w:p>
            <w:pPr>
              <w:pStyle w:val="28"/>
              <w:widowControl w:val="0"/>
              <w:rPr>
                <w:color w:val="auto"/>
                <w:highlight w:val="none"/>
              </w:rPr>
            </w:pP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13.5</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65" w:type="pct"/>
            <w:vMerge w:val="continue"/>
            <w:tcBorders>
              <w:tl2br w:val="nil"/>
              <w:tr2bl w:val="nil"/>
            </w:tcBorders>
            <w:vAlign w:val="center"/>
          </w:tcPr>
          <w:p>
            <w:pPr>
              <w:pStyle w:val="28"/>
              <w:widowControl w:val="0"/>
              <w:rPr>
                <w:color w:val="auto"/>
                <w:highlight w:val="none"/>
              </w:rPr>
            </w:pPr>
          </w:p>
        </w:tc>
        <w:tc>
          <w:tcPr>
            <w:tcW w:w="812" w:type="pct"/>
            <w:vMerge w:val="continue"/>
            <w:tcBorders>
              <w:tl2br w:val="nil"/>
              <w:tr2bl w:val="nil"/>
            </w:tcBorders>
            <w:vAlign w:val="center"/>
          </w:tcPr>
          <w:p>
            <w:pPr>
              <w:pStyle w:val="28"/>
              <w:widowControl w:val="0"/>
              <w:rPr>
                <w:color w:val="auto"/>
                <w:highlight w:val="none"/>
              </w:rPr>
            </w:pPr>
          </w:p>
        </w:tc>
        <w:tc>
          <w:tcPr>
            <w:tcW w:w="384" w:type="pct"/>
            <w:vMerge w:val="continue"/>
            <w:tcBorders>
              <w:tl2br w:val="nil"/>
              <w:tr2bl w:val="nil"/>
            </w:tcBorders>
            <w:vAlign w:val="center"/>
          </w:tcPr>
          <w:p>
            <w:pPr>
              <w:pStyle w:val="28"/>
              <w:widowControl w:val="0"/>
              <w:rPr>
                <w:color w:val="auto"/>
                <w:highlight w:val="none"/>
              </w:rPr>
            </w:pPr>
          </w:p>
        </w:tc>
        <w:tc>
          <w:tcPr>
            <w:tcW w:w="365" w:type="pct"/>
            <w:tcBorders>
              <w:tl2br w:val="nil"/>
              <w:tr2bl w:val="nil"/>
            </w:tcBorders>
            <w:vAlign w:val="center"/>
          </w:tcPr>
          <w:p>
            <w:pPr>
              <w:pStyle w:val="28"/>
              <w:widowControl w:val="0"/>
              <w:rPr>
                <w:color w:val="auto"/>
                <w:highlight w:val="none"/>
              </w:rPr>
            </w:pPr>
            <w:r>
              <w:rPr>
                <w:rFonts w:hint="eastAsia"/>
                <w:color w:val="auto"/>
                <w:highlight w:val="none"/>
              </w:rPr>
              <w:t>日均</w:t>
            </w:r>
          </w:p>
        </w:tc>
        <w:tc>
          <w:tcPr>
            <w:tcW w:w="383" w:type="pct"/>
            <w:tcBorders>
              <w:tl2br w:val="nil"/>
              <w:tr2bl w:val="nil"/>
            </w:tcBorders>
            <w:vAlign w:val="center"/>
          </w:tcPr>
          <w:p>
            <w:pPr>
              <w:pStyle w:val="28"/>
              <w:widowControl w:val="0"/>
              <w:rPr>
                <w:color w:val="auto"/>
                <w:highlight w:val="none"/>
              </w:rPr>
            </w:pPr>
            <w:r>
              <w:rPr>
                <w:rFonts w:hint="eastAsia"/>
                <w:color w:val="auto"/>
                <w:highlight w:val="none"/>
              </w:rPr>
              <w:t>29</w:t>
            </w:r>
          </w:p>
        </w:tc>
        <w:tc>
          <w:tcPr>
            <w:tcW w:w="397" w:type="pct"/>
            <w:vMerge w:val="continue"/>
            <w:tcBorders>
              <w:tl2br w:val="nil"/>
              <w:tr2bl w:val="nil"/>
            </w:tcBorders>
            <w:vAlign w:val="center"/>
          </w:tcPr>
          <w:p>
            <w:pPr>
              <w:pStyle w:val="28"/>
              <w:widowControl w:val="0"/>
              <w:rPr>
                <w:color w:val="auto"/>
                <w:highlight w:val="none"/>
              </w:rPr>
            </w:pP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23.2</w:t>
            </w:r>
          </w:p>
        </w:tc>
        <w:tc>
          <w:tcPr>
            <w:tcW w:w="459" w:type="pct"/>
            <w:vMerge w:val="continue"/>
            <w:tcBorders>
              <w:tl2br w:val="nil"/>
              <w:tr2bl w:val="nil"/>
            </w:tcBorders>
            <w:vAlign w:val="center"/>
          </w:tcPr>
          <w:p>
            <w:pPr>
              <w:pStyle w:val="28"/>
              <w:widowControl w:val="0"/>
              <w:rPr>
                <w:color w:val="auto"/>
                <w:highlight w:val="none"/>
              </w:rPr>
            </w:pP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19.8</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65" w:type="pct"/>
            <w:vMerge w:val="continue"/>
            <w:tcBorders>
              <w:tl2br w:val="nil"/>
              <w:tr2bl w:val="nil"/>
            </w:tcBorders>
            <w:vAlign w:val="center"/>
          </w:tcPr>
          <w:p>
            <w:pPr>
              <w:pStyle w:val="28"/>
              <w:widowControl w:val="0"/>
              <w:rPr>
                <w:color w:val="auto"/>
                <w:highlight w:val="none"/>
              </w:rPr>
            </w:pPr>
          </w:p>
        </w:tc>
        <w:tc>
          <w:tcPr>
            <w:tcW w:w="812" w:type="pct"/>
            <w:tcBorders>
              <w:tl2br w:val="nil"/>
              <w:tr2bl w:val="nil"/>
            </w:tcBorders>
            <w:vAlign w:val="center"/>
          </w:tcPr>
          <w:p>
            <w:pPr>
              <w:pStyle w:val="28"/>
              <w:widowControl w:val="0"/>
              <w:rPr>
                <w:color w:val="auto"/>
                <w:highlight w:val="none"/>
              </w:rPr>
            </w:pPr>
            <w:r>
              <w:rPr>
                <w:rFonts w:hint="eastAsia"/>
                <w:color w:val="auto"/>
                <w:highlight w:val="none"/>
              </w:rPr>
              <w:t>进出车辆冲洗</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748" w:type="pct"/>
            <w:gridSpan w:val="2"/>
            <w:tcBorders>
              <w:tl2br w:val="nil"/>
              <w:tr2bl w:val="nil"/>
            </w:tcBorders>
            <w:vAlign w:val="center"/>
          </w:tcPr>
          <w:p>
            <w:pPr>
              <w:pStyle w:val="28"/>
              <w:widowControl w:val="0"/>
              <w:rPr>
                <w:color w:val="auto"/>
                <w:highlight w:val="none"/>
              </w:rPr>
            </w:pPr>
            <w:r>
              <w:rPr>
                <w:rFonts w:hint="eastAsia"/>
                <w:color w:val="auto"/>
                <w:highlight w:val="none"/>
              </w:rPr>
              <w:t>/</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0.9</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1.8</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65" w:type="pct"/>
            <w:vMerge w:val="continue"/>
            <w:tcBorders>
              <w:tl2br w:val="nil"/>
              <w:tr2bl w:val="nil"/>
            </w:tcBorders>
            <w:vAlign w:val="center"/>
          </w:tcPr>
          <w:p>
            <w:pPr>
              <w:pStyle w:val="28"/>
              <w:widowControl w:val="0"/>
              <w:rPr>
                <w:color w:val="auto"/>
                <w:highlight w:val="none"/>
              </w:rPr>
            </w:pPr>
          </w:p>
        </w:tc>
        <w:tc>
          <w:tcPr>
            <w:tcW w:w="812" w:type="pct"/>
            <w:tcBorders>
              <w:tl2br w:val="nil"/>
              <w:tr2bl w:val="nil"/>
            </w:tcBorders>
            <w:vAlign w:val="center"/>
          </w:tcPr>
          <w:p>
            <w:pPr>
              <w:pStyle w:val="28"/>
              <w:widowControl w:val="0"/>
              <w:rPr>
                <w:color w:val="auto"/>
                <w:highlight w:val="none"/>
              </w:rPr>
            </w:pPr>
            <w:r>
              <w:rPr>
                <w:rFonts w:hint="eastAsia"/>
                <w:color w:val="auto"/>
                <w:highlight w:val="none"/>
              </w:rPr>
              <w:t>洗涤塔用水</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748" w:type="pct"/>
            <w:gridSpan w:val="2"/>
            <w:tcBorders>
              <w:tl2br w:val="nil"/>
              <w:tr2bl w:val="nil"/>
            </w:tcBorders>
            <w:vAlign w:val="center"/>
          </w:tcPr>
          <w:p>
            <w:pPr>
              <w:pStyle w:val="28"/>
              <w:widowControl w:val="0"/>
              <w:rPr>
                <w:color w:val="auto"/>
                <w:highlight w:val="none"/>
              </w:rPr>
            </w:pPr>
            <w:r>
              <w:rPr>
                <w:rFonts w:hint="eastAsia"/>
                <w:color w:val="auto"/>
                <w:highlight w:val="none"/>
              </w:rPr>
              <w:t>/</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77" w:type="pct"/>
            <w:gridSpan w:val="2"/>
            <w:tcBorders>
              <w:tl2br w:val="nil"/>
              <w:tr2bl w:val="nil"/>
            </w:tcBorders>
            <w:vAlign w:val="center"/>
          </w:tcPr>
          <w:p>
            <w:pPr>
              <w:pStyle w:val="28"/>
              <w:widowControl w:val="0"/>
              <w:rPr>
                <w:color w:val="auto"/>
                <w:highlight w:val="none"/>
              </w:rPr>
            </w:pPr>
            <w:r>
              <w:rPr>
                <w:rFonts w:hint="eastAsia"/>
                <w:color w:val="auto"/>
                <w:highlight w:val="none"/>
              </w:rPr>
              <w:t>员工</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人</w:t>
            </w:r>
          </w:p>
        </w:tc>
        <w:tc>
          <w:tcPr>
            <w:tcW w:w="748" w:type="pct"/>
            <w:gridSpan w:val="2"/>
            <w:tcBorders>
              <w:tl2br w:val="nil"/>
              <w:tr2bl w:val="nil"/>
            </w:tcBorders>
            <w:vAlign w:val="center"/>
          </w:tcPr>
          <w:p>
            <w:pPr>
              <w:pStyle w:val="28"/>
              <w:widowControl w:val="0"/>
              <w:rPr>
                <w:color w:val="auto"/>
                <w:highlight w:val="none"/>
              </w:rPr>
            </w:pPr>
            <w:r>
              <w:rPr>
                <w:rFonts w:hint="eastAsia"/>
                <w:color w:val="auto"/>
                <w:highlight w:val="none"/>
              </w:rPr>
              <w:t>50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0.05</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2.5</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0.85</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2.15</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77" w:type="pct"/>
            <w:gridSpan w:val="2"/>
            <w:tcBorders>
              <w:tl2br w:val="nil"/>
              <w:tr2bl w:val="nil"/>
            </w:tcBorders>
            <w:vAlign w:val="center"/>
          </w:tcPr>
          <w:p>
            <w:pPr>
              <w:pStyle w:val="28"/>
              <w:widowControl w:val="0"/>
              <w:rPr>
                <w:color w:val="auto"/>
                <w:highlight w:val="none"/>
              </w:rPr>
            </w:pPr>
            <w:r>
              <w:rPr>
                <w:rFonts w:hint="eastAsia"/>
                <w:color w:val="auto"/>
                <w:highlight w:val="none"/>
              </w:rPr>
              <w:t>食堂用水</w:t>
            </w:r>
          </w:p>
        </w:tc>
        <w:tc>
          <w:tcPr>
            <w:tcW w:w="384" w:type="pct"/>
            <w:tcBorders>
              <w:tl2br w:val="nil"/>
              <w:tr2bl w:val="nil"/>
            </w:tcBorders>
            <w:vAlign w:val="center"/>
          </w:tcPr>
          <w:p>
            <w:pPr>
              <w:pStyle w:val="28"/>
              <w:widowControl w:val="0"/>
              <w:rPr>
                <w:color w:val="auto"/>
                <w:highlight w:val="none"/>
              </w:rPr>
            </w:pPr>
            <w:r>
              <w:rPr>
                <w:rFonts w:hint="eastAsia"/>
                <w:color w:val="auto"/>
                <w:highlight w:val="none"/>
              </w:rPr>
              <w:t>人</w:t>
            </w:r>
          </w:p>
        </w:tc>
        <w:tc>
          <w:tcPr>
            <w:tcW w:w="748" w:type="pct"/>
            <w:gridSpan w:val="2"/>
            <w:tcBorders>
              <w:tl2br w:val="nil"/>
              <w:tr2bl w:val="nil"/>
            </w:tcBorders>
            <w:vAlign w:val="center"/>
          </w:tcPr>
          <w:p>
            <w:pPr>
              <w:pStyle w:val="28"/>
              <w:widowControl w:val="0"/>
              <w:rPr>
                <w:color w:val="auto"/>
                <w:highlight w:val="none"/>
              </w:rPr>
            </w:pPr>
            <w:r>
              <w:rPr>
                <w:rFonts w:hint="eastAsia"/>
                <w:color w:val="auto"/>
                <w:highlight w:val="none"/>
              </w:rPr>
              <w:t>50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0.02</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0.85</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0.85</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1077" w:type="pct"/>
            <w:gridSpan w:val="2"/>
            <w:tcBorders>
              <w:tl2br w:val="nil"/>
              <w:tr2bl w:val="nil"/>
            </w:tcBorders>
            <w:vAlign w:val="center"/>
          </w:tcPr>
          <w:p>
            <w:pPr>
              <w:pStyle w:val="28"/>
              <w:widowControl w:val="0"/>
              <w:rPr>
                <w:color w:val="auto"/>
                <w:highlight w:val="none"/>
              </w:rPr>
            </w:pPr>
            <w:r>
              <w:rPr>
                <w:rFonts w:hint="eastAsia"/>
                <w:color w:val="auto"/>
                <w:highlight w:val="none"/>
              </w:rPr>
              <w:t>绿化用水</w:t>
            </w:r>
          </w:p>
        </w:tc>
        <w:tc>
          <w:tcPr>
            <w:tcW w:w="384" w:type="pct"/>
            <w:tcBorders>
              <w:tl2br w:val="nil"/>
              <w:tr2bl w:val="nil"/>
            </w:tcBorders>
            <w:vAlign w:val="center"/>
          </w:tcPr>
          <w:p>
            <w:pPr>
              <w:pStyle w:val="28"/>
              <w:widowControl w:val="0"/>
              <w:rPr>
                <w:color w:val="auto"/>
                <w:highlight w:val="none"/>
                <w:vertAlign w:val="superscript"/>
              </w:rPr>
            </w:pPr>
            <w:r>
              <w:rPr>
                <w:rFonts w:hint="eastAsia"/>
                <w:color w:val="auto"/>
                <w:highlight w:val="none"/>
              </w:rPr>
              <w:t>m</w:t>
            </w:r>
            <w:r>
              <w:rPr>
                <w:rFonts w:hint="eastAsia"/>
                <w:color w:val="auto"/>
                <w:highlight w:val="none"/>
                <w:vertAlign w:val="superscript"/>
              </w:rPr>
              <w:t>2</w:t>
            </w:r>
          </w:p>
        </w:tc>
        <w:tc>
          <w:tcPr>
            <w:tcW w:w="748" w:type="pct"/>
            <w:gridSpan w:val="2"/>
            <w:tcBorders>
              <w:tl2br w:val="nil"/>
              <w:tr2bl w:val="nil"/>
            </w:tcBorders>
            <w:vAlign w:val="center"/>
          </w:tcPr>
          <w:p>
            <w:pPr>
              <w:pStyle w:val="28"/>
              <w:widowControl w:val="0"/>
              <w:rPr>
                <w:color w:val="auto"/>
                <w:highlight w:val="none"/>
              </w:rPr>
            </w:pPr>
            <w:r>
              <w:rPr>
                <w:rFonts w:hint="eastAsia"/>
                <w:color w:val="auto"/>
                <w:highlight w:val="none"/>
              </w:rPr>
              <w:t>3654</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783"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61"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总计</w:t>
            </w:r>
          </w:p>
        </w:tc>
        <w:tc>
          <w:tcPr>
            <w:tcW w:w="1145" w:type="pct"/>
            <w:gridSpan w:val="3"/>
            <w:tcBorders>
              <w:tl2br w:val="nil"/>
              <w:tr2bl w:val="nil"/>
            </w:tcBorders>
            <w:vAlign w:val="center"/>
          </w:tcPr>
          <w:p>
            <w:pPr>
              <w:pStyle w:val="28"/>
              <w:widowControl w:val="0"/>
              <w:rPr>
                <w:color w:val="auto"/>
                <w:highlight w:val="none"/>
              </w:rPr>
            </w:pPr>
            <w:r>
              <w:rPr>
                <w:rFonts w:hint="eastAsia"/>
                <w:color w:val="auto"/>
                <w:highlight w:val="none"/>
              </w:rPr>
              <w:t>旺季</w:t>
            </w:r>
          </w:p>
        </w:tc>
        <w:tc>
          <w:tcPr>
            <w:tcW w:w="1115" w:type="dxa"/>
            <w:tcBorders>
              <w:tl2br w:val="nil"/>
              <w:tr2bl w:val="nil"/>
            </w:tcBorders>
            <w:vAlign w:val="center"/>
          </w:tcPr>
          <w:p>
            <w:pPr>
              <w:pStyle w:val="28"/>
              <w:widowControl w:val="0"/>
              <w:rPr>
                <w:color w:val="auto"/>
                <w:highlight w:val="none"/>
              </w:rPr>
            </w:pPr>
            <w:r>
              <w:rPr>
                <w:rFonts w:hint="eastAsia"/>
                <w:color w:val="auto"/>
                <w:highlight w:val="none"/>
              </w:rPr>
              <w:t>307.5</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094" w:type="dxa"/>
            <w:tcBorders>
              <w:tl2br w:val="nil"/>
              <w:tr2bl w:val="nil"/>
            </w:tcBorders>
            <w:vAlign w:val="center"/>
          </w:tcPr>
          <w:p>
            <w:pPr>
              <w:pStyle w:val="28"/>
              <w:widowControl w:val="0"/>
              <w:rPr>
                <w:color w:val="auto"/>
                <w:highlight w:val="none"/>
              </w:rPr>
            </w:pPr>
            <w:r>
              <w:rPr>
                <w:rFonts w:hint="eastAsia"/>
                <w:color w:val="auto"/>
                <w:highlight w:val="none"/>
              </w:rPr>
              <w:t>254.8</w:t>
            </w:r>
          </w:p>
        </w:tc>
        <w:tc>
          <w:tcPr>
            <w:tcW w:w="783" w:type="pct"/>
            <w:vMerge w:val="restart"/>
            <w:tcBorders>
              <w:tl2br w:val="nil"/>
              <w:tr2bl w:val="nil"/>
            </w:tcBorders>
            <w:vAlign w:val="center"/>
          </w:tcPr>
          <w:p>
            <w:pPr>
              <w:pStyle w:val="28"/>
              <w:widowControl w:val="0"/>
              <w:rPr>
                <w:color w:val="auto"/>
                <w:highlight w:val="none"/>
              </w:rPr>
            </w:pPr>
            <w:r>
              <w:rPr>
                <w:rFonts w:hint="eastAsia"/>
                <w:color w:val="auto"/>
                <w:highlight w:val="none"/>
              </w:rPr>
              <w:t>自建污水处理站→响滩镇污水处理厂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61" w:type="pct"/>
            <w:gridSpan w:val="3"/>
            <w:vMerge w:val="continue"/>
            <w:tcBorders>
              <w:tl2br w:val="nil"/>
              <w:tr2bl w:val="nil"/>
            </w:tcBorders>
            <w:vAlign w:val="center"/>
          </w:tcPr>
          <w:p>
            <w:pPr>
              <w:pStyle w:val="28"/>
              <w:widowControl w:val="0"/>
              <w:rPr>
                <w:color w:val="auto"/>
                <w:highlight w:val="none"/>
              </w:rPr>
            </w:pPr>
          </w:p>
        </w:tc>
        <w:tc>
          <w:tcPr>
            <w:tcW w:w="1145" w:type="pct"/>
            <w:gridSpan w:val="3"/>
            <w:tcBorders>
              <w:tl2br w:val="nil"/>
              <w:tr2bl w:val="nil"/>
            </w:tcBorders>
            <w:vAlign w:val="center"/>
          </w:tcPr>
          <w:p>
            <w:pPr>
              <w:pStyle w:val="28"/>
              <w:widowControl w:val="0"/>
              <w:rPr>
                <w:color w:val="auto"/>
                <w:highlight w:val="none"/>
              </w:rPr>
            </w:pPr>
            <w:r>
              <w:rPr>
                <w:rFonts w:hint="eastAsia"/>
                <w:color w:val="auto"/>
                <w:highlight w:val="none"/>
              </w:rPr>
              <w:t>淡季</w:t>
            </w:r>
          </w:p>
        </w:tc>
        <w:tc>
          <w:tcPr>
            <w:tcW w:w="1115" w:type="dxa"/>
            <w:tcBorders>
              <w:tl2br w:val="nil"/>
              <w:tr2bl w:val="nil"/>
            </w:tcBorders>
            <w:vAlign w:val="center"/>
          </w:tcPr>
          <w:p>
            <w:pPr>
              <w:pStyle w:val="28"/>
              <w:widowControl w:val="0"/>
              <w:rPr>
                <w:color w:val="auto"/>
                <w:highlight w:val="none"/>
              </w:rPr>
            </w:pPr>
            <w:r>
              <w:rPr>
                <w:rFonts w:hint="eastAsia"/>
                <w:color w:val="auto"/>
                <w:highlight w:val="none"/>
              </w:rPr>
              <w:t>216.5</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094" w:type="dxa"/>
            <w:tcBorders>
              <w:tl2br w:val="nil"/>
              <w:tr2bl w:val="nil"/>
            </w:tcBorders>
            <w:vAlign w:val="center"/>
          </w:tcPr>
          <w:p>
            <w:pPr>
              <w:pStyle w:val="28"/>
              <w:widowControl w:val="0"/>
              <w:rPr>
                <w:color w:val="auto"/>
                <w:highlight w:val="none"/>
              </w:rPr>
            </w:pPr>
            <w:r>
              <w:rPr>
                <w:rFonts w:hint="eastAsia"/>
                <w:color w:val="auto"/>
                <w:highlight w:val="none"/>
              </w:rPr>
              <w:t>176.8</w:t>
            </w:r>
          </w:p>
        </w:tc>
        <w:tc>
          <w:tcPr>
            <w:tcW w:w="78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61" w:type="pct"/>
            <w:gridSpan w:val="3"/>
            <w:vMerge w:val="continue"/>
            <w:tcBorders>
              <w:tl2br w:val="nil"/>
              <w:tr2bl w:val="nil"/>
            </w:tcBorders>
            <w:vAlign w:val="center"/>
          </w:tcPr>
          <w:p>
            <w:pPr>
              <w:pStyle w:val="28"/>
              <w:widowControl w:val="0"/>
              <w:rPr>
                <w:color w:val="auto"/>
                <w:highlight w:val="none"/>
              </w:rPr>
            </w:pPr>
          </w:p>
        </w:tc>
        <w:tc>
          <w:tcPr>
            <w:tcW w:w="1145" w:type="pct"/>
            <w:gridSpan w:val="3"/>
            <w:tcBorders>
              <w:tl2br w:val="nil"/>
              <w:tr2bl w:val="nil"/>
            </w:tcBorders>
            <w:vAlign w:val="center"/>
          </w:tcPr>
          <w:p>
            <w:pPr>
              <w:pStyle w:val="28"/>
              <w:widowControl w:val="0"/>
              <w:rPr>
                <w:color w:val="auto"/>
                <w:highlight w:val="none"/>
              </w:rPr>
            </w:pPr>
            <w:r>
              <w:rPr>
                <w:rFonts w:hint="eastAsia"/>
                <w:color w:val="auto"/>
                <w:highlight w:val="none"/>
              </w:rPr>
              <w:t>日均</w:t>
            </w:r>
          </w:p>
        </w:tc>
        <w:tc>
          <w:tcPr>
            <w:tcW w:w="1115" w:type="dxa"/>
            <w:tcBorders>
              <w:tl2br w:val="nil"/>
              <w:tr2bl w:val="nil"/>
            </w:tcBorders>
            <w:vAlign w:val="center"/>
          </w:tcPr>
          <w:p>
            <w:pPr>
              <w:pStyle w:val="28"/>
              <w:widowControl w:val="0"/>
              <w:rPr>
                <w:color w:val="auto"/>
                <w:highlight w:val="none"/>
              </w:rPr>
            </w:pPr>
            <w:r>
              <w:rPr>
                <w:rFonts w:hint="eastAsia"/>
                <w:color w:val="auto"/>
                <w:highlight w:val="none"/>
              </w:rPr>
              <w:t>277.2</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094" w:type="dxa"/>
            <w:tcBorders>
              <w:tl2br w:val="nil"/>
              <w:tr2bl w:val="nil"/>
            </w:tcBorders>
            <w:vAlign w:val="center"/>
          </w:tcPr>
          <w:p>
            <w:pPr>
              <w:pStyle w:val="28"/>
              <w:widowControl w:val="0"/>
              <w:rPr>
                <w:color w:val="auto"/>
                <w:highlight w:val="none"/>
              </w:rPr>
            </w:pPr>
            <w:r>
              <w:rPr>
                <w:rFonts w:hint="eastAsia"/>
                <w:color w:val="auto"/>
                <w:highlight w:val="none"/>
              </w:rPr>
              <w:t>228.8</w:t>
            </w:r>
          </w:p>
        </w:tc>
        <w:tc>
          <w:tcPr>
            <w:tcW w:w="783" w:type="pct"/>
            <w:vMerge w:val="continue"/>
            <w:tcBorders>
              <w:tl2br w:val="nil"/>
              <w:tr2bl w:val="nil"/>
            </w:tcBorders>
            <w:vAlign w:val="center"/>
          </w:tcPr>
          <w:p>
            <w:pPr>
              <w:pStyle w:val="28"/>
              <w:widowControl w:val="0"/>
              <w:rPr>
                <w:color w:val="auto"/>
                <w:highlight w:val="none"/>
              </w:rPr>
            </w:pPr>
          </w:p>
        </w:tc>
      </w:tr>
    </w:tbl>
    <w:p>
      <w:pPr>
        <w:pStyle w:val="28"/>
        <w:widowControl w:val="0"/>
        <w:rPr>
          <w:color w:val="auto"/>
          <w:highlight w:val="none"/>
        </w:rPr>
      </w:pPr>
    </w:p>
    <w:p>
      <w:pPr>
        <w:pStyle w:val="28"/>
        <w:widowControl w:val="0"/>
        <w:rPr>
          <w:color w:val="auto"/>
          <w:highlight w:val="none"/>
        </w:rPr>
      </w:pPr>
    </w:p>
    <w:p>
      <w:pPr>
        <w:pStyle w:val="28"/>
        <w:widowControl w:val="0"/>
        <w:rPr>
          <w:color w:val="auto"/>
          <w:highlight w:val="none"/>
        </w:rPr>
      </w:pPr>
    </w:p>
    <w:p>
      <w:pPr>
        <w:pStyle w:val="28"/>
        <w:widowControl w:val="0"/>
        <w:rPr>
          <w:color w:val="auto"/>
          <w:highlight w:val="none"/>
        </w:rPr>
      </w:pPr>
    </w:p>
    <w:p>
      <w:pPr>
        <w:pStyle w:val="28"/>
        <w:widowControl w:val="0"/>
        <w:rPr>
          <w:color w:val="auto"/>
          <w:highlight w:val="none"/>
        </w:rPr>
      </w:pPr>
    </w:p>
    <w:p>
      <w:pPr>
        <w:pStyle w:val="28"/>
        <w:widowControl w:val="0"/>
        <w:rPr>
          <w:color w:val="auto"/>
          <w:highlight w:val="none"/>
        </w:rPr>
      </w:pPr>
      <w:r>
        <w:rPr>
          <w:rFonts w:hint="eastAsia"/>
          <w:color w:val="auto"/>
          <w:highlight w:val="none"/>
        </w:rPr>
        <w:drawing>
          <wp:inline distT="0" distB="0" distL="114300" distR="114300">
            <wp:extent cx="4483735" cy="3792220"/>
            <wp:effectExtent l="0" t="0" r="12065" b="17780"/>
            <wp:docPr id="12" name="图片 12"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具 Model (1)"/>
                    <pic:cNvPicPr>
                      <a:picLocks noChangeAspect="1"/>
                    </pic:cNvPicPr>
                  </pic:nvPicPr>
                  <pic:blipFill>
                    <a:blip r:embed="rId29"/>
                    <a:srcRect t="20037" b="20153"/>
                    <a:stretch>
                      <a:fillRect/>
                    </a:stretch>
                  </pic:blipFill>
                  <pic:spPr>
                    <a:xfrm>
                      <a:off x="0" y="0"/>
                      <a:ext cx="4483735" cy="3792220"/>
                    </a:xfrm>
                    <a:prstGeom prst="rect">
                      <a:avLst/>
                    </a:prstGeom>
                  </pic:spPr>
                </pic:pic>
              </a:graphicData>
            </a:graphic>
          </wp:inline>
        </w:drawing>
      </w:r>
    </w:p>
    <w:p>
      <w:pPr>
        <w:pStyle w:val="32"/>
        <w:widowControl w:val="0"/>
        <w:ind w:firstLine="422"/>
        <w:rPr>
          <w:rFonts w:hint="default"/>
          <w:bCs/>
          <w:color w:val="auto"/>
          <w:highlight w:val="none"/>
        </w:rPr>
      </w:pPr>
      <w:r>
        <w:rPr>
          <w:bCs/>
          <w:color w:val="auto"/>
          <w:highlight w:val="none"/>
        </w:rPr>
        <w:t>图4.3-3  项目给排水平衡图（淡季）   单位：m</w:t>
      </w:r>
      <w:r>
        <w:rPr>
          <w:bCs/>
          <w:color w:val="auto"/>
          <w:highlight w:val="none"/>
          <w:vertAlign w:val="superscript"/>
        </w:rPr>
        <w:t>3</w:t>
      </w:r>
      <w:r>
        <w:rPr>
          <w:bCs/>
          <w:color w:val="auto"/>
          <w:highlight w:val="none"/>
        </w:rPr>
        <w:t>/d</w:t>
      </w:r>
    </w:p>
    <w:p>
      <w:pPr>
        <w:pStyle w:val="28"/>
        <w:widowControl w:val="0"/>
        <w:rPr>
          <w:color w:val="auto"/>
          <w:highlight w:val="none"/>
        </w:rPr>
      </w:pPr>
      <w:r>
        <w:rPr>
          <w:rFonts w:hint="eastAsia"/>
          <w:color w:val="auto"/>
          <w:highlight w:val="none"/>
        </w:rPr>
        <w:drawing>
          <wp:inline distT="0" distB="0" distL="114300" distR="114300">
            <wp:extent cx="4395470" cy="3660140"/>
            <wp:effectExtent l="0" t="0" r="5080" b="16510"/>
            <wp:docPr id="10" name="图片 10"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具 Model (1)"/>
                    <pic:cNvPicPr>
                      <a:picLocks noChangeAspect="1"/>
                    </pic:cNvPicPr>
                  </pic:nvPicPr>
                  <pic:blipFill>
                    <a:blip r:embed="rId30"/>
                    <a:srcRect t="20848" b="20269"/>
                    <a:stretch>
                      <a:fillRect/>
                    </a:stretch>
                  </pic:blipFill>
                  <pic:spPr>
                    <a:xfrm>
                      <a:off x="0" y="0"/>
                      <a:ext cx="4395470" cy="3660140"/>
                    </a:xfrm>
                    <a:prstGeom prst="rect">
                      <a:avLst/>
                    </a:prstGeom>
                  </pic:spPr>
                </pic:pic>
              </a:graphicData>
            </a:graphic>
          </wp:inline>
        </w:drawing>
      </w:r>
    </w:p>
    <w:p>
      <w:pPr>
        <w:pStyle w:val="28"/>
        <w:widowControl w:val="0"/>
        <w:rPr>
          <w:b/>
          <w:bCs/>
          <w:color w:val="auto"/>
          <w:highlight w:val="none"/>
        </w:rPr>
      </w:pPr>
      <w:r>
        <w:rPr>
          <w:rFonts w:hint="eastAsia"/>
          <w:b/>
          <w:bCs/>
          <w:color w:val="auto"/>
          <w:highlight w:val="none"/>
        </w:rPr>
        <w:t>图4.3-4  项目给排水平衡图（旺季）   单位：m</w:t>
      </w:r>
      <w:r>
        <w:rPr>
          <w:rFonts w:hint="eastAsia"/>
          <w:b/>
          <w:bCs/>
          <w:color w:val="auto"/>
          <w:highlight w:val="none"/>
          <w:vertAlign w:val="superscript"/>
        </w:rPr>
        <w:t>3</w:t>
      </w:r>
      <w:r>
        <w:rPr>
          <w:rFonts w:hint="eastAsia"/>
          <w:b/>
          <w:bCs/>
          <w:color w:val="auto"/>
          <w:highlight w:val="none"/>
        </w:rPr>
        <w:t>/d</w:t>
      </w:r>
    </w:p>
    <w:p>
      <w:pPr>
        <w:pStyle w:val="4"/>
        <w:widowControl w:val="0"/>
        <w:rPr>
          <w:color w:val="auto"/>
          <w:highlight w:val="none"/>
        </w:rPr>
      </w:pPr>
      <w:bookmarkStart w:id="66" w:name="_Toc18037"/>
      <w:r>
        <w:rPr>
          <w:rFonts w:hint="eastAsia"/>
          <w:color w:val="auto"/>
          <w:highlight w:val="none"/>
        </w:rPr>
        <w:t>营运期污染物排放及治理措施</w:t>
      </w:r>
      <w:bookmarkEnd w:id="66"/>
    </w:p>
    <w:p>
      <w:pPr>
        <w:pStyle w:val="5"/>
        <w:widowControl w:val="0"/>
        <w:ind w:firstLine="120"/>
        <w:rPr>
          <w:color w:val="auto"/>
          <w:highlight w:val="none"/>
        </w:rPr>
      </w:pPr>
      <w:r>
        <w:rPr>
          <w:rFonts w:hint="eastAsia"/>
          <w:color w:val="auto"/>
          <w:highlight w:val="none"/>
        </w:rPr>
        <w:t>废水排放和治理措施</w:t>
      </w:r>
    </w:p>
    <w:p>
      <w:pPr>
        <w:pStyle w:val="6"/>
        <w:widowControl w:val="0"/>
        <w:ind w:left="-160" w:firstLineChars="0"/>
        <w:rPr>
          <w:color w:val="auto"/>
          <w:highlight w:val="none"/>
        </w:rPr>
      </w:pPr>
      <w:r>
        <w:rPr>
          <w:rFonts w:hint="eastAsia"/>
          <w:color w:val="auto"/>
          <w:highlight w:val="none"/>
        </w:rPr>
        <w:t>废水来源</w:t>
      </w:r>
    </w:p>
    <w:p>
      <w:pPr>
        <w:widowControl w:val="0"/>
        <w:ind w:firstLine="480"/>
        <w:rPr>
          <w:color w:val="auto"/>
          <w:highlight w:val="none"/>
        </w:rPr>
      </w:pPr>
      <w:r>
        <w:rPr>
          <w:rFonts w:hint="eastAsia"/>
          <w:color w:val="auto"/>
          <w:highlight w:val="none"/>
        </w:rPr>
        <w:t>本项目建成后产生的废水主要包括屠宰废水、地面及车辆冲洗废水及生活污水。</w:t>
      </w:r>
    </w:p>
    <w:p>
      <w:pPr>
        <w:pStyle w:val="6"/>
        <w:widowControl w:val="0"/>
        <w:ind w:left="-160" w:firstLineChars="0"/>
        <w:rPr>
          <w:color w:val="auto"/>
          <w:highlight w:val="none"/>
        </w:rPr>
      </w:pPr>
      <w:r>
        <w:rPr>
          <w:rFonts w:hint="eastAsia"/>
          <w:color w:val="auto"/>
          <w:highlight w:val="none"/>
        </w:rPr>
        <w:t>排放浓度</w:t>
      </w:r>
    </w:p>
    <w:p>
      <w:pPr>
        <w:widowControl w:val="0"/>
        <w:ind w:firstLine="480"/>
        <w:rPr>
          <w:color w:val="auto"/>
          <w:highlight w:val="none"/>
        </w:rPr>
      </w:pPr>
      <w:r>
        <w:rPr>
          <w:rFonts w:hint="eastAsia"/>
          <w:color w:val="auto"/>
          <w:highlight w:val="none"/>
        </w:rPr>
        <w:t>（1）生产废水</w:t>
      </w:r>
    </w:p>
    <w:p>
      <w:pPr>
        <w:widowControl w:val="0"/>
        <w:ind w:firstLine="480"/>
        <w:rPr>
          <w:color w:val="auto"/>
          <w:highlight w:val="none"/>
        </w:rPr>
      </w:pPr>
      <w:r>
        <w:rPr>
          <w:rFonts w:hint="eastAsia"/>
          <w:color w:val="auto"/>
          <w:highlight w:val="none"/>
        </w:rPr>
        <w:t>①屠宰废水（含待宰圈废水、宰前冲淋废水、胴体清洗废水、解剖清洗废水、内脏清洗废水、设备冲洗水等）。</w:t>
      </w:r>
    </w:p>
    <w:p>
      <w:pPr>
        <w:widowControl w:val="0"/>
        <w:ind w:firstLine="480"/>
        <w:jc w:val="left"/>
        <w:rPr>
          <w:color w:val="auto"/>
          <w:highlight w:val="none"/>
        </w:rPr>
      </w:pPr>
      <w:r>
        <w:rPr>
          <w:rFonts w:hint="eastAsia" w:ascii="宋体" w:hAnsi="宋体"/>
          <w:color w:val="auto"/>
          <w:highlight w:val="none"/>
        </w:rPr>
        <w:t>项目生产废水含有大量的血液、油脂、碎肉、食物残渣、毛、粪便和泥沙等污染物，其具有</w:t>
      </w:r>
      <w:r>
        <w:rPr>
          <w:rFonts w:eastAsia="Times New Roman"/>
          <w:color w:val="auto"/>
          <w:highlight w:val="none"/>
        </w:rPr>
        <w:t>COD</w:t>
      </w:r>
      <w:r>
        <w:rPr>
          <w:rFonts w:hint="eastAsia" w:ascii="宋体" w:hAnsi="宋体"/>
          <w:color w:val="auto"/>
          <w:highlight w:val="none"/>
        </w:rPr>
        <w:t>、</w:t>
      </w:r>
      <w:r>
        <w:rPr>
          <w:rFonts w:eastAsia="Times New Roman"/>
          <w:color w:val="auto"/>
          <w:highlight w:val="none"/>
        </w:rPr>
        <w:t>BOD</w:t>
      </w:r>
      <w:r>
        <w:rPr>
          <w:rFonts w:hint="eastAsia"/>
          <w:color w:val="auto"/>
          <w:highlight w:val="none"/>
          <w:vertAlign w:val="subscript"/>
        </w:rPr>
        <w:t>5</w:t>
      </w:r>
      <w:r>
        <w:rPr>
          <w:rFonts w:hint="eastAsia" w:ascii="宋体" w:hAnsi="宋体"/>
          <w:color w:val="auto"/>
          <w:highlight w:val="none"/>
        </w:rPr>
        <w:t>、</w:t>
      </w:r>
      <w:r>
        <w:rPr>
          <w:rFonts w:eastAsia="Times New Roman"/>
          <w:color w:val="auto"/>
          <w:highlight w:val="none"/>
        </w:rPr>
        <w:t>NH</w:t>
      </w:r>
      <w:r>
        <w:rPr>
          <w:rFonts w:hint="eastAsia"/>
          <w:color w:val="auto"/>
          <w:highlight w:val="none"/>
          <w:vertAlign w:val="subscript"/>
        </w:rPr>
        <w:t>3</w:t>
      </w:r>
      <w:r>
        <w:rPr>
          <w:rFonts w:eastAsia="Times New Roman"/>
          <w:color w:val="auto"/>
          <w:highlight w:val="none"/>
        </w:rPr>
        <w:t>-N</w:t>
      </w:r>
      <w:r>
        <w:rPr>
          <w:rFonts w:hint="eastAsia" w:ascii="宋体" w:hAnsi="宋体"/>
          <w:color w:val="auto"/>
          <w:highlight w:val="none"/>
        </w:rPr>
        <w:t>及悬浮物浓度高的特点，废水呈红褐色并具有明显的腥臭味。</w:t>
      </w:r>
    </w:p>
    <w:p>
      <w:pPr>
        <w:widowControl w:val="0"/>
        <w:ind w:firstLine="480"/>
        <w:rPr>
          <w:color w:val="auto"/>
          <w:highlight w:val="none"/>
        </w:rPr>
      </w:pPr>
      <w:r>
        <w:rPr>
          <w:rFonts w:hint="eastAsia"/>
          <w:color w:val="auto"/>
          <w:highlight w:val="none"/>
        </w:rPr>
        <w:t>根据《屠宰与肉类加工废水治理工程技术规范》（</w:t>
      </w:r>
      <w:r>
        <w:rPr>
          <w:color w:val="auto"/>
          <w:highlight w:val="none"/>
        </w:rPr>
        <w:t>HJ2004-2010</w:t>
      </w:r>
      <w:r>
        <w:rPr>
          <w:rFonts w:hint="eastAsia"/>
          <w:color w:val="auto"/>
          <w:highlight w:val="none"/>
        </w:rPr>
        <w:t>）表</w:t>
      </w:r>
      <w:r>
        <w:rPr>
          <w:color w:val="auto"/>
          <w:highlight w:val="none"/>
        </w:rPr>
        <w:t>3</w:t>
      </w:r>
      <w:r>
        <w:rPr>
          <w:rFonts w:hint="eastAsia"/>
          <w:color w:val="auto"/>
          <w:highlight w:val="none"/>
        </w:rPr>
        <w:t>屠宰废水水质设计取值，</w:t>
      </w:r>
      <w:r>
        <w:rPr>
          <w:color w:val="auto"/>
          <w:highlight w:val="none"/>
        </w:rPr>
        <w:t>COD</w:t>
      </w:r>
      <w:r>
        <w:rPr>
          <w:rFonts w:hint="eastAsia"/>
          <w:color w:val="auto"/>
          <w:highlight w:val="none"/>
        </w:rPr>
        <w:t>浓度范围</w:t>
      </w:r>
      <w:r>
        <w:rPr>
          <w:color w:val="auto"/>
          <w:highlight w:val="none"/>
        </w:rPr>
        <w:t>1500~2000</w:t>
      </w:r>
      <w:r>
        <w:rPr>
          <w:rFonts w:hint="eastAsia"/>
          <w:color w:val="auto"/>
          <w:highlight w:val="none"/>
        </w:rPr>
        <w:t>mg/L，</w:t>
      </w:r>
      <w:r>
        <w:rPr>
          <w:color w:val="auto"/>
          <w:highlight w:val="none"/>
        </w:rPr>
        <w:t>BOD</w:t>
      </w:r>
      <w:r>
        <w:rPr>
          <w:color w:val="auto"/>
          <w:highlight w:val="none"/>
          <w:vertAlign w:val="subscript"/>
        </w:rPr>
        <w:t>5</w:t>
      </w:r>
      <w:r>
        <w:rPr>
          <w:rFonts w:hint="eastAsia"/>
          <w:color w:val="auto"/>
          <w:highlight w:val="none"/>
        </w:rPr>
        <w:t>浓度范围</w:t>
      </w:r>
      <w:r>
        <w:rPr>
          <w:color w:val="auto"/>
          <w:highlight w:val="none"/>
        </w:rPr>
        <w:t>750~1000</w:t>
      </w:r>
      <w:r>
        <w:rPr>
          <w:rFonts w:hint="eastAsia"/>
          <w:color w:val="auto"/>
          <w:highlight w:val="none"/>
        </w:rPr>
        <w:t>mg/L，</w:t>
      </w:r>
      <w:r>
        <w:rPr>
          <w:color w:val="auto"/>
          <w:highlight w:val="none"/>
        </w:rPr>
        <w:t>SS</w:t>
      </w:r>
      <w:r>
        <w:rPr>
          <w:rFonts w:hint="eastAsia"/>
          <w:color w:val="auto"/>
          <w:highlight w:val="none"/>
        </w:rPr>
        <w:t>浓度范围</w:t>
      </w:r>
      <w:r>
        <w:rPr>
          <w:color w:val="auto"/>
          <w:highlight w:val="none"/>
        </w:rPr>
        <w:t>750~1000</w:t>
      </w:r>
      <w:r>
        <w:rPr>
          <w:rFonts w:hint="eastAsia"/>
          <w:color w:val="auto"/>
          <w:highlight w:val="none"/>
        </w:rPr>
        <w:t>mg/L，氨氮浓度范围</w:t>
      </w:r>
      <w:r>
        <w:rPr>
          <w:color w:val="auto"/>
          <w:highlight w:val="none"/>
        </w:rPr>
        <w:t>50~150</w:t>
      </w:r>
      <w:r>
        <w:rPr>
          <w:rFonts w:hint="eastAsia"/>
          <w:color w:val="auto"/>
          <w:highlight w:val="none"/>
        </w:rPr>
        <w:t>mg/L，动植物油浓度范围</w:t>
      </w:r>
      <w:r>
        <w:rPr>
          <w:color w:val="auto"/>
          <w:highlight w:val="none"/>
        </w:rPr>
        <w:t>50~200</w:t>
      </w:r>
      <w:r>
        <w:rPr>
          <w:rFonts w:hint="eastAsia"/>
          <w:color w:val="auto"/>
          <w:highlight w:val="none"/>
        </w:rPr>
        <w:t>mg/L，总磷参考《屠宰及肉类加工废水除磷研究》（《河南科技》</w:t>
      </w:r>
      <w:r>
        <w:rPr>
          <w:color w:val="auto"/>
          <w:highlight w:val="none"/>
        </w:rPr>
        <w:t>2017</w:t>
      </w:r>
      <w:r>
        <w:rPr>
          <w:rFonts w:hint="eastAsia"/>
          <w:color w:val="auto"/>
          <w:highlight w:val="none"/>
        </w:rPr>
        <w:t>年</w:t>
      </w:r>
      <w:r>
        <w:rPr>
          <w:color w:val="auto"/>
          <w:highlight w:val="none"/>
        </w:rPr>
        <w:t>8</w:t>
      </w:r>
      <w:r>
        <w:rPr>
          <w:rFonts w:hint="eastAsia"/>
          <w:color w:val="auto"/>
          <w:highlight w:val="none"/>
        </w:rPr>
        <w:t>月），取</w:t>
      </w:r>
      <w:r>
        <w:rPr>
          <w:color w:val="auto"/>
          <w:highlight w:val="none"/>
        </w:rPr>
        <w:t>30</w:t>
      </w:r>
      <w:r>
        <w:rPr>
          <w:rFonts w:hint="eastAsia"/>
          <w:color w:val="auto"/>
          <w:highlight w:val="none"/>
        </w:rPr>
        <w:t>mg/L。总氮根据污水处理工程经验值取值</w:t>
      </w:r>
      <w:r>
        <w:rPr>
          <w:color w:val="auto"/>
          <w:highlight w:val="none"/>
        </w:rPr>
        <w:t>200</w:t>
      </w:r>
      <w:r>
        <w:rPr>
          <w:rFonts w:hint="eastAsia"/>
          <w:color w:val="auto"/>
          <w:highlight w:val="none"/>
        </w:rPr>
        <w:t>mg/L，同时考虑项目涉及加工分割肉，污水污染物浓度应高于技术规范中屠宰废水水质的要求，本评价取值如下。</w:t>
      </w:r>
    </w:p>
    <w:p>
      <w:pPr>
        <w:pStyle w:val="27"/>
        <w:widowControl w:val="0"/>
        <w:rPr>
          <w:color w:val="auto"/>
          <w:highlight w:val="none"/>
        </w:rPr>
      </w:pPr>
      <w:r>
        <w:rPr>
          <w:rFonts w:hint="eastAsia"/>
          <w:color w:val="auto"/>
          <w:highlight w:val="none"/>
        </w:rPr>
        <w:t>项目废水污染物产生浓度一览表   单位：mg/L</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372"/>
        <w:gridCol w:w="1374"/>
        <w:gridCol w:w="1374"/>
        <w:gridCol w:w="1374"/>
        <w:gridCol w:w="1374"/>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3" w:type="pc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713"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COD</w:t>
            </w:r>
          </w:p>
        </w:tc>
        <w:tc>
          <w:tcPr>
            <w:tcW w:w="714"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BOD</w:t>
            </w:r>
            <w:r>
              <w:rPr>
                <w:rFonts w:hint="eastAsia"/>
                <w:b/>
                <w:bCs/>
                <w:color w:val="auto"/>
                <w:highlight w:val="none"/>
                <w:vertAlign w:val="subscript"/>
              </w:rPr>
              <w:t>5</w:t>
            </w:r>
          </w:p>
        </w:tc>
        <w:tc>
          <w:tcPr>
            <w:tcW w:w="714" w:type="pct"/>
            <w:tcBorders>
              <w:tl2br w:val="nil"/>
              <w:tr2bl w:val="nil"/>
            </w:tcBorders>
            <w:vAlign w:val="center"/>
          </w:tcPr>
          <w:p>
            <w:pPr>
              <w:pStyle w:val="28"/>
              <w:widowControl w:val="0"/>
              <w:rPr>
                <w:b/>
                <w:bCs/>
                <w:color w:val="auto"/>
                <w:highlight w:val="none"/>
              </w:rPr>
            </w:pPr>
            <w:r>
              <w:rPr>
                <w:rFonts w:hint="eastAsia"/>
                <w:b/>
                <w:bCs/>
                <w:color w:val="auto"/>
                <w:highlight w:val="none"/>
              </w:rPr>
              <w:t>SS</w:t>
            </w:r>
          </w:p>
        </w:tc>
        <w:tc>
          <w:tcPr>
            <w:tcW w:w="714" w:type="pct"/>
            <w:tcBorders>
              <w:tl2br w:val="nil"/>
              <w:tr2bl w:val="nil"/>
            </w:tcBorders>
            <w:vAlign w:val="center"/>
          </w:tcPr>
          <w:p>
            <w:pPr>
              <w:pStyle w:val="28"/>
              <w:widowControl w:val="0"/>
              <w:rPr>
                <w:b/>
                <w:bCs/>
                <w:color w:val="auto"/>
                <w:highlight w:val="none"/>
              </w:rPr>
            </w:pPr>
            <w:r>
              <w:rPr>
                <w:rFonts w:hint="eastAsia"/>
                <w:b/>
                <w:bCs/>
                <w:color w:val="auto"/>
                <w:highlight w:val="none"/>
              </w:rPr>
              <w:t>NH</w:t>
            </w:r>
            <w:r>
              <w:rPr>
                <w:rFonts w:hint="eastAsia"/>
                <w:b/>
                <w:bCs/>
                <w:color w:val="auto"/>
                <w:highlight w:val="none"/>
                <w:vertAlign w:val="subscript"/>
              </w:rPr>
              <w:t>3</w:t>
            </w:r>
            <w:r>
              <w:rPr>
                <w:rFonts w:hint="eastAsia"/>
                <w:b/>
                <w:bCs/>
                <w:color w:val="auto"/>
                <w:highlight w:val="none"/>
              </w:rPr>
              <w:t>-N</w:t>
            </w:r>
          </w:p>
        </w:tc>
        <w:tc>
          <w:tcPr>
            <w:tcW w:w="714" w:type="pct"/>
            <w:tcBorders>
              <w:tl2br w:val="nil"/>
              <w:tr2bl w:val="nil"/>
            </w:tcBorders>
            <w:vAlign w:val="center"/>
          </w:tcPr>
          <w:p>
            <w:pPr>
              <w:pStyle w:val="28"/>
              <w:widowControl w:val="0"/>
              <w:rPr>
                <w:b/>
                <w:bCs/>
                <w:color w:val="auto"/>
                <w:highlight w:val="none"/>
              </w:rPr>
            </w:pPr>
            <w:r>
              <w:rPr>
                <w:rFonts w:hint="eastAsia"/>
                <w:b/>
                <w:bCs/>
                <w:color w:val="auto"/>
                <w:highlight w:val="none"/>
              </w:rPr>
              <w:t>动植物油</w:t>
            </w:r>
          </w:p>
        </w:tc>
        <w:tc>
          <w:tcPr>
            <w:tcW w:w="714" w:type="pct"/>
            <w:tcBorders>
              <w:tl2br w:val="nil"/>
              <w:tr2bl w:val="nil"/>
            </w:tcBorders>
            <w:vAlign w:val="center"/>
          </w:tcPr>
          <w:p>
            <w:pPr>
              <w:pStyle w:val="28"/>
              <w:widowControl w:val="0"/>
              <w:rPr>
                <w:b/>
                <w:bCs/>
                <w:color w:val="auto"/>
                <w:highlight w:val="none"/>
              </w:rPr>
            </w:pPr>
            <w:r>
              <w:rPr>
                <w:rFonts w:hint="eastAsia"/>
                <w:b/>
                <w:bCs/>
                <w:color w:val="auto"/>
                <w:highlight w:val="none"/>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28"/>
              <w:widowControl w:val="0"/>
              <w:rPr>
                <w:color w:val="auto"/>
                <w:highlight w:val="none"/>
              </w:rPr>
            </w:pPr>
            <w:r>
              <w:rPr>
                <w:rFonts w:hint="eastAsia"/>
                <w:color w:val="auto"/>
                <w:highlight w:val="none"/>
              </w:rPr>
              <w:t>浓度</w:t>
            </w:r>
          </w:p>
        </w:tc>
        <w:tc>
          <w:tcPr>
            <w:tcW w:w="713" w:type="pct"/>
            <w:tcBorders>
              <w:tl2br w:val="nil"/>
              <w:tr2bl w:val="nil"/>
            </w:tcBorders>
            <w:vAlign w:val="center"/>
          </w:tcPr>
          <w:p>
            <w:pPr>
              <w:pStyle w:val="28"/>
              <w:widowControl w:val="0"/>
              <w:rPr>
                <w:color w:val="auto"/>
                <w:highlight w:val="none"/>
              </w:rPr>
            </w:pPr>
            <w:r>
              <w:rPr>
                <w:rFonts w:hint="eastAsia"/>
                <w:color w:val="auto"/>
                <w:highlight w:val="none"/>
              </w:rPr>
              <w:t>2100</w:t>
            </w:r>
          </w:p>
        </w:tc>
        <w:tc>
          <w:tcPr>
            <w:tcW w:w="714" w:type="pct"/>
            <w:tcBorders>
              <w:tl2br w:val="nil"/>
              <w:tr2bl w:val="nil"/>
            </w:tcBorders>
            <w:vAlign w:val="center"/>
          </w:tcPr>
          <w:p>
            <w:pPr>
              <w:pStyle w:val="28"/>
              <w:widowControl w:val="0"/>
              <w:rPr>
                <w:color w:val="auto"/>
                <w:highlight w:val="none"/>
              </w:rPr>
            </w:pPr>
            <w:r>
              <w:rPr>
                <w:rFonts w:hint="eastAsia"/>
                <w:color w:val="auto"/>
                <w:highlight w:val="none"/>
              </w:rPr>
              <w:t>1000</w:t>
            </w:r>
          </w:p>
        </w:tc>
        <w:tc>
          <w:tcPr>
            <w:tcW w:w="714" w:type="pct"/>
            <w:tcBorders>
              <w:tl2br w:val="nil"/>
              <w:tr2bl w:val="nil"/>
            </w:tcBorders>
            <w:vAlign w:val="center"/>
          </w:tcPr>
          <w:p>
            <w:pPr>
              <w:pStyle w:val="28"/>
              <w:widowControl w:val="0"/>
              <w:rPr>
                <w:color w:val="auto"/>
                <w:highlight w:val="none"/>
              </w:rPr>
            </w:pPr>
            <w:r>
              <w:rPr>
                <w:rFonts w:hint="eastAsia"/>
                <w:color w:val="auto"/>
                <w:highlight w:val="none"/>
              </w:rPr>
              <w:t>1200</w:t>
            </w:r>
          </w:p>
        </w:tc>
        <w:tc>
          <w:tcPr>
            <w:tcW w:w="714" w:type="pct"/>
            <w:tcBorders>
              <w:tl2br w:val="nil"/>
              <w:tr2bl w:val="nil"/>
            </w:tcBorders>
            <w:vAlign w:val="center"/>
          </w:tcPr>
          <w:p>
            <w:pPr>
              <w:pStyle w:val="28"/>
              <w:widowControl w:val="0"/>
              <w:rPr>
                <w:color w:val="auto"/>
                <w:highlight w:val="none"/>
              </w:rPr>
            </w:pPr>
            <w:r>
              <w:rPr>
                <w:rFonts w:hint="eastAsia"/>
                <w:color w:val="auto"/>
                <w:highlight w:val="none"/>
              </w:rPr>
              <w:t>200</w:t>
            </w:r>
          </w:p>
        </w:tc>
        <w:tc>
          <w:tcPr>
            <w:tcW w:w="714" w:type="pct"/>
            <w:tcBorders>
              <w:tl2br w:val="nil"/>
              <w:tr2bl w:val="nil"/>
            </w:tcBorders>
            <w:vAlign w:val="center"/>
          </w:tcPr>
          <w:p>
            <w:pPr>
              <w:pStyle w:val="28"/>
              <w:widowControl w:val="0"/>
              <w:rPr>
                <w:color w:val="auto"/>
                <w:highlight w:val="none"/>
              </w:rPr>
            </w:pPr>
            <w:r>
              <w:rPr>
                <w:rFonts w:hint="eastAsia"/>
                <w:color w:val="auto"/>
                <w:highlight w:val="none"/>
              </w:rPr>
              <w:t>150</w:t>
            </w:r>
          </w:p>
        </w:tc>
        <w:tc>
          <w:tcPr>
            <w:tcW w:w="714" w:type="pct"/>
            <w:tcBorders>
              <w:tl2br w:val="nil"/>
              <w:tr2bl w:val="nil"/>
            </w:tcBorders>
            <w:vAlign w:val="center"/>
          </w:tcPr>
          <w:p>
            <w:pPr>
              <w:pStyle w:val="28"/>
              <w:widowControl w:val="0"/>
              <w:rPr>
                <w:color w:val="auto"/>
                <w:highlight w:val="none"/>
              </w:rPr>
            </w:pPr>
            <w:r>
              <w:rPr>
                <w:rFonts w:hint="eastAsia"/>
                <w:color w:val="auto"/>
                <w:highlight w:val="none"/>
              </w:rPr>
              <w:t>30</w:t>
            </w:r>
          </w:p>
        </w:tc>
      </w:tr>
    </w:tbl>
    <w:p>
      <w:pPr>
        <w:widowControl w:val="0"/>
        <w:ind w:firstLine="480"/>
        <w:rPr>
          <w:color w:val="auto"/>
          <w:highlight w:val="none"/>
        </w:rPr>
      </w:pPr>
      <w:r>
        <w:rPr>
          <w:rFonts w:hint="eastAsia"/>
          <w:color w:val="auto"/>
          <w:highlight w:val="none"/>
        </w:rPr>
        <w:t>②地面及车辆冲洗废水</w:t>
      </w:r>
    </w:p>
    <w:p>
      <w:pPr>
        <w:widowControl w:val="0"/>
        <w:ind w:firstLine="480"/>
        <w:jc w:val="left"/>
        <w:rPr>
          <w:color w:val="auto"/>
          <w:highlight w:val="none"/>
        </w:rPr>
      </w:pPr>
      <w:r>
        <w:rPr>
          <w:rFonts w:hint="eastAsia"/>
          <w:color w:val="auto"/>
          <w:highlight w:val="none"/>
        </w:rPr>
        <w:t>此类废水主要污染物为</w:t>
      </w:r>
      <w:r>
        <w:rPr>
          <w:rFonts w:eastAsia="Times New Roman"/>
          <w:color w:val="auto"/>
          <w:highlight w:val="none"/>
        </w:rPr>
        <w:t>COD</w:t>
      </w:r>
      <w:r>
        <w:rPr>
          <w:rFonts w:hint="eastAsia" w:ascii="宋体" w:hAnsi="宋体"/>
          <w:color w:val="auto"/>
          <w:highlight w:val="none"/>
        </w:rPr>
        <w:t>、</w:t>
      </w:r>
      <w:r>
        <w:rPr>
          <w:rFonts w:eastAsia="Times New Roman"/>
          <w:color w:val="auto"/>
          <w:highlight w:val="none"/>
        </w:rPr>
        <w:t>BOD</w:t>
      </w:r>
      <w:r>
        <w:rPr>
          <w:rFonts w:eastAsia="Times New Roman"/>
          <w:color w:val="auto"/>
          <w:sz w:val="16"/>
          <w:highlight w:val="none"/>
        </w:rPr>
        <w:t>5</w:t>
      </w:r>
      <w:r>
        <w:rPr>
          <w:rFonts w:hint="eastAsia" w:ascii="宋体" w:hAnsi="宋体"/>
          <w:color w:val="auto"/>
          <w:highlight w:val="none"/>
        </w:rPr>
        <w:t>、</w:t>
      </w:r>
      <w:r>
        <w:rPr>
          <w:rFonts w:eastAsia="Times New Roman"/>
          <w:color w:val="auto"/>
          <w:highlight w:val="none"/>
        </w:rPr>
        <w:t>NH</w:t>
      </w:r>
      <w:r>
        <w:rPr>
          <w:rFonts w:eastAsia="Times New Roman"/>
          <w:color w:val="auto"/>
          <w:sz w:val="16"/>
          <w:highlight w:val="none"/>
        </w:rPr>
        <w:t>3</w:t>
      </w:r>
      <w:r>
        <w:rPr>
          <w:rFonts w:eastAsia="Times New Roman"/>
          <w:color w:val="auto"/>
          <w:highlight w:val="none"/>
        </w:rPr>
        <w:t>-N</w:t>
      </w:r>
      <w:r>
        <w:rPr>
          <w:rFonts w:hint="eastAsia" w:ascii="宋体" w:hAnsi="宋体"/>
          <w:color w:val="auto"/>
          <w:highlight w:val="none"/>
        </w:rPr>
        <w:t>、</w:t>
      </w:r>
      <w:r>
        <w:rPr>
          <w:rFonts w:eastAsia="Times New Roman"/>
          <w:color w:val="auto"/>
          <w:highlight w:val="none"/>
        </w:rPr>
        <w:t>SS</w:t>
      </w:r>
      <w:r>
        <w:rPr>
          <w:rFonts w:hint="eastAsia" w:ascii="宋体" w:hAnsi="宋体"/>
          <w:color w:val="auto"/>
          <w:highlight w:val="none"/>
        </w:rPr>
        <w:t>，浓度分别为</w:t>
      </w:r>
      <w:r>
        <w:rPr>
          <w:rFonts w:eastAsia="Times New Roman"/>
          <w:color w:val="auto"/>
          <w:highlight w:val="none"/>
        </w:rPr>
        <w:t>500</w:t>
      </w:r>
      <w:r>
        <w:rPr>
          <w:rFonts w:hint="eastAsia"/>
          <w:color w:val="auto"/>
          <w:highlight w:val="none"/>
        </w:rPr>
        <w:t>mg/L</w:t>
      </w:r>
      <w:r>
        <w:rPr>
          <w:rFonts w:hint="eastAsia" w:ascii="宋体" w:hAnsi="宋体"/>
          <w:color w:val="auto"/>
          <w:highlight w:val="none"/>
        </w:rPr>
        <w:t>，</w:t>
      </w:r>
      <w:r>
        <w:rPr>
          <w:rFonts w:eastAsia="Times New Roman"/>
          <w:color w:val="auto"/>
          <w:highlight w:val="none"/>
        </w:rPr>
        <w:t>200</w:t>
      </w:r>
      <w:r>
        <w:rPr>
          <w:rFonts w:hint="eastAsia"/>
          <w:color w:val="auto"/>
          <w:highlight w:val="none"/>
        </w:rPr>
        <w:t>mg/L</w:t>
      </w:r>
      <w:r>
        <w:rPr>
          <w:rFonts w:hint="eastAsia" w:ascii="宋体" w:hAnsi="宋体"/>
          <w:color w:val="auto"/>
          <w:highlight w:val="none"/>
        </w:rPr>
        <w:t>，</w:t>
      </w:r>
      <w:r>
        <w:rPr>
          <w:rFonts w:eastAsia="Times New Roman"/>
          <w:color w:val="auto"/>
          <w:highlight w:val="none"/>
        </w:rPr>
        <w:t>20</w:t>
      </w:r>
      <w:r>
        <w:rPr>
          <w:rFonts w:hint="eastAsia"/>
          <w:color w:val="auto"/>
          <w:highlight w:val="none"/>
        </w:rPr>
        <w:t>mg/L</w:t>
      </w:r>
      <w:r>
        <w:rPr>
          <w:rFonts w:hint="eastAsia" w:ascii="宋体" w:hAnsi="宋体"/>
          <w:color w:val="auto"/>
          <w:highlight w:val="none"/>
        </w:rPr>
        <w:t>，</w:t>
      </w:r>
      <w:r>
        <w:rPr>
          <w:rFonts w:eastAsia="Times New Roman"/>
          <w:color w:val="auto"/>
          <w:highlight w:val="none"/>
        </w:rPr>
        <w:t>300</w:t>
      </w:r>
      <w:r>
        <w:rPr>
          <w:rFonts w:hint="eastAsia"/>
          <w:color w:val="auto"/>
          <w:highlight w:val="none"/>
        </w:rPr>
        <w:t>mg/L</w:t>
      </w:r>
      <w:r>
        <w:rPr>
          <w:rFonts w:hint="eastAsia" w:ascii="宋体" w:hAnsi="宋体"/>
          <w:color w:val="auto"/>
          <w:highlight w:val="none"/>
        </w:rPr>
        <w:t>，</w:t>
      </w:r>
      <w:r>
        <w:rPr>
          <w:rFonts w:eastAsia="Times New Roman"/>
          <w:color w:val="auto"/>
          <w:highlight w:val="none"/>
        </w:rPr>
        <w:t>50</w:t>
      </w:r>
      <w:r>
        <w:rPr>
          <w:rFonts w:hint="eastAsia"/>
          <w:color w:val="auto"/>
          <w:highlight w:val="none"/>
        </w:rPr>
        <w:t>mg/L</w:t>
      </w:r>
      <w:r>
        <w:rPr>
          <w:rFonts w:hint="eastAsia" w:ascii="宋体" w:hAnsi="宋体"/>
          <w:color w:val="auto"/>
          <w:highlight w:val="none"/>
        </w:rPr>
        <w:t>。</w:t>
      </w:r>
    </w:p>
    <w:p>
      <w:pPr>
        <w:widowControl w:val="0"/>
        <w:ind w:firstLine="480"/>
        <w:jc w:val="left"/>
        <w:rPr>
          <w:color w:val="auto"/>
          <w:highlight w:val="none"/>
        </w:rPr>
      </w:pPr>
      <w:r>
        <w:rPr>
          <w:rFonts w:hint="eastAsia" w:ascii="宋体" w:hAnsi="宋体"/>
          <w:color w:val="auto"/>
          <w:highlight w:val="none"/>
        </w:rPr>
        <w:t>危废暂存间内设置有围堰，并设置有防渗托盘放置收集桶，定期清理，不使用水进行清洗。</w:t>
      </w:r>
    </w:p>
    <w:p>
      <w:pPr>
        <w:widowControl w:val="0"/>
        <w:ind w:firstLine="480"/>
        <w:rPr>
          <w:color w:val="auto"/>
          <w:highlight w:val="none"/>
        </w:rPr>
      </w:pPr>
      <w:r>
        <w:rPr>
          <w:rFonts w:hint="eastAsia"/>
          <w:color w:val="auto"/>
          <w:highlight w:val="none"/>
        </w:rPr>
        <w:t>③生物洗涤塔排水</w:t>
      </w:r>
    </w:p>
    <w:p>
      <w:pPr>
        <w:widowControl w:val="0"/>
        <w:ind w:firstLine="480"/>
        <w:jc w:val="left"/>
        <w:rPr>
          <w:color w:val="auto"/>
          <w:highlight w:val="none"/>
        </w:rPr>
      </w:pPr>
      <w:r>
        <w:rPr>
          <w:rFonts w:hint="eastAsia"/>
          <w:color w:val="auto"/>
          <w:highlight w:val="none"/>
        </w:rPr>
        <w:t>洗涤塔排水主要污染物为</w:t>
      </w:r>
      <w:r>
        <w:rPr>
          <w:rFonts w:eastAsia="Times New Roman"/>
          <w:color w:val="auto"/>
          <w:szCs w:val="24"/>
          <w:highlight w:val="none"/>
        </w:rPr>
        <w:t>COD</w:t>
      </w:r>
      <w:r>
        <w:rPr>
          <w:rFonts w:hint="eastAsia" w:ascii="宋体" w:hAnsi="宋体"/>
          <w:color w:val="auto"/>
          <w:szCs w:val="24"/>
          <w:highlight w:val="none"/>
        </w:rPr>
        <w:t>、</w:t>
      </w:r>
      <w:r>
        <w:rPr>
          <w:rFonts w:eastAsia="Times New Roman"/>
          <w:color w:val="auto"/>
          <w:szCs w:val="24"/>
          <w:highlight w:val="none"/>
        </w:rPr>
        <w:t>NH</w:t>
      </w:r>
      <w:r>
        <w:rPr>
          <w:rFonts w:eastAsia="Times New Roman"/>
          <w:color w:val="auto"/>
          <w:sz w:val="16"/>
          <w:szCs w:val="24"/>
          <w:highlight w:val="none"/>
        </w:rPr>
        <w:t>3</w:t>
      </w:r>
      <w:r>
        <w:rPr>
          <w:rFonts w:eastAsia="Times New Roman"/>
          <w:color w:val="auto"/>
          <w:szCs w:val="24"/>
          <w:highlight w:val="none"/>
        </w:rPr>
        <w:t>-N</w:t>
      </w:r>
      <w:r>
        <w:rPr>
          <w:rFonts w:hint="eastAsia" w:ascii="宋体" w:hAnsi="宋体"/>
          <w:color w:val="auto"/>
          <w:szCs w:val="24"/>
          <w:highlight w:val="none"/>
        </w:rPr>
        <w:t>，根据废气处理工程经验值，浓度分别为</w:t>
      </w:r>
      <w:r>
        <w:rPr>
          <w:rFonts w:eastAsia="Times New Roman"/>
          <w:color w:val="auto"/>
          <w:szCs w:val="24"/>
          <w:highlight w:val="none"/>
        </w:rPr>
        <w:t>1800mg/l</w:t>
      </w:r>
      <w:r>
        <w:rPr>
          <w:rFonts w:hint="eastAsia" w:ascii="宋体" w:hAnsi="宋体"/>
          <w:color w:val="auto"/>
          <w:szCs w:val="24"/>
          <w:highlight w:val="none"/>
        </w:rPr>
        <w:t>，</w:t>
      </w:r>
      <w:r>
        <w:rPr>
          <w:rFonts w:eastAsia="Times New Roman"/>
          <w:color w:val="auto"/>
          <w:szCs w:val="24"/>
          <w:highlight w:val="none"/>
        </w:rPr>
        <w:t>300mg/l</w:t>
      </w:r>
      <w:r>
        <w:rPr>
          <w:rFonts w:hint="eastAsia" w:ascii="宋体" w:hAnsi="宋体"/>
          <w:color w:val="auto"/>
          <w:szCs w:val="24"/>
          <w:highlight w:val="none"/>
        </w:rPr>
        <w:t>。</w:t>
      </w:r>
    </w:p>
    <w:p>
      <w:pPr>
        <w:widowControl w:val="0"/>
        <w:ind w:firstLine="480"/>
        <w:rPr>
          <w:color w:val="auto"/>
          <w:highlight w:val="none"/>
        </w:rPr>
      </w:pPr>
      <w:r>
        <w:rPr>
          <w:rFonts w:hint="eastAsia"/>
          <w:color w:val="auto"/>
          <w:highlight w:val="none"/>
        </w:rPr>
        <w:t>（2）生活污水</w:t>
      </w:r>
    </w:p>
    <w:p>
      <w:pPr>
        <w:widowControl w:val="0"/>
        <w:ind w:firstLine="480"/>
        <w:jc w:val="left"/>
        <w:rPr>
          <w:color w:val="auto"/>
          <w:highlight w:val="none"/>
        </w:rPr>
      </w:pPr>
      <w:r>
        <w:rPr>
          <w:rFonts w:hint="eastAsia" w:ascii="宋体" w:hAnsi="宋体"/>
          <w:color w:val="auto"/>
          <w:highlight w:val="none"/>
        </w:rPr>
        <w:t>生活污水中主要污染物为</w:t>
      </w:r>
      <w:r>
        <w:rPr>
          <w:rFonts w:eastAsia="Times New Roman"/>
          <w:color w:val="auto"/>
          <w:highlight w:val="none"/>
        </w:rPr>
        <w:t>COD</w:t>
      </w:r>
      <w:r>
        <w:rPr>
          <w:rFonts w:hint="eastAsia" w:ascii="宋体" w:hAnsi="宋体"/>
          <w:color w:val="auto"/>
          <w:highlight w:val="none"/>
        </w:rPr>
        <w:t>、</w:t>
      </w:r>
      <w:r>
        <w:rPr>
          <w:rFonts w:eastAsia="Times New Roman"/>
          <w:color w:val="auto"/>
          <w:highlight w:val="none"/>
        </w:rPr>
        <w:t>BOD</w:t>
      </w:r>
      <w:r>
        <w:rPr>
          <w:rFonts w:eastAsia="Times New Roman"/>
          <w:color w:val="auto"/>
          <w:sz w:val="16"/>
          <w:highlight w:val="none"/>
        </w:rPr>
        <w:t>5</w:t>
      </w:r>
      <w:r>
        <w:rPr>
          <w:rFonts w:hint="eastAsia" w:ascii="宋体" w:hAnsi="宋体"/>
          <w:color w:val="auto"/>
          <w:highlight w:val="none"/>
        </w:rPr>
        <w:t>、</w:t>
      </w:r>
      <w:r>
        <w:rPr>
          <w:rFonts w:eastAsia="Times New Roman"/>
          <w:color w:val="auto"/>
          <w:highlight w:val="none"/>
        </w:rPr>
        <w:t>SS</w:t>
      </w:r>
      <w:r>
        <w:rPr>
          <w:rFonts w:hint="eastAsia" w:ascii="宋体" w:hAnsi="宋体"/>
          <w:color w:val="auto"/>
          <w:highlight w:val="none"/>
        </w:rPr>
        <w:t>、</w:t>
      </w:r>
      <w:r>
        <w:rPr>
          <w:rFonts w:eastAsia="Times New Roman"/>
          <w:color w:val="auto"/>
          <w:highlight w:val="none"/>
        </w:rPr>
        <w:t>NH</w:t>
      </w:r>
      <w:r>
        <w:rPr>
          <w:rFonts w:eastAsia="Times New Roman"/>
          <w:color w:val="auto"/>
          <w:sz w:val="16"/>
          <w:highlight w:val="none"/>
        </w:rPr>
        <w:t>3</w:t>
      </w:r>
      <w:r>
        <w:rPr>
          <w:rFonts w:eastAsia="Times New Roman"/>
          <w:color w:val="auto"/>
          <w:highlight w:val="none"/>
        </w:rPr>
        <w:t>-N</w:t>
      </w:r>
      <w:r>
        <w:rPr>
          <w:rFonts w:hint="eastAsia" w:ascii="宋体" w:hAnsi="宋体"/>
          <w:color w:val="auto"/>
          <w:highlight w:val="none"/>
        </w:rPr>
        <w:t>、动植物油，浓度分别为</w:t>
      </w:r>
      <w:r>
        <w:rPr>
          <w:rFonts w:eastAsia="Times New Roman"/>
          <w:color w:val="auto"/>
          <w:highlight w:val="none"/>
        </w:rPr>
        <w:t>350</w:t>
      </w:r>
      <w:r>
        <w:rPr>
          <w:rFonts w:hint="eastAsia"/>
          <w:color w:val="auto"/>
          <w:highlight w:val="none"/>
        </w:rPr>
        <w:t>mg/L</w:t>
      </w:r>
      <w:r>
        <w:rPr>
          <w:rFonts w:hint="eastAsia" w:ascii="宋体" w:hAnsi="宋体"/>
          <w:color w:val="auto"/>
          <w:highlight w:val="none"/>
        </w:rPr>
        <w:t>，</w:t>
      </w:r>
      <w:r>
        <w:rPr>
          <w:rFonts w:eastAsia="Times New Roman"/>
          <w:color w:val="auto"/>
          <w:highlight w:val="none"/>
        </w:rPr>
        <w:t>250</w:t>
      </w:r>
      <w:r>
        <w:rPr>
          <w:rFonts w:hint="eastAsia"/>
          <w:color w:val="auto"/>
          <w:highlight w:val="none"/>
        </w:rPr>
        <w:t>mg/L</w:t>
      </w:r>
      <w:r>
        <w:rPr>
          <w:rFonts w:hint="eastAsia" w:ascii="宋体" w:hAnsi="宋体"/>
          <w:color w:val="auto"/>
          <w:highlight w:val="none"/>
        </w:rPr>
        <w:t>，</w:t>
      </w:r>
      <w:r>
        <w:rPr>
          <w:rFonts w:eastAsia="Times New Roman"/>
          <w:color w:val="auto"/>
          <w:highlight w:val="none"/>
        </w:rPr>
        <w:t>300</w:t>
      </w:r>
      <w:r>
        <w:rPr>
          <w:rFonts w:hint="eastAsia"/>
          <w:color w:val="auto"/>
          <w:highlight w:val="none"/>
        </w:rPr>
        <w:t>mg/L</w:t>
      </w:r>
      <w:r>
        <w:rPr>
          <w:rFonts w:hint="eastAsia" w:ascii="宋体" w:hAnsi="宋体"/>
          <w:color w:val="auto"/>
          <w:highlight w:val="none"/>
        </w:rPr>
        <w:t>，</w:t>
      </w:r>
      <w:r>
        <w:rPr>
          <w:rFonts w:eastAsia="Times New Roman"/>
          <w:color w:val="auto"/>
          <w:highlight w:val="none"/>
        </w:rPr>
        <w:t>40</w:t>
      </w:r>
      <w:r>
        <w:rPr>
          <w:rFonts w:hint="eastAsia"/>
          <w:color w:val="auto"/>
          <w:highlight w:val="none"/>
        </w:rPr>
        <w:t>mg/L</w:t>
      </w:r>
      <w:r>
        <w:rPr>
          <w:rFonts w:hint="eastAsia" w:ascii="宋体" w:hAnsi="宋体"/>
          <w:color w:val="auto"/>
          <w:highlight w:val="none"/>
        </w:rPr>
        <w:t>，</w:t>
      </w:r>
      <w:r>
        <w:rPr>
          <w:rFonts w:eastAsia="Times New Roman"/>
          <w:color w:val="auto"/>
          <w:highlight w:val="none"/>
        </w:rPr>
        <w:t>20</w:t>
      </w:r>
      <w:r>
        <w:rPr>
          <w:rFonts w:hint="eastAsia"/>
          <w:color w:val="auto"/>
          <w:highlight w:val="none"/>
        </w:rPr>
        <w:t>mg/L</w:t>
      </w:r>
      <w:r>
        <w:rPr>
          <w:rFonts w:hint="eastAsia" w:ascii="宋体" w:hAnsi="宋体"/>
          <w:color w:val="auto"/>
          <w:highlight w:val="none"/>
        </w:rPr>
        <w:t>。</w:t>
      </w:r>
    </w:p>
    <w:p>
      <w:pPr>
        <w:widowControl w:val="0"/>
        <w:ind w:firstLine="480"/>
        <w:rPr>
          <w:color w:val="auto"/>
          <w:highlight w:val="none"/>
        </w:rPr>
      </w:pPr>
      <w:r>
        <w:rPr>
          <w:rFonts w:hint="eastAsia"/>
          <w:color w:val="auto"/>
          <w:highlight w:val="none"/>
        </w:rPr>
        <w:t>（3）食堂废水</w:t>
      </w:r>
    </w:p>
    <w:p>
      <w:pPr>
        <w:widowControl w:val="0"/>
        <w:ind w:firstLine="480"/>
        <w:rPr>
          <w:color w:val="auto"/>
          <w:highlight w:val="none"/>
        </w:rPr>
      </w:pPr>
      <w:r>
        <w:rPr>
          <w:rFonts w:hint="eastAsia" w:ascii="宋体" w:hAnsi="宋体"/>
          <w:color w:val="auto"/>
          <w:highlight w:val="none"/>
        </w:rPr>
        <w:t>食堂废水中主要污染物为</w:t>
      </w:r>
      <w:r>
        <w:rPr>
          <w:rFonts w:eastAsia="Times New Roman"/>
          <w:color w:val="auto"/>
          <w:highlight w:val="none"/>
        </w:rPr>
        <w:t>COD</w:t>
      </w:r>
      <w:r>
        <w:rPr>
          <w:rFonts w:hint="eastAsia" w:ascii="宋体" w:hAnsi="宋体"/>
          <w:color w:val="auto"/>
          <w:highlight w:val="none"/>
        </w:rPr>
        <w:t>、</w:t>
      </w:r>
      <w:r>
        <w:rPr>
          <w:rFonts w:eastAsia="Times New Roman"/>
          <w:color w:val="auto"/>
          <w:highlight w:val="none"/>
        </w:rPr>
        <w:t>BOD</w:t>
      </w:r>
      <w:r>
        <w:rPr>
          <w:rFonts w:eastAsia="Times New Roman"/>
          <w:color w:val="auto"/>
          <w:sz w:val="16"/>
          <w:highlight w:val="none"/>
        </w:rPr>
        <w:t>5</w:t>
      </w:r>
      <w:r>
        <w:rPr>
          <w:rFonts w:hint="eastAsia" w:ascii="宋体" w:hAnsi="宋体"/>
          <w:color w:val="auto"/>
          <w:highlight w:val="none"/>
        </w:rPr>
        <w:t>、</w:t>
      </w:r>
      <w:r>
        <w:rPr>
          <w:rFonts w:eastAsia="Times New Roman"/>
          <w:color w:val="auto"/>
          <w:highlight w:val="none"/>
        </w:rPr>
        <w:t>SS</w:t>
      </w:r>
      <w:r>
        <w:rPr>
          <w:rFonts w:hint="eastAsia" w:ascii="宋体" w:hAnsi="宋体"/>
          <w:color w:val="auto"/>
          <w:highlight w:val="none"/>
        </w:rPr>
        <w:t>、</w:t>
      </w:r>
      <w:r>
        <w:rPr>
          <w:rFonts w:eastAsia="Times New Roman"/>
          <w:color w:val="auto"/>
          <w:highlight w:val="none"/>
        </w:rPr>
        <w:t>NH</w:t>
      </w:r>
      <w:r>
        <w:rPr>
          <w:rFonts w:eastAsia="Times New Roman"/>
          <w:color w:val="auto"/>
          <w:sz w:val="16"/>
          <w:highlight w:val="none"/>
        </w:rPr>
        <w:t>3</w:t>
      </w:r>
      <w:r>
        <w:rPr>
          <w:rFonts w:eastAsia="Times New Roman"/>
          <w:color w:val="auto"/>
          <w:highlight w:val="none"/>
        </w:rPr>
        <w:t>-N</w:t>
      </w:r>
      <w:r>
        <w:rPr>
          <w:rFonts w:hint="eastAsia" w:ascii="宋体" w:hAnsi="宋体"/>
          <w:color w:val="auto"/>
          <w:highlight w:val="none"/>
        </w:rPr>
        <w:t>、动植物油，浓度分别为</w:t>
      </w:r>
      <w:r>
        <w:rPr>
          <w:rFonts w:eastAsia="Times New Roman"/>
          <w:color w:val="auto"/>
          <w:highlight w:val="none"/>
        </w:rPr>
        <w:t>700</w:t>
      </w:r>
      <w:r>
        <w:rPr>
          <w:rFonts w:hint="eastAsia"/>
          <w:color w:val="auto"/>
          <w:highlight w:val="none"/>
        </w:rPr>
        <w:t>mg/L</w:t>
      </w:r>
      <w:r>
        <w:rPr>
          <w:rFonts w:hint="eastAsia" w:ascii="宋体" w:hAnsi="宋体"/>
          <w:color w:val="auto"/>
          <w:highlight w:val="none"/>
        </w:rPr>
        <w:t>，</w:t>
      </w:r>
      <w:r>
        <w:rPr>
          <w:rFonts w:eastAsia="Times New Roman"/>
          <w:color w:val="auto"/>
          <w:highlight w:val="none"/>
        </w:rPr>
        <w:t>420</w:t>
      </w:r>
      <w:r>
        <w:rPr>
          <w:rFonts w:hint="eastAsia"/>
          <w:color w:val="auto"/>
          <w:highlight w:val="none"/>
        </w:rPr>
        <w:t>mg/L</w:t>
      </w:r>
      <w:r>
        <w:rPr>
          <w:rFonts w:hint="eastAsia" w:ascii="宋体" w:hAnsi="宋体"/>
          <w:color w:val="auto"/>
          <w:highlight w:val="none"/>
        </w:rPr>
        <w:t>，</w:t>
      </w:r>
      <w:r>
        <w:rPr>
          <w:rFonts w:eastAsia="Times New Roman"/>
          <w:color w:val="auto"/>
          <w:highlight w:val="none"/>
        </w:rPr>
        <w:t>200</w:t>
      </w:r>
      <w:r>
        <w:rPr>
          <w:rFonts w:hint="eastAsia"/>
          <w:color w:val="auto"/>
          <w:highlight w:val="none"/>
        </w:rPr>
        <w:t>mg/L</w:t>
      </w:r>
      <w:r>
        <w:rPr>
          <w:rFonts w:hint="eastAsia" w:ascii="宋体" w:hAnsi="宋体"/>
          <w:color w:val="auto"/>
          <w:highlight w:val="none"/>
        </w:rPr>
        <w:t>，</w:t>
      </w:r>
      <w:r>
        <w:rPr>
          <w:rFonts w:eastAsia="Times New Roman"/>
          <w:color w:val="auto"/>
          <w:highlight w:val="none"/>
        </w:rPr>
        <w:t>30</w:t>
      </w:r>
      <w:r>
        <w:rPr>
          <w:rFonts w:hint="eastAsia"/>
          <w:color w:val="auto"/>
          <w:highlight w:val="none"/>
        </w:rPr>
        <w:t>mg/L</w:t>
      </w:r>
      <w:r>
        <w:rPr>
          <w:rFonts w:hint="eastAsia" w:ascii="宋体" w:hAnsi="宋体"/>
          <w:color w:val="auto"/>
          <w:highlight w:val="none"/>
        </w:rPr>
        <w:t>，</w:t>
      </w:r>
      <w:r>
        <w:rPr>
          <w:rFonts w:eastAsia="Times New Roman"/>
          <w:color w:val="auto"/>
          <w:highlight w:val="none"/>
        </w:rPr>
        <w:t>200</w:t>
      </w:r>
      <w:r>
        <w:rPr>
          <w:rFonts w:hint="eastAsia"/>
          <w:color w:val="auto"/>
          <w:highlight w:val="none"/>
        </w:rPr>
        <w:t>mg/L</w:t>
      </w:r>
      <w:r>
        <w:rPr>
          <w:rFonts w:hint="eastAsia" w:ascii="宋体" w:hAnsi="宋体"/>
          <w:color w:val="auto"/>
          <w:highlight w:val="none"/>
        </w:rPr>
        <w:t>。</w:t>
      </w:r>
    </w:p>
    <w:p>
      <w:pPr>
        <w:widowControl w:val="0"/>
        <w:ind w:firstLine="480"/>
        <w:rPr>
          <w:color w:val="auto"/>
          <w:highlight w:val="none"/>
        </w:rPr>
      </w:pPr>
      <w:r>
        <w:rPr>
          <w:rFonts w:hint="eastAsia"/>
          <w:color w:val="auto"/>
          <w:highlight w:val="none"/>
        </w:rPr>
        <w:t>各项废水水质情况见下表。</w:t>
      </w:r>
    </w:p>
    <w:p>
      <w:pPr>
        <w:pStyle w:val="27"/>
        <w:widowControl w:val="0"/>
        <w:rPr>
          <w:color w:val="auto"/>
          <w:highlight w:val="none"/>
        </w:rPr>
      </w:pPr>
      <w:r>
        <w:rPr>
          <w:rFonts w:hint="eastAsia"/>
          <w:color w:val="auto"/>
          <w:highlight w:val="none"/>
        </w:rPr>
        <w:t>项目废水水质情况一览表（旺季）    单位：</w:t>
      </w:r>
      <w:r>
        <w:rPr>
          <w:color w:val="auto"/>
          <w:highlight w:val="none"/>
        </w:rPr>
        <w:t>mg/</w:t>
      </w:r>
      <w:r>
        <w:rPr>
          <w:rFonts w:hint="eastAsia"/>
          <w:color w:val="auto"/>
          <w:highlight w:val="none"/>
        </w:rPr>
        <w:t>L</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840"/>
        <w:gridCol w:w="1945"/>
        <w:gridCol w:w="892"/>
        <w:gridCol w:w="971"/>
        <w:gridCol w:w="1096"/>
        <w:gridCol w:w="848"/>
        <w:gridCol w:w="692"/>
        <w:gridCol w:w="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957" w:type="pc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012" w:type="pct"/>
            <w:tcBorders>
              <w:tl2br w:val="nil"/>
              <w:tr2bl w:val="nil"/>
            </w:tcBorders>
            <w:vAlign w:val="center"/>
          </w:tcPr>
          <w:p>
            <w:pPr>
              <w:pStyle w:val="28"/>
              <w:widowControl w:val="0"/>
              <w:rPr>
                <w:b/>
                <w:bCs/>
                <w:color w:val="auto"/>
                <w:highlight w:val="none"/>
              </w:rPr>
            </w:pPr>
            <w:r>
              <w:rPr>
                <w:rFonts w:hint="eastAsia"/>
                <w:b/>
                <w:bCs/>
                <w:color w:val="auto"/>
                <w:highlight w:val="none"/>
              </w:rPr>
              <w:t>废水量</w:t>
            </w:r>
          </w:p>
          <w:p>
            <w:pPr>
              <w:pStyle w:val="28"/>
              <w:widowControl w:val="0"/>
              <w:rPr>
                <w:b/>
                <w:bCs/>
                <w:color w:val="auto"/>
                <w:highlight w:val="none"/>
              </w:rPr>
            </w:pPr>
            <w:r>
              <w:rPr>
                <w:rFonts w:hint="eastAsia"/>
                <w:b/>
                <w:bCs/>
                <w:color w:val="auto"/>
                <w:highlight w:val="none"/>
              </w:rPr>
              <w:t>（旺季值）</w:t>
            </w:r>
          </w:p>
        </w:tc>
        <w:tc>
          <w:tcPr>
            <w:tcW w:w="464" w:type="pct"/>
            <w:tcBorders>
              <w:tl2br w:val="nil"/>
              <w:tr2bl w:val="nil"/>
            </w:tcBorders>
            <w:vAlign w:val="center"/>
          </w:tcPr>
          <w:p>
            <w:pPr>
              <w:pStyle w:val="28"/>
              <w:widowControl w:val="0"/>
              <w:rPr>
                <w:b/>
                <w:bCs/>
                <w:color w:val="auto"/>
                <w:highlight w:val="none"/>
              </w:rPr>
            </w:pPr>
            <w:r>
              <w:rPr>
                <w:rFonts w:hint="eastAsia"/>
                <w:b/>
                <w:bCs/>
                <w:color w:val="auto"/>
                <w:highlight w:val="none"/>
              </w:rPr>
              <w:t>COD</w:t>
            </w:r>
          </w:p>
        </w:tc>
        <w:tc>
          <w:tcPr>
            <w:tcW w:w="505" w:type="pct"/>
            <w:tcBorders>
              <w:tl2br w:val="nil"/>
              <w:tr2bl w:val="nil"/>
            </w:tcBorders>
            <w:vAlign w:val="center"/>
          </w:tcPr>
          <w:p>
            <w:pPr>
              <w:pStyle w:val="28"/>
              <w:widowControl w:val="0"/>
              <w:rPr>
                <w:b/>
                <w:bCs/>
                <w:color w:val="auto"/>
                <w:highlight w:val="none"/>
              </w:rPr>
            </w:pPr>
            <w:r>
              <w:rPr>
                <w:rFonts w:eastAsia="Times New Roman"/>
                <w:b/>
                <w:bCs/>
                <w:color w:val="auto"/>
                <w:sz w:val="24"/>
                <w:highlight w:val="none"/>
              </w:rPr>
              <w:t>BOD</w:t>
            </w:r>
            <w:r>
              <w:rPr>
                <w:rFonts w:eastAsia="Times New Roman"/>
                <w:b/>
                <w:bCs/>
                <w:color w:val="auto"/>
                <w:sz w:val="16"/>
                <w:highlight w:val="none"/>
              </w:rPr>
              <w:t>5</w:t>
            </w:r>
          </w:p>
        </w:tc>
        <w:tc>
          <w:tcPr>
            <w:tcW w:w="570" w:type="pct"/>
            <w:tcBorders>
              <w:tl2br w:val="nil"/>
              <w:tr2bl w:val="nil"/>
            </w:tcBorders>
            <w:vAlign w:val="center"/>
          </w:tcPr>
          <w:p>
            <w:pPr>
              <w:pStyle w:val="28"/>
              <w:widowControl w:val="0"/>
              <w:rPr>
                <w:b/>
                <w:bCs/>
                <w:color w:val="auto"/>
                <w:highlight w:val="none"/>
              </w:rPr>
            </w:pPr>
            <w:r>
              <w:rPr>
                <w:rFonts w:eastAsia="Times New Roman"/>
                <w:b/>
                <w:bCs/>
                <w:color w:val="auto"/>
                <w:sz w:val="24"/>
                <w:highlight w:val="none"/>
              </w:rPr>
              <w:t>NH</w:t>
            </w:r>
            <w:r>
              <w:rPr>
                <w:rFonts w:eastAsia="Times New Roman"/>
                <w:b/>
                <w:bCs/>
                <w:color w:val="auto"/>
                <w:sz w:val="16"/>
                <w:highlight w:val="none"/>
              </w:rPr>
              <w:t>3</w:t>
            </w:r>
            <w:r>
              <w:rPr>
                <w:rFonts w:eastAsia="Times New Roman"/>
                <w:b/>
                <w:bCs/>
                <w:color w:val="auto"/>
                <w:sz w:val="24"/>
                <w:highlight w:val="none"/>
              </w:rPr>
              <w:t>-N</w:t>
            </w:r>
          </w:p>
        </w:tc>
        <w:tc>
          <w:tcPr>
            <w:tcW w:w="441" w:type="pct"/>
            <w:tcBorders>
              <w:tl2br w:val="nil"/>
              <w:tr2bl w:val="nil"/>
            </w:tcBorders>
            <w:vAlign w:val="center"/>
          </w:tcPr>
          <w:p>
            <w:pPr>
              <w:pStyle w:val="28"/>
              <w:widowControl w:val="0"/>
              <w:rPr>
                <w:b/>
                <w:bCs/>
                <w:color w:val="auto"/>
                <w:highlight w:val="none"/>
              </w:rPr>
            </w:pPr>
            <w:r>
              <w:rPr>
                <w:rFonts w:eastAsia="Times New Roman"/>
                <w:b/>
                <w:bCs/>
                <w:color w:val="auto"/>
                <w:sz w:val="24"/>
                <w:highlight w:val="none"/>
              </w:rPr>
              <w:t>SS</w:t>
            </w:r>
          </w:p>
        </w:tc>
        <w:tc>
          <w:tcPr>
            <w:tcW w:w="360" w:type="pct"/>
            <w:tcBorders>
              <w:tl2br w:val="nil"/>
              <w:tr2bl w:val="nil"/>
            </w:tcBorders>
            <w:vAlign w:val="center"/>
          </w:tcPr>
          <w:p>
            <w:pPr>
              <w:pStyle w:val="28"/>
              <w:widowControl w:val="0"/>
              <w:rPr>
                <w:b/>
                <w:bCs/>
                <w:color w:val="auto"/>
                <w:highlight w:val="none"/>
              </w:rPr>
            </w:pPr>
            <w:r>
              <w:rPr>
                <w:rFonts w:hint="eastAsia"/>
                <w:b/>
                <w:bCs/>
                <w:color w:val="auto"/>
                <w:highlight w:val="none"/>
              </w:rPr>
              <w:t>TP</w:t>
            </w:r>
          </w:p>
        </w:tc>
        <w:tc>
          <w:tcPr>
            <w:tcW w:w="411" w:type="pct"/>
            <w:tcBorders>
              <w:tl2br w:val="nil"/>
              <w:tr2bl w:val="nil"/>
            </w:tcBorders>
            <w:vAlign w:val="center"/>
          </w:tcPr>
          <w:p>
            <w:pPr>
              <w:pStyle w:val="28"/>
              <w:widowControl w:val="0"/>
              <w:rPr>
                <w:b/>
                <w:bCs/>
                <w:color w:val="auto"/>
                <w:highlight w:val="none"/>
              </w:rPr>
            </w:pPr>
            <w:r>
              <w:rPr>
                <w:rFonts w:hint="eastAsia"/>
                <w:b/>
                <w:bCs/>
                <w:color w:val="auto"/>
                <w:highlight w:val="none"/>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957" w:type="pct"/>
            <w:tcBorders>
              <w:tl2br w:val="nil"/>
              <w:tr2bl w:val="nil"/>
            </w:tcBorders>
            <w:vAlign w:val="center"/>
          </w:tcPr>
          <w:p>
            <w:pPr>
              <w:pStyle w:val="28"/>
              <w:widowControl w:val="0"/>
              <w:rPr>
                <w:color w:val="auto"/>
                <w:highlight w:val="none"/>
              </w:rPr>
            </w:pPr>
            <w:r>
              <w:rPr>
                <w:rFonts w:hint="eastAsia"/>
                <w:color w:val="auto"/>
                <w:highlight w:val="none"/>
              </w:rPr>
              <w:t>屠宰废水</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240</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2100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1000</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150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1200</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30</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957" w:type="pct"/>
            <w:tcBorders>
              <w:tl2br w:val="nil"/>
              <w:tr2bl w:val="nil"/>
            </w:tcBorders>
            <w:vAlign w:val="center"/>
          </w:tcPr>
          <w:p>
            <w:pPr>
              <w:pStyle w:val="28"/>
              <w:widowControl w:val="0"/>
              <w:rPr>
                <w:color w:val="auto"/>
                <w:highlight w:val="none"/>
              </w:rPr>
            </w:pPr>
            <w:r>
              <w:rPr>
                <w:rFonts w:hint="eastAsia"/>
                <w:color w:val="auto"/>
                <w:highlight w:val="none"/>
              </w:rPr>
              <w:t>进出车辆冲洗</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1.8</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200</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957" w:type="pct"/>
            <w:tcBorders>
              <w:tl2br w:val="nil"/>
              <w:tr2bl w:val="nil"/>
            </w:tcBorders>
            <w:vAlign w:val="center"/>
          </w:tcPr>
          <w:p>
            <w:pPr>
              <w:pStyle w:val="28"/>
              <w:widowControl w:val="0"/>
              <w:rPr>
                <w:color w:val="auto"/>
                <w:highlight w:val="none"/>
              </w:rPr>
            </w:pPr>
            <w:r>
              <w:rPr>
                <w:rFonts w:hint="eastAsia"/>
                <w:color w:val="auto"/>
                <w:highlight w:val="none"/>
              </w:rPr>
              <w:t>洗涤塔废水</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1800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6" w:type="pct"/>
            <w:gridSpan w:val="2"/>
            <w:tcBorders>
              <w:tl2br w:val="nil"/>
              <w:tr2bl w:val="nil"/>
            </w:tcBorders>
            <w:vAlign w:val="center"/>
          </w:tcPr>
          <w:p>
            <w:pPr>
              <w:pStyle w:val="28"/>
              <w:widowControl w:val="0"/>
              <w:rPr>
                <w:color w:val="auto"/>
                <w:highlight w:val="none"/>
              </w:rPr>
            </w:pPr>
            <w:r>
              <w:rPr>
                <w:rFonts w:hint="eastAsia"/>
                <w:color w:val="auto"/>
                <w:highlight w:val="none"/>
              </w:rPr>
              <w:t>生产废水小计</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251.8</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 xml:space="preserve">2077 </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 xml:space="preserve">955 </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 xml:space="preserve">155 </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1146 </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 xml:space="preserve">29 </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 xml:space="preserve">143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957" w:type="pct"/>
            <w:tcBorders>
              <w:tl2br w:val="nil"/>
              <w:tr2bl w:val="nil"/>
            </w:tcBorders>
            <w:vAlign w:val="center"/>
          </w:tcPr>
          <w:p>
            <w:pPr>
              <w:pStyle w:val="28"/>
              <w:widowControl w:val="0"/>
              <w:rPr>
                <w:color w:val="auto"/>
                <w:highlight w:val="none"/>
              </w:rPr>
            </w:pPr>
            <w:r>
              <w:rPr>
                <w:rFonts w:hint="eastAsia"/>
                <w:color w:val="auto"/>
                <w:highlight w:val="none"/>
              </w:rPr>
              <w:t>员工</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2.15</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350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250</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40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957" w:type="pct"/>
            <w:tcBorders>
              <w:tl2br w:val="nil"/>
              <w:tr2bl w:val="nil"/>
            </w:tcBorders>
            <w:vAlign w:val="center"/>
          </w:tcPr>
          <w:p>
            <w:pPr>
              <w:pStyle w:val="28"/>
              <w:widowControl w:val="0"/>
              <w:rPr>
                <w:color w:val="auto"/>
                <w:highlight w:val="none"/>
              </w:rPr>
            </w:pPr>
            <w:r>
              <w:rPr>
                <w:rFonts w:hint="eastAsia"/>
                <w:color w:val="auto"/>
                <w:highlight w:val="none"/>
              </w:rPr>
              <w:t>食堂用水</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0.85</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700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420</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30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6" w:type="pct"/>
            <w:gridSpan w:val="2"/>
            <w:tcBorders>
              <w:tl2br w:val="nil"/>
              <w:tr2bl w:val="nil"/>
            </w:tcBorders>
            <w:vAlign w:val="center"/>
          </w:tcPr>
          <w:p>
            <w:pPr>
              <w:pStyle w:val="28"/>
              <w:widowControl w:val="0"/>
              <w:rPr>
                <w:color w:val="auto"/>
                <w:highlight w:val="none"/>
              </w:rPr>
            </w:pPr>
            <w:r>
              <w:rPr>
                <w:rFonts w:hint="eastAsia"/>
                <w:color w:val="auto"/>
                <w:highlight w:val="none"/>
              </w:rPr>
              <w:t>生活污水小计</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3.0</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450</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299</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37</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220</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6" w:type="pct"/>
            <w:gridSpan w:val="2"/>
            <w:tcBorders>
              <w:tl2br w:val="nil"/>
              <w:tr2bl w:val="nil"/>
            </w:tcBorders>
            <w:vAlign w:val="center"/>
          </w:tcPr>
          <w:p>
            <w:pPr>
              <w:pStyle w:val="28"/>
              <w:widowControl w:val="0"/>
              <w:rPr>
                <w:color w:val="auto"/>
                <w:highlight w:val="none"/>
              </w:rPr>
            </w:pPr>
            <w:r>
              <w:rPr>
                <w:rFonts w:hint="eastAsia"/>
                <w:color w:val="auto"/>
                <w:highlight w:val="none"/>
              </w:rPr>
              <w:t>厂区综合废水总计</w:t>
            </w:r>
          </w:p>
        </w:tc>
        <w:tc>
          <w:tcPr>
            <w:tcW w:w="1012" w:type="pct"/>
            <w:tcBorders>
              <w:tl2br w:val="nil"/>
              <w:tr2bl w:val="nil"/>
            </w:tcBorders>
            <w:vAlign w:val="center"/>
          </w:tcPr>
          <w:p>
            <w:pPr>
              <w:pStyle w:val="28"/>
              <w:widowControl w:val="0"/>
              <w:rPr>
                <w:color w:val="auto"/>
                <w:highlight w:val="none"/>
              </w:rPr>
            </w:pPr>
            <w:r>
              <w:rPr>
                <w:rFonts w:hint="eastAsia"/>
                <w:color w:val="auto"/>
                <w:highlight w:val="none"/>
              </w:rPr>
              <w:t>254.8</w:t>
            </w:r>
          </w:p>
        </w:tc>
        <w:tc>
          <w:tcPr>
            <w:tcW w:w="464" w:type="pct"/>
            <w:tcBorders>
              <w:tl2br w:val="nil"/>
              <w:tr2bl w:val="nil"/>
            </w:tcBorders>
            <w:vAlign w:val="center"/>
          </w:tcPr>
          <w:p>
            <w:pPr>
              <w:pStyle w:val="28"/>
              <w:widowControl w:val="0"/>
              <w:rPr>
                <w:color w:val="auto"/>
                <w:highlight w:val="none"/>
              </w:rPr>
            </w:pPr>
            <w:r>
              <w:rPr>
                <w:rFonts w:hint="eastAsia"/>
                <w:color w:val="auto"/>
                <w:highlight w:val="none"/>
              </w:rPr>
              <w:t xml:space="preserve">2059 </w:t>
            </w:r>
          </w:p>
        </w:tc>
        <w:tc>
          <w:tcPr>
            <w:tcW w:w="505" w:type="pct"/>
            <w:tcBorders>
              <w:tl2br w:val="nil"/>
              <w:tr2bl w:val="nil"/>
            </w:tcBorders>
            <w:vAlign w:val="center"/>
          </w:tcPr>
          <w:p>
            <w:pPr>
              <w:pStyle w:val="28"/>
              <w:widowControl w:val="0"/>
              <w:rPr>
                <w:color w:val="auto"/>
                <w:highlight w:val="none"/>
              </w:rPr>
            </w:pPr>
            <w:r>
              <w:rPr>
                <w:rFonts w:hint="eastAsia"/>
                <w:color w:val="auto"/>
                <w:highlight w:val="none"/>
              </w:rPr>
              <w:t xml:space="preserve">947 </w:t>
            </w:r>
          </w:p>
        </w:tc>
        <w:tc>
          <w:tcPr>
            <w:tcW w:w="570" w:type="pct"/>
            <w:tcBorders>
              <w:tl2br w:val="nil"/>
              <w:tr2bl w:val="nil"/>
            </w:tcBorders>
            <w:vAlign w:val="center"/>
          </w:tcPr>
          <w:p>
            <w:pPr>
              <w:pStyle w:val="28"/>
              <w:widowControl w:val="0"/>
              <w:rPr>
                <w:color w:val="auto"/>
                <w:highlight w:val="none"/>
              </w:rPr>
            </w:pPr>
            <w:r>
              <w:rPr>
                <w:rFonts w:hint="eastAsia"/>
                <w:color w:val="auto"/>
                <w:highlight w:val="none"/>
              </w:rPr>
              <w:t xml:space="preserve">154 </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1136 </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 xml:space="preserve">28 </w:t>
            </w:r>
          </w:p>
        </w:tc>
        <w:tc>
          <w:tcPr>
            <w:tcW w:w="411" w:type="pct"/>
            <w:tcBorders>
              <w:tl2br w:val="nil"/>
              <w:tr2bl w:val="nil"/>
            </w:tcBorders>
            <w:vAlign w:val="center"/>
          </w:tcPr>
          <w:p>
            <w:pPr>
              <w:pStyle w:val="28"/>
              <w:widowControl w:val="0"/>
              <w:rPr>
                <w:color w:val="auto"/>
                <w:highlight w:val="none"/>
              </w:rPr>
            </w:pPr>
            <w:r>
              <w:rPr>
                <w:rFonts w:hint="eastAsia"/>
                <w:color w:val="auto"/>
                <w:highlight w:val="none"/>
              </w:rPr>
              <w:t xml:space="preserve">142 </w:t>
            </w:r>
          </w:p>
        </w:tc>
      </w:tr>
    </w:tbl>
    <w:p>
      <w:pPr>
        <w:pStyle w:val="6"/>
        <w:widowControl w:val="0"/>
        <w:ind w:left="-160" w:firstLineChars="0"/>
        <w:rPr>
          <w:color w:val="auto"/>
          <w:highlight w:val="none"/>
        </w:rPr>
      </w:pPr>
      <w:r>
        <w:rPr>
          <w:rFonts w:hint="eastAsia"/>
          <w:color w:val="auto"/>
          <w:highlight w:val="none"/>
        </w:rPr>
        <w:t>初期雨水</w:t>
      </w:r>
    </w:p>
    <w:p>
      <w:pPr>
        <w:widowControl w:val="0"/>
        <w:ind w:firstLine="480"/>
        <w:rPr>
          <w:color w:val="auto"/>
          <w:highlight w:val="none"/>
        </w:rPr>
      </w:pPr>
      <w:r>
        <w:rPr>
          <w:rFonts w:hint="eastAsia"/>
          <w:color w:val="auto"/>
          <w:highlight w:val="none"/>
        </w:rPr>
        <w:t>本项目在实际生产过程中，难免会有少量物料散落在地面，随着雨水的冲刷，各类污染物将被雨水带入到地表水体中，从而对地表水水质造成影响，根据本项目的特征，本项目内地面易出现污染物的主要为屠宰车间、待宰圈以及洗车场外侧道路（主要易散落猪粪等）。</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根据国家给排水设计规范要求，暴雨设计流量应按下列公式计算：</w:t>
      </w:r>
    </w:p>
    <w:p>
      <w:pPr>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Q=ΨqF</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雨水流量，L/s；</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Ψ</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径流系数，经验数值为0.</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（按地面硬化后考虑）；</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设计暴雨强度，L/s·hm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汇水面积，hm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暴雨强度公式参考《巴中市暴雨强度公式推求研究》（中国市政工程</w:t>
      </w:r>
      <w:r>
        <w:rPr>
          <w:rFonts w:hint="default" w:ascii="Times New Roman" w:hAnsi="Times New Roman" w:eastAsia="宋体" w:cs="Times New Roman"/>
          <w:color w:val="auto"/>
          <w:sz w:val="24"/>
          <w:szCs w:val="24"/>
          <w:highlight w:val="none"/>
          <w:lang w:val="en-US" w:eastAsia="zh-CN"/>
        </w:rPr>
        <w:t>.2017年04期.巴中市气象局等</w:t>
      </w:r>
      <w:r>
        <w:rPr>
          <w:rFonts w:hint="default" w:ascii="Times New Roman" w:hAnsi="Times New Roman" w:eastAsia="宋体" w:cs="Times New Roman"/>
          <w:color w:val="auto"/>
          <w:sz w:val="24"/>
          <w:szCs w:val="24"/>
          <w:highlight w:val="none"/>
          <w:lang w:eastAsia="zh-CN"/>
        </w:rPr>
        <w:t>），具体如下：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drawing>
          <wp:inline distT="0" distB="0" distL="114300" distR="114300">
            <wp:extent cx="2012950" cy="356870"/>
            <wp:effectExtent l="0" t="0" r="6350" b="508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1"/>
                    <a:stretch>
                      <a:fillRect/>
                    </a:stretch>
                  </pic:blipFill>
                  <pic:spPr>
                    <a:xfrm>
                      <a:off x="0" y="0"/>
                      <a:ext cx="2012950" cy="35687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0</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设计暴雨强度，</w:t>
      </w:r>
      <w:r>
        <w:rPr>
          <w:rFonts w:hint="default" w:ascii="Times New Roman" w:hAnsi="Times New Roman" w:eastAsia="宋体" w:cs="Times New Roman"/>
          <w:color w:val="auto"/>
          <w:sz w:val="24"/>
          <w:szCs w:val="24"/>
          <w:highlight w:val="none"/>
          <w:lang w:val="en-US" w:eastAsia="zh-CN"/>
        </w:rPr>
        <w:t>L/s·hm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spacing w:line="360" w:lineRule="auto"/>
        <w:ind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P</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设计降雨重现期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降雨历时</w:t>
      </w:r>
      <w:r>
        <w:rPr>
          <w:rFonts w:hint="default" w:ascii="Times New Roman" w:hAnsi="Times New Roman" w:eastAsia="宋体" w:cs="Times New Roman"/>
          <w:color w:val="auto"/>
          <w:sz w:val="24"/>
          <w:szCs w:val="24"/>
          <w:highlight w:val="none"/>
        </w:rPr>
        <w:t>（min）</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按P=</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a，t=</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eastAsia="zh-CN"/>
        </w:rPr>
        <w:t>min计算，得暴雨强度q=</w:t>
      </w:r>
      <w:r>
        <w:rPr>
          <w:rFonts w:hint="default" w:ascii="Times New Roman" w:hAnsi="Times New Roman" w:eastAsia="宋体" w:cs="Times New Roman"/>
          <w:color w:val="auto"/>
          <w:sz w:val="24"/>
          <w:szCs w:val="24"/>
          <w:highlight w:val="none"/>
          <w:lang w:val="en-US" w:eastAsia="zh-CN"/>
        </w:rPr>
        <w:t>254.84</w:t>
      </w:r>
      <w:r>
        <w:rPr>
          <w:rFonts w:hint="default" w:ascii="Times New Roman" w:hAnsi="Times New Roman" w:eastAsia="宋体" w:cs="Times New Roman"/>
          <w:color w:val="auto"/>
          <w:sz w:val="24"/>
          <w:szCs w:val="24"/>
          <w:highlight w:val="none"/>
          <w:lang w:eastAsia="zh-CN"/>
        </w:rPr>
        <w:t>L/s•hm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本项目场地汇水面积为</w:t>
      </w:r>
      <w:r>
        <w:rPr>
          <w:rFonts w:hint="eastAsia" w:eastAsia="宋体" w:cs="Times New Roman"/>
          <w:color w:val="auto"/>
          <w:sz w:val="24"/>
          <w:szCs w:val="24"/>
          <w:highlight w:val="none"/>
          <w:lang w:val="en-US" w:eastAsia="zh-CN"/>
        </w:rPr>
        <w:t>0.45</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eastAsia="zh-CN"/>
        </w:rPr>
        <w:t>，</w:t>
      </w:r>
      <w:r>
        <w:rPr>
          <w:rStyle w:val="25"/>
          <w:rFonts w:hint="default" w:ascii="Times New Roman" w:hAnsi="Times New Roman" w:eastAsia="宋体" w:cs="Times New Roman"/>
          <w:color w:val="auto"/>
          <w:kern w:val="0"/>
          <w:sz w:val="24"/>
          <w:szCs w:val="24"/>
          <w:highlight w:val="none"/>
          <w:lang w:eastAsia="zh-CN"/>
        </w:rPr>
        <w:t>计算得</w:t>
      </w:r>
      <w:r>
        <w:rPr>
          <w:rStyle w:val="25"/>
          <w:rFonts w:hint="default" w:ascii="Times New Roman" w:hAnsi="Times New Roman" w:eastAsia="宋体" w:cs="Times New Roman"/>
          <w:color w:val="auto"/>
          <w:kern w:val="0"/>
          <w:sz w:val="24"/>
          <w:szCs w:val="24"/>
          <w:highlight w:val="none"/>
          <w:lang w:val="en-US" w:eastAsia="zh-CN"/>
        </w:rPr>
        <w:t>出</w:t>
      </w:r>
      <w:r>
        <w:rPr>
          <w:rStyle w:val="25"/>
          <w:rFonts w:hint="default" w:ascii="Times New Roman" w:hAnsi="Times New Roman" w:eastAsia="宋体" w:cs="Times New Roman"/>
          <w:color w:val="auto"/>
          <w:kern w:val="0"/>
          <w:sz w:val="24"/>
          <w:szCs w:val="24"/>
          <w:highlight w:val="none"/>
          <w:lang w:eastAsia="zh-CN"/>
        </w:rPr>
        <w:t>雨水设计流量为：Qs=</w:t>
      </w:r>
      <w:r>
        <w:rPr>
          <w:rStyle w:val="25"/>
          <w:rFonts w:hint="eastAsia" w:eastAsia="宋体" w:cs="Times New Roman"/>
          <w:color w:val="auto"/>
          <w:kern w:val="0"/>
          <w:sz w:val="24"/>
          <w:szCs w:val="24"/>
          <w:highlight w:val="none"/>
          <w:lang w:val="en-US" w:eastAsia="zh-CN"/>
        </w:rPr>
        <w:t>96.21</w:t>
      </w:r>
      <w:r>
        <w:rPr>
          <w:rStyle w:val="25"/>
          <w:rFonts w:hint="default" w:ascii="Times New Roman" w:hAnsi="Times New Roman" w:eastAsia="宋体" w:cs="Times New Roman"/>
          <w:color w:val="auto"/>
          <w:kern w:val="0"/>
          <w:sz w:val="24"/>
          <w:szCs w:val="24"/>
          <w:highlight w:val="none"/>
          <w:lang w:eastAsia="zh-CN"/>
        </w:rPr>
        <w:t>L/s。初期雨水按降雨前15min雨量计算，则初期雨水量为</w:t>
      </w:r>
      <w:r>
        <w:rPr>
          <w:rStyle w:val="25"/>
          <w:rFonts w:hint="eastAsia" w:eastAsia="宋体" w:cs="Times New Roman"/>
          <w:color w:val="auto"/>
          <w:kern w:val="0"/>
          <w:sz w:val="24"/>
          <w:szCs w:val="24"/>
          <w:highlight w:val="none"/>
          <w:lang w:val="en-US" w:eastAsia="zh-CN"/>
        </w:rPr>
        <w:t>96.21</w:t>
      </w:r>
      <w:r>
        <w:rPr>
          <w:rStyle w:val="25"/>
          <w:rFonts w:hint="default" w:ascii="Times New Roman" w:hAnsi="Times New Roman" w:eastAsia="宋体" w:cs="Times New Roman"/>
          <w:color w:val="auto"/>
          <w:kern w:val="0"/>
          <w:sz w:val="24"/>
          <w:szCs w:val="24"/>
          <w:highlight w:val="none"/>
          <w:lang w:eastAsia="zh-CN"/>
        </w:rPr>
        <w:t>m</w:t>
      </w:r>
      <w:r>
        <w:rPr>
          <w:rStyle w:val="25"/>
          <w:rFonts w:hint="default" w:ascii="Times New Roman" w:hAnsi="Times New Roman" w:eastAsia="宋体" w:cs="Times New Roman"/>
          <w:color w:val="auto"/>
          <w:kern w:val="0"/>
          <w:sz w:val="24"/>
          <w:szCs w:val="24"/>
          <w:highlight w:val="none"/>
          <w:vertAlign w:val="superscript"/>
          <w:lang w:eastAsia="zh-CN"/>
        </w:rPr>
        <w:t>3</w:t>
      </w:r>
      <w:r>
        <w:rPr>
          <w:rStyle w:val="25"/>
          <w:rFonts w:hint="default" w:ascii="Times New Roman" w:hAnsi="Times New Roman" w:eastAsia="宋体" w:cs="Times New Roman"/>
          <w:color w:val="auto"/>
          <w:kern w:val="0"/>
          <w:sz w:val="24"/>
          <w:szCs w:val="24"/>
          <w:highlight w:val="none"/>
          <w:lang w:eastAsia="zh-CN"/>
        </w:rPr>
        <w:t>/次。</w:t>
      </w:r>
    </w:p>
    <w:p>
      <w:pPr>
        <w:ind w:firstLine="0"/>
        <w:rPr>
          <w:color w:val="auto"/>
          <w:highlight w:val="none"/>
        </w:rPr>
      </w:pPr>
      <w:r>
        <w:rPr>
          <w:rFonts w:hint="eastAsia"/>
          <w:color w:val="auto"/>
          <w:highlight w:val="none"/>
        </w:rPr>
        <w:t>因此本次评价要求在屠宰车间、待宰圈以及洗车场外厂区道路外侧设置截水沟，地面微倾斜于截水沟，便于收集初期雨水以及地坪冲洗废水，并设置阀门控制与雨、污水管道相接，平时关闭雨水管道相接阀门，开启污水阀门，排至污水处理站处理后排入元坨社区市政污水管网，通过市政污水管网汇入响滩镇污水处理厂处理；雨天</w:t>
      </w:r>
      <w:r>
        <w:rPr>
          <w:color w:val="auto"/>
          <w:highlight w:val="none"/>
        </w:rPr>
        <w:t>15</w:t>
      </w:r>
      <w:r>
        <w:rPr>
          <w:rFonts w:hint="eastAsia"/>
          <w:color w:val="auto"/>
          <w:highlight w:val="none"/>
        </w:rPr>
        <w:t>分钟后再开启雨水阀门，关闭污水阀门，</w:t>
      </w:r>
      <w:r>
        <w:rPr>
          <w:rFonts w:hint="eastAsia"/>
          <w:color w:val="auto"/>
          <w:highlight w:val="none"/>
          <w:lang w:val="en-US" w:eastAsia="zh-CN"/>
        </w:rPr>
        <w:t>直接排入濛溪河</w:t>
      </w:r>
      <w:r>
        <w:rPr>
          <w:rFonts w:hint="eastAsia"/>
          <w:color w:val="auto"/>
          <w:highlight w:val="none"/>
        </w:rPr>
        <w:t>。</w:t>
      </w:r>
    </w:p>
    <w:p>
      <w:pPr>
        <w:pStyle w:val="6"/>
        <w:widowControl w:val="0"/>
        <w:ind w:left="-160" w:firstLineChars="0"/>
        <w:rPr>
          <w:color w:val="auto"/>
          <w:highlight w:val="none"/>
        </w:rPr>
      </w:pPr>
      <w:r>
        <w:rPr>
          <w:rFonts w:hint="eastAsia"/>
          <w:color w:val="auto"/>
          <w:highlight w:val="none"/>
        </w:rPr>
        <w:t>废水治理措施</w:t>
      </w:r>
    </w:p>
    <w:p>
      <w:pPr>
        <w:widowControl w:val="0"/>
        <w:wordWrap w:val="0"/>
        <w:ind w:firstLine="480"/>
        <w:rPr>
          <w:color w:val="auto"/>
          <w:highlight w:val="none"/>
        </w:rPr>
      </w:pPr>
      <w:r>
        <w:rPr>
          <w:rFonts w:hint="eastAsia"/>
          <w:color w:val="auto"/>
          <w:highlight w:val="none"/>
        </w:rPr>
        <w:t>根据成都市生态环境局2019年6月5日公示（公示网站连接：http://sthj.chengdu.gov.cn/cdhbj/c136999/2019-06/05/content_22a00ed8382441e68cb1069e228b9d59.shtml）审批的《四川省成都市简阳市河西屠宰场》可知，该项目年屠宰生猪45万头，其生活污水与生产废水一并进入该项目自建污水处理站处理达到《肉类加工工业水污染物排放标准》（GB13457-92）表3畜类屠宰三级排放标准及</w:t>
      </w:r>
      <w:r>
        <w:rPr>
          <w:color w:val="auto"/>
          <w:highlight w:val="none"/>
        </w:rPr>
        <w:t>《污水排入城镇下水道水质标准》</w:t>
      </w:r>
      <w:r>
        <w:rPr>
          <w:rFonts w:hint="eastAsia"/>
          <w:color w:val="auto"/>
          <w:highlight w:val="none"/>
        </w:rPr>
        <w:t>（</w:t>
      </w:r>
      <w:r>
        <w:rPr>
          <w:color w:val="auto"/>
          <w:highlight w:val="none"/>
        </w:rPr>
        <w:t>GB/T31962-2015）</w:t>
      </w:r>
      <w:r>
        <w:rPr>
          <w:rFonts w:hint="eastAsia"/>
          <w:color w:val="auto"/>
          <w:highlight w:val="none"/>
        </w:rPr>
        <w:t>标准后进入</w:t>
      </w:r>
      <w:r>
        <w:rPr>
          <w:color w:val="auto"/>
          <w:highlight w:val="none"/>
        </w:rPr>
        <w:t>贾家镇生活污水处理厂经处理达到《城镇污水处理厂污染物排放标准》（GB18918-2002）中一级A 准后，最终排入关帝庙河</w:t>
      </w:r>
      <w:r>
        <w:rPr>
          <w:rFonts w:hint="eastAsia"/>
          <w:color w:val="auto"/>
          <w:highlight w:val="none"/>
        </w:rPr>
        <w:t>；成都市生态环境局2019年5月5日公示（公示网站连接：http://sthj.chengdu.gov.cn/cdhbj/c136999/2019-05/05/content_c846c14225b74a64b4977158bb97e4a4.shtml）审批的《四川鸿杰屠宰场》可知，该项目年屠宰生猪20万头、禽类100万只，其项目产生的废水进入自建污水处理站处理达到《肉类加工工业水污染物排放标准》（GB13457-92）表3畜类屠宰三级排放标准后排入</w:t>
      </w:r>
      <w:r>
        <w:rPr>
          <w:color w:val="auto"/>
          <w:highlight w:val="none"/>
        </w:rPr>
        <w:t>平武镇污水管网，进入平武污水处理厂处理达《四川省岷江、沱江流域水污染物排放标准》（DB51 / 2311-2016）表1-2城镇污水处理厂排放标准后排入江南河。</w:t>
      </w:r>
    </w:p>
    <w:p>
      <w:pPr>
        <w:widowControl w:val="0"/>
        <w:ind w:firstLine="480"/>
        <w:rPr>
          <w:color w:val="auto"/>
          <w:highlight w:val="none"/>
        </w:rPr>
      </w:pPr>
      <w:r>
        <w:rPr>
          <w:rFonts w:hint="eastAsia"/>
          <w:color w:val="auto"/>
          <w:highlight w:val="none"/>
        </w:rPr>
        <w:t>类别上述同类项目可知，项目产生的废水均通过自建污水处理站处理达到《肉类加工工业水污染物排放标准》（GB13457-92）表3畜类屠宰三级排放标准后排入市政管网，进入生活污水处理厂处理达标后排入地表水体，因此，本项目拟设置一座处理能力为500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的污水处理站，处理工艺采用“格栅池+沉渣池+多功能生物调节池+气浮沉渣池+厌氧池+初沉池+缺氧池1+好氧池1+紫外线消毒+清水池”组合工艺，处理后达到《肉类加工工业水污染物排放标准》（GB13457-92）表3畜类屠宰三级排放标准及</w:t>
      </w:r>
      <w:r>
        <w:rPr>
          <w:color w:val="auto"/>
          <w:highlight w:val="none"/>
        </w:rPr>
        <w:t>《污水排入城镇下水道水质标准》</w:t>
      </w:r>
      <w:r>
        <w:rPr>
          <w:rFonts w:hint="eastAsia"/>
          <w:color w:val="auto"/>
          <w:highlight w:val="none"/>
        </w:rPr>
        <w:t>（</w:t>
      </w:r>
      <w:r>
        <w:rPr>
          <w:color w:val="auto"/>
          <w:highlight w:val="none"/>
        </w:rPr>
        <w:t>GB/T31962-2015）</w:t>
      </w:r>
      <w:r>
        <w:rPr>
          <w:rFonts w:hint="eastAsia"/>
          <w:color w:val="auto"/>
          <w:highlight w:val="none"/>
        </w:rPr>
        <w:t>标准后排入元坨社区市政污水管网，通过市政污水管网汇入响滩镇污水处理厂处理，经响滩镇污水处理厂处理达到</w:t>
      </w:r>
      <w:r>
        <w:rPr>
          <w:color w:val="auto"/>
          <w:highlight w:val="none"/>
        </w:rPr>
        <w:t>《城镇污水处理厂污染物排放标准》（GB18918-2002）中一级A标准后</w:t>
      </w:r>
      <w:r>
        <w:rPr>
          <w:rFonts w:hint="eastAsia"/>
          <w:color w:val="auto"/>
          <w:highlight w:val="none"/>
        </w:rPr>
        <w:t>排入濛溪河。</w:t>
      </w:r>
    </w:p>
    <w:p>
      <w:pPr>
        <w:widowControl w:val="0"/>
        <w:ind w:firstLine="0" w:firstLineChars="0"/>
        <w:rPr>
          <w:color w:val="auto"/>
          <w:highlight w:val="none"/>
        </w:rPr>
      </w:pPr>
      <w:r>
        <w:rPr>
          <w:rFonts w:hint="eastAsia"/>
          <w:color w:val="auto"/>
          <w:highlight w:val="none"/>
        </w:rPr>
        <w:t>项目西北侧1.2km元坨社区于2022完成市政管网建设并投入运行，根据平昌县住房和城乡建设局出具的《关于将项目废弃污水排入响滩镇污水处理站的批复》可知，接入响滩镇污水处理厂的管网需建设单位自行建设，因此，本项目拟污水建管网约1.5km并配套建设1个提升泵，管网末端接入元坨社区市政污水管网，本项目污水管网与市政污水管网衔接处由本项目建设单位负责建设及日常维护。</w:t>
      </w:r>
    </w:p>
    <w:p>
      <w:pPr>
        <w:widowControl w:val="0"/>
        <w:ind w:firstLine="480"/>
        <w:rPr>
          <w:color w:val="auto"/>
          <w:highlight w:val="none"/>
        </w:rPr>
        <w:sectPr>
          <w:pgSz w:w="12240" w:h="15840"/>
          <w:pgMar w:top="1440" w:right="1417"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6"/>
        <w:widowControl w:val="0"/>
        <w:ind w:left="-160" w:firstLineChars="0"/>
        <w:rPr>
          <w:color w:val="auto"/>
          <w:highlight w:val="none"/>
        </w:rPr>
      </w:pPr>
      <w:r>
        <w:rPr>
          <w:rFonts w:hint="eastAsia"/>
          <w:color w:val="auto"/>
          <w:highlight w:val="none"/>
        </w:rPr>
        <w:t>项目污染物产排情况</w:t>
      </w:r>
    </w:p>
    <w:p>
      <w:pPr>
        <w:widowControl w:val="0"/>
        <w:ind w:firstLine="480"/>
        <w:rPr>
          <w:color w:val="auto"/>
          <w:highlight w:val="none"/>
        </w:rPr>
      </w:pPr>
      <w:r>
        <w:rPr>
          <w:rFonts w:hint="eastAsia"/>
          <w:color w:val="auto"/>
          <w:highlight w:val="none"/>
        </w:rPr>
        <w:t>项目产排情况见下表。</w:t>
      </w:r>
    </w:p>
    <w:p>
      <w:pPr>
        <w:pStyle w:val="27"/>
        <w:widowControl w:val="0"/>
        <w:rPr>
          <w:rFonts w:ascii="宋体" w:hAnsi="宋体"/>
          <w:color w:val="auto"/>
          <w:sz w:val="22"/>
          <w:highlight w:val="none"/>
        </w:rPr>
      </w:pPr>
      <w:r>
        <w:rPr>
          <w:rFonts w:hint="eastAsia" w:ascii="宋体" w:hAnsi="宋体"/>
          <w:color w:val="auto"/>
          <w:sz w:val="22"/>
          <w:highlight w:val="none"/>
        </w:rPr>
        <w:t>项目废水污染物产生及排放情况汇总表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79"/>
        <w:gridCol w:w="701"/>
        <w:gridCol w:w="919"/>
        <w:gridCol w:w="1545"/>
        <w:gridCol w:w="755"/>
        <w:gridCol w:w="1028"/>
        <w:gridCol w:w="832"/>
        <w:gridCol w:w="1602"/>
        <w:gridCol w:w="1545"/>
        <w:gridCol w:w="735"/>
        <w:gridCol w:w="985"/>
        <w:gridCol w:w="720"/>
        <w:gridCol w:w="966"/>
        <w:gridCol w:w="1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6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设施</w:t>
            </w:r>
          </w:p>
        </w:tc>
        <w:tc>
          <w:tcPr>
            <w:tcW w:w="244"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32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449"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污染物产生</w:t>
            </w:r>
          </w:p>
        </w:tc>
        <w:tc>
          <w:tcPr>
            <w:tcW w:w="55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c>
          <w:tcPr>
            <w:tcW w:w="1388" w:type="pct"/>
            <w:gridSpan w:val="4"/>
            <w:tcBorders>
              <w:tl2br w:val="nil"/>
              <w:tr2bl w:val="nil"/>
            </w:tcBorders>
            <w:vAlign w:val="center"/>
          </w:tcPr>
          <w:p>
            <w:pPr>
              <w:pStyle w:val="28"/>
              <w:widowControl w:val="0"/>
              <w:rPr>
                <w:b/>
                <w:bCs/>
                <w:color w:val="auto"/>
                <w:highlight w:val="none"/>
              </w:rPr>
            </w:pPr>
            <w:r>
              <w:rPr>
                <w:rFonts w:hint="eastAsia"/>
                <w:b/>
                <w:bCs/>
                <w:color w:val="auto"/>
                <w:highlight w:val="none"/>
              </w:rPr>
              <w:t>污染物排放浓度</w:t>
            </w:r>
          </w:p>
        </w:tc>
        <w:tc>
          <w:tcPr>
            <w:tcW w:w="336" w:type="pct"/>
            <w:vMerge w:val="restart"/>
            <w:tcBorders>
              <w:tl2br w:val="nil"/>
              <w:tr2bl w:val="nil"/>
            </w:tcBorders>
            <w:vAlign w:val="center"/>
          </w:tcPr>
          <w:p>
            <w:pPr>
              <w:pStyle w:val="28"/>
              <w:widowControl w:val="0"/>
              <w:rPr>
                <w:color w:val="auto"/>
                <w:highlight w:val="none"/>
              </w:rPr>
            </w:pPr>
            <w:r>
              <w:rPr>
                <w:rFonts w:hint="eastAsia"/>
                <w:b/>
                <w:bCs/>
                <w:color w:val="auto"/>
                <w:highlight w:val="none"/>
              </w:rPr>
              <w:t>排放时间</w:t>
            </w:r>
          </w:p>
        </w:tc>
        <w:tc>
          <w:tcPr>
            <w:tcW w:w="38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tcBorders>
              <w:tl2br w:val="nil"/>
              <w:tr2bl w:val="nil"/>
            </w:tcBorders>
            <w:vAlign w:val="center"/>
          </w:tcPr>
          <w:p>
            <w:pPr>
              <w:pStyle w:val="28"/>
              <w:widowControl w:val="0"/>
              <w:rPr>
                <w:b/>
                <w:bCs/>
                <w:color w:val="auto"/>
                <w:highlight w:val="none"/>
              </w:rPr>
            </w:pPr>
          </w:p>
        </w:tc>
        <w:tc>
          <w:tcPr>
            <w:tcW w:w="166" w:type="pct"/>
            <w:vMerge w:val="continue"/>
            <w:tcBorders>
              <w:tl2br w:val="nil"/>
              <w:tr2bl w:val="nil"/>
            </w:tcBorders>
            <w:vAlign w:val="center"/>
          </w:tcPr>
          <w:p>
            <w:pPr>
              <w:pStyle w:val="28"/>
              <w:widowControl w:val="0"/>
              <w:rPr>
                <w:b/>
                <w:bCs/>
                <w:color w:val="auto"/>
                <w:highlight w:val="none"/>
              </w:rPr>
            </w:pPr>
          </w:p>
        </w:tc>
        <w:tc>
          <w:tcPr>
            <w:tcW w:w="244" w:type="pct"/>
            <w:vMerge w:val="continue"/>
            <w:tcBorders>
              <w:tl2br w:val="nil"/>
              <w:tr2bl w:val="nil"/>
            </w:tcBorders>
            <w:vAlign w:val="center"/>
          </w:tcPr>
          <w:p>
            <w:pPr>
              <w:pStyle w:val="28"/>
              <w:widowControl w:val="0"/>
              <w:rPr>
                <w:b/>
                <w:bCs/>
                <w:color w:val="auto"/>
                <w:highlight w:val="none"/>
              </w:rPr>
            </w:pPr>
          </w:p>
        </w:tc>
        <w:tc>
          <w:tcPr>
            <w:tcW w:w="320" w:type="pct"/>
            <w:vMerge w:val="continue"/>
            <w:tcBorders>
              <w:tl2br w:val="nil"/>
              <w:tr2bl w:val="nil"/>
            </w:tcBorders>
            <w:vAlign w:val="center"/>
          </w:tcPr>
          <w:p>
            <w:pPr>
              <w:pStyle w:val="28"/>
              <w:widowControl w:val="0"/>
              <w:rPr>
                <w:b/>
                <w:bCs/>
                <w:color w:val="auto"/>
                <w:highlight w:val="none"/>
              </w:rPr>
            </w:pPr>
          </w:p>
        </w:tc>
        <w:tc>
          <w:tcPr>
            <w:tcW w:w="53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废水产生量m</w:t>
            </w:r>
            <w:r>
              <w:rPr>
                <w:rFonts w:hint="eastAsia"/>
                <w:b/>
                <w:bCs/>
                <w:color w:val="auto"/>
                <w:highlight w:val="none"/>
                <w:vertAlign w:val="superscript"/>
              </w:rPr>
              <w:t>3</w:t>
            </w:r>
            <w:r>
              <w:rPr>
                <w:rFonts w:hint="eastAsia"/>
                <w:b/>
                <w:bCs/>
                <w:color w:val="auto"/>
                <w:highlight w:val="none"/>
              </w:rPr>
              <w:t>/d</w:t>
            </w:r>
          </w:p>
        </w:tc>
        <w:tc>
          <w:tcPr>
            <w:tcW w:w="26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产生浓度mg/L</w:t>
            </w:r>
          </w:p>
        </w:tc>
        <w:tc>
          <w:tcPr>
            <w:tcW w:w="64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558" w:type="pct"/>
            <w:vMerge w:val="continue"/>
            <w:tcBorders>
              <w:tl2br w:val="nil"/>
              <w:tr2bl w:val="nil"/>
            </w:tcBorders>
            <w:vAlign w:val="center"/>
          </w:tcPr>
          <w:p>
            <w:pPr>
              <w:pStyle w:val="28"/>
              <w:widowControl w:val="0"/>
              <w:rPr>
                <w:b/>
                <w:bCs/>
                <w:color w:val="auto"/>
                <w:highlight w:val="none"/>
              </w:rPr>
            </w:pPr>
          </w:p>
        </w:tc>
        <w:tc>
          <w:tcPr>
            <w:tcW w:w="53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废水排放量m</w:t>
            </w:r>
            <w:r>
              <w:rPr>
                <w:rFonts w:hint="eastAsia"/>
                <w:b/>
                <w:bCs/>
                <w:color w:val="auto"/>
                <w:highlight w:val="none"/>
                <w:vertAlign w:val="superscript"/>
              </w:rPr>
              <w:t>3</w:t>
            </w:r>
            <w:r>
              <w:rPr>
                <w:rFonts w:hint="eastAsia"/>
                <w:b/>
                <w:bCs/>
                <w:color w:val="auto"/>
                <w:highlight w:val="none"/>
              </w:rPr>
              <w:t>/d</w:t>
            </w:r>
          </w:p>
        </w:tc>
        <w:tc>
          <w:tcPr>
            <w:tcW w:w="25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排放浓度mg/L</w:t>
            </w:r>
          </w:p>
        </w:tc>
        <w:tc>
          <w:tcPr>
            <w:tcW w:w="594"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排放量</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tcBorders>
              <w:tl2br w:val="nil"/>
              <w:tr2bl w:val="nil"/>
            </w:tcBorders>
            <w:vAlign w:val="center"/>
          </w:tcPr>
          <w:p>
            <w:pPr>
              <w:pStyle w:val="28"/>
              <w:widowControl w:val="0"/>
              <w:rPr>
                <w:b/>
                <w:bCs/>
                <w:color w:val="auto"/>
                <w:highlight w:val="none"/>
              </w:rPr>
            </w:pPr>
          </w:p>
        </w:tc>
        <w:tc>
          <w:tcPr>
            <w:tcW w:w="166" w:type="pct"/>
            <w:vMerge w:val="continue"/>
            <w:tcBorders>
              <w:tl2br w:val="nil"/>
              <w:tr2bl w:val="nil"/>
            </w:tcBorders>
            <w:vAlign w:val="center"/>
          </w:tcPr>
          <w:p>
            <w:pPr>
              <w:pStyle w:val="28"/>
              <w:widowControl w:val="0"/>
              <w:rPr>
                <w:b/>
                <w:bCs/>
                <w:color w:val="auto"/>
                <w:highlight w:val="none"/>
              </w:rPr>
            </w:pPr>
          </w:p>
        </w:tc>
        <w:tc>
          <w:tcPr>
            <w:tcW w:w="244" w:type="pct"/>
            <w:vMerge w:val="continue"/>
            <w:tcBorders>
              <w:tl2br w:val="nil"/>
              <w:tr2bl w:val="nil"/>
            </w:tcBorders>
            <w:vAlign w:val="center"/>
          </w:tcPr>
          <w:p>
            <w:pPr>
              <w:pStyle w:val="28"/>
              <w:widowControl w:val="0"/>
              <w:rPr>
                <w:b/>
                <w:bCs/>
                <w:color w:val="auto"/>
                <w:highlight w:val="none"/>
              </w:rPr>
            </w:pPr>
          </w:p>
        </w:tc>
        <w:tc>
          <w:tcPr>
            <w:tcW w:w="320" w:type="pct"/>
            <w:vMerge w:val="continue"/>
            <w:tcBorders>
              <w:tl2br w:val="nil"/>
              <w:tr2bl w:val="nil"/>
            </w:tcBorders>
            <w:vAlign w:val="center"/>
          </w:tcPr>
          <w:p>
            <w:pPr>
              <w:pStyle w:val="28"/>
              <w:widowControl w:val="0"/>
              <w:rPr>
                <w:b/>
                <w:bCs/>
                <w:color w:val="auto"/>
                <w:highlight w:val="none"/>
              </w:rPr>
            </w:pPr>
          </w:p>
        </w:tc>
        <w:tc>
          <w:tcPr>
            <w:tcW w:w="538" w:type="pct"/>
            <w:vMerge w:val="continue"/>
            <w:tcBorders>
              <w:tl2br w:val="nil"/>
              <w:tr2bl w:val="nil"/>
            </w:tcBorders>
            <w:vAlign w:val="center"/>
          </w:tcPr>
          <w:p>
            <w:pPr>
              <w:pStyle w:val="28"/>
              <w:widowControl w:val="0"/>
              <w:rPr>
                <w:b/>
                <w:bCs/>
                <w:color w:val="auto"/>
                <w:highlight w:val="none"/>
              </w:rPr>
            </w:pPr>
          </w:p>
        </w:tc>
        <w:tc>
          <w:tcPr>
            <w:tcW w:w="263" w:type="pct"/>
            <w:vMerge w:val="continue"/>
            <w:tcBorders>
              <w:tl2br w:val="nil"/>
              <w:tr2bl w:val="nil"/>
            </w:tcBorders>
            <w:vAlign w:val="center"/>
          </w:tcPr>
          <w:p>
            <w:pPr>
              <w:pStyle w:val="28"/>
              <w:widowControl w:val="0"/>
              <w:rPr>
                <w:b/>
                <w:bCs/>
                <w:color w:val="auto"/>
                <w:highlight w:val="none"/>
              </w:rPr>
            </w:pPr>
          </w:p>
        </w:tc>
        <w:tc>
          <w:tcPr>
            <w:tcW w:w="358" w:type="pct"/>
            <w:tcBorders>
              <w:tl2br w:val="nil"/>
              <w:tr2bl w:val="nil"/>
            </w:tcBorders>
            <w:vAlign w:val="center"/>
          </w:tcPr>
          <w:p>
            <w:pPr>
              <w:pStyle w:val="28"/>
              <w:widowControl w:val="0"/>
              <w:rPr>
                <w:rStyle w:val="25"/>
                <w:color w:val="auto"/>
                <w:highlight w:val="none"/>
              </w:rPr>
            </w:pPr>
            <w:r>
              <w:rPr>
                <w:rFonts w:hint="eastAsia"/>
                <w:b/>
                <w:bCs/>
                <w:color w:val="auto"/>
                <w:highlight w:val="none"/>
              </w:rPr>
              <w:t>t/d</w:t>
            </w:r>
          </w:p>
          <w:p>
            <w:pPr>
              <w:pStyle w:val="28"/>
              <w:widowControl w:val="0"/>
              <w:rPr>
                <w:rFonts w:hint="eastAsia" w:eastAsia="宋体"/>
                <w:b/>
                <w:bCs/>
                <w:color w:val="auto"/>
                <w:highlight w:val="none"/>
                <w:lang w:eastAsia="zh-CN"/>
              </w:rPr>
            </w:pPr>
            <w:r>
              <w:rPr>
                <w:rStyle w:val="25"/>
                <w:rFonts w:hint="eastAsia"/>
                <w:color w:val="auto"/>
                <w:highlight w:val="none"/>
                <w:lang w:eastAsia="zh-CN"/>
              </w:rPr>
              <w:t>（</w:t>
            </w:r>
            <w:r>
              <w:rPr>
                <w:rStyle w:val="25"/>
                <w:rFonts w:hint="eastAsia"/>
                <w:color w:val="auto"/>
                <w:highlight w:val="none"/>
                <w:lang w:val="en-US" w:eastAsia="zh-CN"/>
              </w:rPr>
              <w:t>旺季</w:t>
            </w:r>
            <w:r>
              <w:rPr>
                <w:rStyle w:val="25"/>
                <w:rFonts w:hint="eastAsia"/>
                <w:color w:val="auto"/>
                <w:highlight w:val="none"/>
                <w:lang w:eastAsia="zh-CN"/>
              </w:rPr>
              <w:t>）</w:t>
            </w:r>
          </w:p>
        </w:tc>
        <w:tc>
          <w:tcPr>
            <w:tcW w:w="289" w:type="pct"/>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558" w:type="pct"/>
            <w:vMerge w:val="continue"/>
            <w:tcBorders>
              <w:tl2br w:val="nil"/>
              <w:tr2bl w:val="nil"/>
            </w:tcBorders>
            <w:vAlign w:val="center"/>
          </w:tcPr>
          <w:p>
            <w:pPr>
              <w:pStyle w:val="28"/>
              <w:widowControl w:val="0"/>
              <w:rPr>
                <w:b/>
                <w:bCs/>
                <w:color w:val="auto"/>
                <w:highlight w:val="none"/>
              </w:rPr>
            </w:pPr>
          </w:p>
        </w:tc>
        <w:tc>
          <w:tcPr>
            <w:tcW w:w="538" w:type="pct"/>
            <w:vMerge w:val="continue"/>
            <w:tcBorders>
              <w:tl2br w:val="nil"/>
              <w:tr2bl w:val="nil"/>
            </w:tcBorders>
            <w:vAlign w:val="center"/>
          </w:tcPr>
          <w:p>
            <w:pPr>
              <w:pStyle w:val="28"/>
              <w:widowControl w:val="0"/>
              <w:rPr>
                <w:b/>
                <w:bCs/>
                <w:color w:val="auto"/>
                <w:highlight w:val="none"/>
              </w:rPr>
            </w:pPr>
          </w:p>
        </w:tc>
        <w:tc>
          <w:tcPr>
            <w:tcW w:w="256" w:type="pct"/>
            <w:vMerge w:val="continue"/>
            <w:tcBorders>
              <w:tl2br w:val="nil"/>
              <w:tr2bl w:val="nil"/>
            </w:tcBorders>
            <w:vAlign w:val="center"/>
          </w:tcPr>
          <w:p>
            <w:pPr>
              <w:pStyle w:val="28"/>
              <w:widowControl w:val="0"/>
              <w:rPr>
                <w:b/>
                <w:bCs/>
                <w:color w:val="auto"/>
                <w:highlight w:val="none"/>
              </w:rPr>
            </w:pPr>
          </w:p>
        </w:tc>
        <w:tc>
          <w:tcPr>
            <w:tcW w:w="343" w:type="pct"/>
            <w:tcBorders>
              <w:tl2br w:val="nil"/>
              <w:tr2bl w:val="nil"/>
            </w:tcBorders>
            <w:vAlign w:val="center"/>
          </w:tcPr>
          <w:p>
            <w:pPr>
              <w:pStyle w:val="28"/>
              <w:widowControl w:val="0"/>
              <w:rPr>
                <w:rStyle w:val="25"/>
                <w:color w:val="auto"/>
                <w:highlight w:val="none"/>
              </w:rPr>
            </w:pPr>
            <w:r>
              <w:rPr>
                <w:rFonts w:hint="eastAsia"/>
                <w:b/>
                <w:bCs/>
                <w:color w:val="auto"/>
                <w:highlight w:val="none"/>
              </w:rPr>
              <w:t>t/d</w:t>
            </w:r>
          </w:p>
          <w:p>
            <w:pPr>
              <w:pStyle w:val="28"/>
              <w:widowControl w:val="0"/>
              <w:rPr>
                <w:b/>
                <w:bCs/>
                <w:color w:val="auto"/>
                <w:highlight w:val="none"/>
              </w:rPr>
            </w:pPr>
            <w:r>
              <w:rPr>
                <w:rStyle w:val="25"/>
                <w:rFonts w:hint="eastAsia"/>
                <w:color w:val="auto"/>
                <w:highlight w:val="none"/>
                <w:lang w:eastAsia="zh-CN"/>
              </w:rPr>
              <w:t>（</w:t>
            </w:r>
            <w:r>
              <w:rPr>
                <w:rStyle w:val="25"/>
                <w:rFonts w:hint="eastAsia"/>
                <w:color w:val="auto"/>
                <w:highlight w:val="none"/>
                <w:lang w:val="en-US" w:eastAsia="zh-CN"/>
              </w:rPr>
              <w:t>旺季</w:t>
            </w:r>
            <w:r>
              <w:rPr>
                <w:rStyle w:val="25"/>
                <w:rFonts w:hint="eastAsia"/>
                <w:color w:val="auto"/>
                <w:highlight w:val="none"/>
                <w:lang w:eastAsia="zh-CN"/>
              </w:rPr>
              <w:t>）</w:t>
            </w:r>
          </w:p>
        </w:tc>
        <w:tc>
          <w:tcPr>
            <w:tcW w:w="250" w:type="pct"/>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 w:type="pct"/>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166" w:type="pct"/>
            <w:vMerge w:val="restart"/>
            <w:tcBorders>
              <w:tl2br w:val="nil"/>
              <w:tr2bl w:val="nil"/>
            </w:tcBorders>
            <w:vAlign w:val="center"/>
          </w:tcPr>
          <w:p>
            <w:pPr>
              <w:pStyle w:val="28"/>
              <w:widowControl w:val="0"/>
              <w:rPr>
                <w:color w:val="auto"/>
                <w:highlight w:val="none"/>
              </w:rPr>
            </w:pPr>
            <w:r>
              <w:rPr>
                <w:rFonts w:hint="eastAsia"/>
                <w:color w:val="auto"/>
                <w:highlight w:val="none"/>
              </w:rPr>
              <w:t>自建污水处理站</w:t>
            </w:r>
          </w:p>
        </w:tc>
        <w:tc>
          <w:tcPr>
            <w:tcW w:w="244"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屠宰、运输、员工生活及食堂</w:t>
            </w:r>
          </w:p>
        </w:tc>
        <w:tc>
          <w:tcPr>
            <w:tcW w:w="320"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538" w:type="pct"/>
            <w:vMerge w:val="restart"/>
            <w:tcBorders>
              <w:tl2br w:val="nil"/>
              <w:tr2bl w:val="nil"/>
            </w:tcBorders>
            <w:vAlign w:val="center"/>
          </w:tcPr>
          <w:p>
            <w:pPr>
              <w:pStyle w:val="28"/>
              <w:widowControl w:val="0"/>
              <w:rPr>
                <w:rFonts w:hint="eastAsia"/>
                <w:color w:val="auto"/>
                <w:highlight w:val="none"/>
              </w:rPr>
            </w:pPr>
            <w:r>
              <w:rPr>
                <w:rFonts w:hint="eastAsia"/>
                <w:color w:val="auto"/>
                <w:highlight w:val="none"/>
              </w:rPr>
              <w:t>254.8（旺季）</w:t>
            </w:r>
          </w:p>
          <w:p>
            <w:pPr>
              <w:pStyle w:val="28"/>
              <w:widowControl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rPr>
              <w:t>79910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eastAsia="zh-CN"/>
              </w:rPr>
              <w:t>）</w:t>
            </w: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2059</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0.52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164.53 </w:t>
            </w:r>
          </w:p>
        </w:tc>
        <w:tc>
          <w:tcPr>
            <w:tcW w:w="558" w:type="pct"/>
            <w:vMerge w:val="restart"/>
            <w:tcBorders>
              <w:tl2br w:val="nil"/>
              <w:tr2bl w:val="nil"/>
            </w:tcBorders>
            <w:vAlign w:val="center"/>
          </w:tcPr>
          <w:p>
            <w:pPr>
              <w:pStyle w:val="28"/>
              <w:widowControl w:val="0"/>
              <w:rPr>
                <w:color w:val="auto"/>
                <w:highlight w:val="none"/>
              </w:rPr>
            </w:pPr>
            <w:r>
              <w:rPr>
                <w:rFonts w:hint="eastAsia"/>
                <w:color w:val="auto"/>
                <w:highlight w:val="none"/>
              </w:rPr>
              <w:t>格栅池+沉渣池+多功能生物调节池+气浮沉渣池+厌氧池+初沉池+缺氧池1+好氧池1+紫外线消毒+清水池</w:t>
            </w:r>
          </w:p>
        </w:tc>
        <w:tc>
          <w:tcPr>
            <w:tcW w:w="538" w:type="pct"/>
            <w:vMerge w:val="restart"/>
            <w:tcBorders>
              <w:tl2br w:val="nil"/>
              <w:tr2bl w:val="nil"/>
            </w:tcBorders>
            <w:vAlign w:val="center"/>
          </w:tcPr>
          <w:p>
            <w:pPr>
              <w:pStyle w:val="28"/>
              <w:widowControl w:val="0"/>
              <w:rPr>
                <w:rFonts w:hint="eastAsia"/>
                <w:color w:val="auto"/>
                <w:highlight w:val="none"/>
              </w:rPr>
            </w:pPr>
            <w:r>
              <w:rPr>
                <w:rFonts w:hint="eastAsia"/>
                <w:color w:val="auto"/>
                <w:highlight w:val="none"/>
              </w:rPr>
              <w:t>254.8（旺季）</w:t>
            </w:r>
          </w:p>
          <w:p>
            <w:pPr>
              <w:pStyle w:val="28"/>
              <w:widowControl w:val="0"/>
              <w:rPr>
                <w:color w:val="auto"/>
                <w:highlight w:val="none"/>
              </w:rPr>
            </w:pPr>
            <w:r>
              <w:rPr>
                <w:rFonts w:hint="eastAsia"/>
                <w:color w:val="auto"/>
                <w:highlight w:val="none"/>
                <w:lang w:eastAsia="zh-CN"/>
              </w:rPr>
              <w:t>（</w:t>
            </w:r>
            <w:r>
              <w:rPr>
                <w:rFonts w:hint="eastAsia"/>
                <w:color w:val="auto"/>
                <w:highlight w:val="none"/>
              </w:rPr>
              <w:t>79910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eastAsia="zh-CN"/>
              </w:rPr>
              <w:t>）</w:t>
            </w: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0.13</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39.96 </w:t>
            </w:r>
          </w:p>
        </w:tc>
        <w:tc>
          <w:tcPr>
            <w:tcW w:w="336" w:type="pct"/>
            <w:vMerge w:val="restart"/>
            <w:tcBorders>
              <w:tl2br w:val="nil"/>
              <w:tr2bl w:val="nil"/>
            </w:tcBorders>
            <w:vAlign w:val="center"/>
          </w:tcPr>
          <w:p>
            <w:pPr>
              <w:pStyle w:val="28"/>
              <w:widowControl w:val="0"/>
              <w:rPr>
                <w:color w:val="auto"/>
                <w:highlight w:val="none"/>
              </w:rPr>
            </w:pPr>
            <w:r>
              <w:rPr>
                <w:rFonts w:hint="eastAsia"/>
                <w:color w:val="auto"/>
                <w:highlight w:val="none"/>
              </w:rPr>
              <w:t>年营运350天，每天8小时</w:t>
            </w:r>
          </w:p>
        </w:tc>
        <w:tc>
          <w:tcPr>
            <w:tcW w:w="386" w:type="pct"/>
            <w:vMerge w:val="restart"/>
            <w:tcBorders>
              <w:tl2br w:val="nil"/>
              <w:tr2bl w:val="nil"/>
            </w:tcBorders>
            <w:vAlign w:val="center"/>
          </w:tcPr>
          <w:p>
            <w:pPr>
              <w:pStyle w:val="28"/>
              <w:widowControl w:val="0"/>
              <w:rPr>
                <w:color w:val="auto"/>
                <w:highlight w:val="none"/>
              </w:rPr>
            </w:pPr>
            <w:r>
              <w:rPr>
                <w:rFonts w:hint="eastAsia"/>
                <w:color w:val="auto"/>
                <w:highlight w:val="none"/>
              </w:rPr>
              <w:t>响滩镇污水处理厂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 w:type="pct"/>
            <w:vMerge w:val="continue"/>
            <w:tcBorders>
              <w:tl2br w:val="nil"/>
              <w:tr2bl w:val="nil"/>
            </w:tcBorders>
            <w:vAlign w:val="center"/>
          </w:tcPr>
          <w:p>
            <w:pPr>
              <w:pStyle w:val="28"/>
              <w:widowControl w:val="0"/>
              <w:rPr>
                <w:color w:val="auto"/>
                <w:highlight w:val="none"/>
              </w:rPr>
            </w:pPr>
          </w:p>
        </w:tc>
        <w:tc>
          <w:tcPr>
            <w:tcW w:w="166" w:type="pct"/>
            <w:vMerge w:val="continue"/>
            <w:tcBorders>
              <w:tl2br w:val="nil"/>
              <w:tr2bl w:val="nil"/>
            </w:tcBorders>
            <w:vAlign w:val="center"/>
          </w:tcPr>
          <w:p>
            <w:pPr>
              <w:pStyle w:val="28"/>
              <w:widowControl w:val="0"/>
              <w:rPr>
                <w:color w:val="auto"/>
                <w:highlight w:val="none"/>
              </w:rPr>
            </w:pPr>
          </w:p>
        </w:tc>
        <w:tc>
          <w:tcPr>
            <w:tcW w:w="244" w:type="pct"/>
            <w:vMerge w:val="continue"/>
            <w:tcBorders>
              <w:tl2br w:val="nil"/>
              <w:tr2bl w:val="nil"/>
            </w:tcBorders>
            <w:vAlign w:val="center"/>
          </w:tcPr>
          <w:p>
            <w:pPr>
              <w:pStyle w:val="28"/>
              <w:widowControl w:val="0"/>
              <w:rPr>
                <w:color w:val="auto"/>
                <w:highlight w:val="none"/>
              </w:rPr>
            </w:pPr>
          </w:p>
        </w:tc>
        <w:tc>
          <w:tcPr>
            <w:tcW w:w="320"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538" w:type="pct"/>
            <w:vMerge w:val="continue"/>
            <w:tcBorders>
              <w:tl2br w:val="nil"/>
              <w:tr2bl w:val="nil"/>
            </w:tcBorders>
            <w:vAlign w:val="center"/>
          </w:tcPr>
          <w:p>
            <w:pPr>
              <w:pStyle w:val="28"/>
              <w:widowControl w:val="0"/>
              <w:rPr>
                <w:color w:val="auto"/>
                <w:highlight w:val="none"/>
              </w:rPr>
            </w:pP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947</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0.24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75.67 </w:t>
            </w:r>
          </w:p>
        </w:tc>
        <w:tc>
          <w:tcPr>
            <w:tcW w:w="558" w:type="pct"/>
            <w:vMerge w:val="continue"/>
            <w:tcBorders>
              <w:tl2br w:val="nil"/>
              <w:tr2bl w:val="nil"/>
            </w:tcBorders>
            <w:vAlign w:val="center"/>
          </w:tcPr>
          <w:p>
            <w:pPr>
              <w:pStyle w:val="28"/>
              <w:widowControl w:val="0"/>
              <w:rPr>
                <w:color w:val="auto"/>
                <w:highlight w:val="none"/>
              </w:rPr>
            </w:pPr>
          </w:p>
        </w:tc>
        <w:tc>
          <w:tcPr>
            <w:tcW w:w="538" w:type="pct"/>
            <w:vMerge w:val="continue"/>
            <w:tcBorders>
              <w:tl2br w:val="nil"/>
              <w:tr2bl w:val="nil"/>
            </w:tcBorders>
            <w:vAlign w:val="center"/>
          </w:tcPr>
          <w:p>
            <w:pPr>
              <w:pStyle w:val="28"/>
              <w:widowControl w:val="0"/>
              <w:rPr>
                <w:color w:val="auto"/>
                <w:highlight w:val="none"/>
              </w:rPr>
            </w:pP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0.08</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23.97 </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 w:type="pct"/>
            <w:vMerge w:val="continue"/>
            <w:tcBorders>
              <w:tl2br w:val="nil"/>
              <w:tr2bl w:val="nil"/>
            </w:tcBorders>
            <w:vAlign w:val="center"/>
          </w:tcPr>
          <w:p>
            <w:pPr>
              <w:pStyle w:val="28"/>
              <w:widowControl w:val="0"/>
              <w:rPr>
                <w:color w:val="auto"/>
                <w:highlight w:val="none"/>
              </w:rPr>
            </w:pPr>
          </w:p>
        </w:tc>
        <w:tc>
          <w:tcPr>
            <w:tcW w:w="166" w:type="pct"/>
            <w:vMerge w:val="continue"/>
            <w:tcBorders>
              <w:tl2br w:val="nil"/>
              <w:tr2bl w:val="nil"/>
            </w:tcBorders>
            <w:vAlign w:val="center"/>
          </w:tcPr>
          <w:p>
            <w:pPr>
              <w:pStyle w:val="28"/>
              <w:widowControl w:val="0"/>
              <w:rPr>
                <w:color w:val="auto"/>
                <w:highlight w:val="none"/>
              </w:rPr>
            </w:pPr>
          </w:p>
        </w:tc>
        <w:tc>
          <w:tcPr>
            <w:tcW w:w="244" w:type="pct"/>
            <w:vMerge w:val="continue"/>
            <w:tcBorders>
              <w:tl2br w:val="nil"/>
              <w:tr2bl w:val="nil"/>
            </w:tcBorders>
            <w:vAlign w:val="center"/>
          </w:tcPr>
          <w:p>
            <w:pPr>
              <w:pStyle w:val="28"/>
              <w:widowControl w:val="0"/>
              <w:rPr>
                <w:color w:val="auto"/>
                <w:highlight w:val="none"/>
              </w:rPr>
            </w:pPr>
          </w:p>
        </w:tc>
        <w:tc>
          <w:tcPr>
            <w:tcW w:w="320"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538" w:type="pct"/>
            <w:vMerge w:val="continue"/>
            <w:tcBorders>
              <w:tl2br w:val="nil"/>
              <w:tr2bl w:val="nil"/>
            </w:tcBorders>
            <w:vAlign w:val="center"/>
          </w:tcPr>
          <w:p>
            <w:pPr>
              <w:pStyle w:val="28"/>
              <w:widowControl w:val="0"/>
              <w:rPr>
                <w:color w:val="auto"/>
                <w:highlight w:val="none"/>
              </w:rPr>
            </w:pP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154</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0.04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12.31 </w:t>
            </w:r>
          </w:p>
        </w:tc>
        <w:tc>
          <w:tcPr>
            <w:tcW w:w="558" w:type="pct"/>
            <w:vMerge w:val="continue"/>
            <w:tcBorders>
              <w:tl2br w:val="nil"/>
              <w:tr2bl w:val="nil"/>
            </w:tcBorders>
            <w:vAlign w:val="center"/>
          </w:tcPr>
          <w:p>
            <w:pPr>
              <w:pStyle w:val="28"/>
              <w:widowControl w:val="0"/>
              <w:rPr>
                <w:color w:val="auto"/>
                <w:highlight w:val="none"/>
              </w:rPr>
            </w:pPr>
          </w:p>
        </w:tc>
        <w:tc>
          <w:tcPr>
            <w:tcW w:w="538" w:type="pct"/>
            <w:vMerge w:val="continue"/>
            <w:tcBorders>
              <w:tl2br w:val="nil"/>
              <w:tr2bl w:val="nil"/>
            </w:tcBorders>
            <w:vAlign w:val="center"/>
          </w:tcPr>
          <w:p>
            <w:pPr>
              <w:pStyle w:val="28"/>
              <w:widowControl w:val="0"/>
              <w:rPr>
                <w:color w:val="auto"/>
                <w:highlight w:val="none"/>
              </w:rPr>
            </w:pP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45</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3.60 </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8" w:type="pct"/>
            <w:vMerge w:val="continue"/>
            <w:tcBorders>
              <w:tl2br w:val="nil"/>
              <w:tr2bl w:val="nil"/>
            </w:tcBorders>
            <w:vAlign w:val="center"/>
          </w:tcPr>
          <w:p>
            <w:pPr>
              <w:pStyle w:val="28"/>
              <w:widowControl w:val="0"/>
              <w:rPr>
                <w:color w:val="auto"/>
                <w:highlight w:val="none"/>
              </w:rPr>
            </w:pPr>
          </w:p>
        </w:tc>
        <w:tc>
          <w:tcPr>
            <w:tcW w:w="166" w:type="pct"/>
            <w:vMerge w:val="continue"/>
            <w:tcBorders>
              <w:tl2br w:val="nil"/>
              <w:tr2bl w:val="nil"/>
            </w:tcBorders>
            <w:vAlign w:val="center"/>
          </w:tcPr>
          <w:p>
            <w:pPr>
              <w:pStyle w:val="28"/>
              <w:widowControl w:val="0"/>
              <w:rPr>
                <w:color w:val="auto"/>
                <w:highlight w:val="none"/>
              </w:rPr>
            </w:pPr>
          </w:p>
        </w:tc>
        <w:tc>
          <w:tcPr>
            <w:tcW w:w="244" w:type="pct"/>
            <w:vMerge w:val="continue"/>
            <w:tcBorders>
              <w:tl2br w:val="nil"/>
              <w:tr2bl w:val="nil"/>
            </w:tcBorders>
            <w:vAlign w:val="center"/>
          </w:tcPr>
          <w:p>
            <w:pPr>
              <w:pStyle w:val="28"/>
              <w:widowControl w:val="0"/>
              <w:rPr>
                <w:color w:val="auto"/>
                <w:highlight w:val="none"/>
              </w:rPr>
            </w:pPr>
          </w:p>
        </w:tc>
        <w:tc>
          <w:tcPr>
            <w:tcW w:w="320"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538" w:type="pct"/>
            <w:vMerge w:val="continue"/>
            <w:tcBorders>
              <w:tl2br w:val="nil"/>
              <w:tr2bl w:val="nil"/>
            </w:tcBorders>
            <w:vAlign w:val="center"/>
          </w:tcPr>
          <w:p>
            <w:pPr>
              <w:pStyle w:val="28"/>
              <w:widowControl w:val="0"/>
              <w:rPr>
                <w:color w:val="auto"/>
                <w:highlight w:val="none"/>
              </w:rPr>
            </w:pP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1136</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0.29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90.78 </w:t>
            </w:r>
          </w:p>
        </w:tc>
        <w:tc>
          <w:tcPr>
            <w:tcW w:w="558" w:type="pct"/>
            <w:vMerge w:val="continue"/>
            <w:tcBorders>
              <w:tl2br w:val="nil"/>
              <w:tr2bl w:val="nil"/>
            </w:tcBorders>
            <w:vAlign w:val="center"/>
          </w:tcPr>
          <w:p>
            <w:pPr>
              <w:pStyle w:val="28"/>
              <w:widowControl w:val="0"/>
              <w:rPr>
                <w:color w:val="auto"/>
                <w:highlight w:val="none"/>
              </w:rPr>
            </w:pPr>
          </w:p>
        </w:tc>
        <w:tc>
          <w:tcPr>
            <w:tcW w:w="538" w:type="pct"/>
            <w:vMerge w:val="continue"/>
            <w:tcBorders>
              <w:tl2br w:val="nil"/>
              <w:tr2bl w:val="nil"/>
            </w:tcBorders>
            <w:vAlign w:val="center"/>
          </w:tcPr>
          <w:p>
            <w:pPr>
              <w:pStyle w:val="28"/>
              <w:widowControl w:val="0"/>
              <w:rPr>
                <w:color w:val="auto"/>
                <w:highlight w:val="none"/>
              </w:rPr>
            </w:pP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400</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0.10</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31.96 </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48" w:type="pct"/>
            <w:vMerge w:val="continue"/>
            <w:tcBorders>
              <w:tl2br w:val="nil"/>
              <w:tr2bl w:val="nil"/>
            </w:tcBorders>
            <w:vAlign w:val="center"/>
          </w:tcPr>
          <w:p>
            <w:pPr>
              <w:pStyle w:val="28"/>
              <w:widowControl w:val="0"/>
              <w:rPr>
                <w:color w:val="auto"/>
                <w:highlight w:val="none"/>
              </w:rPr>
            </w:pPr>
          </w:p>
        </w:tc>
        <w:tc>
          <w:tcPr>
            <w:tcW w:w="166" w:type="pct"/>
            <w:vMerge w:val="continue"/>
            <w:tcBorders>
              <w:tl2br w:val="nil"/>
              <w:tr2bl w:val="nil"/>
            </w:tcBorders>
            <w:vAlign w:val="center"/>
          </w:tcPr>
          <w:p>
            <w:pPr>
              <w:pStyle w:val="28"/>
              <w:widowControl w:val="0"/>
              <w:rPr>
                <w:color w:val="auto"/>
                <w:highlight w:val="none"/>
              </w:rPr>
            </w:pPr>
          </w:p>
        </w:tc>
        <w:tc>
          <w:tcPr>
            <w:tcW w:w="244" w:type="pct"/>
            <w:vMerge w:val="continue"/>
            <w:tcBorders>
              <w:tl2br w:val="nil"/>
              <w:tr2bl w:val="nil"/>
            </w:tcBorders>
            <w:vAlign w:val="center"/>
          </w:tcPr>
          <w:p>
            <w:pPr>
              <w:pStyle w:val="28"/>
              <w:widowControl w:val="0"/>
              <w:rPr>
                <w:color w:val="auto"/>
                <w:highlight w:val="none"/>
              </w:rPr>
            </w:pPr>
          </w:p>
        </w:tc>
        <w:tc>
          <w:tcPr>
            <w:tcW w:w="320" w:type="pct"/>
            <w:tcBorders>
              <w:tl2br w:val="nil"/>
              <w:tr2bl w:val="nil"/>
            </w:tcBorders>
            <w:vAlign w:val="center"/>
          </w:tcPr>
          <w:p>
            <w:pPr>
              <w:pStyle w:val="28"/>
              <w:widowControl w:val="0"/>
              <w:rPr>
                <w:color w:val="auto"/>
                <w:highlight w:val="none"/>
              </w:rPr>
            </w:pPr>
            <w:r>
              <w:rPr>
                <w:rFonts w:hint="eastAsia"/>
                <w:color w:val="auto"/>
                <w:highlight w:val="none"/>
              </w:rPr>
              <w:t>TP</w:t>
            </w:r>
          </w:p>
        </w:tc>
        <w:tc>
          <w:tcPr>
            <w:tcW w:w="538" w:type="pct"/>
            <w:vMerge w:val="continue"/>
            <w:tcBorders>
              <w:tl2br w:val="nil"/>
              <w:tr2bl w:val="nil"/>
            </w:tcBorders>
            <w:vAlign w:val="center"/>
          </w:tcPr>
          <w:p>
            <w:pPr>
              <w:pStyle w:val="28"/>
              <w:widowControl w:val="0"/>
              <w:rPr>
                <w:color w:val="auto"/>
                <w:highlight w:val="none"/>
              </w:rPr>
            </w:pP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28</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0.01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2.24 </w:t>
            </w:r>
          </w:p>
        </w:tc>
        <w:tc>
          <w:tcPr>
            <w:tcW w:w="558" w:type="pct"/>
            <w:vMerge w:val="continue"/>
            <w:tcBorders>
              <w:tl2br w:val="nil"/>
              <w:tr2bl w:val="nil"/>
            </w:tcBorders>
            <w:vAlign w:val="center"/>
          </w:tcPr>
          <w:p>
            <w:pPr>
              <w:pStyle w:val="28"/>
              <w:widowControl w:val="0"/>
              <w:rPr>
                <w:color w:val="auto"/>
                <w:highlight w:val="none"/>
              </w:rPr>
            </w:pPr>
          </w:p>
        </w:tc>
        <w:tc>
          <w:tcPr>
            <w:tcW w:w="538" w:type="pct"/>
            <w:vMerge w:val="continue"/>
            <w:tcBorders>
              <w:tl2br w:val="nil"/>
              <w:tr2bl w:val="nil"/>
            </w:tcBorders>
            <w:vAlign w:val="center"/>
          </w:tcPr>
          <w:p>
            <w:pPr>
              <w:pStyle w:val="28"/>
              <w:widowControl w:val="0"/>
              <w:rPr>
                <w:color w:val="auto"/>
                <w:highlight w:val="none"/>
              </w:rPr>
            </w:pP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0.64 </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8" w:type="pct"/>
            <w:vMerge w:val="continue"/>
            <w:tcBorders>
              <w:tl2br w:val="nil"/>
              <w:tr2bl w:val="nil"/>
            </w:tcBorders>
            <w:vAlign w:val="center"/>
          </w:tcPr>
          <w:p>
            <w:pPr>
              <w:pStyle w:val="28"/>
              <w:widowControl w:val="0"/>
              <w:rPr>
                <w:color w:val="auto"/>
                <w:highlight w:val="none"/>
              </w:rPr>
            </w:pPr>
          </w:p>
        </w:tc>
        <w:tc>
          <w:tcPr>
            <w:tcW w:w="166" w:type="pct"/>
            <w:vMerge w:val="continue"/>
            <w:tcBorders>
              <w:tl2br w:val="nil"/>
              <w:tr2bl w:val="nil"/>
            </w:tcBorders>
            <w:vAlign w:val="center"/>
          </w:tcPr>
          <w:p>
            <w:pPr>
              <w:pStyle w:val="28"/>
              <w:widowControl w:val="0"/>
              <w:rPr>
                <w:color w:val="auto"/>
                <w:highlight w:val="none"/>
              </w:rPr>
            </w:pPr>
          </w:p>
        </w:tc>
        <w:tc>
          <w:tcPr>
            <w:tcW w:w="244" w:type="pct"/>
            <w:vMerge w:val="continue"/>
            <w:tcBorders>
              <w:tl2br w:val="nil"/>
              <w:tr2bl w:val="nil"/>
            </w:tcBorders>
            <w:vAlign w:val="center"/>
          </w:tcPr>
          <w:p>
            <w:pPr>
              <w:pStyle w:val="28"/>
              <w:widowControl w:val="0"/>
              <w:rPr>
                <w:color w:val="auto"/>
                <w:highlight w:val="none"/>
              </w:rPr>
            </w:pPr>
          </w:p>
        </w:tc>
        <w:tc>
          <w:tcPr>
            <w:tcW w:w="320"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538" w:type="pct"/>
            <w:vMerge w:val="continue"/>
            <w:tcBorders>
              <w:tl2br w:val="nil"/>
              <w:tr2bl w:val="nil"/>
            </w:tcBorders>
            <w:vAlign w:val="center"/>
          </w:tcPr>
          <w:p>
            <w:pPr>
              <w:pStyle w:val="28"/>
              <w:widowControl w:val="0"/>
              <w:rPr>
                <w:color w:val="auto"/>
                <w:highlight w:val="none"/>
              </w:rPr>
            </w:pPr>
          </w:p>
        </w:tc>
        <w:tc>
          <w:tcPr>
            <w:tcW w:w="263" w:type="pct"/>
            <w:tcBorders>
              <w:tl2br w:val="nil"/>
              <w:tr2bl w:val="nil"/>
            </w:tcBorders>
            <w:vAlign w:val="center"/>
          </w:tcPr>
          <w:p>
            <w:pPr>
              <w:pStyle w:val="28"/>
              <w:widowControl w:val="0"/>
              <w:rPr>
                <w:color w:val="auto"/>
                <w:highlight w:val="none"/>
              </w:rPr>
            </w:pPr>
            <w:r>
              <w:rPr>
                <w:rFonts w:hint="eastAsia"/>
                <w:color w:val="auto"/>
                <w:highlight w:val="none"/>
              </w:rPr>
              <w:t>142</w:t>
            </w:r>
          </w:p>
        </w:tc>
        <w:tc>
          <w:tcPr>
            <w:tcW w:w="358" w:type="pct"/>
            <w:tcBorders>
              <w:tl2br w:val="nil"/>
              <w:tr2bl w:val="nil"/>
            </w:tcBorders>
            <w:vAlign w:val="center"/>
          </w:tcPr>
          <w:p>
            <w:pPr>
              <w:pStyle w:val="28"/>
              <w:widowControl w:val="0"/>
              <w:rPr>
                <w:color w:val="auto"/>
                <w:highlight w:val="none"/>
              </w:rPr>
            </w:pPr>
            <w:r>
              <w:rPr>
                <w:rFonts w:hint="eastAsia"/>
                <w:color w:val="auto"/>
                <w:highlight w:val="none"/>
              </w:rPr>
              <w:t xml:space="preserve">0.04 </w:t>
            </w:r>
          </w:p>
        </w:tc>
        <w:tc>
          <w:tcPr>
            <w:tcW w:w="289" w:type="pct"/>
            <w:tcBorders>
              <w:tl2br w:val="nil"/>
              <w:tr2bl w:val="nil"/>
            </w:tcBorders>
            <w:vAlign w:val="center"/>
          </w:tcPr>
          <w:p>
            <w:pPr>
              <w:pStyle w:val="28"/>
              <w:widowControl w:val="0"/>
              <w:rPr>
                <w:color w:val="auto"/>
                <w:highlight w:val="none"/>
              </w:rPr>
            </w:pPr>
            <w:r>
              <w:rPr>
                <w:rFonts w:hint="eastAsia"/>
                <w:color w:val="auto"/>
                <w:highlight w:val="none"/>
              </w:rPr>
              <w:t xml:space="preserve">11.35 </w:t>
            </w:r>
          </w:p>
        </w:tc>
        <w:tc>
          <w:tcPr>
            <w:tcW w:w="558" w:type="pct"/>
            <w:vMerge w:val="continue"/>
            <w:tcBorders>
              <w:tl2br w:val="nil"/>
              <w:tr2bl w:val="nil"/>
            </w:tcBorders>
            <w:vAlign w:val="center"/>
          </w:tcPr>
          <w:p>
            <w:pPr>
              <w:pStyle w:val="28"/>
              <w:widowControl w:val="0"/>
              <w:rPr>
                <w:color w:val="auto"/>
                <w:highlight w:val="none"/>
              </w:rPr>
            </w:pPr>
          </w:p>
        </w:tc>
        <w:tc>
          <w:tcPr>
            <w:tcW w:w="538" w:type="pct"/>
            <w:vMerge w:val="continue"/>
            <w:tcBorders>
              <w:tl2br w:val="nil"/>
              <w:tr2bl w:val="nil"/>
            </w:tcBorders>
            <w:vAlign w:val="center"/>
          </w:tcPr>
          <w:p>
            <w:pPr>
              <w:pStyle w:val="28"/>
              <w:widowControl w:val="0"/>
              <w:rPr>
                <w:color w:val="auto"/>
                <w:highlight w:val="none"/>
              </w:rPr>
            </w:pPr>
          </w:p>
        </w:tc>
        <w:tc>
          <w:tcPr>
            <w:tcW w:w="256" w:type="pct"/>
            <w:tcBorders>
              <w:tl2br w:val="nil"/>
              <w:tr2bl w:val="nil"/>
            </w:tcBorders>
            <w:vAlign w:val="center"/>
          </w:tcPr>
          <w:p>
            <w:pPr>
              <w:pStyle w:val="28"/>
              <w:widowControl w:val="0"/>
              <w:rPr>
                <w:color w:val="auto"/>
                <w:highlight w:val="none"/>
              </w:rPr>
            </w:pPr>
            <w:r>
              <w:rPr>
                <w:rFonts w:hint="eastAsia"/>
                <w:color w:val="auto"/>
                <w:highlight w:val="none"/>
              </w:rPr>
              <w:t>60</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 xml:space="preserve">0.02 </w:t>
            </w:r>
          </w:p>
        </w:tc>
        <w:tc>
          <w:tcPr>
            <w:tcW w:w="250" w:type="pct"/>
            <w:tcBorders>
              <w:tl2br w:val="nil"/>
              <w:tr2bl w:val="nil"/>
            </w:tcBorders>
            <w:vAlign w:val="center"/>
          </w:tcPr>
          <w:p>
            <w:pPr>
              <w:pStyle w:val="28"/>
              <w:widowControl w:val="0"/>
              <w:rPr>
                <w:color w:val="auto"/>
                <w:highlight w:val="none"/>
              </w:rPr>
            </w:pPr>
            <w:r>
              <w:rPr>
                <w:rFonts w:hint="eastAsia"/>
                <w:color w:val="auto"/>
                <w:highlight w:val="none"/>
              </w:rPr>
              <w:t xml:space="preserve">4.79 </w:t>
            </w:r>
          </w:p>
        </w:tc>
        <w:tc>
          <w:tcPr>
            <w:tcW w:w="336" w:type="pct"/>
            <w:vMerge w:val="continue"/>
            <w:tcBorders>
              <w:tl2br w:val="nil"/>
              <w:tr2bl w:val="nil"/>
            </w:tcBorders>
            <w:vAlign w:val="center"/>
          </w:tcPr>
          <w:p>
            <w:pPr>
              <w:pStyle w:val="28"/>
              <w:widowControl w:val="0"/>
              <w:rPr>
                <w:color w:val="auto"/>
                <w:highlight w:val="none"/>
              </w:rPr>
            </w:pPr>
          </w:p>
        </w:tc>
        <w:tc>
          <w:tcPr>
            <w:tcW w:w="386" w:type="pct"/>
            <w:vMerge w:val="continue"/>
            <w:tcBorders>
              <w:tl2br w:val="nil"/>
              <w:tr2bl w:val="nil"/>
            </w:tcBorders>
            <w:vAlign w:val="center"/>
          </w:tcPr>
          <w:p>
            <w:pPr>
              <w:pStyle w:val="28"/>
              <w:widowControl w:val="0"/>
              <w:rPr>
                <w:color w:val="auto"/>
                <w:highlight w:val="none"/>
              </w:rPr>
            </w:pPr>
          </w:p>
        </w:tc>
      </w:tr>
    </w:tbl>
    <w:p>
      <w:pPr>
        <w:pStyle w:val="28"/>
        <w:widowControl w:val="0"/>
        <w:rPr>
          <w:color w:val="auto"/>
          <w:highlight w:val="none"/>
        </w:rPr>
      </w:pPr>
    </w:p>
    <w:p>
      <w:pPr>
        <w:widowControl w:val="0"/>
        <w:ind w:firstLine="480"/>
        <w:rPr>
          <w:color w:val="auto"/>
          <w:highlight w:val="none"/>
        </w:rPr>
        <w:sectPr>
          <w:pgSz w:w="15840" w:h="12240" w:orient="landscape"/>
          <w:pgMar w:top="1134" w:right="850" w:bottom="1417" w:left="85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5"/>
        <w:widowControl w:val="0"/>
        <w:ind w:firstLine="120"/>
        <w:rPr>
          <w:color w:val="auto"/>
          <w:highlight w:val="none"/>
        </w:rPr>
      </w:pPr>
      <w:r>
        <w:rPr>
          <w:rFonts w:hint="eastAsia"/>
          <w:color w:val="auto"/>
          <w:highlight w:val="none"/>
        </w:rPr>
        <w:t>废气排放和治理措施</w:t>
      </w:r>
    </w:p>
    <w:p>
      <w:pPr>
        <w:widowControl w:val="0"/>
        <w:ind w:firstLine="480"/>
        <w:rPr>
          <w:color w:val="auto"/>
          <w:highlight w:val="none"/>
        </w:rPr>
      </w:pPr>
      <w:r>
        <w:rPr>
          <w:rFonts w:hint="eastAsia"/>
          <w:color w:val="auto"/>
          <w:highlight w:val="none"/>
        </w:rPr>
        <w:t>本项目废气主要为待宰、屠宰过程、污水站产生的恶臭，食堂油烟和备用发电机烟气。</w:t>
      </w:r>
    </w:p>
    <w:p>
      <w:pPr>
        <w:pStyle w:val="6"/>
        <w:widowControl w:val="0"/>
        <w:ind w:left="-160" w:firstLineChars="0"/>
        <w:rPr>
          <w:color w:val="auto"/>
          <w:highlight w:val="none"/>
        </w:rPr>
      </w:pPr>
      <w:r>
        <w:rPr>
          <w:rFonts w:hint="eastAsia"/>
          <w:color w:val="auto"/>
          <w:highlight w:val="none"/>
        </w:rPr>
        <w:t>恶臭</w:t>
      </w:r>
    </w:p>
    <w:p>
      <w:pPr>
        <w:widowControl w:val="0"/>
        <w:ind w:firstLine="480"/>
        <w:rPr>
          <w:color w:val="auto"/>
          <w:highlight w:val="none"/>
        </w:rPr>
      </w:pPr>
      <w:r>
        <w:rPr>
          <w:rFonts w:hint="eastAsia"/>
          <w:color w:val="auto"/>
          <w:highlight w:val="none"/>
        </w:rPr>
        <w:t>根据工程分析，项目恶臭污染物主要来源于待宰圈排泄物臭味、屠宰车间产生的腥臭及肠胃内容物、粪尿等臭味以及污水处理站臭味。隔离间、急宰间主要为生猪和肉牛出现异常情况时进行使用，产生的源强较小且不确定，无害化暂存间按冻库编制建设，实施冷冻存放，产生恶臭极少，因此本次源强不对隔离间、急宰间和无害化暂存间进行核算。</w:t>
      </w:r>
    </w:p>
    <w:p>
      <w:pPr>
        <w:widowControl w:val="0"/>
        <w:ind w:firstLine="480"/>
        <w:rPr>
          <w:color w:val="auto"/>
          <w:highlight w:val="none"/>
        </w:rPr>
      </w:pPr>
      <w:r>
        <w:rPr>
          <w:rFonts w:hint="eastAsia"/>
          <w:color w:val="auto"/>
          <w:highlight w:val="none"/>
        </w:rPr>
        <w:t>恶臭是多组分低浓度的混合气体，其成分可达几十到几百种，各成分之间既有协同作用也有颉颃作用。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w:t>
      </w:r>
    </w:p>
    <w:p>
      <w:pPr>
        <w:widowControl w:val="0"/>
        <w:ind w:firstLine="480"/>
        <w:rPr>
          <w:color w:val="auto"/>
          <w:highlight w:val="none"/>
        </w:rPr>
      </w:pPr>
      <w:r>
        <w:rPr>
          <w:rFonts w:hint="eastAsia"/>
          <w:color w:val="auto"/>
          <w:highlight w:val="none"/>
        </w:rPr>
        <w:t>与屠宰场及肉制品深加工有关的恶臭物质多达</w:t>
      </w:r>
      <w:r>
        <w:rPr>
          <w:color w:val="auto"/>
          <w:highlight w:val="none"/>
        </w:rPr>
        <w:t>23</w:t>
      </w:r>
      <w:r>
        <w:rPr>
          <w:rFonts w:hint="eastAsia"/>
          <w:color w:val="auto"/>
          <w:highlight w:val="none"/>
        </w:rPr>
        <w:t>种，大多为氨、硫化氢、硫醇类、酮类、胺类、吲哚类和醛类，若未及时清除或清除后不能及时处理，将会使臭味成倍增加，进一步产生甲基硫醇、二甲基二醇、硫醚、甲硫醚、三甲胺等恶臭气体，并会孳生大量蚊蝇，影响环境卫生。对于生猪和肉牛屠宰，主要污染因子为氨、硫化氢。</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）源强</w:t>
      </w:r>
    </w:p>
    <w:p>
      <w:pPr>
        <w:widowControl w:val="0"/>
        <w:ind w:firstLine="480"/>
        <w:rPr>
          <w:color w:val="auto"/>
          <w:highlight w:val="none"/>
        </w:rPr>
      </w:pPr>
      <w:r>
        <w:rPr>
          <w:rFonts w:hint="eastAsia"/>
          <w:color w:val="auto"/>
          <w:highlight w:val="none"/>
        </w:rPr>
        <w:t>根据调查，待宰圈舍的恶臭主要来自猪、牛粪尿发酵而产生的无组织排放的</w:t>
      </w: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r>
        <w:rPr>
          <w:rFonts w:hint="eastAsia"/>
          <w:color w:val="auto"/>
          <w:highlight w:val="none"/>
        </w:rPr>
        <w:t>，其产生量随粪尿停留时间增加而增加。同时，粪尿未及时清除会孳生大量蚊蝇，影响环境卫生。屠宰车间腥臭主要为猪内脏气味挥发及高湿条件下副产物、废弃物腐败产生腥臭味。由此可见，项目恶臭产生源点及源强不固定，且易受自然通风条件和管理措施及要求影响。</w:t>
      </w:r>
    </w:p>
    <w:p>
      <w:pPr>
        <w:widowControl w:val="0"/>
        <w:ind w:firstLine="482"/>
        <w:rPr>
          <w:b/>
          <w:bCs/>
          <w:color w:val="auto"/>
          <w:highlight w:val="none"/>
        </w:rPr>
      </w:pPr>
      <w:r>
        <w:rPr>
          <w:b/>
          <w:bCs/>
          <w:color w:val="auto"/>
          <w:highlight w:val="none"/>
        </w:rPr>
        <w:t>1</w:t>
      </w:r>
      <w:r>
        <w:rPr>
          <w:rFonts w:hint="eastAsia"/>
          <w:b/>
          <w:bCs/>
          <w:color w:val="auto"/>
          <w:highlight w:val="none"/>
        </w:rPr>
        <w:t>）待宰圈恶臭源强</w:t>
      </w:r>
    </w:p>
    <w:p>
      <w:pPr>
        <w:widowControl w:val="0"/>
        <w:ind w:firstLine="482"/>
        <w:rPr>
          <w:b/>
          <w:bCs/>
          <w:color w:val="auto"/>
          <w:highlight w:val="none"/>
        </w:rPr>
      </w:pPr>
      <w:r>
        <w:rPr>
          <w:rFonts w:hint="eastAsia"/>
          <w:b/>
          <w:bCs/>
          <w:color w:val="auto"/>
          <w:highlight w:val="none"/>
        </w:rPr>
        <w:t>生猪：</w:t>
      </w:r>
    </w:p>
    <w:p>
      <w:pPr>
        <w:widowControl w:val="0"/>
        <w:ind w:firstLine="480"/>
        <w:rPr>
          <w:color w:val="auto"/>
          <w:highlight w:val="none"/>
        </w:rPr>
      </w:pPr>
      <w:r>
        <w:rPr>
          <w:rFonts w:hint="eastAsia"/>
          <w:color w:val="auto"/>
          <w:highlight w:val="none"/>
        </w:rPr>
        <w:t>本项目待宰圈生猪最大静养规模为1000头，生猪在厂区内静养时间为</w:t>
      </w:r>
      <w:r>
        <w:rPr>
          <w:color w:val="auto"/>
          <w:highlight w:val="none"/>
        </w:rPr>
        <w:t>12h~24h</w:t>
      </w:r>
      <w:r>
        <w:rPr>
          <w:rFonts w:hint="eastAsia"/>
          <w:color w:val="auto"/>
          <w:highlight w:val="none"/>
        </w:rPr>
        <w:t>（按</w:t>
      </w:r>
      <w:r>
        <w:rPr>
          <w:color w:val="auto"/>
          <w:highlight w:val="none"/>
        </w:rPr>
        <w:t>24h</w:t>
      </w:r>
      <w:r>
        <w:rPr>
          <w:rFonts w:hint="eastAsia"/>
          <w:color w:val="auto"/>
          <w:highlight w:val="none"/>
        </w:rPr>
        <w:t>计）。本次环评参照引用中国环境科学学会学术年会论文集（</w:t>
      </w:r>
      <w:r>
        <w:rPr>
          <w:color w:val="auto"/>
          <w:highlight w:val="none"/>
        </w:rPr>
        <w:t>2010</w:t>
      </w:r>
      <w:r>
        <w:rPr>
          <w:rFonts w:hint="eastAsia"/>
          <w:color w:val="auto"/>
          <w:highlight w:val="none"/>
        </w:rPr>
        <w:t>）中的《养猪场恶臭影响量化分析及控制对策研究》（天津市环境影响评价中心，孙艳青、张潞、李万庆）资料确定本项目待宰圈恶臭污染物源强。</w:t>
      </w:r>
    </w:p>
    <w:p>
      <w:pPr>
        <w:widowControl w:val="0"/>
        <w:ind w:firstLine="480"/>
        <w:rPr>
          <w:color w:val="auto"/>
          <w:highlight w:val="none"/>
        </w:rPr>
      </w:pPr>
      <w:r>
        <w:rPr>
          <w:rFonts w:hint="eastAsia"/>
          <w:color w:val="auto"/>
          <w:highlight w:val="none"/>
        </w:rPr>
        <w:t>根据该文献中大猪产生量计，大猪的氨气排放量为</w:t>
      </w:r>
      <w:r>
        <w:rPr>
          <w:color w:val="auto"/>
          <w:highlight w:val="none"/>
        </w:rPr>
        <w:t>5.6g/</w:t>
      </w:r>
      <w:r>
        <w:rPr>
          <w:rFonts w:hint="eastAsia"/>
          <w:color w:val="auto"/>
          <w:highlight w:val="none"/>
        </w:rPr>
        <w:t>（头</w:t>
      </w:r>
      <w:r>
        <w:rPr>
          <w:color w:val="auto"/>
          <w:highlight w:val="none"/>
        </w:rPr>
        <w:t>·d</w:t>
      </w:r>
      <w:r>
        <w:rPr>
          <w:rFonts w:hint="eastAsia"/>
          <w:color w:val="auto"/>
          <w:highlight w:val="none"/>
        </w:rPr>
        <w:t>），硫化氢排放量为</w:t>
      </w:r>
      <w:r>
        <w:rPr>
          <w:color w:val="auto"/>
          <w:highlight w:val="none"/>
        </w:rPr>
        <w:t>0.5g/</w:t>
      </w:r>
      <w:r>
        <w:rPr>
          <w:rFonts w:hint="eastAsia"/>
          <w:color w:val="auto"/>
          <w:highlight w:val="none"/>
        </w:rPr>
        <w:t>（头</w:t>
      </w:r>
      <w:r>
        <w:rPr>
          <w:color w:val="auto"/>
          <w:highlight w:val="none"/>
        </w:rPr>
        <w:t>·d</w:t>
      </w:r>
      <w:r>
        <w:rPr>
          <w:rFonts w:hint="eastAsia"/>
          <w:color w:val="auto"/>
          <w:highlight w:val="none"/>
        </w:rPr>
        <w:t>），由于生猪在静养圈停留时间短且不喂食，同时及时清理粪便，因此采用</w:t>
      </w:r>
      <w:r>
        <w:rPr>
          <w:color w:val="auto"/>
          <w:highlight w:val="none"/>
        </w:rPr>
        <w:t>0.8</w:t>
      </w:r>
      <w:r>
        <w:rPr>
          <w:rFonts w:hint="eastAsia"/>
          <w:color w:val="auto"/>
          <w:highlight w:val="none"/>
        </w:rPr>
        <w:t>系数进行调节，本项目待宰圈最大静养规模为1000头，</w:t>
      </w:r>
      <w:r>
        <w:rPr>
          <w:color w:val="auto"/>
          <w:highlight w:val="none"/>
        </w:rPr>
        <w:t>因此，本项生猪待宰圈污染源强见下表</w:t>
      </w:r>
      <w:r>
        <w:rPr>
          <w:rFonts w:hint="eastAsia"/>
          <w:color w:val="auto"/>
          <w:highlight w:val="none"/>
        </w:rPr>
        <w:t>。</w:t>
      </w:r>
    </w:p>
    <w:p>
      <w:pPr>
        <w:pStyle w:val="27"/>
        <w:widowControl w:val="0"/>
        <w:ind w:firstLine="482"/>
        <w:rPr>
          <w:color w:val="auto"/>
          <w:highlight w:val="none"/>
        </w:rPr>
      </w:pPr>
      <w:r>
        <w:rPr>
          <w:rFonts w:hint="eastAsia"/>
          <w:color w:val="auto"/>
          <w:highlight w:val="none"/>
        </w:rPr>
        <w:t>营运期生猪待宰圈硫化氢和氨气产生源强</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770"/>
        <w:gridCol w:w="930"/>
        <w:gridCol w:w="2430"/>
        <w:gridCol w:w="690"/>
        <w:gridCol w:w="1185"/>
        <w:gridCol w:w="908"/>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7" w:hRule="atLeast"/>
        </w:trPr>
        <w:tc>
          <w:tcPr>
            <w:tcW w:w="794"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待宰种类</w:t>
            </w:r>
          </w:p>
        </w:tc>
        <w:tc>
          <w:tcPr>
            <w:tcW w:w="177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圈养量</w:t>
            </w:r>
          </w:p>
        </w:tc>
        <w:tc>
          <w:tcPr>
            <w:tcW w:w="93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243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每头生猪产生的排放量g/（头·d）</w:t>
            </w:r>
          </w:p>
        </w:tc>
        <w:tc>
          <w:tcPr>
            <w:tcW w:w="69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调整系数</w:t>
            </w:r>
          </w:p>
        </w:tc>
        <w:tc>
          <w:tcPr>
            <w:tcW w:w="118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产生速率</w:t>
            </w:r>
          </w:p>
          <w:p>
            <w:pPr>
              <w:pStyle w:val="28"/>
              <w:widowControl w:val="0"/>
              <w:rPr>
                <w:b/>
                <w:bCs/>
                <w:color w:val="auto"/>
                <w:highlight w:val="none"/>
              </w:rPr>
            </w:pPr>
            <w:r>
              <w:rPr>
                <w:b/>
                <w:bCs/>
                <w:color w:val="auto"/>
                <w:highlight w:val="none"/>
              </w:rPr>
              <w:t>kg/h</w:t>
            </w:r>
          </w:p>
        </w:tc>
        <w:tc>
          <w:tcPr>
            <w:tcW w:w="1817"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94" w:type="dxa"/>
            <w:vMerge w:val="continue"/>
            <w:tcBorders>
              <w:tl2br w:val="nil"/>
              <w:tr2bl w:val="nil"/>
            </w:tcBorders>
            <w:vAlign w:val="center"/>
          </w:tcPr>
          <w:p>
            <w:pPr>
              <w:pStyle w:val="28"/>
              <w:widowControl w:val="0"/>
              <w:rPr>
                <w:b/>
                <w:bCs/>
                <w:color w:val="auto"/>
                <w:highlight w:val="none"/>
              </w:rPr>
            </w:pPr>
          </w:p>
        </w:tc>
        <w:tc>
          <w:tcPr>
            <w:tcW w:w="1770" w:type="dxa"/>
            <w:vMerge w:val="continue"/>
            <w:tcBorders>
              <w:tl2br w:val="nil"/>
              <w:tr2bl w:val="nil"/>
            </w:tcBorders>
            <w:vAlign w:val="center"/>
          </w:tcPr>
          <w:p>
            <w:pPr>
              <w:pStyle w:val="28"/>
              <w:widowControl w:val="0"/>
              <w:rPr>
                <w:b/>
                <w:bCs/>
                <w:color w:val="auto"/>
                <w:highlight w:val="none"/>
              </w:rPr>
            </w:pPr>
          </w:p>
        </w:tc>
        <w:tc>
          <w:tcPr>
            <w:tcW w:w="930" w:type="dxa"/>
            <w:vMerge w:val="continue"/>
            <w:tcBorders>
              <w:tl2br w:val="nil"/>
              <w:tr2bl w:val="nil"/>
            </w:tcBorders>
            <w:vAlign w:val="center"/>
          </w:tcPr>
          <w:p>
            <w:pPr>
              <w:pStyle w:val="28"/>
              <w:widowControl w:val="0"/>
              <w:rPr>
                <w:b/>
                <w:bCs/>
                <w:color w:val="auto"/>
                <w:highlight w:val="none"/>
              </w:rPr>
            </w:pPr>
          </w:p>
        </w:tc>
        <w:tc>
          <w:tcPr>
            <w:tcW w:w="2430" w:type="dxa"/>
            <w:vMerge w:val="continue"/>
            <w:tcBorders>
              <w:tl2br w:val="nil"/>
              <w:tr2bl w:val="nil"/>
            </w:tcBorders>
            <w:vAlign w:val="center"/>
          </w:tcPr>
          <w:p>
            <w:pPr>
              <w:pStyle w:val="28"/>
              <w:widowControl w:val="0"/>
              <w:rPr>
                <w:b/>
                <w:bCs/>
                <w:color w:val="auto"/>
                <w:highlight w:val="none"/>
              </w:rPr>
            </w:pPr>
          </w:p>
        </w:tc>
        <w:tc>
          <w:tcPr>
            <w:tcW w:w="690" w:type="dxa"/>
            <w:vMerge w:val="continue"/>
            <w:tcBorders>
              <w:tl2br w:val="nil"/>
              <w:tr2bl w:val="nil"/>
            </w:tcBorders>
            <w:vAlign w:val="center"/>
          </w:tcPr>
          <w:p>
            <w:pPr>
              <w:pStyle w:val="28"/>
              <w:widowControl w:val="0"/>
              <w:rPr>
                <w:b/>
                <w:bCs/>
                <w:color w:val="auto"/>
                <w:highlight w:val="none"/>
              </w:rPr>
            </w:pPr>
          </w:p>
        </w:tc>
        <w:tc>
          <w:tcPr>
            <w:tcW w:w="1185" w:type="dxa"/>
            <w:vMerge w:val="continue"/>
            <w:tcBorders>
              <w:tl2br w:val="nil"/>
              <w:tr2bl w:val="nil"/>
            </w:tcBorders>
            <w:vAlign w:val="center"/>
          </w:tcPr>
          <w:p>
            <w:pPr>
              <w:pStyle w:val="28"/>
              <w:widowControl w:val="0"/>
              <w:rPr>
                <w:b/>
                <w:bCs/>
                <w:color w:val="auto"/>
                <w:highlight w:val="none"/>
              </w:rPr>
            </w:pPr>
          </w:p>
        </w:tc>
        <w:tc>
          <w:tcPr>
            <w:tcW w:w="908" w:type="dxa"/>
            <w:tcBorders>
              <w:tl2br w:val="nil"/>
              <w:tr2bl w:val="nil"/>
            </w:tcBorders>
            <w:vAlign w:val="center"/>
          </w:tcPr>
          <w:p>
            <w:pPr>
              <w:pStyle w:val="28"/>
              <w:widowControl w:val="0"/>
              <w:rPr>
                <w:b/>
                <w:bCs/>
                <w:color w:val="auto"/>
                <w:highlight w:val="none"/>
              </w:rPr>
            </w:pPr>
            <w:r>
              <w:rPr>
                <w:rFonts w:hint="eastAsia"/>
                <w:b/>
                <w:bCs/>
                <w:color w:val="auto"/>
                <w:highlight w:val="none"/>
              </w:rPr>
              <w:t>kg/d</w:t>
            </w:r>
          </w:p>
        </w:tc>
        <w:tc>
          <w:tcPr>
            <w:tcW w:w="909" w:type="dxa"/>
            <w:tcBorders>
              <w:tl2br w:val="nil"/>
              <w:tr2bl w:val="nil"/>
            </w:tcBorders>
            <w:vAlign w:val="center"/>
          </w:tcPr>
          <w:p>
            <w:pPr>
              <w:pStyle w:val="28"/>
              <w:widowControl w:val="0"/>
              <w:rPr>
                <w:b/>
                <w:bCs/>
                <w:color w:val="auto"/>
                <w:highlight w:val="none"/>
              </w:rPr>
            </w:pPr>
            <w:r>
              <w:rPr>
                <w:b/>
                <w:bCs/>
                <w:color w:val="auto"/>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1770" w:type="dxa"/>
            <w:vMerge w:val="restart"/>
            <w:tcBorders>
              <w:tl2br w:val="nil"/>
              <w:tr2bl w:val="nil"/>
            </w:tcBorders>
            <w:vAlign w:val="center"/>
          </w:tcPr>
          <w:p>
            <w:pPr>
              <w:pStyle w:val="28"/>
              <w:widowControl w:val="0"/>
              <w:rPr>
                <w:color w:val="auto"/>
                <w:highlight w:val="none"/>
              </w:rPr>
            </w:pPr>
            <w:r>
              <w:rPr>
                <w:rFonts w:hint="eastAsia"/>
                <w:color w:val="auto"/>
                <w:highlight w:val="none"/>
              </w:rPr>
              <w:t>1000头/d</w:t>
            </w:r>
          </w:p>
          <w:p>
            <w:pPr>
              <w:pStyle w:val="28"/>
              <w:widowControl w:val="0"/>
              <w:rPr>
                <w:color w:val="auto"/>
                <w:highlight w:val="none"/>
              </w:rPr>
            </w:pPr>
            <w:r>
              <w:rPr>
                <w:rFonts w:hint="eastAsia"/>
                <w:color w:val="auto"/>
                <w:highlight w:val="none"/>
              </w:rPr>
              <w:t>（最大静养量）</w:t>
            </w:r>
          </w:p>
        </w:tc>
        <w:tc>
          <w:tcPr>
            <w:tcW w:w="930" w:type="dxa"/>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5.6</w:t>
            </w: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0.8</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0.19</w:t>
            </w:r>
          </w:p>
        </w:tc>
        <w:tc>
          <w:tcPr>
            <w:tcW w:w="908" w:type="dxa"/>
            <w:tcBorders>
              <w:tl2br w:val="nil"/>
              <w:tr2bl w:val="nil"/>
            </w:tcBorders>
            <w:vAlign w:val="center"/>
          </w:tcPr>
          <w:p>
            <w:pPr>
              <w:pStyle w:val="28"/>
              <w:widowControl w:val="0"/>
              <w:rPr>
                <w:color w:val="auto"/>
                <w:highlight w:val="none"/>
              </w:rPr>
            </w:pPr>
            <w:r>
              <w:rPr>
                <w:rFonts w:hint="eastAsia"/>
                <w:color w:val="auto"/>
                <w:highlight w:val="none"/>
              </w:rPr>
              <w:t>4.48</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4" w:type="dxa"/>
            <w:vMerge w:val="continue"/>
            <w:tcBorders>
              <w:tl2br w:val="nil"/>
              <w:tr2bl w:val="nil"/>
            </w:tcBorders>
            <w:vAlign w:val="center"/>
          </w:tcPr>
          <w:p>
            <w:pPr>
              <w:pStyle w:val="28"/>
              <w:widowControl w:val="0"/>
              <w:rPr>
                <w:color w:val="auto"/>
                <w:highlight w:val="none"/>
              </w:rPr>
            </w:pPr>
          </w:p>
        </w:tc>
        <w:tc>
          <w:tcPr>
            <w:tcW w:w="1770" w:type="dxa"/>
            <w:vMerge w:val="continue"/>
            <w:tcBorders>
              <w:tl2br w:val="nil"/>
              <w:tr2bl w:val="nil"/>
            </w:tcBorders>
            <w:vAlign w:val="center"/>
          </w:tcPr>
          <w:p>
            <w:pPr>
              <w:pStyle w:val="28"/>
              <w:widowControl w:val="0"/>
              <w:rPr>
                <w:color w:val="auto"/>
                <w:highlight w:val="none"/>
              </w:rPr>
            </w:pPr>
          </w:p>
        </w:tc>
        <w:tc>
          <w:tcPr>
            <w:tcW w:w="930"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0.5</w:t>
            </w: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0.8</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0.017</w:t>
            </w:r>
          </w:p>
        </w:tc>
        <w:tc>
          <w:tcPr>
            <w:tcW w:w="908" w:type="dxa"/>
            <w:tcBorders>
              <w:tl2br w:val="nil"/>
              <w:tr2bl w:val="nil"/>
            </w:tcBorders>
            <w:vAlign w:val="center"/>
          </w:tcPr>
          <w:p>
            <w:pPr>
              <w:pStyle w:val="28"/>
              <w:widowControl w:val="0"/>
              <w:rPr>
                <w:color w:val="auto"/>
                <w:highlight w:val="none"/>
              </w:rPr>
            </w:pPr>
            <w:r>
              <w:rPr>
                <w:rFonts w:hint="eastAsia"/>
                <w:color w:val="auto"/>
                <w:highlight w:val="none"/>
              </w:rPr>
              <w:t>0.4</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0.08</w:t>
            </w:r>
          </w:p>
        </w:tc>
      </w:tr>
    </w:tbl>
    <w:p>
      <w:pPr>
        <w:widowControl w:val="0"/>
        <w:ind w:firstLine="482"/>
        <w:rPr>
          <w:b/>
          <w:bCs/>
          <w:color w:val="auto"/>
          <w:highlight w:val="none"/>
        </w:rPr>
      </w:pPr>
      <w:r>
        <w:rPr>
          <w:rFonts w:hint="eastAsia"/>
          <w:b/>
          <w:bCs/>
          <w:color w:val="auto"/>
          <w:highlight w:val="none"/>
        </w:rPr>
        <w:t>肉牛：</w:t>
      </w:r>
    </w:p>
    <w:p>
      <w:pPr>
        <w:widowControl w:val="0"/>
        <w:ind w:firstLine="480"/>
        <w:rPr>
          <w:color w:val="auto"/>
          <w:highlight w:val="none"/>
        </w:rPr>
      </w:pPr>
      <w:r>
        <w:rPr>
          <w:rFonts w:hint="eastAsia"/>
          <w:color w:val="auto"/>
          <w:highlight w:val="none"/>
        </w:rPr>
        <w:t>本项目待宰圈肉牛最大静养规模为100头，肉牛在厂区静养时间为</w:t>
      </w:r>
      <w:r>
        <w:rPr>
          <w:color w:val="auto"/>
          <w:highlight w:val="none"/>
        </w:rPr>
        <w:t>12h~24h</w:t>
      </w:r>
      <w:r>
        <w:rPr>
          <w:rFonts w:hint="eastAsia"/>
          <w:color w:val="auto"/>
          <w:highlight w:val="none"/>
        </w:rPr>
        <w:t>（按</w:t>
      </w:r>
      <w:r>
        <w:rPr>
          <w:color w:val="auto"/>
          <w:highlight w:val="none"/>
        </w:rPr>
        <w:t>24h</w:t>
      </w:r>
      <w:r>
        <w:rPr>
          <w:rFonts w:hint="eastAsia"/>
          <w:color w:val="auto"/>
          <w:highlight w:val="none"/>
        </w:rPr>
        <w:t>计）。本次环评根据《畜禽养殖业排污系数表》（农业出版社）可知，牛粪产生量为20kg/头·d，牛尿产生量为10kg/头·d，由于肉牛在静养圈停留时间短且不喂食，同时及时清理粪便，参考同类项目可知，将采用0.8系数进行调整，因此本项目牛粪最大产生量约为1.6t/d，160t/a，牛尿最大产生量约为0.8t/d，80t/a。</w:t>
      </w:r>
    </w:p>
    <w:p>
      <w:pPr>
        <w:widowControl w:val="0"/>
        <w:ind w:firstLine="480"/>
        <w:rPr>
          <w:color w:val="auto"/>
          <w:highlight w:val="none"/>
        </w:rPr>
      </w:pPr>
      <w:r>
        <w:rPr>
          <w:rFonts w:hint="eastAsia"/>
          <w:color w:val="auto"/>
          <w:highlight w:val="none"/>
        </w:rPr>
        <w:t>根据《畜禽养殖业排污系数表》（农业出版社）可知，每吨牛尿含氮量约为8.0kg，根据《中国畜禽粪便产生量估算及环境效应》（中国环境科学，2006，26（5）614~617），牛粪中含氮量0.315%，含硫量0.596</w:t>
      </w:r>
      <w:r>
        <w:rPr>
          <w:color w:val="auto"/>
          <w:highlight w:val="none"/>
        </w:rPr>
        <w:t>‰</w:t>
      </w:r>
      <w:r>
        <w:rPr>
          <w:rFonts w:hint="eastAsia"/>
          <w:color w:val="auto"/>
          <w:highlight w:val="none"/>
        </w:rPr>
        <w:t>。在饲料配方合理，栏舍管理得当的前提下，总氮、总硫转化成NH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S的量不超过总量的5%，本项目肉牛静养不进行喂食喂水，因此本次评价按最不利条件，转化率取5%。待宰圈肉牛产生的恶臭污染物排放浓度源强见下表。</w:t>
      </w:r>
    </w:p>
    <w:p>
      <w:pPr>
        <w:pStyle w:val="27"/>
        <w:widowControl w:val="0"/>
        <w:ind w:firstLine="480"/>
        <w:rPr>
          <w:color w:val="auto"/>
          <w:highlight w:val="none"/>
        </w:rPr>
      </w:pPr>
      <w:r>
        <w:rPr>
          <w:rFonts w:hint="eastAsia"/>
          <w:color w:val="auto"/>
          <w:highlight w:val="none"/>
        </w:rPr>
        <w:t>营运期肉牛待宰圈牛粪与牛尿产生源强</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605"/>
        <w:gridCol w:w="1020"/>
        <w:gridCol w:w="1965"/>
        <w:gridCol w:w="1245"/>
        <w:gridCol w:w="152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4" w:type="dxa"/>
            <w:vMerge w:val="restart"/>
            <w:tcBorders>
              <w:top w:val="single" w:color="auto" w:sz="12" w:space="0"/>
              <w:left w:val="nil"/>
            </w:tcBorders>
            <w:vAlign w:val="center"/>
          </w:tcPr>
          <w:p>
            <w:pPr>
              <w:pStyle w:val="28"/>
              <w:widowControl w:val="0"/>
              <w:rPr>
                <w:b/>
                <w:bCs/>
                <w:color w:val="auto"/>
                <w:highlight w:val="none"/>
              </w:rPr>
            </w:pPr>
            <w:r>
              <w:rPr>
                <w:rFonts w:hint="eastAsia"/>
                <w:b/>
                <w:bCs/>
                <w:color w:val="auto"/>
                <w:highlight w:val="none"/>
              </w:rPr>
              <w:t>待宰种类</w:t>
            </w:r>
          </w:p>
        </w:tc>
        <w:tc>
          <w:tcPr>
            <w:tcW w:w="1605" w:type="dxa"/>
            <w:vMerge w:val="restart"/>
            <w:tcBorders>
              <w:top w:val="single" w:color="auto" w:sz="12" w:space="0"/>
            </w:tcBorders>
            <w:vAlign w:val="center"/>
          </w:tcPr>
          <w:p>
            <w:pPr>
              <w:pStyle w:val="28"/>
              <w:widowControl w:val="0"/>
              <w:rPr>
                <w:b/>
                <w:bCs/>
                <w:color w:val="auto"/>
                <w:highlight w:val="none"/>
              </w:rPr>
            </w:pPr>
            <w:r>
              <w:rPr>
                <w:rFonts w:hint="eastAsia"/>
                <w:b/>
                <w:bCs/>
                <w:color w:val="auto"/>
                <w:highlight w:val="none"/>
              </w:rPr>
              <w:t>圈养量</w:t>
            </w:r>
          </w:p>
        </w:tc>
        <w:tc>
          <w:tcPr>
            <w:tcW w:w="1020" w:type="dxa"/>
            <w:vMerge w:val="restart"/>
            <w:tcBorders>
              <w:top w:val="single" w:color="auto" w:sz="12" w:space="0"/>
            </w:tcBorders>
            <w:vAlign w:val="center"/>
          </w:tcPr>
          <w:p>
            <w:pPr>
              <w:pStyle w:val="28"/>
              <w:widowControl w:val="0"/>
              <w:rPr>
                <w:b/>
                <w:bCs/>
                <w:color w:val="auto"/>
                <w:highlight w:val="none"/>
              </w:rPr>
            </w:pPr>
            <w:r>
              <w:rPr>
                <w:rFonts w:hint="eastAsia"/>
                <w:b/>
                <w:bCs/>
                <w:color w:val="auto"/>
                <w:highlight w:val="none"/>
              </w:rPr>
              <w:t>污染物</w:t>
            </w:r>
          </w:p>
        </w:tc>
        <w:tc>
          <w:tcPr>
            <w:tcW w:w="1965" w:type="dxa"/>
            <w:vMerge w:val="restart"/>
            <w:tcBorders>
              <w:top w:val="single" w:color="auto" w:sz="12" w:space="0"/>
            </w:tcBorders>
            <w:vAlign w:val="center"/>
          </w:tcPr>
          <w:p>
            <w:pPr>
              <w:pStyle w:val="28"/>
              <w:widowControl w:val="0"/>
              <w:rPr>
                <w:b/>
                <w:bCs/>
                <w:color w:val="auto"/>
                <w:highlight w:val="none"/>
              </w:rPr>
            </w:pPr>
            <w:r>
              <w:rPr>
                <w:rFonts w:hint="eastAsia"/>
                <w:b/>
                <w:bCs/>
                <w:color w:val="auto"/>
                <w:highlight w:val="none"/>
              </w:rPr>
              <w:t>每头肉牛产生量</w:t>
            </w:r>
          </w:p>
          <w:p>
            <w:pPr>
              <w:pStyle w:val="28"/>
              <w:widowControl w:val="0"/>
              <w:rPr>
                <w:b/>
                <w:bCs/>
                <w:color w:val="auto"/>
                <w:highlight w:val="none"/>
              </w:rPr>
            </w:pPr>
            <w:r>
              <w:rPr>
                <w:rFonts w:hint="eastAsia"/>
                <w:b/>
                <w:bCs/>
                <w:color w:val="auto"/>
                <w:highlight w:val="none"/>
              </w:rPr>
              <w:t>kg/（头·d）</w:t>
            </w:r>
          </w:p>
        </w:tc>
        <w:tc>
          <w:tcPr>
            <w:tcW w:w="1245" w:type="dxa"/>
            <w:vMerge w:val="restart"/>
            <w:tcBorders>
              <w:top w:val="single" w:color="auto" w:sz="12" w:space="0"/>
            </w:tcBorders>
            <w:vAlign w:val="center"/>
          </w:tcPr>
          <w:p>
            <w:pPr>
              <w:pStyle w:val="28"/>
              <w:widowControl w:val="0"/>
              <w:rPr>
                <w:b/>
                <w:bCs/>
                <w:color w:val="auto"/>
                <w:highlight w:val="none"/>
              </w:rPr>
            </w:pPr>
            <w:r>
              <w:rPr>
                <w:rFonts w:hint="eastAsia"/>
                <w:b/>
                <w:bCs/>
                <w:color w:val="auto"/>
                <w:highlight w:val="none"/>
              </w:rPr>
              <w:t>调整系数</w:t>
            </w:r>
          </w:p>
        </w:tc>
        <w:tc>
          <w:tcPr>
            <w:tcW w:w="3053" w:type="dxa"/>
            <w:gridSpan w:val="2"/>
            <w:tcBorders>
              <w:top w:val="single" w:color="auto" w:sz="12" w:space="0"/>
              <w:right w:val="nil"/>
            </w:tcBorders>
            <w:vAlign w:val="center"/>
          </w:tcPr>
          <w:p>
            <w:pPr>
              <w:pStyle w:val="28"/>
              <w:widowControl w:val="0"/>
              <w:rPr>
                <w:b/>
                <w:bCs/>
                <w:color w:val="auto"/>
                <w:highlight w:val="none"/>
              </w:rPr>
            </w:pPr>
            <w:r>
              <w:rPr>
                <w:rFonts w:hint="eastAsia"/>
                <w:b/>
                <w:bCs/>
                <w:color w:val="auto"/>
                <w:highlight w:val="none"/>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4" w:type="dxa"/>
            <w:vMerge w:val="continue"/>
            <w:tcBorders>
              <w:left w:val="nil"/>
            </w:tcBorders>
            <w:vAlign w:val="center"/>
          </w:tcPr>
          <w:p>
            <w:pPr>
              <w:pStyle w:val="28"/>
              <w:widowControl w:val="0"/>
              <w:rPr>
                <w:b/>
                <w:bCs/>
                <w:color w:val="auto"/>
                <w:highlight w:val="none"/>
              </w:rPr>
            </w:pPr>
          </w:p>
        </w:tc>
        <w:tc>
          <w:tcPr>
            <w:tcW w:w="1605" w:type="dxa"/>
            <w:vMerge w:val="continue"/>
            <w:vAlign w:val="center"/>
          </w:tcPr>
          <w:p>
            <w:pPr>
              <w:pStyle w:val="28"/>
              <w:widowControl w:val="0"/>
              <w:rPr>
                <w:b/>
                <w:bCs/>
                <w:color w:val="auto"/>
                <w:highlight w:val="none"/>
              </w:rPr>
            </w:pPr>
          </w:p>
        </w:tc>
        <w:tc>
          <w:tcPr>
            <w:tcW w:w="1020" w:type="dxa"/>
            <w:vMerge w:val="continue"/>
            <w:vAlign w:val="center"/>
          </w:tcPr>
          <w:p>
            <w:pPr>
              <w:pStyle w:val="28"/>
              <w:widowControl w:val="0"/>
              <w:rPr>
                <w:b/>
                <w:bCs/>
                <w:color w:val="auto"/>
                <w:highlight w:val="none"/>
              </w:rPr>
            </w:pPr>
          </w:p>
        </w:tc>
        <w:tc>
          <w:tcPr>
            <w:tcW w:w="1965" w:type="dxa"/>
            <w:vMerge w:val="continue"/>
            <w:vAlign w:val="center"/>
          </w:tcPr>
          <w:p>
            <w:pPr>
              <w:pStyle w:val="28"/>
              <w:widowControl w:val="0"/>
              <w:rPr>
                <w:b/>
                <w:bCs/>
                <w:color w:val="auto"/>
                <w:highlight w:val="none"/>
              </w:rPr>
            </w:pPr>
          </w:p>
        </w:tc>
        <w:tc>
          <w:tcPr>
            <w:tcW w:w="1245" w:type="dxa"/>
            <w:vMerge w:val="continue"/>
            <w:vAlign w:val="center"/>
          </w:tcPr>
          <w:p>
            <w:pPr>
              <w:pStyle w:val="28"/>
              <w:widowControl w:val="0"/>
              <w:rPr>
                <w:b/>
                <w:bCs/>
                <w:color w:val="auto"/>
                <w:highlight w:val="none"/>
              </w:rPr>
            </w:pPr>
          </w:p>
        </w:tc>
        <w:tc>
          <w:tcPr>
            <w:tcW w:w="1526" w:type="dxa"/>
            <w:vAlign w:val="center"/>
          </w:tcPr>
          <w:p>
            <w:pPr>
              <w:pStyle w:val="28"/>
              <w:widowControl w:val="0"/>
              <w:rPr>
                <w:b/>
                <w:bCs/>
                <w:color w:val="auto"/>
                <w:highlight w:val="none"/>
              </w:rPr>
            </w:pPr>
            <w:r>
              <w:rPr>
                <w:rFonts w:hint="eastAsia"/>
                <w:b/>
                <w:bCs/>
                <w:color w:val="auto"/>
                <w:highlight w:val="none"/>
              </w:rPr>
              <w:t>t/d</w:t>
            </w:r>
          </w:p>
        </w:tc>
        <w:tc>
          <w:tcPr>
            <w:tcW w:w="1527" w:type="dxa"/>
            <w:tcBorders>
              <w:right w:val="nil"/>
            </w:tcBorders>
            <w:vAlign w:val="center"/>
          </w:tcPr>
          <w:p>
            <w:pPr>
              <w:pStyle w:val="28"/>
              <w:widowControl w:val="0"/>
              <w:rPr>
                <w:b/>
                <w:bCs/>
                <w:color w:val="auto"/>
                <w:highlight w:val="none"/>
              </w:rPr>
            </w:pPr>
            <w:r>
              <w:rPr>
                <w:rFonts w:hint="eastAsia"/>
                <w:b/>
                <w:bCs/>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restart"/>
            <w:tcBorders>
              <w:left w:val="nil"/>
            </w:tcBorders>
            <w:vAlign w:val="center"/>
          </w:tcPr>
          <w:p>
            <w:pPr>
              <w:pStyle w:val="28"/>
              <w:widowControl w:val="0"/>
              <w:rPr>
                <w:color w:val="auto"/>
                <w:highlight w:val="none"/>
              </w:rPr>
            </w:pPr>
            <w:r>
              <w:rPr>
                <w:rFonts w:hint="eastAsia"/>
                <w:color w:val="auto"/>
                <w:highlight w:val="none"/>
              </w:rPr>
              <w:t>肉牛</w:t>
            </w:r>
          </w:p>
        </w:tc>
        <w:tc>
          <w:tcPr>
            <w:tcW w:w="1605" w:type="dxa"/>
            <w:vMerge w:val="restart"/>
            <w:vAlign w:val="center"/>
          </w:tcPr>
          <w:p>
            <w:pPr>
              <w:pStyle w:val="28"/>
              <w:widowControl w:val="0"/>
              <w:rPr>
                <w:color w:val="auto"/>
                <w:highlight w:val="none"/>
              </w:rPr>
            </w:pPr>
            <w:r>
              <w:rPr>
                <w:rFonts w:hint="eastAsia"/>
                <w:color w:val="auto"/>
                <w:highlight w:val="none"/>
              </w:rPr>
              <w:t>100头/d</w:t>
            </w:r>
          </w:p>
          <w:p>
            <w:pPr>
              <w:pStyle w:val="28"/>
              <w:widowControl w:val="0"/>
              <w:rPr>
                <w:color w:val="auto"/>
                <w:highlight w:val="none"/>
              </w:rPr>
            </w:pPr>
            <w:r>
              <w:rPr>
                <w:rFonts w:hint="eastAsia"/>
                <w:color w:val="auto"/>
                <w:highlight w:val="none"/>
              </w:rPr>
              <w:t>（最大静养量）</w:t>
            </w:r>
          </w:p>
        </w:tc>
        <w:tc>
          <w:tcPr>
            <w:tcW w:w="1020" w:type="dxa"/>
            <w:vAlign w:val="center"/>
          </w:tcPr>
          <w:p>
            <w:pPr>
              <w:pStyle w:val="28"/>
              <w:widowControl w:val="0"/>
              <w:rPr>
                <w:color w:val="auto"/>
                <w:highlight w:val="none"/>
              </w:rPr>
            </w:pPr>
            <w:r>
              <w:rPr>
                <w:rFonts w:hint="eastAsia"/>
                <w:color w:val="auto"/>
                <w:highlight w:val="none"/>
              </w:rPr>
              <w:t>牛粪</w:t>
            </w:r>
          </w:p>
        </w:tc>
        <w:tc>
          <w:tcPr>
            <w:tcW w:w="1965" w:type="dxa"/>
            <w:vAlign w:val="center"/>
          </w:tcPr>
          <w:p>
            <w:pPr>
              <w:pStyle w:val="28"/>
              <w:widowControl w:val="0"/>
              <w:rPr>
                <w:color w:val="auto"/>
                <w:highlight w:val="none"/>
              </w:rPr>
            </w:pPr>
            <w:r>
              <w:rPr>
                <w:rFonts w:hint="eastAsia"/>
                <w:color w:val="auto"/>
                <w:highlight w:val="none"/>
              </w:rPr>
              <w:t>20</w:t>
            </w:r>
          </w:p>
        </w:tc>
        <w:tc>
          <w:tcPr>
            <w:tcW w:w="1245" w:type="dxa"/>
            <w:vAlign w:val="center"/>
          </w:tcPr>
          <w:p>
            <w:pPr>
              <w:pStyle w:val="28"/>
              <w:widowControl w:val="0"/>
              <w:rPr>
                <w:color w:val="auto"/>
                <w:highlight w:val="none"/>
              </w:rPr>
            </w:pPr>
            <w:r>
              <w:rPr>
                <w:rFonts w:hint="eastAsia"/>
                <w:color w:val="auto"/>
                <w:highlight w:val="none"/>
              </w:rPr>
              <w:t>0.8</w:t>
            </w:r>
          </w:p>
        </w:tc>
        <w:tc>
          <w:tcPr>
            <w:tcW w:w="1526" w:type="dxa"/>
            <w:vAlign w:val="center"/>
          </w:tcPr>
          <w:p>
            <w:pPr>
              <w:pStyle w:val="28"/>
              <w:widowControl w:val="0"/>
              <w:rPr>
                <w:color w:val="auto"/>
                <w:highlight w:val="none"/>
              </w:rPr>
            </w:pPr>
            <w:r>
              <w:rPr>
                <w:rFonts w:hint="eastAsia"/>
                <w:color w:val="auto"/>
                <w:highlight w:val="none"/>
              </w:rPr>
              <w:t>1.6</w:t>
            </w:r>
          </w:p>
        </w:tc>
        <w:tc>
          <w:tcPr>
            <w:tcW w:w="1527" w:type="dxa"/>
            <w:tcBorders>
              <w:right w:val="nil"/>
            </w:tcBorders>
            <w:vAlign w:val="center"/>
          </w:tcPr>
          <w:p>
            <w:pPr>
              <w:pStyle w:val="28"/>
              <w:widowControl w:val="0"/>
              <w:rPr>
                <w:color w:val="auto"/>
                <w:highlight w:val="none"/>
              </w:rPr>
            </w:pPr>
            <w:r>
              <w:rPr>
                <w:rFonts w:hint="eastAsia"/>
                <w:color w:val="auto"/>
                <w:highlight w:val="none"/>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tcBorders>
              <w:left w:val="nil"/>
              <w:bottom w:val="single" w:color="auto" w:sz="12" w:space="0"/>
            </w:tcBorders>
            <w:vAlign w:val="center"/>
          </w:tcPr>
          <w:p>
            <w:pPr>
              <w:pStyle w:val="28"/>
              <w:widowControl w:val="0"/>
              <w:rPr>
                <w:color w:val="auto"/>
                <w:highlight w:val="none"/>
              </w:rPr>
            </w:pPr>
          </w:p>
        </w:tc>
        <w:tc>
          <w:tcPr>
            <w:tcW w:w="1605" w:type="dxa"/>
            <w:vMerge w:val="continue"/>
            <w:tcBorders>
              <w:bottom w:val="single" w:color="auto" w:sz="12" w:space="0"/>
            </w:tcBorders>
            <w:vAlign w:val="center"/>
          </w:tcPr>
          <w:p>
            <w:pPr>
              <w:pStyle w:val="28"/>
              <w:widowControl w:val="0"/>
              <w:rPr>
                <w:color w:val="auto"/>
                <w:highlight w:val="none"/>
              </w:rPr>
            </w:pPr>
          </w:p>
        </w:tc>
        <w:tc>
          <w:tcPr>
            <w:tcW w:w="1020" w:type="dxa"/>
            <w:tcBorders>
              <w:bottom w:val="single" w:color="auto" w:sz="12" w:space="0"/>
            </w:tcBorders>
            <w:vAlign w:val="center"/>
          </w:tcPr>
          <w:p>
            <w:pPr>
              <w:pStyle w:val="28"/>
              <w:widowControl w:val="0"/>
              <w:rPr>
                <w:color w:val="auto"/>
                <w:highlight w:val="none"/>
              </w:rPr>
            </w:pPr>
            <w:r>
              <w:rPr>
                <w:rFonts w:hint="eastAsia"/>
                <w:color w:val="auto"/>
                <w:highlight w:val="none"/>
              </w:rPr>
              <w:t>牛尿</w:t>
            </w:r>
          </w:p>
        </w:tc>
        <w:tc>
          <w:tcPr>
            <w:tcW w:w="1965" w:type="dxa"/>
            <w:tcBorders>
              <w:bottom w:val="single" w:color="auto" w:sz="12" w:space="0"/>
            </w:tcBorders>
            <w:vAlign w:val="center"/>
          </w:tcPr>
          <w:p>
            <w:pPr>
              <w:pStyle w:val="28"/>
              <w:widowControl w:val="0"/>
              <w:rPr>
                <w:color w:val="auto"/>
                <w:highlight w:val="none"/>
              </w:rPr>
            </w:pPr>
            <w:r>
              <w:rPr>
                <w:rFonts w:hint="eastAsia"/>
                <w:color w:val="auto"/>
                <w:highlight w:val="none"/>
              </w:rPr>
              <w:t>10</w:t>
            </w:r>
          </w:p>
        </w:tc>
        <w:tc>
          <w:tcPr>
            <w:tcW w:w="1245" w:type="dxa"/>
            <w:tcBorders>
              <w:bottom w:val="single" w:color="auto" w:sz="12" w:space="0"/>
            </w:tcBorders>
            <w:vAlign w:val="center"/>
          </w:tcPr>
          <w:p>
            <w:pPr>
              <w:pStyle w:val="28"/>
              <w:widowControl w:val="0"/>
              <w:rPr>
                <w:color w:val="auto"/>
                <w:highlight w:val="none"/>
              </w:rPr>
            </w:pPr>
            <w:r>
              <w:rPr>
                <w:rFonts w:hint="eastAsia"/>
                <w:color w:val="auto"/>
                <w:highlight w:val="none"/>
              </w:rPr>
              <w:t>0.8</w:t>
            </w:r>
          </w:p>
        </w:tc>
        <w:tc>
          <w:tcPr>
            <w:tcW w:w="1526" w:type="dxa"/>
            <w:tcBorders>
              <w:bottom w:val="single" w:color="auto" w:sz="12" w:space="0"/>
            </w:tcBorders>
            <w:vAlign w:val="center"/>
          </w:tcPr>
          <w:p>
            <w:pPr>
              <w:pStyle w:val="28"/>
              <w:widowControl w:val="0"/>
              <w:rPr>
                <w:color w:val="auto"/>
                <w:highlight w:val="none"/>
              </w:rPr>
            </w:pPr>
            <w:r>
              <w:rPr>
                <w:rFonts w:hint="eastAsia"/>
                <w:color w:val="auto"/>
                <w:highlight w:val="none"/>
              </w:rPr>
              <w:t>0.8</w:t>
            </w:r>
          </w:p>
        </w:tc>
        <w:tc>
          <w:tcPr>
            <w:tcW w:w="1527" w:type="dxa"/>
            <w:tcBorders>
              <w:bottom w:val="single" w:color="auto" w:sz="12" w:space="0"/>
              <w:right w:val="nil"/>
            </w:tcBorders>
            <w:vAlign w:val="center"/>
          </w:tcPr>
          <w:p>
            <w:pPr>
              <w:pStyle w:val="28"/>
              <w:widowControl w:val="0"/>
              <w:rPr>
                <w:color w:val="auto"/>
                <w:highlight w:val="none"/>
              </w:rPr>
            </w:pPr>
            <w:r>
              <w:rPr>
                <w:rFonts w:hint="eastAsia"/>
                <w:color w:val="auto"/>
                <w:highlight w:val="none"/>
              </w:rPr>
              <w:t>80</w:t>
            </w:r>
          </w:p>
        </w:tc>
      </w:tr>
    </w:tbl>
    <w:p>
      <w:pPr>
        <w:pStyle w:val="27"/>
        <w:widowControl w:val="0"/>
        <w:ind w:firstLine="480"/>
        <w:rPr>
          <w:color w:val="auto"/>
          <w:highlight w:val="none"/>
        </w:rPr>
      </w:pPr>
      <w:r>
        <w:rPr>
          <w:rFonts w:hint="eastAsia"/>
          <w:color w:val="auto"/>
          <w:highlight w:val="none"/>
        </w:rPr>
        <w:t>营运期肉牛待宰圈硫化氢和氨气产生源强</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25"/>
        <w:gridCol w:w="585"/>
        <w:gridCol w:w="690"/>
        <w:gridCol w:w="1275"/>
        <w:gridCol w:w="840"/>
        <w:gridCol w:w="1080"/>
        <w:gridCol w:w="855"/>
        <w:gridCol w:w="660"/>
        <w:gridCol w:w="1095"/>
        <w:gridCol w:w="615"/>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1"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1110"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69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污染元素</w:t>
            </w:r>
          </w:p>
        </w:tc>
        <w:tc>
          <w:tcPr>
            <w:tcW w:w="127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污染源中污染源的占比</w:t>
            </w:r>
          </w:p>
        </w:tc>
        <w:tc>
          <w:tcPr>
            <w:tcW w:w="1920"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污染源元素产生量</w:t>
            </w:r>
          </w:p>
        </w:tc>
        <w:tc>
          <w:tcPr>
            <w:tcW w:w="855" w:type="dxa"/>
            <w:vMerge w:val="restart"/>
            <w:tcBorders>
              <w:tl2br w:val="nil"/>
              <w:tr2bl w:val="nil"/>
            </w:tcBorders>
            <w:vAlign w:val="center"/>
          </w:tcPr>
          <w:p>
            <w:pPr>
              <w:pStyle w:val="28"/>
              <w:widowControl w:val="0"/>
              <w:rPr>
                <w:color w:val="auto"/>
                <w:highlight w:val="none"/>
              </w:rPr>
            </w:pPr>
            <w:r>
              <w:rPr>
                <w:rFonts w:hint="eastAsia"/>
                <w:color w:val="auto"/>
                <w:highlight w:val="none"/>
              </w:rPr>
              <w:t>污染物名称</w:t>
            </w:r>
          </w:p>
        </w:tc>
        <w:tc>
          <w:tcPr>
            <w:tcW w:w="660" w:type="dxa"/>
            <w:vMerge w:val="restart"/>
            <w:tcBorders>
              <w:tl2br w:val="nil"/>
              <w:tr2bl w:val="nil"/>
            </w:tcBorders>
            <w:vAlign w:val="center"/>
          </w:tcPr>
          <w:p>
            <w:pPr>
              <w:pStyle w:val="28"/>
              <w:widowControl w:val="0"/>
              <w:rPr>
                <w:color w:val="auto"/>
                <w:highlight w:val="none"/>
              </w:rPr>
            </w:pPr>
            <w:r>
              <w:rPr>
                <w:rFonts w:hint="eastAsia"/>
                <w:color w:val="auto"/>
                <w:highlight w:val="none"/>
              </w:rPr>
              <w:t>转化率</w:t>
            </w:r>
          </w:p>
        </w:tc>
        <w:tc>
          <w:tcPr>
            <w:tcW w:w="1095" w:type="dxa"/>
            <w:tcBorders>
              <w:tl2br w:val="nil"/>
              <w:tr2bl w:val="nil"/>
            </w:tcBorders>
            <w:vAlign w:val="center"/>
          </w:tcPr>
          <w:p>
            <w:pPr>
              <w:pStyle w:val="28"/>
              <w:widowControl w:val="0"/>
              <w:rPr>
                <w:color w:val="auto"/>
                <w:highlight w:val="none"/>
              </w:rPr>
            </w:pPr>
            <w:r>
              <w:rPr>
                <w:rFonts w:hint="eastAsia"/>
                <w:color w:val="auto"/>
                <w:highlight w:val="none"/>
              </w:rPr>
              <w:t>产生速率</w:t>
            </w:r>
          </w:p>
        </w:tc>
        <w:tc>
          <w:tcPr>
            <w:tcW w:w="1346" w:type="dxa"/>
            <w:gridSpan w:val="2"/>
            <w:tcBorders>
              <w:tl2br w:val="nil"/>
              <w:tr2bl w:val="nil"/>
            </w:tcBorders>
            <w:vAlign w:val="center"/>
          </w:tcPr>
          <w:p>
            <w:pPr>
              <w:pStyle w:val="28"/>
              <w:widowControl w:val="0"/>
              <w:rPr>
                <w:color w:val="auto"/>
                <w:highlight w:val="none"/>
              </w:rPr>
            </w:pPr>
            <w:r>
              <w:rPr>
                <w:rFonts w:hint="eastAsia"/>
                <w:color w:val="auto"/>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1" w:type="dxa"/>
            <w:vMerge w:val="continue"/>
            <w:tcBorders>
              <w:tl2br w:val="nil"/>
              <w:tr2bl w:val="nil"/>
            </w:tcBorders>
            <w:vAlign w:val="center"/>
          </w:tcPr>
          <w:p>
            <w:pPr>
              <w:pStyle w:val="28"/>
              <w:widowControl w:val="0"/>
              <w:rPr>
                <w:b/>
                <w:bCs/>
                <w:color w:val="auto"/>
                <w:highlight w:val="none"/>
              </w:rPr>
            </w:pPr>
          </w:p>
        </w:tc>
        <w:tc>
          <w:tcPr>
            <w:tcW w:w="525" w:type="dxa"/>
            <w:tcBorders>
              <w:tl2br w:val="nil"/>
              <w:tr2bl w:val="nil"/>
            </w:tcBorders>
            <w:vAlign w:val="center"/>
          </w:tcPr>
          <w:p>
            <w:pPr>
              <w:pStyle w:val="28"/>
              <w:widowControl w:val="0"/>
              <w:rPr>
                <w:b/>
                <w:bCs/>
                <w:color w:val="auto"/>
                <w:highlight w:val="none"/>
              </w:rPr>
            </w:pPr>
            <w:r>
              <w:rPr>
                <w:rFonts w:hint="eastAsia"/>
                <w:b/>
                <w:bCs/>
                <w:color w:val="auto"/>
                <w:highlight w:val="none"/>
              </w:rPr>
              <w:t>t/d</w:t>
            </w:r>
          </w:p>
        </w:tc>
        <w:tc>
          <w:tcPr>
            <w:tcW w:w="585" w:type="dxa"/>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690" w:type="dxa"/>
            <w:vMerge w:val="continue"/>
            <w:tcBorders>
              <w:tl2br w:val="nil"/>
              <w:tr2bl w:val="nil"/>
            </w:tcBorders>
            <w:vAlign w:val="center"/>
          </w:tcPr>
          <w:p>
            <w:pPr>
              <w:pStyle w:val="28"/>
              <w:widowControl w:val="0"/>
              <w:rPr>
                <w:b/>
                <w:bCs/>
                <w:color w:val="auto"/>
                <w:highlight w:val="none"/>
              </w:rPr>
            </w:pPr>
          </w:p>
        </w:tc>
        <w:tc>
          <w:tcPr>
            <w:tcW w:w="1275" w:type="dxa"/>
            <w:vMerge w:val="continue"/>
            <w:tcBorders>
              <w:tl2br w:val="nil"/>
              <w:tr2bl w:val="nil"/>
            </w:tcBorders>
            <w:vAlign w:val="center"/>
          </w:tcPr>
          <w:p>
            <w:pPr>
              <w:pStyle w:val="28"/>
              <w:widowControl w:val="0"/>
              <w:rPr>
                <w:b/>
                <w:bCs/>
                <w:color w:val="auto"/>
                <w:highlight w:val="none"/>
              </w:rPr>
            </w:pPr>
          </w:p>
        </w:tc>
        <w:tc>
          <w:tcPr>
            <w:tcW w:w="840" w:type="dxa"/>
            <w:tcBorders>
              <w:tl2br w:val="nil"/>
              <w:tr2bl w:val="nil"/>
            </w:tcBorders>
            <w:vAlign w:val="center"/>
          </w:tcPr>
          <w:p>
            <w:pPr>
              <w:pStyle w:val="28"/>
              <w:widowControl w:val="0"/>
              <w:rPr>
                <w:b/>
                <w:bCs/>
                <w:color w:val="auto"/>
                <w:highlight w:val="none"/>
              </w:rPr>
            </w:pPr>
            <w:r>
              <w:rPr>
                <w:rFonts w:hint="eastAsia"/>
                <w:b/>
                <w:bCs/>
                <w:color w:val="auto"/>
                <w:highlight w:val="none"/>
              </w:rPr>
              <w:t>kg/d</w:t>
            </w:r>
          </w:p>
        </w:tc>
        <w:tc>
          <w:tcPr>
            <w:tcW w:w="1080" w:type="dxa"/>
            <w:tcBorders>
              <w:tl2br w:val="nil"/>
              <w:tr2bl w:val="nil"/>
            </w:tcBorders>
            <w:vAlign w:val="center"/>
          </w:tcPr>
          <w:p>
            <w:pPr>
              <w:pStyle w:val="28"/>
              <w:widowControl w:val="0"/>
              <w:rPr>
                <w:b/>
                <w:bCs/>
                <w:color w:val="auto"/>
                <w:highlight w:val="none"/>
              </w:rPr>
            </w:pPr>
            <w:r>
              <w:rPr>
                <w:rFonts w:hint="eastAsia"/>
                <w:b/>
                <w:bCs/>
                <w:color w:val="auto"/>
                <w:highlight w:val="none"/>
              </w:rPr>
              <w:t>t/a</w:t>
            </w:r>
          </w:p>
        </w:tc>
        <w:tc>
          <w:tcPr>
            <w:tcW w:w="855"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095" w:type="dxa"/>
            <w:tcBorders>
              <w:tl2br w:val="nil"/>
              <w:tr2bl w:val="nil"/>
            </w:tcBorders>
            <w:vAlign w:val="center"/>
          </w:tcPr>
          <w:p>
            <w:pPr>
              <w:pStyle w:val="28"/>
              <w:widowControl w:val="0"/>
              <w:rPr>
                <w:b/>
                <w:bCs/>
                <w:color w:val="auto"/>
                <w:highlight w:val="none"/>
              </w:rPr>
            </w:pPr>
            <w:r>
              <w:rPr>
                <w:rFonts w:hint="eastAsia"/>
                <w:b/>
                <w:bCs/>
                <w:color w:val="auto"/>
                <w:highlight w:val="none"/>
              </w:rPr>
              <w:t>kg/h</w:t>
            </w:r>
          </w:p>
        </w:tc>
        <w:tc>
          <w:tcPr>
            <w:tcW w:w="615" w:type="dxa"/>
            <w:tcBorders>
              <w:tl2br w:val="nil"/>
              <w:tr2bl w:val="nil"/>
            </w:tcBorders>
            <w:vAlign w:val="center"/>
          </w:tcPr>
          <w:p>
            <w:pPr>
              <w:pStyle w:val="28"/>
              <w:widowControl w:val="0"/>
              <w:rPr>
                <w:b/>
                <w:bCs/>
                <w:color w:val="auto"/>
                <w:highlight w:val="none"/>
              </w:rPr>
            </w:pPr>
            <w:r>
              <w:rPr>
                <w:rFonts w:hint="eastAsia"/>
                <w:b/>
                <w:bCs/>
                <w:color w:val="auto"/>
                <w:highlight w:val="none"/>
              </w:rPr>
              <w:t>kg/d</w:t>
            </w:r>
          </w:p>
        </w:tc>
        <w:tc>
          <w:tcPr>
            <w:tcW w:w="731" w:type="dxa"/>
            <w:tcBorders>
              <w:tl2br w:val="nil"/>
              <w:tr2bl w:val="nil"/>
            </w:tcBorders>
            <w:vAlign w:val="center"/>
          </w:tcPr>
          <w:p>
            <w:pPr>
              <w:pStyle w:val="28"/>
              <w:widowControl w:val="0"/>
              <w:rPr>
                <w:b/>
                <w:bCs/>
                <w:color w:val="auto"/>
                <w:highlight w:val="none"/>
              </w:rPr>
            </w:pPr>
            <w:r>
              <w:rPr>
                <w:rFonts w:hint="eastAsia"/>
                <w:b/>
                <w:bCs/>
                <w:color w:val="auto"/>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l2br w:val="nil"/>
              <w:tr2bl w:val="nil"/>
            </w:tcBorders>
            <w:vAlign w:val="center"/>
          </w:tcPr>
          <w:p>
            <w:pPr>
              <w:pStyle w:val="28"/>
              <w:widowControl w:val="0"/>
              <w:rPr>
                <w:color w:val="auto"/>
                <w:highlight w:val="none"/>
              </w:rPr>
            </w:pPr>
            <w:r>
              <w:rPr>
                <w:rFonts w:hint="eastAsia"/>
                <w:color w:val="auto"/>
                <w:highlight w:val="none"/>
              </w:rPr>
              <w:t>牛粪</w:t>
            </w:r>
          </w:p>
        </w:tc>
        <w:tc>
          <w:tcPr>
            <w:tcW w:w="525" w:type="dxa"/>
            <w:vMerge w:val="restart"/>
            <w:tcBorders>
              <w:tl2br w:val="nil"/>
              <w:tr2bl w:val="nil"/>
            </w:tcBorders>
            <w:vAlign w:val="center"/>
          </w:tcPr>
          <w:p>
            <w:pPr>
              <w:pStyle w:val="28"/>
              <w:widowControl w:val="0"/>
              <w:rPr>
                <w:color w:val="auto"/>
                <w:highlight w:val="none"/>
              </w:rPr>
            </w:pPr>
            <w:r>
              <w:rPr>
                <w:rFonts w:hint="eastAsia"/>
                <w:color w:val="auto"/>
                <w:highlight w:val="none"/>
              </w:rPr>
              <w:t>1.6</w:t>
            </w:r>
          </w:p>
        </w:tc>
        <w:tc>
          <w:tcPr>
            <w:tcW w:w="585" w:type="dxa"/>
            <w:vMerge w:val="restart"/>
            <w:tcBorders>
              <w:tl2br w:val="nil"/>
              <w:tr2bl w:val="nil"/>
            </w:tcBorders>
            <w:vAlign w:val="center"/>
          </w:tcPr>
          <w:p>
            <w:pPr>
              <w:pStyle w:val="28"/>
              <w:widowControl w:val="0"/>
              <w:rPr>
                <w:color w:val="auto"/>
                <w:highlight w:val="none"/>
              </w:rPr>
            </w:pPr>
            <w:r>
              <w:rPr>
                <w:rFonts w:hint="eastAsia"/>
                <w:color w:val="auto"/>
                <w:highlight w:val="none"/>
              </w:rPr>
              <w:t>160</w:t>
            </w: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S</w:t>
            </w:r>
          </w:p>
        </w:tc>
        <w:tc>
          <w:tcPr>
            <w:tcW w:w="1275" w:type="dxa"/>
            <w:tcBorders>
              <w:tl2br w:val="nil"/>
              <w:tr2bl w:val="nil"/>
            </w:tcBorders>
            <w:vAlign w:val="center"/>
          </w:tcPr>
          <w:p>
            <w:pPr>
              <w:pStyle w:val="28"/>
              <w:widowControl w:val="0"/>
              <w:rPr>
                <w:color w:val="auto"/>
                <w:highlight w:val="none"/>
              </w:rPr>
            </w:pPr>
            <w:r>
              <w:rPr>
                <w:rFonts w:hint="eastAsia"/>
                <w:color w:val="auto"/>
                <w:highlight w:val="none"/>
              </w:rPr>
              <w:t>0.596</w:t>
            </w:r>
            <w:r>
              <w:rPr>
                <w:color w:val="auto"/>
                <w:highlight w:val="none"/>
              </w:rPr>
              <w:t>‰</w:t>
            </w:r>
          </w:p>
        </w:tc>
        <w:tc>
          <w:tcPr>
            <w:tcW w:w="840" w:type="dxa"/>
            <w:tcBorders>
              <w:tl2br w:val="nil"/>
              <w:tr2bl w:val="nil"/>
            </w:tcBorders>
            <w:vAlign w:val="center"/>
          </w:tcPr>
          <w:p>
            <w:pPr>
              <w:pStyle w:val="28"/>
              <w:widowControl w:val="0"/>
              <w:rPr>
                <w:color w:val="auto"/>
                <w:highlight w:val="none"/>
              </w:rPr>
            </w:pPr>
            <w:r>
              <w:rPr>
                <w:color w:val="auto"/>
                <w:highlight w:val="none"/>
              </w:rPr>
              <w:t>0.9536</w:t>
            </w:r>
          </w:p>
        </w:tc>
        <w:tc>
          <w:tcPr>
            <w:tcW w:w="1080" w:type="dxa"/>
            <w:tcBorders>
              <w:tl2br w:val="nil"/>
              <w:tr2bl w:val="nil"/>
            </w:tcBorders>
            <w:vAlign w:val="center"/>
          </w:tcPr>
          <w:p>
            <w:pPr>
              <w:pStyle w:val="28"/>
              <w:widowControl w:val="0"/>
              <w:rPr>
                <w:color w:val="auto"/>
                <w:highlight w:val="none"/>
              </w:rPr>
            </w:pPr>
            <w:r>
              <w:rPr>
                <w:color w:val="auto"/>
                <w:highlight w:val="none"/>
              </w:rPr>
              <w:t>0.</w:t>
            </w:r>
            <w:r>
              <w:rPr>
                <w:rFonts w:hint="eastAsia"/>
                <w:color w:val="auto"/>
                <w:highlight w:val="none"/>
              </w:rPr>
              <w:t>0</w:t>
            </w:r>
            <w:r>
              <w:rPr>
                <w:color w:val="auto"/>
                <w:highlight w:val="none"/>
              </w:rPr>
              <w:t>9536</w:t>
            </w:r>
          </w:p>
        </w:tc>
        <w:tc>
          <w:tcPr>
            <w:tcW w:w="855"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660"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095"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615" w:type="dxa"/>
            <w:tcBorders>
              <w:tl2br w:val="nil"/>
              <w:tr2bl w:val="nil"/>
            </w:tcBorders>
            <w:vAlign w:val="center"/>
          </w:tcPr>
          <w:p>
            <w:pPr>
              <w:pStyle w:val="28"/>
              <w:widowControl w:val="0"/>
              <w:rPr>
                <w:color w:val="auto"/>
                <w:highlight w:val="none"/>
              </w:rPr>
            </w:pPr>
            <w:r>
              <w:rPr>
                <w:rFonts w:hint="eastAsia"/>
                <w:color w:val="auto"/>
                <w:highlight w:val="none"/>
              </w:rPr>
              <w:t>0.05</w:t>
            </w:r>
          </w:p>
        </w:tc>
        <w:tc>
          <w:tcPr>
            <w:tcW w:w="731" w:type="dxa"/>
            <w:tcBorders>
              <w:tl2br w:val="nil"/>
              <w:tr2bl w:val="nil"/>
            </w:tcBorders>
            <w:vAlign w:val="center"/>
          </w:tcPr>
          <w:p>
            <w:pPr>
              <w:pStyle w:val="28"/>
              <w:widowControl w:val="0"/>
              <w:rPr>
                <w:color w:val="auto"/>
                <w:highlight w:val="none"/>
              </w:rPr>
            </w:pPr>
            <w:r>
              <w:rPr>
                <w:rFonts w:hint="eastAsia"/>
                <w:color w:val="auto"/>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l2br w:val="nil"/>
              <w:tr2bl w:val="nil"/>
            </w:tcBorders>
            <w:vAlign w:val="center"/>
          </w:tcPr>
          <w:p>
            <w:pPr>
              <w:pStyle w:val="28"/>
              <w:widowControl w:val="0"/>
              <w:rPr>
                <w:color w:val="auto"/>
                <w:highlight w:val="none"/>
              </w:rPr>
            </w:pPr>
          </w:p>
        </w:tc>
        <w:tc>
          <w:tcPr>
            <w:tcW w:w="525" w:type="dxa"/>
            <w:vMerge w:val="continue"/>
            <w:tcBorders>
              <w:tl2br w:val="nil"/>
              <w:tr2bl w:val="nil"/>
            </w:tcBorders>
            <w:vAlign w:val="center"/>
          </w:tcPr>
          <w:p>
            <w:pPr>
              <w:pStyle w:val="28"/>
              <w:widowControl w:val="0"/>
              <w:rPr>
                <w:color w:val="auto"/>
                <w:highlight w:val="none"/>
              </w:rPr>
            </w:pPr>
          </w:p>
        </w:tc>
        <w:tc>
          <w:tcPr>
            <w:tcW w:w="585" w:type="dxa"/>
            <w:vMerge w:val="continue"/>
            <w:tcBorders>
              <w:tl2br w:val="nil"/>
              <w:tr2bl w:val="nil"/>
            </w:tcBorders>
            <w:vAlign w:val="center"/>
          </w:tcPr>
          <w:p>
            <w:pPr>
              <w:pStyle w:val="28"/>
              <w:widowControl w:val="0"/>
              <w:rPr>
                <w:color w:val="auto"/>
                <w:highlight w:val="none"/>
              </w:rPr>
            </w:pP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N</w:t>
            </w:r>
          </w:p>
        </w:tc>
        <w:tc>
          <w:tcPr>
            <w:tcW w:w="1275" w:type="dxa"/>
            <w:tcBorders>
              <w:tl2br w:val="nil"/>
              <w:tr2bl w:val="nil"/>
            </w:tcBorders>
            <w:vAlign w:val="center"/>
          </w:tcPr>
          <w:p>
            <w:pPr>
              <w:pStyle w:val="28"/>
              <w:widowControl w:val="0"/>
              <w:rPr>
                <w:color w:val="auto"/>
                <w:highlight w:val="none"/>
              </w:rPr>
            </w:pPr>
            <w:r>
              <w:rPr>
                <w:rFonts w:hint="eastAsia"/>
                <w:color w:val="auto"/>
                <w:highlight w:val="none"/>
              </w:rPr>
              <w:t>0.315%</w:t>
            </w:r>
          </w:p>
        </w:tc>
        <w:tc>
          <w:tcPr>
            <w:tcW w:w="840" w:type="dxa"/>
            <w:tcBorders>
              <w:tl2br w:val="nil"/>
              <w:tr2bl w:val="nil"/>
            </w:tcBorders>
            <w:vAlign w:val="center"/>
          </w:tcPr>
          <w:p>
            <w:pPr>
              <w:pStyle w:val="28"/>
              <w:widowControl w:val="0"/>
              <w:rPr>
                <w:color w:val="auto"/>
                <w:highlight w:val="none"/>
              </w:rPr>
            </w:pPr>
            <w:r>
              <w:rPr>
                <w:rFonts w:hint="eastAsia"/>
                <w:color w:val="auto"/>
                <w:highlight w:val="none"/>
              </w:rPr>
              <w:t>5.04</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0.504</w:t>
            </w:r>
          </w:p>
        </w:tc>
        <w:tc>
          <w:tcPr>
            <w:tcW w:w="855" w:type="dxa"/>
            <w:vMerge w:val="restar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660" w:type="dxa"/>
            <w:vMerge w:val="restart"/>
            <w:tcBorders>
              <w:tl2br w:val="nil"/>
              <w:tr2bl w:val="nil"/>
            </w:tcBorders>
            <w:vAlign w:val="center"/>
          </w:tcPr>
          <w:p>
            <w:pPr>
              <w:pStyle w:val="28"/>
              <w:widowControl w:val="0"/>
              <w:rPr>
                <w:color w:val="auto"/>
                <w:highlight w:val="none"/>
              </w:rPr>
            </w:pPr>
            <w:r>
              <w:rPr>
                <w:rFonts w:hint="eastAsia"/>
                <w:color w:val="auto"/>
                <w:highlight w:val="none"/>
              </w:rPr>
              <w:t>5%</w:t>
            </w:r>
          </w:p>
        </w:tc>
        <w:tc>
          <w:tcPr>
            <w:tcW w:w="1095" w:type="dxa"/>
            <w:vMerge w:val="restart"/>
            <w:tcBorders>
              <w:tl2br w:val="nil"/>
              <w:tr2bl w:val="nil"/>
            </w:tcBorders>
            <w:vAlign w:val="center"/>
          </w:tcPr>
          <w:p>
            <w:pPr>
              <w:pStyle w:val="28"/>
              <w:widowControl w:val="0"/>
              <w:rPr>
                <w:color w:val="auto"/>
                <w:highlight w:val="none"/>
              </w:rPr>
            </w:pPr>
            <w:r>
              <w:rPr>
                <w:rFonts w:hint="eastAsia"/>
                <w:color w:val="auto"/>
                <w:highlight w:val="none"/>
              </w:rPr>
              <w:t>0.024</w:t>
            </w:r>
          </w:p>
        </w:tc>
        <w:tc>
          <w:tcPr>
            <w:tcW w:w="615" w:type="dxa"/>
            <w:vMerge w:val="restart"/>
            <w:tcBorders>
              <w:tl2br w:val="nil"/>
              <w:tr2bl w:val="nil"/>
            </w:tcBorders>
            <w:vAlign w:val="center"/>
          </w:tcPr>
          <w:p>
            <w:pPr>
              <w:pStyle w:val="28"/>
              <w:widowControl w:val="0"/>
              <w:rPr>
                <w:color w:val="auto"/>
                <w:highlight w:val="none"/>
              </w:rPr>
            </w:pPr>
            <w:r>
              <w:rPr>
                <w:rFonts w:hint="eastAsia"/>
                <w:color w:val="auto"/>
                <w:highlight w:val="none"/>
              </w:rPr>
              <w:t>5.4</w:t>
            </w:r>
          </w:p>
        </w:tc>
        <w:tc>
          <w:tcPr>
            <w:tcW w:w="731" w:type="dxa"/>
            <w:vMerge w:val="restart"/>
            <w:tcBorders>
              <w:tl2br w:val="nil"/>
              <w:tr2bl w:val="nil"/>
            </w:tcBorders>
            <w:vAlign w:val="center"/>
          </w:tcPr>
          <w:p>
            <w:pPr>
              <w:pStyle w:val="28"/>
              <w:widowControl w:val="0"/>
              <w:rPr>
                <w:color w:val="auto"/>
                <w:highlight w:val="none"/>
              </w:rPr>
            </w:pPr>
            <w:r>
              <w:rPr>
                <w:rFonts w:hint="eastAsia"/>
                <w:color w:val="auto"/>
                <w:highlight w:val="none"/>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color w:val="auto"/>
                <w:highlight w:val="none"/>
              </w:rPr>
            </w:pPr>
            <w:r>
              <w:rPr>
                <w:rFonts w:hint="eastAsia"/>
                <w:color w:val="auto"/>
                <w:highlight w:val="none"/>
              </w:rPr>
              <w:t>牛尿</w:t>
            </w:r>
          </w:p>
        </w:tc>
        <w:tc>
          <w:tcPr>
            <w:tcW w:w="525" w:type="dxa"/>
            <w:tcBorders>
              <w:tl2br w:val="nil"/>
              <w:tr2bl w:val="nil"/>
            </w:tcBorders>
            <w:vAlign w:val="center"/>
          </w:tcPr>
          <w:p>
            <w:pPr>
              <w:pStyle w:val="28"/>
              <w:widowControl w:val="0"/>
              <w:rPr>
                <w:color w:val="auto"/>
                <w:highlight w:val="none"/>
              </w:rPr>
            </w:pPr>
            <w:r>
              <w:rPr>
                <w:rFonts w:hint="eastAsia"/>
                <w:color w:val="auto"/>
                <w:highlight w:val="none"/>
              </w:rPr>
              <w:t>0.8</w:t>
            </w:r>
          </w:p>
        </w:tc>
        <w:tc>
          <w:tcPr>
            <w:tcW w:w="585" w:type="dxa"/>
            <w:tcBorders>
              <w:tl2br w:val="nil"/>
              <w:tr2bl w:val="nil"/>
            </w:tcBorders>
            <w:vAlign w:val="center"/>
          </w:tcPr>
          <w:p>
            <w:pPr>
              <w:pStyle w:val="28"/>
              <w:widowControl w:val="0"/>
              <w:rPr>
                <w:color w:val="auto"/>
                <w:highlight w:val="none"/>
              </w:rPr>
            </w:pPr>
            <w:r>
              <w:rPr>
                <w:rFonts w:hint="eastAsia"/>
                <w:color w:val="auto"/>
                <w:highlight w:val="none"/>
              </w:rPr>
              <w:t>80</w:t>
            </w: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N</w:t>
            </w:r>
          </w:p>
        </w:tc>
        <w:tc>
          <w:tcPr>
            <w:tcW w:w="1275" w:type="dxa"/>
            <w:tcBorders>
              <w:tl2br w:val="nil"/>
              <w:tr2bl w:val="nil"/>
            </w:tcBorders>
            <w:vAlign w:val="center"/>
          </w:tcPr>
          <w:p>
            <w:pPr>
              <w:pStyle w:val="28"/>
              <w:widowControl w:val="0"/>
              <w:rPr>
                <w:color w:val="auto"/>
                <w:highlight w:val="none"/>
              </w:rPr>
            </w:pPr>
            <w:r>
              <w:rPr>
                <w:rFonts w:hint="eastAsia"/>
                <w:color w:val="auto"/>
                <w:highlight w:val="none"/>
              </w:rPr>
              <w:t>8kg/t</w:t>
            </w:r>
          </w:p>
        </w:tc>
        <w:tc>
          <w:tcPr>
            <w:tcW w:w="840" w:type="dxa"/>
            <w:tcBorders>
              <w:tl2br w:val="nil"/>
              <w:tr2bl w:val="nil"/>
            </w:tcBorders>
            <w:vAlign w:val="center"/>
          </w:tcPr>
          <w:p>
            <w:pPr>
              <w:pStyle w:val="28"/>
              <w:widowControl w:val="0"/>
              <w:rPr>
                <w:color w:val="auto"/>
                <w:highlight w:val="none"/>
              </w:rPr>
            </w:pPr>
            <w:r>
              <w:rPr>
                <w:rFonts w:hint="eastAsia"/>
                <w:color w:val="auto"/>
                <w:highlight w:val="none"/>
              </w:rPr>
              <w:t>6.4</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0.64</w:t>
            </w:r>
          </w:p>
        </w:tc>
        <w:tc>
          <w:tcPr>
            <w:tcW w:w="855"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095" w:type="dxa"/>
            <w:vMerge w:val="continue"/>
            <w:tcBorders>
              <w:tl2br w:val="nil"/>
              <w:tr2bl w:val="nil"/>
            </w:tcBorders>
            <w:vAlign w:val="center"/>
          </w:tcPr>
          <w:p>
            <w:pPr>
              <w:pStyle w:val="28"/>
              <w:widowControl w:val="0"/>
              <w:rPr>
                <w:color w:val="auto"/>
                <w:highlight w:val="none"/>
              </w:rPr>
            </w:pPr>
          </w:p>
        </w:tc>
        <w:tc>
          <w:tcPr>
            <w:tcW w:w="615" w:type="dxa"/>
            <w:vMerge w:val="continue"/>
            <w:tcBorders>
              <w:tl2br w:val="nil"/>
              <w:tr2bl w:val="nil"/>
            </w:tcBorders>
            <w:vAlign w:val="center"/>
          </w:tcPr>
          <w:p>
            <w:pPr>
              <w:pStyle w:val="28"/>
              <w:widowControl w:val="0"/>
              <w:rPr>
                <w:color w:val="auto"/>
                <w:highlight w:val="none"/>
              </w:rPr>
            </w:pPr>
          </w:p>
        </w:tc>
        <w:tc>
          <w:tcPr>
            <w:tcW w:w="731"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因此，本项目待宰圈产生的NH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S总量为1.44t/a和0.085t/a，产生速率为0.214kg/h和0.019kg/h。</w:t>
      </w:r>
    </w:p>
    <w:p>
      <w:pPr>
        <w:widowControl w:val="0"/>
        <w:ind w:firstLine="482"/>
        <w:rPr>
          <w:b/>
          <w:bCs/>
          <w:color w:val="auto"/>
          <w:highlight w:val="none"/>
        </w:rPr>
      </w:pPr>
      <w:r>
        <w:rPr>
          <w:rFonts w:hint="eastAsia"/>
          <w:b/>
          <w:bCs/>
          <w:color w:val="auto"/>
          <w:highlight w:val="none"/>
        </w:rPr>
        <w:t>2）屠宰车间恶臭源强</w:t>
      </w:r>
    </w:p>
    <w:p>
      <w:pPr>
        <w:widowControl w:val="0"/>
        <w:ind w:firstLine="482"/>
        <w:rPr>
          <w:b/>
          <w:bCs/>
          <w:color w:val="auto"/>
          <w:highlight w:val="none"/>
        </w:rPr>
      </w:pPr>
      <w:r>
        <w:rPr>
          <w:rFonts w:hint="eastAsia"/>
          <w:b/>
          <w:bCs/>
          <w:color w:val="auto"/>
          <w:highlight w:val="none"/>
        </w:rPr>
        <w:t>生猪屠宰车间：</w:t>
      </w:r>
    </w:p>
    <w:p>
      <w:pPr>
        <w:widowControl w:val="0"/>
        <w:ind w:firstLine="480"/>
        <w:jc w:val="left"/>
        <w:rPr>
          <w:rFonts w:ascii="宋体" w:hAnsi="宋体"/>
          <w:color w:val="auto"/>
          <w:highlight w:val="none"/>
        </w:rPr>
      </w:pPr>
      <w:r>
        <w:rPr>
          <w:rFonts w:hint="eastAsia" w:ascii="宋体" w:hAnsi="宋体"/>
          <w:color w:val="auto"/>
          <w:highlight w:val="none"/>
        </w:rPr>
        <w:t>本次环评参照《肉联厂对周围大气的污染及其卫生防护距离分析》（辛峰，蒋蓉芳，赵金镯等，环境与职业医学，</w:t>
      </w:r>
      <w:r>
        <w:rPr>
          <w:rFonts w:eastAsia="Times New Roman"/>
          <w:color w:val="auto"/>
          <w:highlight w:val="none"/>
        </w:rPr>
        <w:t>2012</w:t>
      </w:r>
      <w:r>
        <w:rPr>
          <w:rFonts w:hint="eastAsia" w:ascii="宋体" w:hAnsi="宋体"/>
          <w:color w:val="auto"/>
          <w:highlight w:val="none"/>
        </w:rPr>
        <w:t>年</w:t>
      </w:r>
      <w:r>
        <w:rPr>
          <w:rFonts w:eastAsia="Times New Roman"/>
          <w:color w:val="auto"/>
          <w:highlight w:val="none"/>
        </w:rPr>
        <w:t>1</w:t>
      </w:r>
      <w:r>
        <w:rPr>
          <w:rFonts w:hint="eastAsia" w:ascii="宋体" w:hAnsi="宋体"/>
          <w:color w:val="auto"/>
          <w:highlight w:val="none"/>
        </w:rPr>
        <w:t>月，第</w:t>
      </w:r>
      <w:r>
        <w:rPr>
          <w:rFonts w:eastAsia="Times New Roman"/>
          <w:color w:val="auto"/>
          <w:highlight w:val="none"/>
        </w:rPr>
        <w:t>29</w:t>
      </w:r>
      <w:r>
        <w:rPr>
          <w:rFonts w:hint="eastAsia" w:ascii="宋体" w:hAnsi="宋体"/>
          <w:color w:val="auto"/>
          <w:highlight w:val="none"/>
        </w:rPr>
        <w:t>卷第</w:t>
      </w:r>
      <w:r>
        <w:rPr>
          <w:rFonts w:eastAsia="Times New Roman"/>
          <w:color w:val="auto"/>
          <w:highlight w:val="none"/>
        </w:rPr>
        <w:t>1</w:t>
      </w:r>
      <w:r>
        <w:rPr>
          <w:rFonts w:hint="eastAsia" w:ascii="宋体" w:hAnsi="宋体"/>
          <w:color w:val="auto"/>
          <w:highlight w:val="none"/>
        </w:rPr>
        <w:t>期）中实测数据确定本项目屠宰车间恶臭污染物源强。</w:t>
      </w:r>
    </w:p>
    <w:p>
      <w:pPr>
        <w:widowControl w:val="0"/>
        <w:ind w:firstLine="480"/>
        <w:jc w:val="left"/>
        <w:rPr>
          <w:color w:val="auto"/>
          <w:highlight w:val="none"/>
        </w:rPr>
      </w:pPr>
      <w:r>
        <w:rPr>
          <w:rFonts w:hint="eastAsia" w:ascii="宋体" w:hAnsi="宋体"/>
          <w:color w:val="auto"/>
          <w:highlight w:val="none"/>
        </w:rPr>
        <w:t>根据该文献可知，安徽某肉联厂日屠宰量为</w:t>
      </w:r>
      <w:r>
        <w:rPr>
          <w:rFonts w:eastAsia="Times New Roman"/>
          <w:color w:val="auto"/>
          <w:highlight w:val="none"/>
        </w:rPr>
        <w:t>6500</w:t>
      </w:r>
      <w:r>
        <w:rPr>
          <w:rFonts w:hint="eastAsia" w:ascii="宋体" w:hAnsi="宋体"/>
          <w:color w:val="auto"/>
          <w:highlight w:val="none"/>
        </w:rPr>
        <w:t>头，屠宰时采用电机击昏生猪，机械化屠宰，全自动切割屠宰后的生猪胴体，该项目污水及残留物经全封闭管道进入污水处理站处理达标后排放。根据污染物排放特征，该文献于</w:t>
      </w:r>
      <w:r>
        <w:rPr>
          <w:rFonts w:eastAsia="Times New Roman"/>
          <w:color w:val="auto"/>
          <w:highlight w:val="none"/>
        </w:rPr>
        <w:t>2010</w:t>
      </w:r>
      <w:r>
        <w:rPr>
          <w:rFonts w:hint="eastAsia" w:ascii="宋体" w:hAnsi="宋体"/>
          <w:color w:val="auto"/>
          <w:highlight w:val="none"/>
        </w:rPr>
        <w:t>年</w:t>
      </w:r>
      <w:r>
        <w:rPr>
          <w:rFonts w:eastAsia="Times New Roman"/>
          <w:color w:val="auto"/>
          <w:highlight w:val="none"/>
        </w:rPr>
        <w:t>5</w:t>
      </w:r>
      <w:r>
        <w:rPr>
          <w:rFonts w:hint="eastAsia" w:ascii="宋体" w:hAnsi="宋体"/>
          <w:color w:val="auto"/>
          <w:highlight w:val="none"/>
        </w:rPr>
        <w:t>月</w:t>
      </w:r>
      <w:r>
        <w:rPr>
          <w:rFonts w:eastAsia="Times New Roman"/>
          <w:color w:val="auto"/>
          <w:highlight w:val="none"/>
        </w:rPr>
        <w:t>25</w:t>
      </w:r>
      <w:r>
        <w:rPr>
          <w:rFonts w:hint="eastAsia" w:ascii="宋体" w:hAnsi="宋体"/>
          <w:color w:val="auto"/>
          <w:highlight w:val="none"/>
        </w:rPr>
        <w:t>～</w:t>
      </w:r>
      <w:r>
        <w:rPr>
          <w:rFonts w:eastAsia="Times New Roman"/>
          <w:color w:val="auto"/>
          <w:highlight w:val="none"/>
        </w:rPr>
        <w:t>2011</w:t>
      </w:r>
      <w:r>
        <w:rPr>
          <w:rFonts w:hint="eastAsia" w:ascii="宋体" w:hAnsi="宋体"/>
          <w:color w:val="auto"/>
          <w:highlight w:val="none"/>
        </w:rPr>
        <w:t>年</w:t>
      </w:r>
      <w:r>
        <w:rPr>
          <w:rFonts w:eastAsia="Times New Roman"/>
          <w:color w:val="auto"/>
          <w:highlight w:val="none"/>
        </w:rPr>
        <w:t>1</w:t>
      </w:r>
      <w:r>
        <w:rPr>
          <w:rFonts w:hint="eastAsia" w:ascii="宋体" w:hAnsi="宋体"/>
          <w:color w:val="auto"/>
          <w:highlight w:val="none"/>
        </w:rPr>
        <w:t>月</w:t>
      </w:r>
      <w:r>
        <w:rPr>
          <w:rFonts w:eastAsia="Times New Roman"/>
          <w:color w:val="auto"/>
          <w:highlight w:val="none"/>
        </w:rPr>
        <w:t>13</w:t>
      </w:r>
      <w:r>
        <w:rPr>
          <w:rFonts w:hint="eastAsia" w:ascii="宋体" w:hAnsi="宋体"/>
          <w:color w:val="auto"/>
          <w:highlight w:val="none"/>
        </w:rPr>
        <w:t>日分</w:t>
      </w:r>
      <w:r>
        <w:rPr>
          <w:rFonts w:eastAsia="Times New Roman"/>
          <w:color w:val="auto"/>
          <w:highlight w:val="none"/>
        </w:rPr>
        <w:t>4</w:t>
      </w:r>
      <w:r>
        <w:rPr>
          <w:rFonts w:hint="eastAsia" w:ascii="宋体" w:hAnsi="宋体"/>
          <w:color w:val="auto"/>
          <w:highlight w:val="none"/>
        </w:rPr>
        <w:t>次（</w:t>
      </w:r>
      <w:r>
        <w:rPr>
          <w:rFonts w:eastAsia="Times New Roman"/>
          <w:color w:val="auto"/>
          <w:highlight w:val="none"/>
        </w:rPr>
        <w:t>1</w:t>
      </w:r>
      <w:r>
        <w:rPr>
          <w:rFonts w:hint="eastAsia" w:ascii="宋体" w:hAnsi="宋体"/>
          <w:color w:val="auto"/>
          <w:highlight w:val="none"/>
        </w:rPr>
        <w:t>次</w:t>
      </w:r>
      <w:r>
        <w:rPr>
          <w:rFonts w:eastAsia="Times New Roman"/>
          <w:color w:val="auto"/>
          <w:highlight w:val="none"/>
        </w:rPr>
        <w:t>/</w:t>
      </w:r>
      <w:r>
        <w:rPr>
          <w:rFonts w:hint="eastAsia" w:ascii="宋体" w:hAnsi="宋体"/>
          <w:color w:val="auto"/>
          <w:highlight w:val="none"/>
        </w:rPr>
        <w:t>季度）测定该肉联厂恶臭污染物排放源强，监测现场气候和监测结果见下表：</w:t>
      </w:r>
    </w:p>
    <w:p>
      <w:pPr>
        <w:pStyle w:val="27"/>
        <w:widowControl w:val="0"/>
        <w:rPr>
          <w:color w:val="auto"/>
          <w:highlight w:val="none"/>
        </w:rPr>
      </w:pPr>
      <w:r>
        <w:rPr>
          <w:rFonts w:hint="eastAsia"/>
          <w:color w:val="auto"/>
          <w:highlight w:val="none"/>
        </w:rPr>
        <w:t>监测现场气候统计</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2347"/>
        <w:gridCol w:w="192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b/>
                <w:bCs/>
                <w:color w:val="auto"/>
                <w:highlight w:val="none"/>
              </w:rPr>
            </w:pPr>
            <w:r>
              <w:rPr>
                <w:rFonts w:hint="eastAsia"/>
                <w:b/>
                <w:bCs/>
                <w:color w:val="auto"/>
                <w:highlight w:val="none"/>
              </w:rPr>
              <w:t>采样时间</w:t>
            </w:r>
          </w:p>
        </w:tc>
        <w:tc>
          <w:tcPr>
            <w:tcW w:w="2347" w:type="dxa"/>
            <w:tcBorders>
              <w:tl2br w:val="nil"/>
              <w:tr2bl w:val="nil"/>
            </w:tcBorders>
            <w:vAlign w:val="center"/>
          </w:tcPr>
          <w:p>
            <w:pPr>
              <w:pStyle w:val="28"/>
              <w:widowControl w:val="0"/>
              <w:rPr>
                <w:b/>
                <w:bCs/>
                <w:color w:val="auto"/>
                <w:highlight w:val="none"/>
              </w:rPr>
            </w:pPr>
            <w:r>
              <w:rPr>
                <w:rFonts w:hint="eastAsia"/>
                <w:b/>
                <w:bCs/>
                <w:color w:val="auto"/>
                <w:highlight w:val="none"/>
              </w:rPr>
              <w:t>温度（℃）</w:t>
            </w:r>
          </w:p>
        </w:tc>
        <w:tc>
          <w:tcPr>
            <w:tcW w:w="1924" w:type="dxa"/>
            <w:tcBorders>
              <w:tl2br w:val="nil"/>
              <w:tr2bl w:val="nil"/>
            </w:tcBorders>
            <w:vAlign w:val="center"/>
          </w:tcPr>
          <w:p>
            <w:pPr>
              <w:pStyle w:val="28"/>
              <w:widowControl w:val="0"/>
              <w:rPr>
                <w:b/>
                <w:bCs/>
                <w:color w:val="auto"/>
                <w:highlight w:val="none"/>
              </w:rPr>
            </w:pPr>
            <w:r>
              <w:rPr>
                <w:rFonts w:hint="eastAsia"/>
                <w:b/>
                <w:bCs/>
                <w:color w:val="auto"/>
                <w:highlight w:val="none"/>
              </w:rPr>
              <w:t>湿度（%）</w:t>
            </w:r>
          </w:p>
        </w:tc>
        <w:tc>
          <w:tcPr>
            <w:tcW w:w="1925" w:type="dxa"/>
            <w:tcBorders>
              <w:tl2br w:val="nil"/>
              <w:tr2bl w:val="nil"/>
            </w:tcBorders>
            <w:vAlign w:val="center"/>
          </w:tcPr>
          <w:p>
            <w:pPr>
              <w:pStyle w:val="28"/>
              <w:widowControl w:val="0"/>
              <w:rPr>
                <w:b/>
                <w:bCs/>
                <w:color w:val="auto"/>
                <w:highlight w:val="none"/>
              </w:rPr>
            </w:pPr>
            <w:r>
              <w:rPr>
                <w:rFonts w:hint="eastAsia"/>
                <w:b/>
                <w:bCs/>
                <w:color w:val="auto"/>
                <w:highlight w:val="none"/>
              </w:rPr>
              <w:t>风速（m/s）</w:t>
            </w:r>
          </w:p>
        </w:tc>
        <w:tc>
          <w:tcPr>
            <w:tcW w:w="1925" w:type="dxa"/>
            <w:tcBorders>
              <w:tl2br w:val="nil"/>
              <w:tr2bl w:val="nil"/>
            </w:tcBorders>
            <w:vAlign w:val="center"/>
          </w:tcPr>
          <w:p>
            <w:pPr>
              <w:pStyle w:val="28"/>
              <w:widowControl w:val="0"/>
              <w:rPr>
                <w:b/>
                <w:bCs/>
                <w:color w:val="auto"/>
                <w:highlight w:val="none"/>
              </w:rPr>
            </w:pPr>
            <w:r>
              <w:rPr>
                <w:rFonts w:hint="eastAsia"/>
                <w:b/>
                <w:bCs/>
                <w:color w:val="auto"/>
                <w:highlight w:val="none"/>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2010.5.25~27</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28.25±3.188</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58.61±9.923</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1.243±0.792</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2010.8.24~26</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28.83±5.00</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90.20±7.683</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1.615±1.234</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西北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2010.11.25~27</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21.24±3.694</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43.42±12.45</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1.093±1.013</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2011.1.11~13</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5.25±2.868</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30.30±8.932</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1.390±1.267</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西北转南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F</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1158.122</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1303.389</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0.635</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28"/>
              <w:widowControl w:val="0"/>
              <w:rPr>
                <w:color w:val="auto"/>
                <w:highlight w:val="none"/>
              </w:rPr>
            </w:pPr>
            <w:r>
              <w:rPr>
                <w:rFonts w:hint="eastAsia"/>
                <w:color w:val="auto"/>
                <w:highlight w:val="none"/>
              </w:rPr>
              <w:t>P</w:t>
            </w:r>
          </w:p>
        </w:tc>
        <w:tc>
          <w:tcPr>
            <w:tcW w:w="2347" w:type="dxa"/>
            <w:tcBorders>
              <w:tl2br w:val="nil"/>
              <w:tr2bl w:val="nil"/>
            </w:tcBorders>
            <w:vAlign w:val="center"/>
          </w:tcPr>
          <w:p>
            <w:pPr>
              <w:pStyle w:val="28"/>
              <w:widowControl w:val="0"/>
              <w:rPr>
                <w:color w:val="auto"/>
                <w:highlight w:val="none"/>
              </w:rPr>
            </w:pPr>
            <w:r>
              <w:rPr>
                <w:rFonts w:hint="eastAsia"/>
                <w:color w:val="auto"/>
                <w:highlight w:val="none"/>
              </w:rPr>
              <w:t>&lt;0.001</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&lt;0.001</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0.596</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27"/>
        <w:widowControl w:val="0"/>
        <w:rPr>
          <w:color w:val="auto"/>
          <w:highlight w:val="none"/>
        </w:rPr>
      </w:pPr>
      <w:r>
        <w:rPr>
          <w:rFonts w:hint="eastAsia"/>
          <w:color w:val="auto"/>
          <w:highlight w:val="none"/>
        </w:rPr>
        <w:t>恶臭污染物源强</w:t>
      </w:r>
      <w:r>
        <w:rPr>
          <w:rFonts w:hint="eastAsia"/>
          <w:color w:val="auto"/>
          <w:highlight w:val="none"/>
        </w:rPr>
        <w:tab/>
      </w:r>
      <w:r>
        <w:rPr>
          <w:rFonts w:hint="eastAsia"/>
          <w:color w:val="auto"/>
          <w:highlight w:val="none"/>
        </w:rPr>
        <w:tab/>
      </w:r>
      <w:r>
        <w:rPr>
          <w:rFonts w:hint="eastAsia"/>
          <w:color w:val="auto"/>
          <w:highlight w:val="none"/>
        </w:rPr>
        <w:t>单位：kg/h</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采样时间</w:t>
            </w:r>
          </w:p>
        </w:tc>
        <w:tc>
          <w:tcPr>
            <w:tcW w:w="6415" w:type="dxa"/>
            <w:gridSpan w:val="2"/>
            <w:tcBorders>
              <w:tl2br w:val="nil"/>
              <w:tr2bl w:val="nil"/>
            </w:tcBorders>
            <w:vAlign w:val="center"/>
          </w:tcPr>
          <w:p>
            <w:pPr>
              <w:pStyle w:val="28"/>
              <w:widowControl w:val="0"/>
              <w:rPr>
                <w:color w:val="auto"/>
                <w:highlight w:val="none"/>
              </w:rPr>
            </w:pPr>
            <w:r>
              <w:rPr>
                <w:rFonts w:hint="eastAsia"/>
                <w:color w:val="auto"/>
                <w:highlight w:val="none"/>
              </w:rPr>
              <w:t>无组织恶臭污染源排放源强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2010.5.25~27</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0.505~1.134</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0.004~0.046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2010.8.24~26</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1.005~2.182</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0.014~0.020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2010.11.25~27</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0.376~0.696</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0.005~0.011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2011.1.11~13</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0.245~0.813</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0.005~0.087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平均</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1.21</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28"/>
              <w:widowControl w:val="0"/>
              <w:rPr>
                <w:color w:val="auto"/>
                <w:highlight w:val="none"/>
              </w:rPr>
            </w:pPr>
            <w:r>
              <w:rPr>
                <w:rFonts w:hint="eastAsia"/>
                <w:color w:val="auto"/>
                <w:highlight w:val="none"/>
              </w:rPr>
              <w:t>每百头产生系数</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0.0186kg/h·百头</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0.000462kg/h·百头</w:t>
            </w:r>
          </w:p>
        </w:tc>
      </w:tr>
    </w:tbl>
    <w:p>
      <w:pPr>
        <w:widowControl w:val="0"/>
        <w:ind w:firstLine="480"/>
        <w:jc w:val="left"/>
        <w:rPr>
          <w:rFonts w:ascii="宋体" w:hAnsi="宋体"/>
          <w:color w:val="auto"/>
          <w:highlight w:val="none"/>
        </w:rPr>
      </w:pPr>
      <w:r>
        <w:rPr>
          <w:rFonts w:hint="eastAsia" w:ascii="宋体" w:hAnsi="宋体"/>
          <w:color w:val="auto"/>
          <w:highlight w:val="none"/>
        </w:rPr>
        <w:t>根据项目设计，本项目生猪年屠宰量</w:t>
      </w:r>
      <w:r>
        <w:rPr>
          <w:rFonts w:hint="eastAsia"/>
          <w:color w:val="auto"/>
          <w:highlight w:val="none"/>
        </w:rPr>
        <w:t>16万头</w:t>
      </w:r>
      <w:r>
        <w:rPr>
          <w:rFonts w:eastAsia="Times New Roman"/>
          <w:color w:val="auto"/>
          <w:highlight w:val="none"/>
        </w:rPr>
        <w:t>/a</w:t>
      </w:r>
      <w:r>
        <w:rPr>
          <w:rFonts w:hint="eastAsia" w:ascii="宋体" w:hAnsi="宋体"/>
          <w:color w:val="auto"/>
          <w:highlight w:val="none"/>
        </w:rPr>
        <w:t>，</w:t>
      </w:r>
      <w:r>
        <w:rPr>
          <w:rFonts w:hint="eastAsia"/>
          <w:color w:val="auto"/>
          <w:highlight w:val="none"/>
        </w:rPr>
        <w:t>旺季屠宰量约为500头/d，</w:t>
      </w:r>
      <w:r>
        <w:rPr>
          <w:rFonts w:hint="eastAsia" w:ascii="宋体" w:hAnsi="宋体"/>
          <w:color w:val="auto"/>
          <w:highlight w:val="none"/>
        </w:rPr>
        <w:t>屠宰时采用电击至昏，机械化刨毛及劈半，</w:t>
      </w:r>
      <w:r>
        <w:rPr>
          <w:rFonts w:eastAsia="Times New Roman"/>
          <w:color w:val="auto"/>
          <w:highlight w:val="none"/>
        </w:rPr>
        <w:t>94%</w:t>
      </w:r>
      <w:r>
        <w:rPr>
          <w:rFonts w:hint="eastAsia" w:ascii="宋体" w:hAnsi="宋体"/>
          <w:color w:val="auto"/>
          <w:highlight w:val="none"/>
        </w:rPr>
        <w:t>白条直接出售，</w:t>
      </w:r>
      <w:r>
        <w:rPr>
          <w:rFonts w:eastAsia="Times New Roman"/>
          <w:color w:val="auto"/>
          <w:highlight w:val="none"/>
        </w:rPr>
        <w:t>6%</w:t>
      </w:r>
      <w:r>
        <w:rPr>
          <w:rFonts w:hint="eastAsia" w:ascii="宋体" w:hAnsi="宋体"/>
          <w:color w:val="auto"/>
          <w:highlight w:val="none"/>
        </w:rPr>
        <w:t>白条分割和冷冻后出售，项目污水收集后经密闭管线送至自建污水处理设施处理。同时本项目与肉联厂均位于同一纬度带，均属于温带季风气候，且风速与肉联厂相差不大，整体环境较类似。</w:t>
      </w:r>
    </w:p>
    <w:p>
      <w:pPr>
        <w:widowControl w:val="0"/>
        <w:ind w:firstLine="480"/>
        <w:jc w:val="left"/>
        <w:rPr>
          <w:rFonts w:hint="eastAsia" w:ascii="宋体" w:hAnsi="宋体"/>
          <w:color w:val="auto"/>
          <w:highlight w:val="none"/>
        </w:rPr>
      </w:pPr>
      <w:r>
        <w:rPr>
          <w:rFonts w:hint="eastAsia" w:ascii="宋体" w:hAnsi="宋体"/>
          <w:color w:val="auto"/>
          <w:highlight w:val="none"/>
        </w:rPr>
        <w:t>根据上述资料类比分析，同时考虑生产规模的变化对污染物产生的影响，本项目恶臭按最大产生条件考虑，项目屠宰车间氨气和硫化氢源强见下表。</w:t>
      </w:r>
    </w:p>
    <w:p>
      <w:pPr>
        <w:widowControl w:val="0"/>
        <w:ind w:firstLine="480"/>
        <w:jc w:val="left"/>
        <w:rPr>
          <w:rFonts w:hint="eastAsia" w:ascii="宋体" w:hAnsi="宋体"/>
          <w:color w:val="auto"/>
          <w:highlight w:val="none"/>
        </w:rPr>
      </w:pPr>
    </w:p>
    <w:p>
      <w:pPr>
        <w:pStyle w:val="27"/>
        <w:widowControl w:val="0"/>
        <w:rPr>
          <w:color w:val="auto"/>
          <w:highlight w:val="none"/>
        </w:rPr>
      </w:pPr>
      <w:r>
        <w:rPr>
          <w:rFonts w:hint="eastAsia"/>
          <w:color w:val="auto"/>
          <w:highlight w:val="none"/>
        </w:rPr>
        <w:t>营运期生猪屠宰车间硫化氢和氨气产生源强</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2024"/>
        <w:gridCol w:w="1036"/>
        <w:gridCol w:w="1830"/>
        <w:gridCol w:w="1180"/>
        <w:gridCol w:w="1182"/>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5"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屠宰种类</w:t>
            </w:r>
          </w:p>
        </w:tc>
        <w:tc>
          <w:tcPr>
            <w:tcW w:w="105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屠宰量</w:t>
            </w:r>
          </w:p>
        </w:tc>
        <w:tc>
          <w:tcPr>
            <w:tcW w:w="53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952"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每百头产生系数（kg·百头）</w:t>
            </w:r>
          </w:p>
        </w:tc>
        <w:tc>
          <w:tcPr>
            <w:tcW w:w="1810"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5" w:type="pct"/>
            <w:vMerge w:val="continue"/>
            <w:tcBorders>
              <w:tl2br w:val="nil"/>
              <w:tr2bl w:val="nil"/>
            </w:tcBorders>
            <w:vAlign w:val="center"/>
          </w:tcPr>
          <w:p>
            <w:pPr>
              <w:pStyle w:val="28"/>
              <w:widowControl w:val="0"/>
              <w:rPr>
                <w:color w:val="auto"/>
                <w:highlight w:val="none"/>
              </w:rPr>
            </w:pPr>
          </w:p>
        </w:tc>
        <w:tc>
          <w:tcPr>
            <w:tcW w:w="1053" w:type="pct"/>
            <w:vMerge w:val="continue"/>
            <w:tcBorders>
              <w:tl2br w:val="nil"/>
              <w:tr2bl w:val="nil"/>
            </w:tcBorders>
            <w:vAlign w:val="center"/>
          </w:tcPr>
          <w:p>
            <w:pPr>
              <w:pStyle w:val="28"/>
              <w:widowControl w:val="0"/>
              <w:rPr>
                <w:color w:val="auto"/>
                <w:highlight w:val="none"/>
              </w:rPr>
            </w:pPr>
          </w:p>
        </w:tc>
        <w:tc>
          <w:tcPr>
            <w:tcW w:w="539" w:type="pct"/>
            <w:vMerge w:val="continue"/>
            <w:tcBorders>
              <w:tl2br w:val="nil"/>
              <w:tr2bl w:val="nil"/>
            </w:tcBorders>
            <w:vAlign w:val="center"/>
          </w:tcPr>
          <w:p>
            <w:pPr>
              <w:pStyle w:val="28"/>
              <w:widowControl w:val="0"/>
              <w:rPr>
                <w:color w:val="auto"/>
                <w:highlight w:val="none"/>
              </w:rPr>
            </w:pPr>
          </w:p>
        </w:tc>
        <w:tc>
          <w:tcPr>
            <w:tcW w:w="952" w:type="pct"/>
            <w:vMerge w:val="continue"/>
            <w:tcBorders>
              <w:tl2br w:val="nil"/>
              <w:tr2bl w:val="nil"/>
            </w:tcBorders>
            <w:vAlign w:val="center"/>
          </w:tcPr>
          <w:p>
            <w:pPr>
              <w:pStyle w:val="28"/>
              <w:widowControl w:val="0"/>
              <w:rPr>
                <w:color w:val="auto"/>
                <w:highlight w:val="none"/>
              </w:rPr>
            </w:pPr>
          </w:p>
        </w:tc>
        <w:tc>
          <w:tcPr>
            <w:tcW w:w="614" w:type="pct"/>
            <w:tcBorders>
              <w:tl2br w:val="nil"/>
              <w:tr2bl w:val="nil"/>
            </w:tcBorders>
            <w:vAlign w:val="center"/>
          </w:tcPr>
          <w:p>
            <w:pPr>
              <w:pStyle w:val="28"/>
              <w:widowControl w:val="0"/>
              <w:rPr>
                <w:b/>
                <w:bCs/>
                <w:color w:val="auto"/>
                <w:highlight w:val="none"/>
              </w:rPr>
            </w:pPr>
            <w:r>
              <w:rPr>
                <w:rFonts w:hint="eastAsia"/>
                <w:b/>
                <w:bCs/>
                <w:color w:val="auto"/>
                <w:highlight w:val="none"/>
              </w:rPr>
              <w:t>（kg/d）</w:t>
            </w:r>
          </w:p>
        </w:tc>
        <w:tc>
          <w:tcPr>
            <w:tcW w:w="615" w:type="pct"/>
            <w:tcBorders>
              <w:tl2br w:val="nil"/>
              <w:tr2bl w:val="nil"/>
            </w:tcBorders>
            <w:vAlign w:val="center"/>
          </w:tcPr>
          <w:p>
            <w:pPr>
              <w:pStyle w:val="28"/>
              <w:widowControl w:val="0"/>
              <w:rPr>
                <w:b/>
                <w:bCs/>
                <w:color w:val="auto"/>
                <w:highlight w:val="none"/>
              </w:rPr>
            </w:pPr>
            <w:r>
              <w:rPr>
                <w:rFonts w:hint="eastAsia"/>
                <w:b/>
                <w:bCs/>
                <w:color w:val="auto"/>
                <w:highlight w:val="none"/>
              </w:rPr>
              <w:t>（kg/h）</w:t>
            </w:r>
          </w:p>
        </w:tc>
        <w:tc>
          <w:tcPr>
            <w:tcW w:w="580" w:type="pct"/>
            <w:tcBorders>
              <w:tl2br w:val="nil"/>
              <w:tr2bl w:val="nil"/>
            </w:tcBorders>
            <w:vAlign w:val="center"/>
          </w:tcPr>
          <w:p>
            <w:pPr>
              <w:pStyle w:val="28"/>
              <w:widowControl w:val="0"/>
              <w:rPr>
                <w:b/>
                <w:bCs/>
                <w:color w:val="auto"/>
                <w:highlight w:val="none"/>
              </w:rPr>
            </w:pPr>
            <w:r>
              <w:rPr>
                <w:rFonts w:hint="eastAsia"/>
                <w:b/>
                <w:bCs/>
                <w:color w:val="auto"/>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1053" w:type="pct"/>
            <w:vMerge w:val="restart"/>
            <w:tcBorders>
              <w:tl2br w:val="nil"/>
              <w:tr2bl w:val="nil"/>
            </w:tcBorders>
            <w:vAlign w:val="center"/>
          </w:tcPr>
          <w:p>
            <w:pPr>
              <w:pStyle w:val="28"/>
              <w:widowControl w:val="0"/>
              <w:rPr>
                <w:color w:val="auto"/>
                <w:highlight w:val="none"/>
              </w:rPr>
            </w:pPr>
            <w:r>
              <w:rPr>
                <w:rFonts w:hint="eastAsia"/>
                <w:color w:val="auto"/>
                <w:highlight w:val="none"/>
              </w:rPr>
              <w:t>500头/d（旺季）</w:t>
            </w:r>
          </w:p>
        </w:tc>
        <w:tc>
          <w:tcPr>
            <w:tcW w:w="539" w:type="pct"/>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952" w:type="pct"/>
            <w:tcBorders>
              <w:tl2br w:val="nil"/>
              <w:tr2bl w:val="nil"/>
            </w:tcBorders>
            <w:vAlign w:val="center"/>
          </w:tcPr>
          <w:p>
            <w:pPr>
              <w:pStyle w:val="28"/>
              <w:widowControl w:val="0"/>
              <w:rPr>
                <w:color w:val="auto"/>
                <w:highlight w:val="none"/>
              </w:rPr>
            </w:pPr>
            <w:r>
              <w:rPr>
                <w:rFonts w:hint="eastAsia"/>
                <w:color w:val="auto"/>
                <w:highlight w:val="none"/>
              </w:rPr>
              <w:t>0.0186</w:t>
            </w:r>
          </w:p>
        </w:tc>
        <w:tc>
          <w:tcPr>
            <w:tcW w:w="614" w:type="pct"/>
            <w:tcBorders>
              <w:tl2br w:val="nil"/>
              <w:tr2bl w:val="nil"/>
            </w:tcBorders>
            <w:vAlign w:val="center"/>
          </w:tcPr>
          <w:p>
            <w:pPr>
              <w:pStyle w:val="28"/>
              <w:widowControl w:val="0"/>
              <w:rPr>
                <w:color w:val="auto"/>
                <w:highlight w:val="none"/>
              </w:rPr>
            </w:pPr>
            <w:r>
              <w:rPr>
                <w:rFonts w:hint="eastAsia"/>
                <w:color w:val="auto"/>
                <w:highlight w:val="none"/>
              </w:rPr>
              <w:t>0.11</w:t>
            </w:r>
          </w:p>
        </w:tc>
        <w:tc>
          <w:tcPr>
            <w:tcW w:w="615" w:type="pct"/>
            <w:tcBorders>
              <w:tl2br w:val="nil"/>
              <w:tr2bl w:val="nil"/>
            </w:tcBorders>
            <w:vAlign w:val="center"/>
          </w:tcPr>
          <w:p>
            <w:pPr>
              <w:pStyle w:val="28"/>
              <w:widowControl w:val="0"/>
              <w:rPr>
                <w:color w:val="auto"/>
                <w:highlight w:val="none"/>
              </w:rPr>
            </w:pPr>
            <w:r>
              <w:rPr>
                <w:rFonts w:hint="eastAsia"/>
                <w:color w:val="auto"/>
                <w:highlight w:val="none"/>
              </w:rPr>
              <w:t>0.014</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vMerge w:val="continue"/>
            <w:tcBorders>
              <w:tl2br w:val="nil"/>
              <w:tr2bl w:val="nil"/>
            </w:tcBorders>
            <w:vAlign w:val="center"/>
          </w:tcPr>
          <w:p>
            <w:pPr>
              <w:pStyle w:val="28"/>
              <w:widowControl w:val="0"/>
              <w:rPr>
                <w:color w:val="auto"/>
                <w:highlight w:val="none"/>
              </w:rPr>
            </w:pPr>
          </w:p>
        </w:tc>
        <w:tc>
          <w:tcPr>
            <w:tcW w:w="1053" w:type="pct"/>
            <w:vMerge w:val="continue"/>
            <w:tcBorders>
              <w:tl2br w:val="nil"/>
              <w:tr2bl w:val="nil"/>
            </w:tcBorders>
            <w:vAlign w:val="center"/>
          </w:tcPr>
          <w:p>
            <w:pPr>
              <w:pStyle w:val="28"/>
              <w:widowControl w:val="0"/>
              <w:rPr>
                <w:color w:val="auto"/>
                <w:highlight w:val="none"/>
              </w:rPr>
            </w:pPr>
          </w:p>
        </w:tc>
        <w:tc>
          <w:tcPr>
            <w:tcW w:w="539"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952" w:type="pct"/>
            <w:tcBorders>
              <w:tl2br w:val="nil"/>
              <w:tr2bl w:val="nil"/>
            </w:tcBorders>
            <w:vAlign w:val="center"/>
          </w:tcPr>
          <w:p>
            <w:pPr>
              <w:pStyle w:val="28"/>
              <w:widowControl w:val="0"/>
              <w:rPr>
                <w:color w:val="auto"/>
                <w:highlight w:val="none"/>
              </w:rPr>
            </w:pPr>
            <w:r>
              <w:rPr>
                <w:rFonts w:hint="eastAsia"/>
                <w:color w:val="auto"/>
                <w:highlight w:val="none"/>
              </w:rPr>
              <w:t>0.000462</w:t>
            </w:r>
          </w:p>
        </w:tc>
        <w:tc>
          <w:tcPr>
            <w:tcW w:w="614" w:type="pct"/>
            <w:tcBorders>
              <w:tl2br w:val="nil"/>
              <w:tr2bl w:val="nil"/>
            </w:tcBorders>
            <w:vAlign w:val="center"/>
          </w:tcPr>
          <w:p>
            <w:pPr>
              <w:pStyle w:val="28"/>
              <w:widowControl w:val="0"/>
              <w:rPr>
                <w:color w:val="auto"/>
                <w:highlight w:val="none"/>
              </w:rPr>
            </w:pPr>
            <w:r>
              <w:rPr>
                <w:rFonts w:hint="eastAsia"/>
                <w:color w:val="auto"/>
                <w:highlight w:val="none"/>
              </w:rPr>
              <w:t>0.003</w:t>
            </w:r>
          </w:p>
        </w:tc>
        <w:tc>
          <w:tcPr>
            <w:tcW w:w="615" w:type="pct"/>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580" w:type="pct"/>
            <w:tcBorders>
              <w:tl2br w:val="nil"/>
              <w:tr2bl w:val="nil"/>
            </w:tcBorders>
            <w:vAlign w:val="center"/>
          </w:tcPr>
          <w:p>
            <w:pPr>
              <w:pStyle w:val="28"/>
              <w:widowControl w:val="0"/>
              <w:rPr>
                <w:color w:val="auto"/>
                <w:highlight w:val="none"/>
              </w:rPr>
            </w:pPr>
            <w:r>
              <w:rPr>
                <w:rFonts w:hint="eastAsia"/>
                <w:color w:val="auto"/>
                <w:highlight w:val="none"/>
              </w:rPr>
              <w:t>0.001</w:t>
            </w:r>
          </w:p>
        </w:tc>
      </w:tr>
    </w:tbl>
    <w:p>
      <w:pPr>
        <w:widowControl w:val="0"/>
        <w:ind w:firstLine="482"/>
        <w:rPr>
          <w:b/>
          <w:bCs/>
          <w:color w:val="auto"/>
          <w:highlight w:val="none"/>
        </w:rPr>
      </w:pPr>
      <w:r>
        <w:rPr>
          <w:rFonts w:hint="eastAsia"/>
          <w:b/>
          <w:bCs/>
          <w:color w:val="auto"/>
          <w:highlight w:val="none"/>
        </w:rPr>
        <w:t>肉牛屠宰车间：</w:t>
      </w:r>
    </w:p>
    <w:p>
      <w:pPr>
        <w:ind w:firstLine="0"/>
        <w:rPr>
          <w:rFonts w:hint="default"/>
          <w:color w:val="auto"/>
          <w:highlight w:val="none"/>
          <w:vertAlign w:val="baseline"/>
          <w:lang w:val="en-US" w:eastAsia="zh-CN"/>
        </w:rPr>
      </w:pPr>
      <w:r>
        <w:rPr>
          <w:rFonts w:hint="eastAsia"/>
          <w:color w:val="auto"/>
          <w:highlight w:val="none"/>
        </w:rPr>
        <w:t>肉牛屠宰车间内湿度较高，</w:t>
      </w:r>
      <w:r>
        <w:rPr>
          <w:color w:val="auto"/>
          <w:highlight w:val="none"/>
        </w:rPr>
        <w:t>屠宰后的牲畜的湿皮、血、肠胃内容物、粪尿等产生的臭气混杂在一起，产生刺鼻的腥臭味，并扩散至整个厂区及周围地区。</w:t>
      </w:r>
      <w:r>
        <w:rPr>
          <w:rFonts w:hint="eastAsia"/>
          <w:color w:val="auto"/>
          <w:highlight w:val="none"/>
          <w:lang w:val="en-US" w:eastAsia="zh-CN"/>
        </w:rPr>
        <w:t>根据建设项目环境影响评价信息平台已公示的“</w:t>
      </w:r>
      <w:r>
        <w:rPr>
          <w:rFonts w:ascii="Times New Roman" w:hAnsi="Times New Roman" w:eastAsia="宋体" w:cs="Times New Roman"/>
          <w:i w:val="0"/>
          <w:iCs w:val="0"/>
          <w:caps w:val="0"/>
          <w:color w:val="auto"/>
          <w:spacing w:val="0"/>
          <w:sz w:val="24"/>
          <w:szCs w:val="22"/>
          <w:highlight w:val="none"/>
          <w:shd w:val="clear" w:fill="auto"/>
        </w:rPr>
        <w:t>文水县贤锋食品有限公司年屠宰1.5万头肉牛生产线建设项目</w:t>
      </w:r>
      <w:r>
        <w:rPr>
          <w:rFonts w:hint="eastAsia"/>
          <w:color w:val="auto"/>
          <w:highlight w:val="none"/>
          <w:lang w:val="en-US" w:eastAsia="zh-CN"/>
        </w:rPr>
        <w:t>”环保验收可知，该项目验收期间于2021.10.22~2021.12.16对项目废气进行了监测（监测期间每日屠宰肉牛38头），从监测数据得出，该项目运行期间NH</w:t>
      </w:r>
      <w:r>
        <w:rPr>
          <w:rFonts w:hint="eastAsia"/>
          <w:color w:val="auto"/>
          <w:highlight w:val="none"/>
          <w:vertAlign w:val="subscript"/>
          <w:lang w:val="en-US" w:eastAsia="zh-CN"/>
        </w:rPr>
        <w:t>3</w:t>
      </w:r>
      <w:r>
        <w:rPr>
          <w:rFonts w:hint="eastAsia"/>
          <w:color w:val="auto"/>
          <w:highlight w:val="none"/>
          <w:vertAlign w:val="baseline"/>
          <w:lang w:val="en-US" w:eastAsia="zh-CN"/>
        </w:rPr>
        <w:t>产生速率为0.134kg/h；H</w:t>
      </w:r>
      <w:r>
        <w:rPr>
          <w:rFonts w:hint="eastAsia"/>
          <w:color w:val="auto"/>
          <w:highlight w:val="none"/>
          <w:vertAlign w:val="subscript"/>
          <w:lang w:val="en-US" w:eastAsia="zh-CN"/>
        </w:rPr>
        <w:t>2</w:t>
      </w:r>
      <w:r>
        <w:rPr>
          <w:rFonts w:hint="eastAsia"/>
          <w:color w:val="auto"/>
          <w:highlight w:val="none"/>
          <w:vertAlign w:val="baseline"/>
          <w:lang w:val="en-US" w:eastAsia="zh-CN"/>
        </w:rPr>
        <w:t>S产生速率为0.044kg/h。</w:t>
      </w:r>
    </w:p>
    <w:p>
      <w:pPr>
        <w:widowControl w:val="0"/>
        <w:ind w:firstLine="480"/>
        <w:rPr>
          <w:rFonts w:hint="default" w:eastAsia="宋体"/>
          <w:color w:val="auto"/>
          <w:highlight w:val="none"/>
          <w:lang w:val="en-US" w:eastAsia="zh-CN"/>
        </w:rPr>
      </w:pPr>
      <w:r>
        <w:rPr>
          <w:rFonts w:hint="eastAsia"/>
          <w:color w:val="auto"/>
          <w:highlight w:val="none"/>
        </w:rPr>
        <w:t>类比</w:t>
      </w:r>
      <w:r>
        <w:rPr>
          <w:rFonts w:hint="eastAsia"/>
          <w:color w:val="auto"/>
          <w:highlight w:val="none"/>
          <w:lang w:val="en-US" w:eastAsia="zh-CN"/>
        </w:rPr>
        <w:t>上述项目验收情况</w:t>
      </w:r>
      <w:r>
        <w:rPr>
          <w:rFonts w:hint="eastAsia"/>
          <w:color w:val="auto"/>
          <w:highlight w:val="none"/>
        </w:rPr>
        <w:t>分析，本项目年屠宰肉牛1万头，旺季屠宰</w:t>
      </w:r>
      <w:r>
        <w:rPr>
          <w:rFonts w:hint="eastAsia"/>
          <w:color w:val="auto"/>
          <w:highlight w:val="none"/>
          <w:lang w:val="en-US" w:eastAsia="zh-CN"/>
        </w:rPr>
        <w:t>40</w:t>
      </w:r>
      <w:r>
        <w:rPr>
          <w:rFonts w:hint="eastAsia"/>
          <w:color w:val="auto"/>
          <w:highlight w:val="none"/>
        </w:rPr>
        <w:t>头/d，因此本项目肉牛屠宰污染物源强为NH</w:t>
      </w:r>
      <w:r>
        <w:rPr>
          <w:rFonts w:hint="eastAsia"/>
          <w:color w:val="auto"/>
          <w:highlight w:val="none"/>
          <w:vertAlign w:val="subscript"/>
        </w:rPr>
        <w:t>3</w:t>
      </w:r>
      <w:r>
        <w:rPr>
          <w:rFonts w:hint="eastAsia"/>
          <w:color w:val="auto"/>
          <w:highlight w:val="none"/>
        </w:rPr>
        <w:t>：0.</w:t>
      </w:r>
      <w:r>
        <w:rPr>
          <w:rFonts w:hint="eastAsia"/>
          <w:color w:val="auto"/>
          <w:highlight w:val="none"/>
          <w:lang w:val="en-US" w:eastAsia="zh-CN"/>
        </w:rPr>
        <w:t>14</w:t>
      </w:r>
      <w:r>
        <w:rPr>
          <w:rFonts w:hint="eastAsia"/>
          <w:color w:val="auto"/>
          <w:highlight w:val="none"/>
        </w:rPr>
        <w:t>kg/h，H</w:t>
      </w:r>
      <w:r>
        <w:rPr>
          <w:rFonts w:hint="eastAsia"/>
          <w:color w:val="auto"/>
          <w:highlight w:val="none"/>
          <w:vertAlign w:val="subscript"/>
        </w:rPr>
        <w:t>2</w:t>
      </w:r>
      <w:r>
        <w:rPr>
          <w:rFonts w:hint="eastAsia"/>
          <w:color w:val="auto"/>
          <w:highlight w:val="none"/>
        </w:rPr>
        <w:t>S：0.0</w:t>
      </w:r>
      <w:r>
        <w:rPr>
          <w:rFonts w:hint="eastAsia"/>
          <w:color w:val="auto"/>
          <w:highlight w:val="none"/>
          <w:lang w:val="en-US" w:eastAsia="zh-CN"/>
        </w:rPr>
        <w:t>46</w:t>
      </w:r>
      <w:r>
        <w:rPr>
          <w:rFonts w:hint="eastAsia"/>
          <w:color w:val="auto"/>
          <w:highlight w:val="none"/>
        </w:rPr>
        <w:t>kg/h，产生总量为0.</w:t>
      </w:r>
      <w:r>
        <w:rPr>
          <w:rFonts w:hint="eastAsia"/>
          <w:color w:val="auto"/>
          <w:highlight w:val="none"/>
          <w:lang w:val="en-US" w:eastAsia="zh-CN"/>
        </w:rPr>
        <w:t>28</w:t>
      </w:r>
      <w:r>
        <w:rPr>
          <w:rFonts w:hint="eastAsia"/>
          <w:color w:val="auto"/>
          <w:highlight w:val="none"/>
        </w:rPr>
        <w:t>t/a，0.0</w:t>
      </w:r>
      <w:r>
        <w:rPr>
          <w:rFonts w:hint="eastAsia"/>
          <w:color w:val="auto"/>
          <w:highlight w:val="none"/>
          <w:lang w:val="en-US" w:eastAsia="zh-CN"/>
        </w:rPr>
        <w:t>9</w:t>
      </w:r>
      <w:r>
        <w:rPr>
          <w:rFonts w:hint="eastAsia"/>
          <w:color w:val="auto"/>
          <w:highlight w:val="none"/>
        </w:rPr>
        <w:t>t/a。</w:t>
      </w:r>
    </w:p>
    <w:p>
      <w:pPr>
        <w:widowControl w:val="0"/>
        <w:ind w:firstLine="482"/>
        <w:rPr>
          <w:b/>
          <w:bCs/>
          <w:color w:val="auto"/>
          <w:highlight w:val="none"/>
        </w:rPr>
      </w:pPr>
      <w:r>
        <w:rPr>
          <w:rFonts w:hint="eastAsia"/>
          <w:b/>
          <w:bCs/>
          <w:color w:val="auto"/>
          <w:highlight w:val="none"/>
        </w:rPr>
        <w:t>3）污水处理站恶臭源强</w:t>
      </w:r>
    </w:p>
    <w:p>
      <w:pPr>
        <w:widowControl w:val="0"/>
        <w:ind w:firstLine="480"/>
        <w:jc w:val="left"/>
        <w:rPr>
          <w:color w:val="auto"/>
          <w:highlight w:val="none"/>
        </w:rPr>
      </w:pPr>
      <w:r>
        <w:rPr>
          <w:rFonts w:hint="eastAsia" w:ascii="宋体" w:hAnsi="宋体"/>
          <w:color w:val="auto"/>
          <w:highlight w:val="none"/>
        </w:rPr>
        <w:t>由于废水中有机类物质较多、污染物浓度较高，厂区污水处理设施运行过程中将不可避免的产生一定量的臭气，主要来源于废水中有机物厌氧分解产生的</w:t>
      </w:r>
      <w:r>
        <w:rPr>
          <w:rFonts w:eastAsia="Times New Roman"/>
          <w:color w:val="auto"/>
          <w:highlight w:val="none"/>
        </w:rPr>
        <w:t>NH</w:t>
      </w:r>
      <w:r>
        <w:rPr>
          <w:rFonts w:eastAsia="Times New Roman"/>
          <w:color w:val="auto"/>
          <w:sz w:val="16"/>
          <w:highlight w:val="none"/>
        </w:rPr>
        <w:t>3</w:t>
      </w:r>
      <w:r>
        <w:rPr>
          <w:rFonts w:hint="eastAsia" w:ascii="宋体" w:hAnsi="宋体"/>
          <w:color w:val="auto"/>
          <w:highlight w:val="none"/>
        </w:rPr>
        <w:t>、</w:t>
      </w:r>
      <w:r>
        <w:rPr>
          <w:rFonts w:eastAsia="Times New Roman"/>
          <w:color w:val="auto"/>
          <w:highlight w:val="none"/>
        </w:rPr>
        <w:t>H</w:t>
      </w:r>
      <w:r>
        <w:rPr>
          <w:rFonts w:eastAsia="Times New Roman"/>
          <w:color w:val="auto"/>
          <w:sz w:val="16"/>
          <w:highlight w:val="none"/>
        </w:rPr>
        <w:t>2</w:t>
      </w:r>
      <w:r>
        <w:rPr>
          <w:rFonts w:eastAsia="Times New Roman"/>
          <w:color w:val="auto"/>
          <w:highlight w:val="none"/>
        </w:rPr>
        <w:t>S</w:t>
      </w:r>
      <w:r>
        <w:rPr>
          <w:rFonts w:hint="eastAsia" w:ascii="宋体" w:hAnsi="宋体"/>
          <w:color w:val="auto"/>
          <w:highlight w:val="none"/>
        </w:rPr>
        <w:t>等，同时，本项目污水处理工艺中涉及厌氧工艺，在该工艺运行过程中进行厌氧反应会产生少量沼气，本评价不对其定量计算。</w:t>
      </w:r>
    </w:p>
    <w:p>
      <w:pPr>
        <w:widowControl w:val="0"/>
        <w:ind w:firstLine="480"/>
        <w:rPr>
          <w:color w:val="auto"/>
          <w:highlight w:val="none"/>
        </w:rPr>
      </w:pPr>
      <w:r>
        <w:rPr>
          <w:rFonts w:hint="eastAsia"/>
          <w:color w:val="auto"/>
          <w:highlight w:val="none"/>
        </w:rPr>
        <w:t>本次评价中废气污染源强采用美国EPA对城市污水处理厂恶臭污染物产生情况的研究结果，每处理1g的BOD</w:t>
      </w:r>
      <w:r>
        <w:rPr>
          <w:rFonts w:hint="eastAsia"/>
          <w:color w:val="auto"/>
          <w:highlight w:val="none"/>
          <w:vertAlign w:val="subscript"/>
        </w:rPr>
        <w:t>5</w:t>
      </w:r>
      <w:r>
        <w:rPr>
          <w:rFonts w:hint="eastAsia"/>
          <w:color w:val="auto"/>
          <w:highlight w:val="none"/>
        </w:rPr>
        <w:t>可产生0.0031g的NH</w:t>
      </w:r>
      <w:r>
        <w:rPr>
          <w:rFonts w:hint="eastAsia"/>
          <w:color w:val="auto"/>
          <w:highlight w:val="none"/>
          <w:vertAlign w:val="subscript"/>
        </w:rPr>
        <w:t>3</w:t>
      </w:r>
      <w:r>
        <w:rPr>
          <w:rFonts w:hint="eastAsia"/>
          <w:color w:val="auto"/>
          <w:highlight w:val="none"/>
        </w:rPr>
        <w:t>、0.00012g的H</w:t>
      </w:r>
      <w:r>
        <w:rPr>
          <w:rFonts w:hint="eastAsia"/>
          <w:color w:val="auto"/>
          <w:highlight w:val="none"/>
          <w:vertAlign w:val="subscript"/>
        </w:rPr>
        <w:t>2</w:t>
      </w:r>
      <w:r>
        <w:rPr>
          <w:rFonts w:hint="eastAsia"/>
          <w:color w:val="auto"/>
          <w:highlight w:val="none"/>
        </w:rPr>
        <w:t>S，本项目污水处理站BOD</w:t>
      </w:r>
      <w:r>
        <w:rPr>
          <w:rFonts w:hint="eastAsia"/>
          <w:color w:val="auto"/>
          <w:highlight w:val="none"/>
          <w:vertAlign w:val="subscript"/>
        </w:rPr>
        <w:t>5</w:t>
      </w:r>
      <w:r>
        <w:rPr>
          <w:rFonts w:hint="eastAsia"/>
          <w:color w:val="auto"/>
          <w:highlight w:val="none"/>
        </w:rPr>
        <w:t>处理量约为51.7t/a，经计算本项目运营后污水处理站恶臭气体产生量如下：NH</w:t>
      </w:r>
      <w:r>
        <w:rPr>
          <w:rFonts w:hint="eastAsia"/>
          <w:color w:val="auto"/>
          <w:highlight w:val="none"/>
          <w:vertAlign w:val="subscript"/>
        </w:rPr>
        <w:t>3</w:t>
      </w:r>
      <w:r>
        <w:rPr>
          <w:rFonts w:hint="eastAsia"/>
          <w:color w:val="auto"/>
          <w:highlight w:val="none"/>
        </w:rPr>
        <w:t>为0.16t/a，H</w:t>
      </w:r>
      <w:r>
        <w:rPr>
          <w:rFonts w:hint="eastAsia"/>
          <w:color w:val="auto"/>
          <w:highlight w:val="none"/>
          <w:vertAlign w:val="subscript"/>
        </w:rPr>
        <w:t>2</w:t>
      </w:r>
      <w:r>
        <w:rPr>
          <w:rFonts w:hint="eastAsia"/>
          <w:color w:val="auto"/>
          <w:highlight w:val="none"/>
        </w:rPr>
        <w:t>S为0.006t/a。污水站24小时×350天运行，则污水站恶臭产生、排放情况见下表。</w:t>
      </w:r>
    </w:p>
    <w:p>
      <w:pPr>
        <w:widowControl w:val="0"/>
        <w:ind w:firstLine="480"/>
        <w:jc w:val="left"/>
        <w:rPr>
          <w:color w:val="auto"/>
          <w:highlight w:val="none"/>
        </w:rPr>
      </w:pPr>
      <w:r>
        <w:rPr>
          <w:rFonts w:hint="eastAsia" w:ascii="宋体" w:hAnsi="宋体"/>
          <w:color w:val="auto"/>
          <w:highlight w:val="none"/>
        </w:rPr>
        <w:t>本项目恶臭污染物产生情况见下表。</w:t>
      </w:r>
    </w:p>
    <w:p>
      <w:pPr>
        <w:pStyle w:val="27"/>
        <w:widowControl w:val="0"/>
        <w:rPr>
          <w:color w:val="auto"/>
          <w:highlight w:val="none"/>
        </w:rPr>
      </w:pPr>
      <w:r>
        <w:rPr>
          <w:rFonts w:hint="eastAsia"/>
          <w:color w:val="auto"/>
          <w:highlight w:val="none"/>
        </w:rPr>
        <w:t>本项目恶臭污染物产生情况一览表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69"/>
        <w:gridCol w:w="1923"/>
        <w:gridCol w:w="1925"/>
        <w:gridCol w:w="1925"/>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1999" w:type="pct"/>
            <w:gridSpan w:val="2"/>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NH</w:t>
            </w:r>
            <w:r>
              <w:rPr>
                <w:rFonts w:hint="eastAsia"/>
                <w:b/>
                <w:bCs/>
                <w:color w:val="auto"/>
                <w:highlight w:val="none"/>
                <w:vertAlign w:val="subscript"/>
              </w:rPr>
              <w:t>3</w:t>
            </w:r>
          </w:p>
        </w:tc>
        <w:tc>
          <w:tcPr>
            <w:tcW w:w="2001"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vMerge w:val="continue"/>
            <w:tcBorders>
              <w:tl2br w:val="nil"/>
              <w:tr2bl w:val="nil"/>
            </w:tcBorders>
            <w:vAlign w:val="center"/>
          </w:tcPr>
          <w:p>
            <w:pPr>
              <w:pStyle w:val="28"/>
              <w:widowControl w:val="0"/>
              <w:rPr>
                <w:b/>
                <w:bCs/>
                <w:color w:val="auto"/>
                <w:highlight w:val="none"/>
              </w:rPr>
            </w:pPr>
          </w:p>
        </w:tc>
        <w:tc>
          <w:tcPr>
            <w:tcW w:w="999" w:type="pct"/>
            <w:tcBorders>
              <w:tl2br w:val="nil"/>
              <w:tr2bl w:val="nil"/>
            </w:tcBorders>
            <w:vAlign w:val="center"/>
          </w:tcPr>
          <w:p>
            <w:pPr>
              <w:pStyle w:val="28"/>
              <w:widowControl w:val="0"/>
              <w:rPr>
                <w:b/>
                <w:bCs/>
                <w:color w:val="auto"/>
                <w:highlight w:val="none"/>
              </w:rPr>
            </w:pPr>
            <w:r>
              <w:rPr>
                <w:rFonts w:hint="eastAsia"/>
                <w:b/>
                <w:bCs/>
                <w:color w:val="auto"/>
                <w:highlight w:val="none"/>
              </w:rPr>
              <w:t>产生速率（kg/h）</w:t>
            </w:r>
          </w:p>
        </w:tc>
        <w:tc>
          <w:tcPr>
            <w:tcW w:w="1000"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000" w:type="pct"/>
            <w:tcBorders>
              <w:tl2br w:val="nil"/>
              <w:tr2bl w:val="nil"/>
            </w:tcBorders>
            <w:vAlign w:val="center"/>
          </w:tcPr>
          <w:p>
            <w:pPr>
              <w:pStyle w:val="28"/>
              <w:widowControl w:val="0"/>
              <w:rPr>
                <w:b/>
                <w:bCs/>
                <w:color w:val="auto"/>
                <w:highlight w:val="none"/>
              </w:rPr>
            </w:pPr>
            <w:r>
              <w:rPr>
                <w:rFonts w:hint="eastAsia"/>
                <w:b/>
                <w:bCs/>
                <w:color w:val="auto"/>
                <w:highlight w:val="none"/>
              </w:rPr>
              <w:t>产生速率（kg/h）</w:t>
            </w:r>
          </w:p>
        </w:tc>
        <w:tc>
          <w:tcPr>
            <w:tcW w:w="1001"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1923" w:type="dxa"/>
            <w:tcBorders>
              <w:tl2br w:val="nil"/>
              <w:tr2bl w:val="nil"/>
            </w:tcBorders>
            <w:vAlign w:val="center"/>
          </w:tcPr>
          <w:p>
            <w:pPr>
              <w:pStyle w:val="28"/>
              <w:widowControl w:val="0"/>
              <w:rPr>
                <w:color w:val="auto"/>
                <w:highlight w:val="none"/>
              </w:rPr>
            </w:pPr>
            <w:r>
              <w:rPr>
                <w:rFonts w:hint="eastAsia"/>
                <w:color w:val="auto"/>
                <w:highlight w:val="none"/>
              </w:rPr>
              <w:t>0.214</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1.44</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0.019</w:t>
            </w:r>
          </w:p>
        </w:tc>
        <w:tc>
          <w:tcPr>
            <w:tcW w:w="1927" w:type="dxa"/>
            <w:tcBorders>
              <w:tl2br w:val="nil"/>
              <w:tr2bl w:val="nil"/>
            </w:tcBorders>
            <w:vAlign w:val="center"/>
          </w:tcPr>
          <w:p>
            <w:pPr>
              <w:pStyle w:val="28"/>
              <w:widowControl w:val="0"/>
              <w:rPr>
                <w:color w:val="auto"/>
                <w:highlight w:val="none"/>
              </w:rPr>
            </w:pPr>
            <w:r>
              <w:rPr>
                <w:rFonts w:hint="eastAsia"/>
                <w:color w:val="auto"/>
                <w:highlight w:val="none"/>
              </w:rPr>
              <w:t>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606" w:type="pc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1923" w:type="dxa"/>
            <w:tcBorders>
              <w:tl2br w:val="nil"/>
              <w:tr2bl w:val="nil"/>
            </w:tcBorders>
            <w:vAlign w:val="center"/>
          </w:tcPr>
          <w:p>
            <w:pPr>
              <w:pStyle w:val="28"/>
              <w:widowControl w:val="0"/>
              <w:rPr>
                <w:color w:val="auto"/>
                <w:highlight w:val="none"/>
              </w:rPr>
            </w:pPr>
            <w:r>
              <w:rPr>
                <w:rFonts w:hint="eastAsia"/>
                <w:color w:val="auto"/>
                <w:highlight w:val="none"/>
              </w:rPr>
              <w:t>0.014</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0.03</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1927" w:type="dxa"/>
            <w:tcBorders>
              <w:tl2br w:val="nil"/>
              <w:tr2bl w:val="nil"/>
            </w:tcBorders>
            <w:vAlign w:val="center"/>
          </w:tcPr>
          <w:p>
            <w:pPr>
              <w:pStyle w:val="28"/>
              <w:widowControl w:val="0"/>
              <w:rPr>
                <w:color w:val="auto"/>
                <w:highlight w:val="none"/>
              </w:rPr>
            </w:pPr>
            <w:r>
              <w:rPr>
                <w:rFonts w:hint="eastAsia"/>
                <w:color w:val="auto"/>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l2br w:val="nil"/>
              <w:tr2bl w:val="nil"/>
            </w:tcBorders>
            <w:vAlign w:val="center"/>
          </w:tcPr>
          <w:p>
            <w:pPr>
              <w:pStyle w:val="28"/>
              <w:widowControl w:val="0"/>
              <w:rPr>
                <w:color w:val="auto"/>
                <w:highlight w:val="none"/>
              </w:rPr>
            </w:pPr>
          </w:p>
        </w:tc>
        <w:tc>
          <w:tcPr>
            <w:tcW w:w="606" w:type="pc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1923"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0.14</w:t>
            </w:r>
          </w:p>
        </w:tc>
        <w:tc>
          <w:tcPr>
            <w:tcW w:w="1925"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0.28</w:t>
            </w:r>
          </w:p>
        </w:tc>
        <w:tc>
          <w:tcPr>
            <w:tcW w:w="1925"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0.046</w:t>
            </w:r>
          </w:p>
        </w:tc>
        <w:tc>
          <w:tcPr>
            <w:tcW w:w="1927"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1923" w:type="dxa"/>
            <w:tcBorders>
              <w:tl2br w:val="nil"/>
              <w:tr2bl w:val="nil"/>
            </w:tcBorders>
            <w:vAlign w:val="center"/>
          </w:tcPr>
          <w:p>
            <w:pPr>
              <w:pStyle w:val="28"/>
              <w:widowControl w:val="0"/>
              <w:rPr>
                <w:color w:val="auto"/>
                <w:highlight w:val="none"/>
              </w:rPr>
            </w:pPr>
            <w:r>
              <w:rPr>
                <w:rFonts w:hint="eastAsia"/>
                <w:color w:val="auto"/>
                <w:highlight w:val="none"/>
              </w:rPr>
              <w:t>0.019</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0.16</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0.0007</w:t>
            </w:r>
          </w:p>
        </w:tc>
        <w:tc>
          <w:tcPr>
            <w:tcW w:w="1927" w:type="dxa"/>
            <w:tcBorders>
              <w:tl2br w:val="nil"/>
              <w:tr2bl w:val="nil"/>
            </w:tcBorders>
            <w:vAlign w:val="center"/>
          </w:tcPr>
          <w:p>
            <w:pPr>
              <w:pStyle w:val="28"/>
              <w:widowControl w:val="0"/>
              <w:rPr>
                <w:color w:val="auto"/>
                <w:highlight w:val="none"/>
              </w:rPr>
            </w:pPr>
            <w:r>
              <w:rPr>
                <w:rFonts w:hint="eastAsia"/>
                <w:color w:val="auto"/>
                <w:highlight w:val="none"/>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1923"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0.387</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1.</w:t>
            </w:r>
            <w:r>
              <w:rPr>
                <w:rFonts w:hint="eastAsia"/>
                <w:color w:val="auto"/>
                <w:highlight w:val="none"/>
                <w:lang w:val="en-US" w:eastAsia="zh-CN"/>
              </w:rPr>
              <w:t>91</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66</w:t>
            </w:r>
          </w:p>
        </w:tc>
        <w:tc>
          <w:tcPr>
            <w:tcW w:w="1927" w:type="dxa"/>
            <w:tcBorders>
              <w:tl2br w:val="nil"/>
              <w:tr2bl w:val="nil"/>
            </w:tcBorders>
            <w:vAlign w:val="center"/>
          </w:tcPr>
          <w:p>
            <w:pPr>
              <w:pStyle w:val="28"/>
              <w:widowControl w:val="0"/>
              <w:rPr>
                <w:color w:val="auto"/>
                <w:highlight w:val="none"/>
              </w:rPr>
            </w:pPr>
            <w:r>
              <w:rPr>
                <w:rFonts w:hint="eastAsia"/>
                <w:color w:val="auto"/>
                <w:highlight w:val="none"/>
              </w:rPr>
              <w:t>0.1</w:t>
            </w:r>
            <w:r>
              <w:rPr>
                <w:rFonts w:hint="eastAsia"/>
                <w:color w:val="auto"/>
                <w:highlight w:val="none"/>
                <w:lang w:val="en-US" w:eastAsia="zh-CN"/>
              </w:rPr>
              <w:t>82</w:t>
            </w:r>
          </w:p>
        </w:tc>
      </w:tr>
    </w:tbl>
    <w:p>
      <w:pPr>
        <w:widowControl w:val="0"/>
        <w:ind w:firstLine="482"/>
        <w:rPr>
          <w:b/>
          <w:bCs/>
          <w:color w:val="auto"/>
          <w:highlight w:val="none"/>
        </w:rPr>
      </w:pPr>
      <w:r>
        <w:rPr>
          <w:rFonts w:hint="eastAsia"/>
          <w:b/>
          <w:bCs/>
          <w:color w:val="auto"/>
          <w:highlight w:val="none"/>
        </w:rPr>
        <w:t>（2）恶臭防治措施</w:t>
      </w:r>
    </w:p>
    <w:p>
      <w:pPr>
        <w:widowControl w:val="0"/>
        <w:ind w:firstLine="482"/>
        <w:rPr>
          <w:b/>
          <w:bCs/>
          <w:color w:val="auto"/>
          <w:highlight w:val="none"/>
        </w:rPr>
      </w:pPr>
      <w:r>
        <w:rPr>
          <w:rFonts w:hint="eastAsia"/>
          <w:b/>
          <w:bCs/>
          <w:color w:val="auto"/>
          <w:highlight w:val="none"/>
        </w:rPr>
        <w:t>1）待宰圈</w:t>
      </w:r>
    </w:p>
    <w:p>
      <w:pPr>
        <w:widowControl w:val="0"/>
        <w:ind w:firstLine="480"/>
        <w:rPr>
          <w:color w:val="auto"/>
          <w:highlight w:val="none"/>
        </w:rPr>
      </w:pPr>
      <w:r>
        <w:rPr>
          <w:rFonts w:hint="eastAsia"/>
          <w:color w:val="auto"/>
          <w:highlight w:val="none"/>
        </w:rPr>
        <w:t>源强控制措施：</w:t>
      </w:r>
    </w:p>
    <w:p>
      <w:pPr>
        <w:widowControl w:val="0"/>
        <w:ind w:firstLine="480"/>
        <w:rPr>
          <w:color w:val="auto"/>
          <w:highlight w:val="none"/>
        </w:rPr>
      </w:pPr>
      <w:r>
        <w:rPr>
          <w:rFonts w:hint="eastAsia"/>
          <w:color w:val="auto"/>
          <w:highlight w:val="none"/>
        </w:rPr>
        <w:t>①待宰圈设计为全密闭厂房，天花板全密闭，不设置换气天窗，四周墙壁全密闭，安装固定式密闭式采光玻璃。</w:t>
      </w:r>
    </w:p>
    <w:p>
      <w:pPr>
        <w:ind w:firstLine="0"/>
        <w:rPr>
          <w:color w:val="auto"/>
          <w:highlight w:val="none"/>
        </w:rPr>
      </w:pPr>
      <w:r>
        <w:rPr>
          <w:rFonts w:hint="eastAsia"/>
          <w:color w:val="auto"/>
          <w:highlight w:val="none"/>
        </w:rPr>
        <w:t>②为保证待宰圈的良好通风，厂房内空气进行机械强制排风，待宰圈密闭面积约2850</w:t>
      </w:r>
      <w:r>
        <w:rPr>
          <w:color w:val="auto"/>
          <w:highlight w:val="none"/>
        </w:rPr>
        <w:t>m</w:t>
      </w:r>
      <w:r>
        <w:rPr>
          <w:color w:val="auto"/>
          <w:highlight w:val="none"/>
          <w:vertAlign w:val="superscript"/>
        </w:rPr>
        <w:t>2</w:t>
      </w:r>
      <w:r>
        <w:rPr>
          <w:rFonts w:hint="eastAsia"/>
          <w:color w:val="auto"/>
          <w:highlight w:val="none"/>
        </w:rPr>
        <w:t>（尺寸为90</w:t>
      </w:r>
      <w:r>
        <w:rPr>
          <w:color w:val="auto"/>
          <w:highlight w:val="none"/>
        </w:rPr>
        <w:t>m×</w:t>
      </w:r>
      <w:r>
        <w:rPr>
          <w:rFonts w:hint="eastAsia"/>
          <w:color w:val="auto"/>
          <w:highlight w:val="none"/>
        </w:rPr>
        <w:t>32</w:t>
      </w:r>
      <w:r>
        <w:rPr>
          <w:color w:val="auto"/>
          <w:highlight w:val="none"/>
        </w:rPr>
        <w:t>m×</w:t>
      </w:r>
      <w:r>
        <w:rPr>
          <w:rFonts w:hint="eastAsia"/>
          <w:color w:val="auto"/>
          <w:highlight w:val="none"/>
        </w:rPr>
        <w:t>5</w:t>
      </w:r>
      <w:r>
        <w:rPr>
          <w:color w:val="auto"/>
          <w:highlight w:val="none"/>
        </w:rPr>
        <w:t>m</w:t>
      </w:r>
      <w:r>
        <w:rPr>
          <w:rFonts w:hint="eastAsia"/>
          <w:color w:val="auto"/>
          <w:highlight w:val="none"/>
        </w:rPr>
        <w:t>），对密闭区域设置微负压抽风系统，并设置供风系统</w:t>
      </w:r>
      <w:r>
        <w:rPr>
          <w:rFonts w:hint="eastAsia"/>
          <w:color w:val="auto"/>
          <w:highlight w:val="none"/>
          <w:lang w:eastAsia="zh-CN"/>
        </w:rPr>
        <w:t>，</w:t>
      </w:r>
      <w:r>
        <w:rPr>
          <w:rFonts w:hint="eastAsia" w:ascii="宋体" w:hAnsi="宋体" w:eastAsia="宋体"/>
          <w:color w:val="auto"/>
          <w:sz w:val="24"/>
          <w:szCs w:val="24"/>
          <w:highlight w:val="none"/>
        </w:rPr>
        <w:t>根据农业部发布《生猪屠宰加工场（厂）动物卫生条件》</w:t>
      </w:r>
      <w:r>
        <w:rPr>
          <w:rFonts w:hint="default" w:ascii="Times New Roman" w:hAnsi="Times New Roman" w:eastAsia="Times New Roman"/>
          <w:color w:val="auto"/>
          <w:sz w:val="24"/>
          <w:szCs w:val="24"/>
          <w:highlight w:val="none"/>
        </w:rPr>
        <w:t xml:space="preserve">NY/T2076-2011 </w:t>
      </w:r>
      <w:r>
        <w:rPr>
          <w:rFonts w:hint="eastAsia" w:ascii="宋体" w:hAnsi="宋体" w:eastAsia="宋体"/>
          <w:color w:val="auto"/>
          <w:sz w:val="24"/>
          <w:szCs w:val="24"/>
          <w:highlight w:val="none"/>
        </w:rPr>
        <w:t>中</w:t>
      </w:r>
      <w:r>
        <w:rPr>
          <w:rFonts w:hint="default" w:ascii="Times New Roman" w:hAnsi="Times New Roman" w:eastAsia="Times New Roman"/>
          <w:color w:val="auto"/>
          <w:sz w:val="24"/>
          <w:szCs w:val="24"/>
          <w:highlight w:val="none"/>
        </w:rPr>
        <w:t>6-6.3.2</w:t>
      </w:r>
      <w:r>
        <w:rPr>
          <w:rFonts w:hint="eastAsia" w:ascii="宋体" w:hAnsi="宋体" w:eastAsia="宋体"/>
          <w:color w:val="auto"/>
          <w:sz w:val="24"/>
          <w:szCs w:val="24"/>
          <w:highlight w:val="none"/>
        </w:rPr>
        <w:t>条要求，</w:t>
      </w:r>
      <w:r>
        <w:rPr>
          <w:rFonts w:hint="eastAsia"/>
          <w:color w:val="auto"/>
          <w:highlight w:val="none"/>
        </w:rPr>
        <w:t>排放量按</w:t>
      </w:r>
      <w:r>
        <w:rPr>
          <w:rFonts w:hint="eastAsia"/>
          <w:color w:val="auto"/>
          <w:highlight w:val="none"/>
          <w:lang w:val="en-US" w:eastAsia="zh-CN"/>
        </w:rPr>
        <w:t>2</w:t>
      </w:r>
      <w:r>
        <w:rPr>
          <w:rFonts w:hint="eastAsia"/>
          <w:color w:val="auto"/>
          <w:highlight w:val="none"/>
        </w:rPr>
        <w:t>次</w:t>
      </w:r>
      <w:r>
        <w:rPr>
          <w:color w:val="auto"/>
          <w:highlight w:val="none"/>
        </w:rPr>
        <w:t>/h</w:t>
      </w:r>
      <w:r>
        <w:rPr>
          <w:rFonts w:hint="eastAsia"/>
          <w:color w:val="auto"/>
          <w:highlight w:val="none"/>
        </w:rPr>
        <w:t>计算，则待宰圈风量不低于</w:t>
      </w:r>
      <w:r>
        <w:rPr>
          <w:rFonts w:hint="eastAsia"/>
          <w:color w:val="auto"/>
          <w:highlight w:val="none"/>
          <w:lang w:val="en-US" w:eastAsia="zh-CN"/>
        </w:rPr>
        <w:t>85500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w:t>
      </w:r>
    </w:p>
    <w:p>
      <w:pPr>
        <w:widowControl w:val="0"/>
        <w:ind w:firstLine="480"/>
        <w:rPr>
          <w:color w:val="auto"/>
          <w:highlight w:val="none"/>
        </w:rPr>
      </w:pPr>
      <w:r>
        <w:rPr>
          <w:rFonts w:hint="eastAsia"/>
          <w:color w:val="auto"/>
          <w:highlight w:val="none"/>
        </w:rPr>
        <w:t>③</w:t>
      </w:r>
      <w:r>
        <w:rPr>
          <w:rFonts w:hint="eastAsia" w:ascii="宋体" w:hAnsi="宋体" w:cs="宋体"/>
          <w:color w:val="auto"/>
          <w:szCs w:val="24"/>
          <w:highlight w:val="none"/>
        </w:rPr>
        <w:t>待宰圈</w:t>
      </w:r>
      <w:r>
        <w:rPr>
          <w:rFonts w:ascii="宋体" w:hAnsi="宋体" w:cs="宋体"/>
          <w:color w:val="auto"/>
          <w:szCs w:val="24"/>
          <w:highlight w:val="none"/>
        </w:rPr>
        <w:t>喷洒除臭剂，为微生物除臭剂，抑制臭气产生，厂房</w:t>
      </w:r>
      <w:r>
        <w:rPr>
          <w:rFonts w:hint="eastAsia" w:ascii="宋体" w:hAnsi="宋体" w:cs="宋体"/>
          <w:color w:val="auto"/>
          <w:szCs w:val="24"/>
          <w:highlight w:val="none"/>
        </w:rPr>
        <w:t>待宰圈</w:t>
      </w:r>
      <w:r>
        <w:rPr>
          <w:rFonts w:ascii="宋体" w:hAnsi="宋体" w:cs="宋体"/>
          <w:color w:val="auto"/>
          <w:szCs w:val="24"/>
          <w:highlight w:val="none"/>
        </w:rPr>
        <w:t>设水雾喷淋装置。</w:t>
      </w:r>
    </w:p>
    <w:p>
      <w:pPr>
        <w:widowControl w:val="0"/>
        <w:ind w:firstLine="480"/>
        <w:rPr>
          <w:color w:val="auto"/>
          <w:highlight w:val="none"/>
        </w:rPr>
      </w:pPr>
      <w:r>
        <w:rPr>
          <w:rFonts w:hint="eastAsia"/>
          <w:color w:val="auto"/>
          <w:highlight w:val="none"/>
        </w:rPr>
        <w:t>④待宰圈</w:t>
      </w:r>
      <w:r>
        <w:rPr>
          <w:color w:val="auto"/>
          <w:highlight w:val="none"/>
        </w:rPr>
        <w:t>设水雾喷淋装置，猪粪采用水冲式，每个待宰圈生猪进行屠宰后，就要对猪粪进行清洗，保证</w:t>
      </w:r>
      <w:r>
        <w:rPr>
          <w:rFonts w:hint="eastAsia"/>
          <w:color w:val="auto"/>
          <w:highlight w:val="none"/>
        </w:rPr>
        <w:t>待宰圈</w:t>
      </w:r>
      <w:r>
        <w:rPr>
          <w:color w:val="auto"/>
          <w:highlight w:val="none"/>
        </w:rPr>
        <w:t>清洁，减少恶臭产生。采取上述措施后，可以</w:t>
      </w:r>
      <w:r>
        <w:rPr>
          <w:rFonts w:hint="eastAsia"/>
          <w:color w:val="auto"/>
          <w:highlight w:val="none"/>
        </w:rPr>
        <w:t>减少待宰圈</w:t>
      </w:r>
      <w:r>
        <w:rPr>
          <w:color w:val="auto"/>
          <w:highlight w:val="none"/>
        </w:rPr>
        <w:t>NH</w:t>
      </w:r>
      <w:r>
        <w:rPr>
          <w:color w:val="auto"/>
          <w:highlight w:val="none"/>
          <w:vertAlign w:val="subscript"/>
        </w:rPr>
        <w:t>3</w:t>
      </w:r>
      <w:r>
        <w:rPr>
          <w:color w:val="auto"/>
          <w:highlight w:val="none"/>
        </w:rPr>
        <w:t>、H</w:t>
      </w:r>
      <w:r>
        <w:rPr>
          <w:color w:val="auto"/>
          <w:highlight w:val="none"/>
          <w:vertAlign w:val="subscript"/>
        </w:rPr>
        <w:t>2</w:t>
      </w:r>
      <w:r>
        <w:rPr>
          <w:color w:val="auto"/>
          <w:highlight w:val="none"/>
        </w:rPr>
        <w:t>S的产生量，减少80%以上，采取措施后的</w:t>
      </w:r>
      <w:r>
        <w:rPr>
          <w:rFonts w:hint="eastAsia"/>
          <w:color w:val="auto"/>
          <w:highlight w:val="none"/>
        </w:rPr>
        <w:t>待宰圈</w:t>
      </w:r>
      <w:r>
        <w:rPr>
          <w:color w:val="auto"/>
          <w:highlight w:val="none"/>
        </w:rPr>
        <w:t>恶臭气体产生量见</w:t>
      </w:r>
      <w:r>
        <w:rPr>
          <w:rFonts w:hint="eastAsia"/>
          <w:color w:val="auto"/>
          <w:highlight w:val="none"/>
        </w:rPr>
        <w:t>下表</w:t>
      </w:r>
      <w:r>
        <w:rPr>
          <w:color w:val="auto"/>
          <w:highlight w:val="none"/>
        </w:rPr>
        <w:t>。</w:t>
      </w:r>
    </w:p>
    <w:p>
      <w:pPr>
        <w:pStyle w:val="27"/>
        <w:widowControl w:val="0"/>
        <w:rPr>
          <w:color w:val="auto"/>
          <w:highlight w:val="none"/>
        </w:rPr>
      </w:pPr>
      <w:r>
        <w:rPr>
          <w:rFonts w:hint="eastAsia"/>
          <w:color w:val="auto"/>
          <w:highlight w:val="none"/>
        </w:rPr>
        <w:t>运营期待宰圈采取措施后的污染物产生量计算表</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025"/>
        <w:gridCol w:w="4146"/>
        <w:gridCol w:w="24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1053" w:type="pct"/>
            <w:tcBorders>
              <w:tl2br w:val="nil"/>
              <w:tr2bl w:val="nil"/>
            </w:tcBorders>
            <w:vAlign w:val="center"/>
          </w:tcPr>
          <w:p>
            <w:pPr>
              <w:pStyle w:val="28"/>
              <w:widowControl w:val="0"/>
              <w:rPr>
                <w:b/>
                <w:bCs/>
                <w:color w:val="auto"/>
                <w:highlight w:val="none"/>
              </w:rPr>
            </w:pPr>
            <w:r>
              <w:rPr>
                <w:rFonts w:hint="eastAsia"/>
                <w:b/>
                <w:bCs/>
                <w:color w:val="auto"/>
                <w:highlight w:val="none"/>
              </w:rPr>
              <w:t>采取措施前的污染物产生量（kg/h）</w:t>
            </w:r>
          </w:p>
        </w:tc>
        <w:tc>
          <w:tcPr>
            <w:tcW w:w="2156" w:type="pct"/>
            <w:tcBorders>
              <w:tl2br w:val="nil"/>
              <w:tr2bl w:val="nil"/>
            </w:tcBorders>
            <w:vAlign w:val="center"/>
          </w:tcPr>
          <w:p>
            <w:pPr>
              <w:pStyle w:val="28"/>
              <w:widowControl w:val="0"/>
              <w:rPr>
                <w:b/>
                <w:bCs/>
                <w:color w:val="auto"/>
                <w:highlight w:val="none"/>
              </w:rPr>
            </w:pPr>
            <w:r>
              <w:rPr>
                <w:rFonts w:hint="eastAsia"/>
                <w:b/>
                <w:bCs/>
                <w:color w:val="auto"/>
                <w:highlight w:val="none"/>
              </w:rPr>
              <w:t>采取的恶臭气体控制措施</w:t>
            </w:r>
          </w:p>
        </w:tc>
        <w:tc>
          <w:tcPr>
            <w:tcW w:w="1288" w:type="pct"/>
            <w:tcBorders>
              <w:tl2br w:val="nil"/>
              <w:tr2bl w:val="nil"/>
            </w:tcBorders>
            <w:vAlign w:val="center"/>
          </w:tcPr>
          <w:p>
            <w:pPr>
              <w:pStyle w:val="28"/>
              <w:widowControl w:val="0"/>
              <w:rPr>
                <w:b/>
                <w:bCs/>
                <w:color w:val="auto"/>
                <w:highlight w:val="none"/>
              </w:rPr>
            </w:pPr>
            <w:r>
              <w:rPr>
                <w:rFonts w:hint="eastAsia"/>
                <w:b/>
                <w:bCs/>
                <w:color w:val="auto"/>
                <w:highlight w:val="none"/>
              </w:rPr>
              <w:t>采取源强控制措施后的污染物产生量（kg/h）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1053" w:type="pct"/>
            <w:tcBorders>
              <w:tl2br w:val="nil"/>
              <w:tr2bl w:val="nil"/>
            </w:tcBorders>
            <w:vAlign w:val="center"/>
          </w:tcPr>
          <w:p>
            <w:pPr>
              <w:pStyle w:val="28"/>
              <w:widowControl w:val="0"/>
              <w:rPr>
                <w:color w:val="auto"/>
                <w:highlight w:val="none"/>
              </w:rPr>
            </w:pPr>
            <w:r>
              <w:rPr>
                <w:rFonts w:hint="eastAsia"/>
                <w:color w:val="auto"/>
                <w:highlight w:val="none"/>
              </w:rPr>
              <w:t>0.214</w:t>
            </w:r>
          </w:p>
        </w:tc>
        <w:tc>
          <w:tcPr>
            <w:tcW w:w="2156" w:type="pct"/>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r>
              <w:rPr>
                <w:color w:val="auto"/>
                <w:highlight w:val="none"/>
              </w:rPr>
              <w:t>全密闭，设置强制通风设施，保持车间负压；喷洒生物除臭剂，猪粪采用水冲式，设水雾喷淋装置，保持</w:t>
            </w:r>
            <w:r>
              <w:rPr>
                <w:rFonts w:hint="eastAsia"/>
                <w:color w:val="auto"/>
                <w:highlight w:val="none"/>
              </w:rPr>
              <w:t>待宰圈</w:t>
            </w:r>
            <w:r>
              <w:rPr>
                <w:color w:val="auto"/>
                <w:highlight w:val="none"/>
              </w:rPr>
              <w:t>清洁；可以减少80%的产生量</w:t>
            </w:r>
          </w:p>
        </w:tc>
        <w:tc>
          <w:tcPr>
            <w:tcW w:w="1288" w:type="pct"/>
            <w:tcBorders>
              <w:tl2br w:val="nil"/>
              <w:tr2bl w:val="nil"/>
            </w:tcBorders>
            <w:vAlign w:val="center"/>
          </w:tcPr>
          <w:p>
            <w:pPr>
              <w:pStyle w:val="28"/>
              <w:widowControl w:val="0"/>
              <w:rPr>
                <w:color w:val="auto"/>
                <w:highlight w:val="none"/>
              </w:rPr>
            </w:pPr>
            <w:r>
              <w:rPr>
                <w:rFonts w:hint="eastAsia"/>
                <w:color w:val="auto"/>
                <w:highlight w:val="none"/>
              </w:rPr>
              <w:t>0.0428（0.288t/a）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053" w:type="pct"/>
            <w:tcBorders>
              <w:tl2br w:val="nil"/>
              <w:tr2bl w:val="nil"/>
            </w:tcBorders>
            <w:vAlign w:val="center"/>
          </w:tcPr>
          <w:p>
            <w:pPr>
              <w:pStyle w:val="28"/>
              <w:widowControl w:val="0"/>
              <w:rPr>
                <w:color w:val="auto"/>
                <w:highlight w:val="none"/>
              </w:rPr>
            </w:pPr>
            <w:r>
              <w:rPr>
                <w:rFonts w:hint="eastAsia"/>
                <w:color w:val="auto"/>
                <w:highlight w:val="none"/>
              </w:rPr>
              <w:t>0.019</w:t>
            </w:r>
          </w:p>
        </w:tc>
        <w:tc>
          <w:tcPr>
            <w:tcW w:w="2156" w:type="pct"/>
            <w:vMerge w:val="continue"/>
            <w:tcBorders>
              <w:tl2br w:val="nil"/>
              <w:tr2bl w:val="nil"/>
            </w:tcBorders>
            <w:vAlign w:val="center"/>
          </w:tcPr>
          <w:p>
            <w:pPr>
              <w:pStyle w:val="28"/>
              <w:widowControl w:val="0"/>
              <w:rPr>
                <w:color w:val="auto"/>
                <w:highlight w:val="none"/>
              </w:rPr>
            </w:pPr>
          </w:p>
        </w:tc>
        <w:tc>
          <w:tcPr>
            <w:tcW w:w="1288" w:type="pct"/>
            <w:tcBorders>
              <w:tl2br w:val="nil"/>
              <w:tr2bl w:val="nil"/>
            </w:tcBorders>
            <w:vAlign w:val="center"/>
          </w:tcPr>
          <w:p>
            <w:pPr>
              <w:pStyle w:val="28"/>
              <w:widowControl w:val="0"/>
              <w:rPr>
                <w:color w:val="auto"/>
                <w:highlight w:val="none"/>
              </w:rPr>
            </w:pPr>
            <w:r>
              <w:rPr>
                <w:rFonts w:hint="eastAsia"/>
                <w:color w:val="auto"/>
                <w:highlight w:val="none"/>
              </w:rPr>
              <w:t>0.004（0.017t/a）</w:t>
            </w:r>
          </w:p>
        </w:tc>
      </w:tr>
    </w:tbl>
    <w:p>
      <w:pPr>
        <w:widowControl w:val="0"/>
        <w:ind w:firstLine="480"/>
        <w:jc w:val="left"/>
        <w:rPr>
          <w:color w:val="auto"/>
          <w:highlight w:val="none"/>
        </w:rPr>
      </w:pPr>
      <w:r>
        <w:rPr>
          <w:rFonts w:hint="eastAsia"/>
          <w:color w:val="auto"/>
          <w:highlight w:val="none"/>
        </w:rPr>
        <w:t>污染防治措施：</w:t>
      </w:r>
    </w:p>
    <w:p>
      <w:pPr>
        <w:widowControl w:val="0"/>
        <w:ind w:firstLine="480"/>
        <w:rPr>
          <w:color w:val="auto"/>
          <w:highlight w:val="none"/>
        </w:rPr>
      </w:pPr>
      <w:r>
        <w:rPr>
          <w:rFonts w:hint="eastAsia"/>
          <w:color w:val="auto"/>
          <w:highlight w:val="none"/>
        </w:rPr>
        <w:t>为确保项目恶臭污染物的有效收集，采用一台风量</w:t>
      </w:r>
      <w:r>
        <w:rPr>
          <w:rFonts w:hint="eastAsia"/>
          <w:color w:val="auto"/>
          <w:highlight w:val="none"/>
          <w:lang w:val="en-US" w:eastAsia="zh-CN"/>
        </w:rPr>
        <w:t>86000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风机，经负压抽风抽出的废气经</w:t>
      </w:r>
      <w:r>
        <w:rPr>
          <w:color w:val="auto"/>
          <w:highlight w:val="none"/>
        </w:rPr>
        <w:t>1</w:t>
      </w:r>
      <w:r>
        <w:rPr>
          <w:rFonts w:hint="eastAsia"/>
          <w:color w:val="auto"/>
          <w:highlight w:val="none"/>
        </w:rPr>
        <w:t>套“UV光解+生物洗涤塔”进行处理后经</w:t>
      </w:r>
      <w:r>
        <w:rPr>
          <w:color w:val="auto"/>
          <w:highlight w:val="none"/>
        </w:rPr>
        <w:t>15m</w:t>
      </w:r>
      <w:r>
        <w:rPr>
          <w:rFonts w:hint="eastAsia"/>
          <w:color w:val="auto"/>
          <w:highlight w:val="none"/>
        </w:rPr>
        <w:t>高排气筒（</w:t>
      </w:r>
      <w:r>
        <w:rPr>
          <w:color w:val="auto"/>
          <w:highlight w:val="none"/>
        </w:rPr>
        <w:t>P1</w:t>
      </w:r>
      <w:r>
        <w:rPr>
          <w:rFonts w:hint="eastAsia"/>
          <w:color w:val="auto"/>
          <w:highlight w:val="none"/>
        </w:rPr>
        <w:t>排气筒）进行排放，采用该处理方式收集效率约为90%，处理效率约为90%，因此，待宰圈恶臭经收集处理后有组织排速率为NH</w:t>
      </w:r>
      <w:r>
        <w:rPr>
          <w:rFonts w:hint="eastAsia"/>
          <w:color w:val="auto"/>
          <w:highlight w:val="none"/>
          <w:vertAlign w:val="subscript"/>
        </w:rPr>
        <w:t>3</w:t>
      </w:r>
      <w:r>
        <w:rPr>
          <w:rFonts w:hint="eastAsia"/>
          <w:color w:val="auto"/>
          <w:highlight w:val="none"/>
        </w:rPr>
        <w:t>：0.004kg/h，H</w:t>
      </w:r>
      <w:r>
        <w:rPr>
          <w:rFonts w:hint="eastAsia"/>
          <w:color w:val="auto"/>
          <w:highlight w:val="none"/>
          <w:vertAlign w:val="subscript"/>
        </w:rPr>
        <w:t>2</w:t>
      </w:r>
      <w:r>
        <w:rPr>
          <w:rFonts w:hint="eastAsia"/>
          <w:color w:val="auto"/>
          <w:highlight w:val="none"/>
        </w:rPr>
        <w:t>S：0.0004kg/h；排放量为NH</w:t>
      </w:r>
      <w:r>
        <w:rPr>
          <w:rFonts w:hint="eastAsia"/>
          <w:color w:val="auto"/>
          <w:highlight w:val="none"/>
          <w:vertAlign w:val="subscript"/>
        </w:rPr>
        <w:t>3</w:t>
      </w:r>
      <w:r>
        <w:rPr>
          <w:rFonts w:hint="eastAsia"/>
          <w:color w:val="auto"/>
          <w:highlight w:val="none"/>
        </w:rPr>
        <w:t>：0.026t/a，H</w:t>
      </w:r>
      <w:r>
        <w:rPr>
          <w:rFonts w:hint="eastAsia"/>
          <w:color w:val="auto"/>
          <w:highlight w:val="none"/>
          <w:vertAlign w:val="subscript"/>
        </w:rPr>
        <w:t>2</w:t>
      </w:r>
      <w:r>
        <w:rPr>
          <w:rFonts w:hint="eastAsia"/>
          <w:color w:val="auto"/>
          <w:highlight w:val="none"/>
        </w:rPr>
        <w:t>S：0.0015t/a；无组织排放速率为NH</w:t>
      </w:r>
      <w:r>
        <w:rPr>
          <w:rFonts w:hint="eastAsia"/>
          <w:color w:val="auto"/>
          <w:highlight w:val="none"/>
          <w:vertAlign w:val="subscript"/>
        </w:rPr>
        <w:t>3</w:t>
      </w:r>
      <w:r>
        <w:rPr>
          <w:rFonts w:hint="eastAsia"/>
          <w:color w:val="auto"/>
          <w:highlight w:val="none"/>
        </w:rPr>
        <w:t>：0.004kg/h，H</w:t>
      </w:r>
      <w:r>
        <w:rPr>
          <w:rFonts w:hint="eastAsia"/>
          <w:color w:val="auto"/>
          <w:highlight w:val="none"/>
          <w:vertAlign w:val="subscript"/>
        </w:rPr>
        <w:t>2</w:t>
      </w:r>
      <w:r>
        <w:rPr>
          <w:rFonts w:hint="eastAsia"/>
          <w:color w:val="auto"/>
          <w:highlight w:val="none"/>
        </w:rPr>
        <w:t>S：0.0004kg/h；排放量为NH</w:t>
      </w:r>
      <w:r>
        <w:rPr>
          <w:rFonts w:hint="eastAsia"/>
          <w:color w:val="auto"/>
          <w:highlight w:val="none"/>
          <w:vertAlign w:val="subscript"/>
        </w:rPr>
        <w:t>3</w:t>
      </w:r>
      <w:r>
        <w:rPr>
          <w:rFonts w:hint="eastAsia"/>
          <w:color w:val="auto"/>
          <w:highlight w:val="none"/>
        </w:rPr>
        <w:t>：0.029t/a，H</w:t>
      </w:r>
      <w:r>
        <w:rPr>
          <w:rFonts w:hint="eastAsia"/>
          <w:color w:val="auto"/>
          <w:highlight w:val="none"/>
          <w:vertAlign w:val="subscript"/>
        </w:rPr>
        <w:t>2</w:t>
      </w:r>
      <w:r>
        <w:rPr>
          <w:rFonts w:hint="eastAsia"/>
          <w:color w:val="auto"/>
          <w:highlight w:val="none"/>
        </w:rPr>
        <w:t>S：0.0017t/a。</w:t>
      </w:r>
    </w:p>
    <w:p>
      <w:pPr>
        <w:widowControl w:val="0"/>
        <w:ind w:firstLine="482"/>
        <w:jc w:val="left"/>
        <w:rPr>
          <w:b/>
          <w:bCs/>
          <w:color w:val="auto"/>
          <w:highlight w:val="none"/>
        </w:rPr>
      </w:pPr>
      <w:r>
        <w:rPr>
          <w:rFonts w:hint="eastAsia"/>
          <w:b/>
          <w:bCs/>
          <w:color w:val="auto"/>
          <w:highlight w:val="none"/>
        </w:rPr>
        <w:t>2）屠宰车间</w:t>
      </w:r>
    </w:p>
    <w:p>
      <w:pPr>
        <w:widowControl w:val="0"/>
        <w:ind w:firstLine="480"/>
        <w:jc w:val="left"/>
        <w:rPr>
          <w:rFonts w:ascii="宋体" w:hAnsi="宋体" w:cs="宋体"/>
          <w:color w:val="auto"/>
          <w:szCs w:val="24"/>
          <w:highlight w:val="none"/>
        </w:rPr>
      </w:pPr>
      <w:r>
        <w:rPr>
          <w:rFonts w:hint="eastAsia"/>
          <w:color w:val="auto"/>
          <w:highlight w:val="none"/>
        </w:rPr>
        <w:t>源强控制措施：</w:t>
      </w:r>
    </w:p>
    <w:p>
      <w:pPr>
        <w:widowControl w:val="0"/>
        <w:ind w:firstLine="480"/>
        <w:jc w:val="left"/>
        <w:rPr>
          <w:b/>
          <w:bCs/>
          <w:color w:val="auto"/>
          <w:highlight w:val="none"/>
        </w:rPr>
      </w:pPr>
      <w:r>
        <w:rPr>
          <w:rFonts w:ascii="宋体" w:hAnsi="宋体" w:cs="宋体"/>
          <w:color w:val="auto"/>
          <w:szCs w:val="24"/>
          <w:highlight w:val="none"/>
        </w:rPr>
        <w:t>①屠宰车间设计为全密闭厂房，不设置换气天窗，安装固定密闭式采光玻璃。</w:t>
      </w:r>
    </w:p>
    <w:p>
      <w:pPr>
        <w:ind w:firstLine="0"/>
        <w:jc w:val="left"/>
        <w:rPr>
          <w:color w:val="auto"/>
          <w:highlight w:val="none"/>
        </w:rPr>
      </w:pPr>
      <w:r>
        <w:rPr>
          <w:rFonts w:ascii="宋体" w:hAnsi="宋体" w:cs="宋体"/>
          <w:color w:val="auto"/>
          <w:szCs w:val="24"/>
          <w:highlight w:val="none"/>
        </w:rPr>
        <w:t>②屠宰车间厂房内空气进行机械强制排风</w:t>
      </w:r>
      <w:r>
        <w:rPr>
          <w:rFonts w:hint="eastAsia" w:ascii="宋体" w:hAnsi="宋体" w:cs="宋体"/>
          <w:color w:val="auto"/>
          <w:szCs w:val="24"/>
          <w:highlight w:val="none"/>
        </w:rPr>
        <w:t>，</w:t>
      </w:r>
      <w:r>
        <w:rPr>
          <w:rFonts w:hint="eastAsia"/>
          <w:color w:val="auto"/>
          <w:highlight w:val="none"/>
        </w:rPr>
        <w:t>生猪屠宰车间密闭面积为9500m</w:t>
      </w:r>
      <w:r>
        <w:rPr>
          <w:rFonts w:hint="eastAsia"/>
          <w:color w:val="auto"/>
          <w:highlight w:val="none"/>
          <w:vertAlign w:val="superscript"/>
        </w:rPr>
        <w:t>2</w:t>
      </w:r>
      <w:r>
        <w:rPr>
          <w:rFonts w:hint="eastAsia"/>
          <w:color w:val="auto"/>
          <w:highlight w:val="none"/>
        </w:rPr>
        <w:t>（h=8m），肉牛屠宰车间密闭面积为1950m</w:t>
      </w:r>
      <w:r>
        <w:rPr>
          <w:rFonts w:hint="eastAsia"/>
          <w:color w:val="auto"/>
          <w:highlight w:val="none"/>
          <w:vertAlign w:val="superscript"/>
        </w:rPr>
        <w:t>2</w:t>
      </w:r>
      <w:r>
        <w:rPr>
          <w:rFonts w:hint="eastAsia"/>
          <w:color w:val="auto"/>
          <w:highlight w:val="none"/>
        </w:rPr>
        <w:t>（h=8），对该密闭区域设置微负压抽风系统，并设置供风系统，</w:t>
      </w:r>
      <w:r>
        <w:rPr>
          <w:rFonts w:hint="eastAsia" w:ascii="宋体" w:hAnsi="宋体" w:eastAsia="宋体"/>
          <w:color w:val="auto"/>
          <w:sz w:val="24"/>
          <w:szCs w:val="24"/>
          <w:highlight w:val="none"/>
        </w:rPr>
        <w:t>根据农业部发布《生猪屠宰加工场（厂）动物卫生条件》</w:t>
      </w:r>
      <w:r>
        <w:rPr>
          <w:rFonts w:hint="default" w:ascii="Times New Roman" w:hAnsi="Times New Roman" w:eastAsia="Times New Roman"/>
          <w:color w:val="auto"/>
          <w:sz w:val="24"/>
          <w:szCs w:val="24"/>
          <w:highlight w:val="none"/>
        </w:rPr>
        <w:t xml:space="preserve">NY/T2076-2011 </w:t>
      </w:r>
      <w:r>
        <w:rPr>
          <w:rFonts w:hint="eastAsia" w:ascii="宋体" w:hAnsi="宋体" w:eastAsia="宋体"/>
          <w:color w:val="auto"/>
          <w:sz w:val="24"/>
          <w:szCs w:val="24"/>
          <w:highlight w:val="none"/>
        </w:rPr>
        <w:t>中</w:t>
      </w:r>
      <w:r>
        <w:rPr>
          <w:rFonts w:hint="default" w:ascii="Times New Roman" w:hAnsi="Times New Roman" w:eastAsia="Times New Roman"/>
          <w:color w:val="auto"/>
          <w:sz w:val="24"/>
          <w:szCs w:val="24"/>
          <w:highlight w:val="none"/>
        </w:rPr>
        <w:t>6-6.3.2</w:t>
      </w:r>
      <w:r>
        <w:rPr>
          <w:rFonts w:hint="eastAsia" w:ascii="宋体" w:hAnsi="宋体" w:eastAsia="宋体"/>
          <w:color w:val="auto"/>
          <w:sz w:val="24"/>
          <w:szCs w:val="24"/>
          <w:highlight w:val="none"/>
        </w:rPr>
        <w:t>条要求，</w:t>
      </w:r>
      <w:r>
        <w:rPr>
          <w:rFonts w:hint="eastAsia"/>
          <w:color w:val="auto"/>
          <w:highlight w:val="none"/>
        </w:rPr>
        <w:t>排放量按</w:t>
      </w:r>
      <w:r>
        <w:rPr>
          <w:rFonts w:hint="eastAsia"/>
          <w:color w:val="auto"/>
          <w:highlight w:val="none"/>
          <w:lang w:val="en-US" w:eastAsia="zh-CN"/>
        </w:rPr>
        <w:t>3</w:t>
      </w:r>
      <w:r>
        <w:rPr>
          <w:rFonts w:hint="eastAsia"/>
          <w:color w:val="auto"/>
          <w:highlight w:val="none"/>
        </w:rPr>
        <w:t>次</w:t>
      </w:r>
      <w:r>
        <w:rPr>
          <w:color w:val="auto"/>
          <w:highlight w:val="none"/>
        </w:rPr>
        <w:t>/h</w:t>
      </w:r>
      <w:r>
        <w:rPr>
          <w:rFonts w:hint="eastAsia"/>
          <w:color w:val="auto"/>
          <w:highlight w:val="none"/>
        </w:rPr>
        <w:t>计算，则生猪屠宰车间风量不低于</w:t>
      </w:r>
      <w:r>
        <w:rPr>
          <w:rFonts w:hint="eastAsia"/>
          <w:color w:val="auto"/>
          <w:highlight w:val="none"/>
          <w:lang w:val="en-US" w:eastAsia="zh-CN"/>
        </w:rPr>
        <w:t>228000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，肉牛屠宰车间风量不低于</w:t>
      </w:r>
      <w:r>
        <w:rPr>
          <w:rFonts w:hint="eastAsia"/>
          <w:color w:val="auto"/>
          <w:highlight w:val="none"/>
          <w:lang w:val="en-US" w:eastAsia="zh-CN"/>
        </w:rPr>
        <w:t>46800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w:t>
      </w:r>
    </w:p>
    <w:p>
      <w:pPr>
        <w:widowControl w:val="0"/>
        <w:ind w:firstLine="480"/>
        <w:rPr>
          <w:color w:val="auto"/>
          <w:highlight w:val="none"/>
        </w:rPr>
      </w:pPr>
      <w:r>
        <w:rPr>
          <w:rFonts w:hint="eastAsia"/>
          <w:color w:val="auto"/>
          <w:highlight w:val="none"/>
        </w:rPr>
        <w:t>③</w:t>
      </w:r>
      <w:r>
        <w:rPr>
          <w:color w:val="auto"/>
          <w:highlight w:val="none"/>
        </w:rPr>
        <w:t>屠宰车间换气通风设施自带高效微粒过滤器，可以增大车间内湿度，有效降低恶臭气体的产生。</w:t>
      </w:r>
    </w:p>
    <w:p>
      <w:pPr>
        <w:widowControl w:val="0"/>
        <w:ind w:firstLine="480"/>
        <w:rPr>
          <w:color w:val="auto"/>
          <w:highlight w:val="none"/>
        </w:rPr>
      </w:pPr>
      <w:r>
        <w:rPr>
          <w:rFonts w:hint="eastAsia"/>
          <w:color w:val="auto"/>
          <w:highlight w:val="none"/>
        </w:rPr>
        <w:t>④</w:t>
      </w:r>
      <w:r>
        <w:rPr>
          <w:color w:val="auto"/>
          <w:highlight w:val="none"/>
        </w:rPr>
        <w:t>屠宰车间内各条生产线尤其是屠宰生产线、放血工序、内脏加工区、头蹄尾加工区要使用清水进行清洗，保持车间清洁。肠胃内容物和毛等污物及时送至暂存间内，不能在屠宰车间内长时间堆存。</w:t>
      </w:r>
    </w:p>
    <w:p>
      <w:pPr>
        <w:widowControl w:val="0"/>
        <w:ind w:firstLine="480"/>
        <w:rPr>
          <w:color w:val="auto"/>
          <w:highlight w:val="none"/>
        </w:rPr>
      </w:pPr>
      <w:r>
        <w:rPr>
          <w:rFonts w:hint="eastAsia"/>
          <w:color w:val="auto"/>
          <w:highlight w:val="none"/>
        </w:rPr>
        <w:t>⑤</w:t>
      </w:r>
      <w:r>
        <w:rPr>
          <w:color w:val="auto"/>
          <w:highlight w:val="none"/>
        </w:rPr>
        <w:t>屠宰车间和刀具等使用二氧化氯消毒，定期消毒。采取上述措施后，可以进一步减小屠宰车间的NH</w:t>
      </w:r>
      <w:r>
        <w:rPr>
          <w:color w:val="auto"/>
          <w:highlight w:val="none"/>
          <w:vertAlign w:val="subscript"/>
        </w:rPr>
        <w:t>3</w:t>
      </w:r>
      <w:r>
        <w:rPr>
          <w:color w:val="auto"/>
          <w:highlight w:val="none"/>
        </w:rPr>
        <w:t>、H</w:t>
      </w:r>
      <w:r>
        <w:rPr>
          <w:color w:val="auto"/>
          <w:highlight w:val="none"/>
          <w:vertAlign w:val="subscript"/>
        </w:rPr>
        <w:t>2</w:t>
      </w:r>
      <w:r>
        <w:rPr>
          <w:color w:val="auto"/>
          <w:highlight w:val="none"/>
        </w:rPr>
        <w:t>S的产生量，减少80%以上（产生量消减的依据见</w:t>
      </w:r>
      <w:r>
        <w:rPr>
          <w:rFonts w:hint="eastAsia"/>
          <w:color w:val="auto"/>
          <w:highlight w:val="none"/>
        </w:rPr>
        <w:t>7.2.2</w:t>
      </w:r>
      <w:r>
        <w:rPr>
          <w:color w:val="auto"/>
          <w:highlight w:val="none"/>
        </w:rPr>
        <w:t>章节）</w:t>
      </w:r>
      <w:r>
        <w:rPr>
          <w:rFonts w:hint="eastAsia"/>
          <w:color w:val="auto"/>
          <w:highlight w:val="none"/>
        </w:rPr>
        <w:t>，</w:t>
      </w:r>
      <w:r>
        <w:rPr>
          <w:color w:val="auto"/>
          <w:highlight w:val="none"/>
        </w:rPr>
        <w:t>采取措施后的屠宰车间恶臭气体产生量见</w:t>
      </w:r>
      <w:r>
        <w:rPr>
          <w:rFonts w:hint="eastAsia"/>
          <w:color w:val="auto"/>
          <w:highlight w:val="none"/>
        </w:rPr>
        <w:t>下表</w:t>
      </w:r>
      <w:r>
        <w:rPr>
          <w:color w:val="auto"/>
          <w:highlight w:val="none"/>
        </w:rPr>
        <w:t>。</w:t>
      </w:r>
    </w:p>
    <w:p>
      <w:pPr>
        <w:pStyle w:val="27"/>
        <w:widowControl w:val="0"/>
        <w:rPr>
          <w:color w:val="auto"/>
          <w:highlight w:val="none"/>
        </w:rPr>
      </w:pPr>
      <w:r>
        <w:rPr>
          <w:color w:val="auto"/>
          <w:highlight w:val="none"/>
        </w:rPr>
        <w:t>运营期屠宰车间采取措施后的污染物产生量计算表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40"/>
        <w:gridCol w:w="1881"/>
        <w:gridCol w:w="4110"/>
        <w:gridCol w:w="2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9" w:type="dxa"/>
            <w:gridSpan w:val="2"/>
            <w:tcBorders>
              <w:tl2br w:val="nil"/>
              <w:tr2bl w:val="nil"/>
            </w:tcBorders>
            <w:vAlign w:val="center"/>
          </w:tcPr>
          <w:p>
            <w:pPr>
              <w:pStyle w:val="28"/>
              <w:widowControl w:val="0"/>
              <w:rPr>
                <w:color w:val="auto"/>
                <w:highlight w:val="none"/>
              </w:rPr>
            </w:pPr>
            <w:r>
              <w:rPr>
                <w:rFonts w:hint="eastAsia"/>
                <w:b/>
                <w:bCs/>
                <w:color w:val="auto"/>
                <w:highlight w:val="none"/>
              </w:rPr>
              <w:t>污染物名称</w:t>
            </w:r>
          </w:p>
        </w:tc>
        <w:tc>
          <w:tcPr>
            <w:tcW w:w="1881" w:type="dxa"/>
            <w:tcBorders>
              <w:tl2br w:val="nil"/>
              <w:tr2bl w:val="nil"/>
            </w:tcBorders>
            <w:vAlign w:val="center"/>
          </w:tcPr>
          <w:p>
            <w:pPr>
              <w:pStyle w:val="28"/>
              <w:widowControl w:val="0"/>
              <w:rPr>
                <w:color w:val="auto"/>
                <w:highlight w:val="none"/>
              </w:rPr>
            </w:pPr>
            <w:r>
              <w:rPr>
                <w:rFonts w:hint="eastAsia"/>
                <w:b/>
                <w:bCs/>
                <w:color w:val="auto"/>
                <w:highlight w:val="none"/>
              </w:rPr>
              <w:t>采取措施前的污染物产生量（kg/h）</w:t>
            </w:r>
          </w:p>
        </w:tc>
        <w:tc>
          <w:tcPr>
            <w:tcW w:w="4110" w:type="dxa"/>
            <w:tcBorders>
              <w:tl2br w:val="nil"/>
              <w:tr2bl w:val="nil"/>
            </w:tcBorders>
            <w:vAlign w:val="center"/>
          </w:tcPr>
          <w:p>
            <w:pPr>
              <w:pStyle w:val="28"/>
              <w:widowControl w:val="0"/>
              <w:rPr>
                <w:color w:val="auto"/>
                <w:highlight w:val="none"/>
              </w:rPr>
            </w:pPr>
            <w:r>
              <w:rPr>
                <w:rFonts w:hint="eastAsia"/>
                <w:b/>
                <w:bCs/>
                <w:color w:val="auto"/>
                <w:highlight w:val="none"/>
              </w:rPr>
              <w:t>采取的恶臭气体控制措施</w:t>
            </w:r>
          </w:p>
        </w:tc>
        <w:tc>
          <w:tcPr>
            <w:tcW w:w="2352" w:type="dxa"/>
            <w:tcBorders>
              <w:tl2br w:val="nil"/>
              <w:tr2bl w:val="nil"/>
            </w:tcBorders>
            <w:vAlign w:val="center"/>
          </w:tcPr>
          <w:p>
            <w:pPr>
              <w:pStyle w:val="28"/>
              <w:widowControl w:val="0"/>
              <w:rPr>
                <w:color w:val="auto"/>
                <w:highlight w:val="none"/>
              </w:rPr>
            </w:pPr>
            <w:r>
              <w:rPr>
                <w:rFonts w:hint="eastAsia"/>
                <w:b/>
                <w:bCs/>
                <w:color w:val="auto"/>
                <w:highlight w:val="none"/>
              </w:rPr>
              <w:t>采取源强控制措施后的污染物产生量（kg/h）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640"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1881" w:type="dxa"/>
            <w:tcBorders>
              <w:tl2br w:val="nil"/>
              <w:tr2bl w:val="nil"/>
            </w:tcBorders>
            <w:vAlign w:val="center"/>
          </w:tcPr>
          <w:p>
            <w:pPr>
              <w:pStyle w:val="28"/>
              <w:widowControl w:val="0"/>
              <w:rPr>
                <w:color w:val="auto"/>
                <w:highlight w:val="none"/>
              </w:rPr>
            </w:pPr>
            <w:r>
              <w:rPr>
                <w:rFonts w:hint="eastAsia"/>
                <w:color w:val="auto"/>
                <w:highlight w:val="none"/>
              </w:rPr>
              <w:t>0.014</w:t>
            </w:r>
          </w:p>
        </w:tc>
        <w:tc>
          <w:tcPr>
            <w:tcW w:w="4110" w:type="dxa"/>
            <w:vMerge w:val="restart"/>
            <w:tcBorders>
              <w:tl2br w:val="nil"/>
              <w:tr2bl w:val="nil"/>
            </w:tcBorders>
            <w:vAlign w:val="center"/>
          </w:tcPr>
          <w:p>
            <w:pPr>
              <w:pStyle w:val="28"/>
              <w:widowControl w:val="0"/>
              <w:rPr>
                <w:color w:val="auto"/>
                <w:highlight w:val="none"/>
              </w:rPr>
            </w:pPr>
            <w:r>
              <w:rPr>
                <w:color w:val="auto"/>
                <w:highlight w:val="none"/>
              </w:rPr>
              <w:t>屠宰车间为全密闭，设置强制通风设施，车间每小时换气</w:t>
            </w:r>
            <w:r>
              <w:rPr>
                <w:rFonts w:hint="eastAsia"/>
                <w:color w:val="auto"/>
                <w:highlight w:val="none"/>
                <w:lang w:val="en-US" w:eastAsia="zh-CN"/>
              </w:rPr>
              <w:t>3</w:t>
            </w:r>
            <w:r>
              <w:rPr>
                <w:color w:val="auto"/>
                <w:highlight w:val="none"/>
              </w:rPr>
              <w:t>次，保持车间负压；车间生产线及时清洗，肠胃内容物和猪毛等污物及时清运，保持屠宰车间清洁；定期对车间进行消毒处理，可以减少80%的产生量</w:t>
            </w:r>
          </w:p>
        </w:tc>
        <w:tc>
          <w:tcPr>
            <w:tcW w:w="2352" w:type="dxa"/>
            <w:tcBorders>
              <w:tl2br w:val="nil"/>
              <w:tr2bl w:val="nil"/>
            </w:tcBorders>
            <w:vAlign w:val="center"/>
          </w:tcPr>
          <w:p>
            <w:pPr>
              <w:pStyle w:val="28"/>
              <w:widowControl w:val="0"/>
              <w:rPr>
                <w:color w:val="auto"/>
                <w:highlight w:val="none"/>
              </w:rPr>
            </w:pPr>
            <w:r>
              <w:rPr>
                <w:rFonts w:hint="eastAsia"/>
                <w:color w:val="auto"/>
                <w:highlight w:val="none"/>
              </w:rPr>
              <w:t>0.003（0.006t/a）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tl2br w:val="nil"/>
              <w:tr2bl w:val="nil"/>
            </w:tcBorders>
            <w:vAlign w:val="center"/>
          </w:tcPr>
          <w:p>
            <w:pPr>
              <w:pStyle w:val="28"/>
              <w:widowControl w:val="0"/>
              <w:rPr>
                <w:color w:val="auto"/>
                <w:highlight w:val="none"/>
              </w:rPr>
            </w:pPr>
          </w:p>
        </w:tc>
        <w:tc>
          <w:tcPr>
            <w:tcW w:w="640"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881" w:type="dxa"/>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4110" w:type="dxa"/>
            <w:vMerge w:val="continue"/>
            <w:tcBorders>
              <w:tl2br w:val="nil"/>
              <w:tr2bl w:val="nil"/>
            </w:tcBorders>
          </w:tcPr>
          <w:p>
            <w:pPr>
              <w:pStyle w:val="28"/>
              <w:widowControl w:val="0"/>
              <w:rPr>
                <w:color w:val="auto"/>
                <w:highlight w:val="none"/>
              </w:rPr>
            </w:pPr>
          </w:p>
        </w:tc>
        <w:tc>
          <w:tcPr>
            <w:tcW w:w="2352" w:type="dxa"/>
            <w:tcBorders>
              <w:tl2br w:val="nil"/>
              <w:tr2bl w:val="nil"/>
            </w:tcBorders>
            <w:vAlign w:val="center"/>
          </w:tcPr>
          <w:p>
            <w:pPr>
              <w:pStyle w:val="28"/>
              <w:widowControl w:val="0"/>
              <w:rPr>
                <w:color w:val="auto"/>
                <w:highlight w:val="none"/>
              </w:rPr>
            </w:pPr>
            <w:r>
              <w:rPr>
                <w:rFonts w:hint="eastAsia"/>
                <w:color w:val="auto"/>
                <w:highlight w:val="none"/>
              </w:rPr>
              <w:t>0.00006（0.0002t/a）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640"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1881"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0.14</w:t>
            </w:r>
          </w:p>
        </w:tc>
        <w:tc>
          <w:tcPr>
            <w:tcW w:w="4110" w:type="dxa"/>
            <w:vMerge w:val="continue"/>
            <w:tcBorders>
              <w:tl2br w:val="nil"/>
              <w:tr2bl w:val="nil"/>
            </w:tcBorders>
          </w:tcPr>
          <w:p>
            <w:pPr>
              <w:pStyle w:val="28"/>
              <w:widowControl w:val="0"/>
              <w:rPr>
                <w:color w:val="auto"/>
                <w:highlight w:val="none"/>
              </w:rPr>
            </w:pPr>
          </w:p>
        </w:tc>
        <w:tc>
          <w:tcPr>
            <w:tcW w:w="2352" w:type="dxa"/>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28</w:t>
            </w:r>
            <w:r>
              <w:rPr>
                <w:rFonts w:hint="eastAsia"/>
                <w:color w:val="auto"/>
                <w:highlight w:val="none"/>
              </w:rPr>
              <w:t>（0.0</w:t>
            </w:r>
            <w:r>
              <w:rPr>
                <w:rFonts w:hint="eastAsia"/>
                <w:color w:val="auto"/>
                <w:highlight w:val="none"/>
                <w:lang w:val="en-US" w:eastAsia="zh-CN"/>
              </w:rPr>
              <w:t>5</w:t>
            </w:r>
            <w:r>
              <w:rPr>
                <w:rFonts w:hint="eastAsia"/>
                <w:color w:val="auto"/>
                <w:highlight w:val="none"/>
              </w:rPr>
              <w:t>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tl2br w:val="nil"/>
              <w:tr2bl w:val="nil"/>
            </w:tcBorders>
            <w:vAlign w:val="center"/>
          </w:tcPr>
          <w:p>
            <w:pPr>
              <w:pStyle w:val="28"/>
              <w:widowControl w:val="0"/>
              <w:rPr>
                <w:color w:val="auto"/>
                <w:highlight w:val="none"/>
              </w:rPr>
            </w:pPr>
          </w:p>
        </w:tc>
        <w:tc>
          <w:tcPr>
            <w:tcW w:w="640"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881" w:type="dxa"/>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0.046</w:t>
            </w:r>
          </w:p>
        </w:tc>
        <w:tc>
          <w:tcPr>
            <w:tcW w:w="4110" w:type="dxa"/>
            <w:vMerge w:val="continue"/>
            <w:tcBorders>
              <w:tl2br w:val="nil"/>
              <w:tr2bl w:val="nil"/>
            </w:tcBorders>
          </w:tcPr>
          <w:p>
            <w:pPr>
              <w:pStyle w:val="28"/>
              <w:widowControl w:val="0"/>
              <w:rPr>
                <w:color w:val="auto"/>
                <w:highlight w:val="none"/>
              </w:rPr>
            </w:pPr>
          </w:p>
        </w:tc>
        <w:tc>
          <w:tcPr>
            <w:tcW w:w="2352" w:type="dxa"/>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9</w:t>
            </w:r>
            <w:r>
              <w:rPr>
                <w:rFonts w:hint="eastAsia"/>
                <w:color w:val="auto"/>
                <w:highlight w:val="none"/>
              </w:rPr>
              <w:t>（0.0</w:t>
            </w:r>
            <w:r>
              <w:rPr>
                <w:rFonts w:hint="eastAsia"/>
                <w:color w:val="auto"/>
                <w:highlight w:val="none"/>
                <w:lang w:val="en-US" w:eastAsia="zh-CN"/>
              </w:rPr>
              <w:t>18</w:t>
            </w:r>
            <w:r>
              <w:rPr>
                <w:rFonts w:hint="eastAsia"/>
                <w:color w:val="auto"/>
                <w:highlight w:val="none"/>
              </w:rPr>
              <w:t>t/a）</w:t>
            </w:r>
          </w:p>
        </w:tc>
      </w:tr>
    </w:tbl>
    <w:p>
      <w:pPr>
        <w:widowControl w:val="0"/>
        <w:ind w:firstLine="480"/>
        <w:jc w:val="left"/>
        <w:rPr>
          <w:color w:val="auto"/>
          <w:highlight w:val="none"/>
        </w:rPr>
      </w:pPr>
      <w:r>
        <w:rPr>
          <w:rFonts w:hint="eastAsia"/>
          <w:color w:val="auto"/>
          <w:highlight w:val="none"/>
        </w:rPr>
        <w:t>污染防治措施：</w:t>
      </w:r>
    </w:p>
    <w:p>
      <w:pPr>
        <w:widowControl w:val="0"/>
        <w:ind w:firstLine="480"/>
        <w:rPr>
          <w:rFonts w:hint="eastAsia"/>
          <w:color w:val="auto"/>
          <w:highlight w:val="none"/>
          <w:lang w:eastAsia="zh-CN"/>
        </w:rPr>
      </w:pPr>
      <w:r>
        <w:rPr>
          <w:rFonts w:hint="eastAsia"/>
          <w:color w:val="auto"/>
          <w:highlight w:val="none"/>
        </w:rPr>
        <w:t>为确保项目恶臭污染物的有效收集，</w:t>
      </w:r>
      <w:r>
        <w:rPr>
          <w:rFonts w:hint="eastAsia"/>
          <w:color w:val="auto"/>
          <w:highlight w:val="none"/>
          <w:lang w:val="en-US" w:eastAsia="zh-CN"/>
        </w:rPr>
        <w:t>生猪屠宰车间拟</w:t>
      </w:r>
      <w:r>
        <w:rPr>
          <w:rFonts w:hint="eastAsia"/>
          <w:color w:val="auto"/>
          <w:highlight w:val="none"/>
        </w:rPr>
        <w:t>采用一台风量</w:t>
      </w:r>
      <w:r>
        <w:rPr>
          <w:rFonts w:hint="eastAsia"/>
          <w:color w:val="auto"/>
          <w:highlight w:val="none"/>
          <w:lang w:val="en-US" w:eastAsia="zh-CN"/>
        </w:rPr>
        <w:t>230000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风机</w:t>
      </w:r>
      <w:r>
        <w:rPr>
          <w:rFonts w:hint="eastAsia"/>
          <w:color w:val="auto"/>
          <w:highlight w:val="none"/>
          <w:lang w:eastAsia="zh-CN"/>
        </w:rPr>
        <w:t>（</w:t>
      </w:r>
      <w:r>
        <w:rPr>
          <w:rFonts w:hint="eastAsia"/>
          <w:color w:val="auto"/>
          <w:highlight w:val="none"/>
          <w:lang w:val="en-US" w:eastAsia="zh-CN"/>
        </w:rPr>
        <w:t>24小时运行</w:t>
      </w:r>
      <w:r>
        <w:rPr>
          <w:rFonts w:hint="eastAsia"/>
          <w:color w:val="auto"/>
          <w:highlight w:val="none"/>
          <w:lang w:eastAsia="zh-CN"/>
        </w:rPr>
        <w:t>）</w:t>
      </w:r>
      <w:r>
        <w:rPr>
          <w:rFonts w:hint="eastAsia"/>
          <w:color w:val="auto"/>
          <w:highlight w:val="none"/>
        </w:rPr>
        <w:t>，经负压抽风抽出的废气</w:t>
      </w:r>
      <w:r>
        <w:rPr>
          <w:rFonts w:hint="eastAsia"/>
          <w:color w:val="auto"/>
          <w:highlight w:val="none"/>
          <w:lang w:val="en-US" w:eastAsia="zh-CN"/>
        </w:rPr>
        <w:t>与待宰圈共用</w:t>
      </w:r>
      <w:r>
        <w:rPr>
          <w:color w:val="auto"/>
          <w:highlight w:val="none"/>
        </w:rPr>
        <w:t>1</w:t>
      </w:r>
      <w:r>
        <w:rPr>
          <w:rFonts w:hint="eastAsia"/>
          <w:color w:val="auto"/>
          <w:highlight w:val="none"/>
        </w:rPr>
        <w:t>套“UV光解+生物洗涤塔”进行处理后经</w:t>
      </w:r>
      <w:r>
        <w:rPr>
          <w:color w:val="auto"/>
          <w:highlight w:val="none"/>
        </w:rPr>
        <w:t>15m</w:t>
      </w:r>
      <w:r>
        <w:rPr>
          <w:rFonts w:hint="eastAsia"/>
          <w:color w:val="auto"/>
          <w:highlight w:val="none"/>
        </w:rPr>
        <w:t>高排气筒（</w:t>
      </w:r>
      <w:r>
        <w:rPr>
          <w:color w:val="auto"/>
          <w:highlight w:val="none"/>
        </w:rPr>
        <w:t>P</w:t>
      </w:r>
      <w:r>
        <w:rPr>
          <w:rFonts w:hint="eastAsia"/>
          <w:color w:val="auto"/>
          <w:highlight w:val="none"/>
          <w:lang w:val="en-US" w:eastAsia="zh-CN"/>
        </w:rPr>
        <w:t>1</w:t>
      </w:r>
      <w:r>
        <w:rPr>
          <w:rFonts w:hint="eastAsia"/>
          <w:color w:val="auto"/>
          <w:highlight w:val="none"/>
        </w:rPr>
        <w:t>排气筒）进行排放，采用该处理方式收集效率约为90%，处理效率约为90%，</w:t>
      </w:r>
      <w:r>
        <w:rPr>
          <w:rFonts w:hint="eastAsia"/>
          <w:color w:val="auto"/>
          <w:highlight w:val="none"/>
          <w:lang w:val="en-US" w:eastAsia="zh-CN"/>
        </w:rPr>
        <w:t>生猪屠宰车间风管加装风管阀，未进行屠宰时关闭风机以及风管阀。</w:t>
      </w:r>
      <w:r>
        <w:rPr>
          <w:rFonts w:hint="eastAsia"/>
          <w:color w:val="auto"/>
          <w:highlight w:val="none"/>
        </w:rPr>
        <w:t>因此，</w:t>
      </w:r>
      <w:r>
        <w:rPr>
          <w:rFonts w:hint="eastAsia"/>
          <w:color w:val="auto"/>
          <w:highlight w:val="none"/>
          <w:lang w:val="en-US" w:eastAsia="zh-CN"/>
        </w:rPr>
        <w:t>生猪</w:t>
      </w:r>
      <w:r>
        <w:rPr>
          <w:rFonts w:hint="eastAsia"/>
          <w:color w:val="auto"/>
          <w:highlight w:val="none"/>
        </w:rPr>
        <w:t>屠宰车间恶臭经收集处理后有组织排速率为NH</w:t>
      </w:r>
      <w:r>
        <w:rPr>
          <w:rFonts w:hint="eastAsia"/>
          <w:color w:val="auto"/>
          <w:highlight w:val="none"/>
          <w:vertAlign w:val="subscript"/>
        </w:rPr>
        <w:t>3</w:t>
      </w:r>
      <w:r>
        <w:rPr>
          <w:rFonts w:hint="eastAsia"/>
          <w:color w:val="auto"/>
          <w:highlight w:val="none"/>
        </w:rPr>
        <w:t>：0.00027kg/h，H</w:t>
      </w:r>
      <w:r>
        <w:rPr>
          <w:rFonts w:hint="eastAsia"/>
          <w:color w:val="auto"/>
          <w:highlight w:val="none"/>
          <w:vertAlign w:val="subscript"/>
        </w:rPr>
        <w:t>2</w:t>
      </w:r>
      <w:r>
        <w:rPr>
          <w:rFonts w:hint="eastAsia"/>
          <w:color w:val="auto"/>
          <w:highlight w:val="none"/>
        </w:rPr>
        <w:t>S：0.00001kg/h；排放量为NH</w:t>
      </w:r>
      <w:r>
        <w:rPr>
          <w:rFonts w:hint="eastAsia"/>
          <w:color w:val="auto"/>
          <w:highlight w:val="none"/>
          <w:vertAlign w:val="subscript"/>
        </w:rPr>
        <w:t>3</w:t>
      </w:r>
      <w:r>
        <w:rPr>
          <w:rFonts w:hint="eastAsia"/>
          <w:color w:val="auto"/>
          <w:highlight w:val="none"/>
        </w:rPr>
        <w:t>：0.00054t/a，H</w:t>
      </w:r>
      <w:r>
        <w:rPr>
          <w:rFonts w:hint="eastAsia"/>
          <w:color w:val="auto"/>
          <w:highlight w:val="none"/>
          <w:vertAlign w:val="subscript"/>
        </w:rPr>
        <w:t>2</w:t>
      </w:r>
      <w:r>
        <w:rPr>
          <w:rFonts w:hint="eastAsia"/>
          <w:color w:val="auto"/>
          <w:highlight w:val="none"/>
        </w:rPr>
        <w:t>S：0.00002t/a；无组织排放速率为NH</w:t>
      </w:r>
      <w:r>
        <w:rPr>
          <w:rFonts w:hint="eastAsia"/>
          <w:color w:val="auto"/>
          <w:highlight w:val="none"/>
          <w:vertAlign w:val="subscript"/>
        </w:rPr>
        <w:t>3</w:t>
      </w:r>
      <w:r>
        <w:rPr>
          <w:rFonts w:hint="eastAsia"/>
          <w:color w:val="auto"/>
          <w:highlight w:val="none"/>
        </w:rPr>
        <w:t>：0.0003kg/h，H</w:t>
      </w:r>
      <w:r>
        <w:rPr>
          <w:rFonts w:hint="eastAsia"/>
          <w:color w:val="auto"/>
          <w:highlight w:val="none"/>
          <w:vertAlign w:val="subscript"/>
        </w:rPr>
        <w:t>2</w:t>
      </w:r>
      <w:r>
        <w:rPr>
          <w:rFonts w:hint="eastAsia"/>
          <w:color w:val="auto"/>
          <w:highlight w:val="none"/>
        </w:rPr>
        <w:t>S：0.000006kg/h；排放量为NH</w:t>
      </w:r>
      <w:r>
        <w:rPr>
          <w:rFonts w:hint="eastAsia"/>
          <w:color w:val="auto"/>
          <w:highlight w:val="none"/>
          <w:vertAlign w:val="subscript"/>
        </w:rPr>
        <w:t>3</w:t>
      </w:r>
      <w:r>
        <w:rPr>
          <w:rFonts w:hint="eastAsia"/>
          <w:color w:val="auto"/>
          <w:highlight w:val="none"/>
        </w:rPr>
        <w:t>：0.0006t/a，H</w:t>
      </w:r>
      <w:r>
        <w:rPr>
          <w:rFonts w:hint="eastAsia"/>
          <w:color w:val="auto"/>
          <w:highlight w:val="none"/>
          <w:vertAlign w:val="subscript"/>
        </w:rPr>
        <w:t>2</w:t>
      </w:r>
      <w:r>
        <w:rPr>
          <w:rFonts w:hint="eastAsia"/>
          <w:color w:val="auto"/>
          <w:highlight w:val="none"/>
        </w:rPr>
        <w:t>S：0.00002t/a</w:t>
      </w:r>
      <w:r>
        <w:rPr>
          <w:rFonts w:hint="eastAsia"/>
          <w:color w:val="auto"/>
          <w:highlight w:val="none"/>
          <w:lang w:eastAsia="zh-CN"/>
        </w:rPr>
        <w:t>。</w:t>
      </w:r>
    </w:p>
    <w:p>
      <w:pPr>
        <w:widowControl w:val="0"/>
        <w:ind w:firstLine="480"/>
        <w:rPr>
          <w:color w:val="auto"/>
          <w:highlight w:val="none"/>
        </w:rPr>
      </w:pPr>
      <w:r>
        <w:rPr>
          <w:rFonts w:hint="eastAsia"/>
          <w:color w:val="auto"/>
          <w:highlight w:val="none"/>
          <w:lang w:val="en-US" w:eastAsia="zh-CN"/>
        </w:rPr>
        <w:t>肉牛屠宰车间拟</w:t>
      </w:r>
      <w:r>
        <w:rPr>
          <w:rFonts w:hint="eastAsia"/>
          <w:color w:val="auto"/>
          <w:highlight w:val="none"/>
        </w:rPr>
        <w:t>采用一台风量</w:t>
      </w:r>
      <w:r>
        <w:rPr>
          <w:rFonts w:hint="eastAsia"/>
          <w:color w:val="auto"/>
          <w:highlight w:val="none"/>
          <w:lang w:val="en-US" w:eastAsia="zh-CN"/>
        </w:rPr>
        <w:t>47000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风机，经负压抽风抽出的废气</w:t>
      </w:r>
      <w:r>
        <w:rPr>
          <w:rFonts w:hint="eastAsia"/>
          <w:color w:val="auto"/>
          <w:highlight w:val="none"/>
          <w:lang w:val="en-US" w:eastAsia="zh-CN"/>
        </w:rPr>
        <w:t>拟采用</w:t>
      </w:r>
      <w:r>
        <w:rPr>
          <w:color w:val="auto"/>
          <w:highlight w:val="none"/>
        </w:rPr>
        <w:t>1</w:t>
      </w:r>
      <w:r>
        <w:rPr>
          <w:rFonts w:hint="eastAsia"/>
          <w:color w:val="auto"/>
          <w:highlight w:val="none"/>
        </w:rPr>
        <w:t>套“UV光解+生物洗涤塔”进行处理后经</w:t>
      </w:r>
      <w:r>
        <w:rPr>
          <w:color w:val="auto"/>
          <w:highlight w:val="none"/>
        </w:rPr>
        <w:t>15m</w:t>
      </w:r>
      <w:r>
        <w:rPr>
          <w:rFonts w:hint="eastAsia"/>
          <w:color w:val="auto"/>
          <w:highlight w:val="none"/>
        </w:rPr>
        <w:t>高排气筒（</w:t>
      </w:r>
      <w:r>
        <w:rPr>
          <w:color w:val="auto"/>
          <w:highlight w:val="none"/>
        </w:rPr>
        <w:t>P</w:t>
      </w:r>
      <w:r>
        <w:rPr>
          <w:rFonts w:hint="eastAsia"/>
          <w:color w:val="auto"/>
          <w:highlight w:val="none"/>
          <w:lang w:val="en-US" w:eastAsia="zh-CN"/>
        </w:rPr>
        <w:t>2</w:t>
      </w:r>
      <w:r>
        <w:rPr>
          <w:rFonts w:hint="eastAsia"/>
          <w:color w:val="auto"/>
          <w:highlight w:val="none"/>
        </w:rPr>
        <w:t>排气筒）进行排放，采用该处理方式收集效率约为90%，处理效率约为90%，</w:t>
      </w:r>
      <w:r>
        <w:rPr>
          <w:rFonts w:hint="eastAsia"/>
          <w:color w:val="auto"/>
          <w:highlight w:val="none"/>
          <w:lang w:val="en-US" w:eastAsia="zh-CN"/>
        </w:rPr>
        <w:t>肉牛屠宰车间风管加装风管阀，未进行屠宰时关闭风机以及风管阀。</w:t>
      </w:r>
      <w:r>
        <w:rPr>
          <w:rFonts w:hint="eastAsia"/>
          <w:color w:val="auto"/>
          <w:highlight w:val="none"/>
        </w:rPr>
        <w:t>因此，</w:t>
      </w:r>
      <w:r>
        <w:rPr>
          <w:rFonts w:hint="eastAsia"/>
          <w:color w:val="auto"/>
          <w:highlight w:val="none"/>
          <w:lang w:val="en-US" w:eastAsia="zh-CN"/>
        </w:rPr>
        <w:t>肉牛</w:t>
      </w:r>
      <w:r>
        <w:rPr>
          <w:rFonts w:hint="eastAsia"/>
          <w:color w:val="auto"/>
          <w:highlight w:val="none"/>
        </w:rPr>
        <w:t>屠宰车间恶臭经收集处理后有组织排速率为NH</w:t>
      </w:r>
      <w:r>
        <w:rPr>
          <w:rFonts w:hint="eastAsia"/>
          <w:color w:val="auto"/>
          <w:highlight w:val="none"/>
          <w:vertAlign w:val="subscript"/>
        </w:rPr>
        <w:t>3</w:t>
      </w:r>
      <w:r>
        <w:rPr>
          <w:rFonts w:hint="eastAsia"/>
          <w:color w:val="auto"/>
          <w:highlight w:val="none"/>
        </w:rPr>
        <w:t>：0.00</w:t>
      </w:r>
      <w:r>
        <w:rPr>
          <w:rFonts w:hint="eastAsia"/>
          <w:color w:val="auto"/>
          <w:highlight w:val="none"/>
          <w:lang w:val="en-US" w:eastAsia="zh-CN"/>
        </w:rPr>
        <w:t>25</w:t>
      </w:r>
      <w:r>
        <w:rPr>
          <w:rFonts w:hint="eastAsia"/>
          <w:color w:val="auto"/>
          <w:highlight w:val="none"/>
        </w:rPr>
        <w:t>kg/h，H</w:t>
      </w:r>
      <w:r>
        <w:rPr>
          <w:rFonts w:hint="eastAsia"/>
          <w:color w:val="auto"/>
          <w:highlight w:val="none"/>
          <w:vertAlign w:val="subscript"/>
        </w:rPr>
        <w:t>2</w:t>
      </w:r>
      <w:r>
        <w:rPr>
          <w:rFonts w:hint="eastAsia"/>
          <w:color w:val="auto"/>
          <w:highlight w:val="none"/>
        </w:rPr>
        <w:t>S：0.000</w:t>
      </w:r>
      <w:r>
        <w:rPr>
          <w:rFonts w:hint="eastAsia"/>
          <w:color w:val="auto"/>
          <w:highlight w:val="none"/>
          <w:lang w:val="en-US" w:eastAsia="zh-CN"/>
        </w:rPr>
        <w:t>8</w:t>
      </w:r>
      <w:r>
        <w:rPr>
          <w:rFonts w:hint="eastAsia"/>
          <w:color w:val="auto"/>
          <w:highlight w:val="none"/>
        </w:rPr>
        <w:t>kg/h；排放量为NH</w:t>
      </w:r>
      <w:r>
        <w:rPr>
          <w:rFonts w:hint="eastAsia"/>
          <w:color w:val="auto"/>
          <w:highlight w:val="none"/>
          <w:vertAlign w:val="subscript"/>
        </w:rPr>
        <w:t>3</w:t>
      </w:r>
      <w:r>
        <w:rPr>
          <w:rFonts w:hint="eastAsia"/>
          <w:color w:val="auto"/>
          <w:highlight w:val="none"/>
        </w:rPr>
        <w:t>：0.00</w:t>
      </w:r>
      <w:r>
        <w:rPr>
          <w:rFonts w:hint="eastAsia"/>
          <w:color w:val="auto"/>
          <w:highlight w:val="none"/>
          <w:lang w:val="en-US" w:eastAsia="zh-CN"/>
        </w:rPr>
        <w:t>5</w:t>
      </w:r>
      <w:r>
        <w:rPr>
          <w:rFonts w:hint="eastAsia"/>
          <w:color w:val="auto"/>
          <w:highlight w:val="none"/>
        </w:rPr>
        <w:t>t/a，H</w:t>
      </w:r>
      <w:r>
        <w:rPr>
          <w:rFonts w:hint="eastAsia"/>
          <w:color w:val="auto"/>
          <w:highlight w:val="none"/>
          <w:vertAlign w:val="subscript"/>
        </w:rPr>
        <w:t>2</w:t>
      </w:r>
      <w:r>
        <w:rPr>
          <w:rFonts w:hint="eastAsia"/>
          <w:color w:val="auto"/>
          <w:highlight w:val="none"/>
        </w:rPr>
        <w:t>S：0.00</w:t>
      </w:r>
      <w:r>
        <w:rPr>
          <w:rFonts w:hint="eastAsia"/>
          <w:color w:val="auto"/>
          <w:highlight w:val="none"/>
          <w:lang w:val="en-US" w:eastAsia="zh-CN"/>
        </w:rPr>
        <w:t>16</w:t>
      </w:r>
      <w:r>
        <w:rPr>
          <w:rFonts w:hint="eastAsia"/>
          <w:color w:val="auto"/>
          <w:highlight w:val="none"/>
        </w:rPr>
        <w:t>t/a；无组织排放速率为NH</w:t>
      </w:r>
      <w:r>
        <w:rPr>
          <w:rFonts w:hint="eastAsia"/>
          <w:color w:val="auto"/>
          <w:highlight w:val="none"/>
          <w:vertAlign w:val="subscript"/>
        </w:rPr>
        <w:t>3</w:t>
      </w:r>
      <w:r>
        <w:rPr>
          <w:rFonts w:hint="eastAsia"/>
          <w:color w:val="auto"/>
          <w:highlight w:val="none"/>
        </w:rPr>
        <w:t>：0.00</w:t>
      </w:r>
      <w:r>
        <w:rPr>
          <w:rFonts w:hint="eastAsia"/>
          <w:color w:val="auto"/>
          <w:highlight w:val="none"/>
          <w:lang w:val="en-US" w:eastAsia="zh-CN"/>
        </w:rPr>
        <w:t>28</w:t>
      </w:r>
      <w:r>
        <w:rPr>
          <w:rFonts w:hint="eastAsia"/>
          <w:color w:val="auto"/>
          <w:highlight w:val="none"/>
        </w:rPr>
        <w:t>kg/h，H</w:t>
      </w:r>
      <w:r>
        <w:rPr>
          <w:rFonts w:hint="eastAsia"/>
          <w:color w:val="auto"/>
          <w:highlight w:val="none"/>
          <w:vertAlign w:val="subscript"/>
        </w:rPr>
        <w:t>2</w:t>
      </w:r>
      <w:r>
        <w:rPr>
          <w:rFonts w:hint="eastAsia"/>
          <w:color w:val="auto"/>
          <w:highlight w:val="none"/>
        </w:rPr>
        <w:t>S：0.000</w:t>
      </w:r>
      <w:r>
        <w:rPr>
          <w:rFonts w:hint="eastAsia"/>
          <w:color w:val="auto"/>
          <w:highlight w:val="none"/>
          <w:lang w:val="en-US" w:eastAsia="zh-CN"/>
        </w:rPr>
        <w:t>9</w:t>
      </w:r>
      <w:r>
        <w:rPr>
          <w:rFonts w:hint="eastAsia"/>
          <w:color w:val="auto"/>
          <w:highlight w:val="none"/>
        </w:rPr>
        <w:t>kg/h；排放量为NH</w:t>
      </w:r>
      <w:r>
        <w:rPr>
          <w:rFonts w:hint="eastAsia"/>
          <w:color w:val="auto"/>
          <w:highlight w:val="none"/>
          <w:vertAlign w:val="subscript"/>
        </w:rPr>
        <w:t>3</w:t>
      </w:r>
      <w:r>
        <w:rPr>
          <w:rFonts w:hint="eastAsia"/>
          <w:color w:val="auto"/>
          <w:highlight w:val="none"/>
        </w:rPr>
        <w:t>：0.00</w:t>
      </w:r>
      <w:r>
        <w:rPr>
          <w:rFonts w:hint="eastAsia"/>
          <w:color w:val="auto"/>
          <w:highlight w:val="none"/>
          <w:lang w:val="en-US" w:eastAsia="zh-CN"/>
        </w:rPr>
        <w:t>56</w:t>
      </w:r>
      <w:r>
        <w:rPr>
          <w:rFonts w:hint="eastAsia"/>
          <w:color w:val="auto"/>
          <w:highlight w:val="none"/>
        </w:rPr>
        <w:t>t/a，H</w:t>
      </w:r>
      <w:r>
        <w:rPr>
          <w:rFonts w:hint="eastAsia"/>
          <w:color w:val="auto"/>
          <w:highlight w:val="none"/>
          <w:vertAlign w:val="subscript"/>
        </w:rPr>
        <w:t>2</w:t>
      </w:r>
      <w:r>
        <w:rPr>
          <w:rFonts w:hint="eastAsia"/>
          <w:color w:val="auto"/>
          <w:highlight w:val="none"/>
        </w:rPr>
        <w:t>S：0.00</w:t>
      </w:r>
      <w:r>
        <w:rPr>
          <w:rFonts w:hint="eastAsia"/>
          <w:color w:val="auto"/>
          <w:highlight w:val="none"/>
          <w:lang w:val="en-US" w:eastAsia="zh-CN"/>
        </w:rPr>
        <w:t>18</w:t>
      </w:r>
      <w:r>
        <w:rPr>
          <w:rFonts w:hint="eastAsia"/>
          <w:color w:val="auto"/>
          <w:highlight w:val="none"/>
        </w:rPr>
        <w:t>t/a。</w:t>
      </w:r>
    </w:p>
    <w:p>
      <w:pPr>
        <w:widowControl w:val="0"/>
        <w:numPr>
          <w:ilvl w:val="0"/>
          <w:numId w:val="10"/>
        </w:numPr>
        <w:ind w:firstLine="482"/>
        <w:rPr>
          <w:b/>
          <w:bCs/>
          <w:color w:val="auto"/>
          <w:highlight w:val="none"/>
        </w:rPr>
      </w:pPr>
      <w:r>
        <w:rPr>
          <w:rFonts w:hint="eastAsia"/>
          <w:b/>
          <w:bCs/>
          <w:color w:val="auto"/>
          <w:highlight w:val="none"/>
        </w:rPr>
        <w:t>污水处理站</w:t>
      </w:r>
    </w:p>
    <w:p>
      <w:pPr>
        <w:widowControl w:val="0"/>
        <w:ind w:firstLine="480"/>
        <w:jc w:val="left"/>
        <w:rPr>
          <w:b/>
          <w:bCs/>
          <w:color w:val="auto"/>
          <w:highlight w:val="none"/>
        </w:rPr>
      </w:pPr>
      <w:r>
        <w:rPr>
          <w:rFonts w:hint="eastAsia"/>
          <w:color w:val="auto"/>
          <w:highlight w:val="none"/>
        </w:rPr>
        <w:t>污染防治措施：</w:t>
      </w:r>
    </w:p>
    <w:p>
      <w:pPr>
        <w:widowControl w:val="0"/>
        <w:ind w:firstLine="480"/>
        <w:rPr>
          <w:color w:val="auto"/>
          <w:highlight w:val="none"/>
        </w:rPr>
      </w:pPr>
      <w:r>
        <w:rPr>
          <w:rFonts w:hint="eastAsia"/>
          <w:color w:val="auto"/>
          <w:highlight w:val="none"/>
        </w:rPr>
        <w:t>本项目污水处理站采用半地埋式，对整个污水处理单元进行全部密闭，地面加盖，采用微负压抽风系统收集，污水处理站与待宰圈共用一套废气处理系统，采用一台风量17000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风机，经负压抽风抽出的废气</w:t>
      </w:r>
      <w:r>
        <w:rPr>
          <w:rFonts w:hint="eastAsia"/>
          <w:color w:val="auto"/>
          <w:highlight w:val="none"/>
          <w:lang w:val="en-US" w:eastAsia="zh-CN"/>
        </w:rPr>
        <w:t>与肉牛屠宰车间共用</w:t>
      </w:r>
      <w:r>
        <w:rPr>
          <w:color w:val="auto"/>
          <w:highlight w:val="none"/>
        </w:rPr>
        <w:t>1</w:t>
      </w:r>
      <w:r>
        <w:rPr>
          <w:rFonts w:hint="eastAsia"/>
          <w:color w:val="auto"/>
          <w:highlight w:val="none"/>
        </w:rPr>
        <w:t>套“UV光解+生物洗涤塔”进行处理后经</w:t>
      </w:r>
      <w:r>
        <w:rPr>
          <w:color w:val="auto"/>
          <w:highlight w:val="none"/>
        </w:rPr>
        <w:t>15m</w:t>
      </w:r>
      <w:r>
        <w:rPr>
          <w:rFonts w:hint="eastAsia"/>
          <w:color w:val="auto"/>
          <w:highlight w:val="none"/>
        </w:rPr>
        <w:t>高排气筒（</w:t>
      </w:r>
      <w:r>
        <w:rPr>
          <w:color w:val="auto"/>
          <w:highlight w:val="none"/>
        </w:rPr>
        <w:t>P</w:t>
      </w:r>
      <w:r>
        <w:rPr>
          <w:rFonts w:hint="eastAsia"/>
          <w:color w:val="auto"/>
          <w:highlight w:val="none"/>
          <w:lang w:val="en-US" w:eastAsia="zh-CN"/>
        </w:rPr>
        <w:t>2</w:t>
      </w:r>
      <w:r>
        <w:rPr>
          <w:rFonts w:hint="eastAsia"/>
          <w:color w:val="auto"/>
          <w:highlight w:val="none"/>
        </w:rPr>
        <w:t>排气筒）进行排放，采用该处理方式收集效率约为90%，处理效率约为90%，因此，污水处理站恶臭经收集处理后有组织排速率为NH</w:t>
      </w:r>
      <w:r>
        <w:rPr>
          <w:rFonts w:hint="eastAsia"/>
          <w:color w:val="auto"/>
          <w:highlight w:val="none"/>
          <w:vertAlign w:val="subscript"/>
        </w:rPr>
        <w:t>3</w:t>
      </w:r>
      <w:r>
        <w:rPr>
          <w:rFonts w:hint="eastAsia"/>
          <w:color w:val="auto"/>
          <w:highlight w:val="none"/>
        </w:rPr>
        <w:t>：0.002kg/h，H</w:t>
      </w:r>
      <w:r>
        <w:rPr>
          <w:rFonts w:hint="eastAsia"/>
          <w:color w:val="auto"/>
          <w:highlight w:val="none"/>
          <w:vertAlign w:val="subscript"/>
        </w:rPr>
        <w:t>2</w:t>
      </w:r>
      <w:r>
        <w:rPr>
          <w:rFonts w:hint="eastAsia"/>
          <w:color w:val="auto"/>
          <w:highlight w:val="none"/>
        </w:rPr>
        <w:t>S：0.0001kg/h；排放量为NH</w:t>
      </w:r>
      <w:r>
        <w:rPr>
          <w:rFonts w:hint="eastAsia"/>
          <w:color w:val="auto"/>
          <w:highlight w:val="none"/>
          <w:vertAlign w:val="subscript"/>
        </w:rPr>
        <w:t>3</w:t>
      </w:r>
      <w:r>
        <w:rPr>
          <w:rFonts w:hint="eastAsia"/>
          <w:color w:val="auto"/>
          <w:highlight w:val="none"/>
        </w:rPr>
        <w:t>：0.014t/a，H</w:t>
      </w:r>
      <w:r>
        <w:rPr>
          <w:rFonts w:hint="eastAsia"/>
          <w:color w:val="auto"/>
          <w:highlight w:val="none"/>
          <w:vertAlign w:val="subscript"/>
        </w:rPr>
        <w:t>2</w:t>
      </w:r>
      <w:r>
        <w:rPr>
          <w:rFonts w:hint="eastAsia"/>
          <w:color w:val="auto"/>
          <w:highlight w:val="none"/>
        </w:rPr>
        <w:t>S：0.0005t/a；无组织排放速率为NH</w:t>
      </w:r>
      <w:r>
        <w:rPr>
          <w:rFonts w:hint="eastAsia"/>
          <w:color w:val="auto"/>
          <w:highlight w:val="none"/>
          <w:vertAlign w:val="subscript"/>
        </w:rPr>
        <w:t>3</w:t>
      </w:r>
      <w:r>
        <w:rPr>
          <w:rFonts w:hint="eastAsia"/>
          <w:color w:val="auto"/>
          <w:highlight w:val="none"/>
        </w:rPr>
        <w:t>：0.002kg/h，H</w:t>
      </w:r>
      <w:r>
        <w:rPr>
          <w:rFonts w:hint="eastAsia"/>
          <w:color w:val="auto"/>
          <w:highlight w:val="none"/>
          <w:vertAlign w:val="subscript"/>
        </w:rPr>
        <w:t>2</w:t>
      </w:r>
      <w:r>
        <w:rPr>
          <w:rFonts w:hint="eastAsia"/>
          <w:color w:val="auto"/>
          <w:highlight w:val="none"/>
        </w:rPr>
        <w:t>S：0.0001kg/h；排放量为NH</w:t>
      </w:r>
      <w:r>
        <w:rPr>
          <w:rFonts w:hint="eastAsia"/>
          <w:color w:val="auto"/>
          <w:highlight w:val="none"/>
          <w:vertAlign w:val="subscript"/>
        </w:rPr>
        <w:t>3</w:t>
      </w:r>
      <w:r>
        <w:rPr>
          <w:rFonts w:hint="eastAsia"/>
          <w:color w:val="auto"/>
          <w:highlight w:val="none"/>
        </w:rPr>
        <w:t>：0.002t/a，H</w:t>
      </w:r>
      <w:r>
        <w:rPr>
          <w:rFonts w:hint="eastAsia"/>
          <w:color w:val="auto"/>
          <w:highlight w:val="none"/>
          <w:vertAlign w:val="subscript"/>
        </w:rPr>
        <w:t>2</w:t>
      </w:r>
      <w:r>
        <w:rPr>
          <w:rFonts w:hint="eastAsia"/>
          <w:color w:val="auto"/>
          <w:highlight w:val="none"/>
        </w:rPr>
        <w:t>S：0.0006t/a。</w:t>
      </w:r>
    </w:p>
    <w:p>
      <w:pPr>
        <w:widowControl w:val="0"/>
        <w:ind w:firstLine="480"/>
        <w:rPr>
          <w:color w:val="auto"/>
          <w:highlight w:val="none"/>
        </w:rPr>
      </w:pPr>
      <w:r>
        <w:rPr>
          <w:rFonts w:hint="eastAsia"/>
          <w:color w:val="auto"/>
          <w:highlight w:val="none"/>
        </w:rPr>
        <w:t>拟在厂区周边种植乔木等绿植，形成绿色防护带，进一步控制项目产生的恶臭气体扩散。</w:t>
      </w:r>
    </w:p>
    <w:p>
      <w:pPr>
        <w:widowControl w:val="0"/>
        <w:ind w:firstLine="482"/>
        <w:rPr>
          <w:b/>
          <w:bCs/>
          <w:color w:val="auto"/>
          <w:highlight w:val="none"/>
        </w:rPr>
      </w:pPr>
      <w:r>
        <w:rPr>
          <w:rFonts w:hint="eastAsia"/>
          <w:b/>
          <w:bCs/>
          <w:color w:val="auto"/>
          <w:highlight w:val="none"/>
        </w:rPr>
        <w:t>4）隔离间、急宰间和无害化暂存间</w:t>
      </w:r>
    </w:p>
    <w:p>
      <w:pPr>
        <w:widowControl w:val="0"/>
        <w:ind w:firstLine="480"/>
        <w:rPr>
          <w:color w:val="auto"/>
          <w:highlight w:val="none"/>
        </w:rPr>
      </w:pPr>
      <w:r>
        <w:rPr>
          <w:rFonts w:hint="eastAsia"/>
          <w:color w:val="auto"/>
          <w:highlight w:val="none"/>
        </w:rPr>
        <w:t>项目隔离间、急宰间和无害化暂存间可独设风管依托待宰间和</w:t>
      </w:r>
      <w:r>
        <w:rPr>
          <w:rFonts w:hint="eastAsia"/>
          <w:color w:val="auto"/>
          <w:highlight w:val="none"/>
          <w:lang w:val="en-US" w:eastAsia="zh-CN"/>
        </w:rPr>
        <w:t>生猪屠宰车间</w:t>
      </w:r>
      <w:r>
        <w:rPr>
          <w:rFonts w:hint="eastAsia"/>
          <w:color w:val="auto"/>
          <w:highlight w:val="none"/>
        </w:rPr>
        <w:t>风机，各设施分别设置风管风阀，可按需求开关，经负压抽风抽出的废气经</w:t>
      </w:r>
      <w:r>
        <w:rPr>
          <w:color w:val="auto"/>
          <w:highlight w:val="none"/>
        </w:rPr>
        <w:t>1</w:t>
      </w:r>
      <w:r>
        <w:rPr>
          <w:rFonts w:hint="eastAsia"/>
          <w:color w:val="auto"/>
          <w:highlight w:val="none"/>
        </w:rPr>
        <w:t>套“UV光解+生物洗涤塔”进行处理后经</w:t>
      </w:r>
      <w:r>
        <w:rPr>
          <w:color w:val="auto"/>
          <w:highlight w:val="none"/>
        </w:rPr>
        <w:t>15m</w:t>
      </w:r>
      <w:r>
        <w:rPr>
          <w:rFonts w:hint="eastAsia"/>
          <w:color w:val="auto"/>
          <w:highlight w:val="none"/>
        </w:rPr>
        <w:t>高排气筒（</w:t>
      </w:r>
      <w:r>
        <w:rPr>
          <w:color w:val="auto"/>
          <w:highlight w:val="none"/>
        </w:rPr>
        <w:t>P1</w:t>
      </w:r>
      <w:r>
        <w:rPr>
          <w:rFonts w:hint="eastAsia"/>
          <w:color w:val="auto"/>
          <w:highlight w:val="none"/>
        </w:rPr>
        <w:t>排气筒）进行排放。</w:t>
      </w:r>
    </w:p>
    <w:p>
      <w:pPr>
        <w:widowControl w:val="0"/>
        <w:ind w:firstLine="482"/>
        <w:rPr>
          <w:b/>
          <w:bCs/>
          <w:color w:val="auto"/>
          <w:highlight w:val="none"/>
        </w:rPr>
      </w:pPr>
      <w:r>
        <w:rPr>
          <w:rFonts w:hint="eastAsia"/>
          <w:b/>
          <w:bCs/>
          <w:color w:val="auto"/>
          <w:highlight w:val="none"/>
        </w:rPr>
        <w:t>（3）运输路线恶臭控制措施</w:t>
      </w:r>
    </w:p>
    <w:p>
      <w:pPr>
        <w:widowControl w:val="0"/>
        <w:ind w:firstLine="480"/>
        <w:rPr>
          <w:color w:val="auto"/>
          <w:highlight w:val="none"/>
        </w:rPr>
      </w:pPr>
      <w:r>
        <w:rPr>
          <w:color w:val="auto"/>
          <w:highlight w:val="none"/>
        </w:rPr>
        <w:t>1</w:t>
      </w:r>
      <w:r>
        <w:rPr>
          <w:rFonts w:hint="eastAsia"/>
          <w:color w:val="auto"/>
          <w:highlight w:val="none"/>
        </w:rPr>
        <w:t>）运输路线恶臭控制措施</w:t>
      </w:r>
    </w:p>
    <w:p>
      <w:pPr>
        <w:widowControl w:val="0"/>
        <w:ind w:firstLine="480"/>
        <w:rPr>
          <w:color w:val="auto"/>
          <w:highlight w:val="none"/>
        </w:rPr>
      </w:pPr>
      <w:r>
        <w:rPr>
          <w:rFonts w:hint="eastAsia"/>
          <w:color w:val="auto"/>
          <w:highlight w:val="none"/>
        </w:rPr>
        <w:t>①合理安排运输时间。</w:t>
      </w:r>
    </w:p>
    <w:p>
      <w:pPr>
        <w:widowControl w:val="0"/>
        <w:ind w:firstLine="480"/>
        <w:rPr>
          <w:color w:val="auto"/>
          <w:highlight w:val="none"/>
        </w:rPr>
      </w:pPr>
      <w:r>
        <w:rPr>
          <w:rFonts w:hint="eastAsia"/>
          <w:color w:val="auto"/>
          <w:highlight w:val="none"/>
        </w:rPr>
        <w:t>②在夏季进行运输时，要切实做好防暑降温措施，采用封闭的空调运输车辆进行运输，并安排好起运时间，一般选择下午装车晚上行车。冬季运输时要做好保暖措施，车厢内要铺满稻草，并在车外包上篷布，多选择在白天时运输。</w:t>
      </w:r>
    </w:p>
    <w:p>
      <w:pPr>
        <w:widowControl w:val="0"/>
        <w:ind w:firstLine="480"/>
        <w:rPr>
          <w:color w:val="auto"/>
          <w:highlight w:val="none"/>
        </w:rPr>
      </w:pPr>
      <w:r>
        <w:rPr>
          <w:rFonts w:hint="eastAsia"/>
          <w:color w:val="auto"/>
          <w:highlight w:val="none"/>
        </w:rPr>
        <w:t>③避免道路崎岖或堵车拉长运输时间，选择熟悉路线的司机开车，刚开始时应控制车速慢行，待猪适应后再以正常速度行驶，尽量避免出现急转弯或急刹车的现象，减少挤压；在经过有疫情的地区少停车，避免感染疫情。</w:t>
      </w:r>
    </w:p>
    <w:p>
      <w:pPr>
        <w:widowControl w:val="0"/>
        <w:ind w:firstLine="480"/>
        <w:rPr>
          <w:color w:val="auto"/>
          <w:highlight w:val="none"/>
        </w:rPr>
      </w:pPr>
      <w:r>
        <w:rPr>
          <w:rFonts w:hint="eastAsia"/>
          <w:color w:val="auto"/>
          <w:highlight w:val="none"/>
        </w:rPr>
        <w:t>④所有运输车辆在行驶出养殖场和屠宰场之前均需对车辆进行冲洗。</w:t>
      </w:r>
    </w:p>
    <w:p>
      <w:pPr>
        <w:widowControl w:val="0"/>
        <w:ind w:firstLine="480"/>
        <w:rPr>
          <w:color w:val="auto"/>
          <w:highlight w:val="none"/>
        </w:rPr>
      </w:pPr>
      <w:r>
        <w:rPr>
          <w:color w:val="auto"/>
          <w:highlight w:val="none"/>
        </w:rPr>
        <w:t>2</w:t>
      </w:r>
      <w:r>
        <w:rPr>
          <w:rFonts w:hint="eastAsia"/>
          <w:color w:val="auto"/>
          <w:highlight w:val="none"/>
        </w:rPr>
        <w:t>）粪便及胃渣运输路线恶臭控制措施</w:t>
      </w:r>
    </w:p>
    <w:p>
      <w:pPr>
        <w:widowControl w:val="0"/>
        <w:ind w:firstLine="480"/>
        <w:rPr>
          <w:color w:val="auto"/>
          <w:highlight w:val="none"/>
        </w:rPr>
      </w:pPr>
      <w:r>
        <w:rPr>
          <w:rFonts w:hint="eastAsia"/>
          <w:color w:val="auto"/>
          <w:highlight w:val="none"/>
        </w:rPr>
        <w:t>①合理安排运输时间。</w:t>
      </w:r>
    </w:p>
    <w:p>
      <w:pPr>
        <w:widowControl w:val="0"/>
        <w:ind w:firstLine="480"/>
        <w:rPr>
          <w:color w:val="auto"/>
          <w:highlight w:val="none"/>
        </w:rPr>
      </w:pPr>
      <w:r>
        <w:rPr>
          <w:rFonts w:hint="eastAsia"/>
          <w:color w:val="auto"/>
          <w:highlight w:val="none"/>
        </w:rPr>
        <w:t>②粪便及胃渣全部采用桶装，并进行密闭，再用具有封闭车斗的运输车辆进行运输，运输时，车斗全部做到封闭。</w:t>
      </w:r>
    </w:p>
    <w:p>
      <w:pPr>
        <w:widowControl w:val="0"/>
        <w:ind w:firstLine="480"/>
        <w:rPr>
          <w:color w:val="auto"/>
          <w:highlight w:val="none"/>
        </w:rPr>
      </w:pPr>
      <w:r>
        <w:rPr>
          <w:rFonts w:hint="eastAsia"/>
          <w:color w:val="auto"/>
          <w:highlight w:val="none"/>
        </w:rPr>
        <w:t>③所有运输车辆在行驶出屠宰场之前均需对车辆进行冲洗。</w:t>
      </w:r>
    </w:p>
    <w:p>
      <w:pPr>
        <w:widowControl w:val="0"/>
        <w:ind w:firstLine="480"/>
        <w:rPr>
          <w:color w:val="auto"/>
          <w:highlight w:val="none"/>
        </w:rPr>
        <w:sectPr>
          <w:pgSz w:w="12240" w:h="15840"/>
          <w:pgMar w:top="1440" w:right="1417"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27"/>
        <w:widowControl w:val="0"/>
        <w:rPr>
          <w:color w:val="auto"/>
          <w:highlight w:val="none"/>
        </w:rPr>
      </w:pPr>
      <w:r>
        <w:rPr>
          <w:rFonts w:hint="eastAsia"/>
          <w:color w:val="auto"/>
          <w:highlight w:val="none"/>
        </w:rPr>
        <w:t>项目恶臭污染物有组织排放统计表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709"/>
        <w:gridCol w:w="1239"/>
        <w:gridCol w:w="1004"/>
        <w:gridCol w:w="1242"/>
        <w:gridCol w:w="1236"/>
        <w:gridCol w:w="1685"/>
        <w:gridCol w:w="1175"/>
        <w:gridCol w:w="1186"/>
        <w:gridCol w:w="1068"/>
        <w:gridCol w:w="1365"/>
        <w:gridCol w:w="1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30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25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1243"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产生情况</w:t>
            </w:r>
          </w:p>
        </w:tc>
        <w:tc>
          <w:tcPr>
            <w:tcW w:w="44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c>
          <w:tcPr>
            <w:tcW w:w="60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收集效率（%）去除效率（%）</w:t>
            </w:r>
          </w:p>
        </w:tc>
        <w:tc>
          <w:tcPr>
            <w:tcW w:w="41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排气量（m</w:t>
            </w:r>
            <w:r>
              <w:rPr>
                <w:rFonts w:hint="eastAsia"/>
                <w:b/>
                <w:bCs/>
                <w:color w:val="auto"/>
                <w:highlight w:val="none"/>
                <w:vertAlign w:val="superscript"/>
              </w:rPr>
              <w:t>3</w:t>
            </w:r>
            <w:r>
              <w:rPr>
                <w:rFonts w:hint="eastAsia"/>
                <w:b/>
                <w:bCs/>
                <w:color w:val="auto"/>
                <w:highlight w:val="none"/>
              </w:rPr>
              <w:t>/h）</w:t>
            </w:r>
          </w:p>
        </w:tc>
        <w:tc>
          <w:tcPr>
            <w:tcW w:w="1291"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排放情况</w:t>
            </w:r>
          </w:p>
        </w:tc>
        <w:tc>
          <w:tcPr>
            <w:tcW w:w="442"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w:t>
            </w:r>
          </w:p>
          <w:p>
            <w:pPr>
              <w:pStyle w:val="28"/>
              <w:widowControl w:val="0"/>
              <w:rPr>
                <w:b/>
                <w:bCs/>
                <w:color w:val="auto"/>
                <w:highlight w:val="none"/>
              </w:rPr>
            </w:pPr>
            <w:r>
              <w:rPr>
                <w:rFonts w:hint="eastAsia"/>
                <w:b/>
                <w:bCs/>
                <w:color w:val="auto"/>
                <w:highlight w:val="none"/>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vMerge w:val="continue"/>
            <w:tcBorders>
              <w:tl2br w:val="nil"/>
              <w:tr2bl w:val="nil"/>
            </w:tcBorders>
            <w:vAlign w:val="center"/>
          </w:tcPr>
          <w:p>
            <w:pPr>
              <w:pStyle w:val="28"/>
              <w:widowControl w:val="0"/>
              <w:rPr>
                <w:b/>
                <w:bCs/>
                <w:color w:val="auto"/>
                <w:highlight w:val="none"/>
              </w:rPr>
            </w:pPr>
          </w:p>
        </w:tc>
        <w:tc>
          <w:tcPr>
            <w:tcW w:w="253" w:type="pct"/>
            <w:vMerge w:val="continue"/>
            <w:tcBorders>
              <w:tl2br w:val="nil"/>
              <w:tr2bl w:val="nil"/>
            </w:tcBorders>
            <w:vAlign w:val="center"/>
          </w:tcPr>
          <w:p>
            <w:pPr>
              <w:pStyle w:val="28"/>
              <w:widowControl w:val="0"/>
              <w:rPr>
                <w:b/>
                <w:bCs/>
                <w:color w:val="auto"/>
                <w:highlight w:val="none"/>
              </w:rPr>
            </w:pPr>
          </w:p>
        </w:tc>
        <w:tc>
          <w:tcPr>
            <w:tcW w:w="442" w:type="pct"/>
            <w:tcBorders>
              <w:tl2br w:val="nil"/>
              <w:tr2bl w:val="nil"/>
            </w:tcBorders>
            <w:vAlign w:val="center"/>
          </w:tcPr>
          <w:p>
            <w:pPr>
              <w:pStyle w:val="28"/>
              <w:widowControl w:val="0"/>
              <w:rPr>
                <w:b/>
                <w:bCs/>
                <w:color w:val="auto"/>
                <w:highlight w:val="none"/>
              </w:rPr>
            </w:pPr>
            <w:r>
              <w:rPr>
                <w:rFonts w:hint="eastAsia"/>
                <w:b/>
                <w:bCs/>
                <w:color w:val="auto"/>
                <w:highlight w:val="none"/>
              </w:rPr>
              <w:t>产生速率（kg/h）</w:t>
            </w:r>
          </w:p>
        </w:tc>
        <w:tc>
          <w:tcPr>
            <w:tcW w:w="358"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442" w:type="pct"/>
            <w:tcBorders>
              <w:tl2br w:val="nil"/>
              <w:tr2bl w:val="nil"/>
            </w:tcBorders>
            <w:vAlign w:val="center"/>
          </w:tcPr>
          <w:p>
            <w:pPr>
              <w:pStyle w:val="28"/>
              <w:widowControl w:val="0"/>
              <w:rPr>
                <w:b/>
                <w:bCs/>
                <w:color w:val="auto"/>
                <w:highlight w:val="none"/>
              </w:rPr>
            </w:pPr>
            <w:r>
              <w:rPr>
                <w:rFonts w:hint="eastAsia"/>
                <w:b/>
                <w:bCs/>
                <w:color w:val="auto"/>
                <w:highlight w:val="none"/>
              </w:rPr>
              <w:t>产生浓度（mg/m</w:t>
            </w:r>
            <w:r>
              <w:rPr>
                <w:rFonts w:hint="eastAsia"/>
                <w:b/>
                <w:bCs/>
                <w:color w:val="auto"/>
                <w:highlight w:val="none"/>
                <w:vertAlign w:val="superscript"/>
              </w:rPr>
              <w:t>3</w:t>
            </w:r>
            <w:r>
              <w:rPr>
                <w:rFonts w:hint="eastAsia"/>
                <w:b/>
                <w:bCs/>
                <w:color w:val="auto"/>
                <w:highlight w:val="none"/>
              </w:rPr>
              <w:t>）</w:t>
            </w:r>
          </w:p>
        </w:tc>
        <w:tc>
          <w:tcPr>
            <w:tcW w:w="441" w:type="pct"/>
            <w:vMerge w:val="continue"/>
            <w:tcBorders>
              <w:tl2br w:val="nil"/>
              <w:tr2bl w:val="nil"/>
            </w:tcBorders>
            <w:vAlign w:val="center"/>
          </w:tcPr>
          <w:p>
            <w:pPr>
              <w:pStyle w:val="28"/>
              <w:widowControl w:val="0"/>
              <w:rPr>
                <w:b/>
                <w:bCs/>
                <w:color w:val="auto"/>
                <w:highlight w:val="none"/>
              </w:rPr>
            </w:pPr>
          </w:p>
        </w:tc>
        <w:tc>
          <w:tcPr>
            <w:tcW w:w="601" w:type="pct"/>
            <w:vMerge w:val="continue"/>
            <w:tcBorders>
              <w:tl2br w:val="nil"/>
              <w:tr2bl w:val="nil"/>
            </w:tcBorders>
            <w:vAlign w:val="center"/>
          </w:tcPr>
          <w:p>
            <w:pPr>
              <w:pStyle w:val="28"/>
              <w:widowControl w:val="0"/>
              <w:rPr>
                <w:b/>
                <w:bCs/>
                <w:color w:val="auto"/>
                <w:highlight w:val="none"/>
              </w:rPr>
            </w:pPr>
          </w:p>
        </w:tc>
        <w:tc>
          <w:tcPr>
            <w:tcW w:w="419" w:type="pct"/>
            <w:vMerge w:val="continue"/>
            <w:tcBorders>
              <w:tl2br w:val="nil"/>
              <w:tr2bl w:val="nil"/>
            </w:tcBorders>
            <w:vAlign w:val="center"/>
          </w:tcPr>
          <w:p>
            <w:pPr>
              <w:pStyle w:val="28"/>
              <w:widowControl w:val="0"/>
              <w:rPr>
                <w:b/>
                <w:bCs/>
                <w:color w:val="auto"/>
                <w:highlight w:val="none"/>
              </w:rPr>
            </w:pPr>
          </w:p>
        </w:tc>
        <w:tc>
          <w:tcPr>
            <w:tcW w:w="423" w:type="pct"/>
            <w:tcBorders>
              <w:tl2br w:val="nil"/>
              <w:tr2bl w:val="nil"/>
            </w:tcBorders>
            <w:vAlign w:val="center"/>
          </w:tcPr>
          <w:p>
            <w:pPr>
              <w:pStyle w:val="28"/>
              <w:widowControl w:val="0"/>
              <w:ind w:left="211" w:hanging="211" w:hangingChars="100"/>
              <w:rPr>
                <w:b/>
                <w:bCs/>
                <w:color w:val="auto"/>
                <w:highlight w:val="none"/>
              </w:rPr>
            </w:pPr>
            <w:r>
              <w:rPr>
                <w:rFonts w:hint="eastAsia"/>
                <w:b/>
                <w:bCs/>
                <w:color w:val="auto"/>
                <w:highlight w:val="none"/>
              </w:rPr>
              <w:t>排放速率</w:t>
            </w:r>
          </w:p>
          <w:p>
            <w:pPr>
              <w:pStyle w:val="28"/>
              <w:widowControl w:val="0"/>
              <w:ind w:left="211" w:hanging="211" w:hangingChars="100"/>
              <w:rPr>
                <w:b/>
                <w:bCs/>
                <w:color w:val="auto"/>
                <w:highlight w:val="none"/>
              </w:rPr>
            </w:pPr>
            <w:r>
              <w:rPr>
                <w:rFonts w:hint="eastAsia"/>
                <w:b/>
                <w:bCs/>
                <w:color w:val="auto"/>
                <w:highlight w:val="none"/>
              </w:rPr>
              <w:t>（kg/h）</w:t>
            </w:r>
          </w:p>
        </w:tc>
        <w:tc>
          <w:tcPr>
            <w:tcW w:w="381" w:type="pct"/>
            <w:tcBorders>
              <w:tl2br w:val="nil"/>
              <w:tr2bl w:val="nil"/>
            </w:tcBorders>
            <w:vAlign w:val="center"/>
          </w:tcPr>
          <w:p>
            <w:pPr>
              <w:pStyle w:val="28"/>
              <w:widowControl w:val="0"/>
              <w:rPr>
                <w:b/>
                <w:bCs/>
                <w:color w:val="auto"/>
                <w:highlight w:val="none"/>
              </w:rPr>
            </w:pPr>
            <w:r>
              <w:rPr>
                <w:rFonts w:hint="eastAsia"/>
                <w:b/>
                <w:bCs/>
                <w:color w:val="auto"/>
                <w:highlight w:val="none"/>
              </w:rPr>
              <w:t>排放量（t/a）</w:t>
            </w:r>
          </w:p>
        </w:tc>
        <w:tc>
          <w:tcPr>
            <w:tcW w:w="487" w:type="pct"/>
            <w:tcBorders>
              <w:tl2br w:val="nil"/>
              <w:tr2bl w:val="nil"/>
            </w:tcBorders>
            <w:vAlign w:val="center"/>
          </w:tcPr>
          <w:p>
            <w:pPr>
              <w:pStyle w:val="28"/>
              <w:widowControl w:val="0"/>
              <w:rPr>
                <w:b/>
                <w:bCs/>
                <w:color w:val="auto"/>
                <w:highlight w:val="none"/>
              </w:rPr>
            </w:pPr>
            <w:r>
              <w:rPr>
                <w:rFonts w:hint="eastAsia"/>
                <w:b/>
                <w:bCs/>
                <w:color w:val="auto"/>
                <w:highlight w:val="none"/>
              </w:rPr>
              <w:t>排放浓度（mg/m</w:t>
            </w:r>
            <w:r>
              <w:rPr>
                <w:rFonts w:hint="eastAsia"/>
                <w:b/>
                <w:bCs/>
                <w:color w:val="auto"/>
                <w:highlight w:val="none"/>
                <w:vertAlign w:val="superscript"/>
              </w:rPr>
              <w:t>3</w:t>
            </w:r>
            <w:r>
              <w:rPr>
                <w:rFonts w:hint="eastAsia"/>
                <w:b/>
                <w:bCs/>
                <w:color w:val="auto"/>
                <w:highlight w:val="none"/>
              </w:rPr>
              <w:t>）</w:t>
            </w:r>
          </w:p>
        </w:tc>
        <w:tc>
          <w:tcPr>
            <w:tcW w:w="442" w:type="pct"/>
            <w:vMerge w:val="continue"/>
            <w:tcBorders>
              <w:tl2br w:val="nil"/>
              <w:tr2bl w:val="nil"/>
            </w:tcBorders>
            <w:vAlign w:val="center"/>
          </w:tcPr>
          <w:p>
            <w:pPr>
              <w:pStyle w:val="28"/>
              <w:widowControl w:val="0"/>
              <w:rPr>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7"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rPr>
              <w:t>待宰圈</w:t>
            </w:r>
            <w:r>
              <w:rPr>
                <w:rFonts w:hint="eastAsia"/>
                <w:color w:val="auto"/>
                <w:highlight w:val="none"/>
                <w:lang w:eastAsia="zh-CN"/>
              </w:rPr>
              <w:t>、</w:t>
            </w:r>
            <w:r>
              <w:rPr>
                <w:rFonts w:hint="eastAsia"/>
                <w:color w:val="auto"/>
                <w:highlight w:val="none"/>
                <w:lang w:val="en-US" w:eastAsia="zh-CN"/>
              </w:rPr>
              <w:t>生猪屠宰</w:t>
            </w:r>
          </w:p>
        </w:tc>
        <w:tc>
          <w:tcPr>
            <w:tcW w:w="253" w:type="pct"/>
            <w:tcBorders>
              <w:tl2br w:val="nil"/>
              <w:tr2bl w:val="nil"/>
            </w:tcBorders>
            <w:vAlign w:val="center"/>
          </w:tcPr>
          <w:p>
            <w:pPr>
              <w:pStyle w:val="28"/>
              <w:widowControl w:val="0"/>
              <w:rPr>
                <w:color w:val="auto"/>
                <w:highlight w:val="none"/>
                <w:vertAlign w:val="subscript"/>
              </w:rPr>
            </w:pPr>
            <w:r>
              <w:rPr>
                <w:rFonts w:hint="eastAsia"/>
                <w:color w:val="auto"/>
                <w:highlight w:val="none"/>
              </w:rPr>
              <w:t>NH</w:t>
            </w:r>
            <w:r>
              <w:rPr>
                <w:rFonts w:hint="eastAsia"/>
                <w:color w:val="auto"/>
                <w:highlight w:val="none"/>
                <w:vertAlign w:val="subscript"/>
              </w:rPr>
              <w:t>3</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0.0458</w:t>
            </w:r>
          </w:p>
        </w:tc>
        <w:tc>
          <w:tcPr>
            <w:tcW w:w="358"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0.3</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0.145</w:t>
            </w:r>
          </w:p>
        </w:tc>
        <w:tc>
          <w:tcPr>
            <w:tcW w:w="441" w:type="pct"/>
            <w:vMerge w:val="restart"/>
            <w:tcBorders>
              <w:tl2br w:val="nil"/>
              <w:tr2bl w:val="nil"/>
            </w:tcBorders>
            <w:vAlign w:val="center"/>
          </w:tcPr>
          <w:p>
            <w:pPr>
              <w:pStyle w:val="28"/>
              <w:widowControl w:val="0"/>
              <w:rPr>
                <w:color w:val="auto"/>
                <w:highlight w:val="none"/>
              </w:rPr>
            </w:pPr>
            <w:r>
              <w:rPr>
                <w:rFonts w:hint="eastAsia"/>
                <w:color w:val="auto"/>
                <w:highlight w:val="none"/>
              </w:rPr>
              <w:t>UV光解+生物洗涤塔（1#）</w:t>
            </w:r>
          </w:p>
        </w:tc>
        <w:tc>
          <w:tcPr>
            <w:tcW w:w="601" w:type="pct"/>
            <w:vMerge w:val="restart"/>
            <w:tcBorders>
              <w:tl2br w:val="nil"/>
              <w:tr2bl w:val="nil"/>
            </w:tcBorders>
            <w:vAlign w:val="center"/>
          </w:tcPr>
          <w:p>
            <w:pPr>
              <w:pStyle w:val="28"/>
              <w:widowControl w:val="0"/>
              <w:rPr>
                <w:color w:val="auto"/>
                <w:highlight w:val="none"/>
              </w:rPr>
            </w:pPr>
            <w:r>
              <w:rPr>
                <w:rFonts w:hint="eastAsia"/>
                <w:color w:val="auto"/>
                <w:highlight w:val="none"/>
              </w:rPr>
              <w:t>90%</w:t>
            </w:r>
          </w:p>
          <w:p>
            <w:pPr>
              <w:pStyle w:val="28"/>
              <w:widowControl w:val="0"/>
              <w:rPr>
                <w:color w:val="auto"/>
                <w:highlight w:val="none"/>
              </w:rPr>
            </w:pPr>
            <w:r>
              <w:rPr>
                <w:rFonts w:hint="eastAsia"/>
                <w:color w:val="auto"/>
                <w:highlight w:val="none"/>
              </w:rPr>
              <w:t>90%</w:t>
            </w:r>
          </w:p>
        </w:tc>
        <w:tc>
          <w:tcPr>
            <w:tcW w:w="419" w:type="pct"/>
            <w:vMerge w:val="restar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316000</w:t>
            </w:r>
          </w:p>
        </w:tc>
        <w:tc>
          <w:tcPr>
            <w:tcW w:w="423"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0.004</w:t>
            </w:r>
          </w:p>
        </w:tc>
        <w:tc>
          <w:tcPr>
            <w:tcW w:w="381"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0.027</w:t>
            </w:r>
          </w:p>
        </w:tc>
        <w:tc>
          <w:tcPr>
            <w:tcW w:w="487"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0.013</w:t>
            </w:r>
          </w:p>
        </w:tc>
        <w:tc>
          <w:tcPr>
            <w:tcW w:w="442" w:type="pct"/>
            <w:vMerge w:val="restart"/>
            <w:tcBorders>
              <w:tl2br w:val="nil"/>
              <w:tr2bl w:val="nil"/>
            </w:tcBorders>
            <w:vAlign w:val="center"/>
          </w:tcPr>
          <w:p>
            <w:pPr>
              <w:pStyle w:val="28"/>
              <w:widowControl w:val="0"/>
              <w:rPr>
                <w:color w:val="auto"/>
                <w:highlight w:val="none"/>
              </w:rPr>
            </w:pPr>
            <w:r>
              <w:rPr>
                <w:rFonts w:hint="eastAsia"/>
                <w:color w:val="auto"/>
                <w:highlight w:val="none"/>
              </w:rPr>
              <w:t>P1排气筒H=15m</w:t>
            </w:r>
          </w:p>
          <w:p>
            <w:pPr>
              <w:pStyle w:val="28"/>
              <w:widowControl w:val="0"/>
              <w:rPr>
                <w:color w:val="auto"/>
                <w:highlight w:val="none"/>
              </w:rPr>
            </w:pPr>
            <w:r>
              <w:rPr>
                <w:rFonts w:hint="eastAsia"/>
                <w:color w:val="auto"/>
                <w:highlight w:val="none"/>
              </w:rPr>
              <w:t>D=0.8m环境温度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vMerge w:val="continue"/>
            <w:tcBorders>
              <w:tl2br w:val="nil"/>
              <w:tr2bl w:val="nil"/>
            </w:tcBorders>
            <w:vAlign w:val="center"/>
          </w:tcPr>
          <w:p>
            <w:pPr>
              <w:pStyle w:val="28"/>
              <w:widowControl w:val="0"/>
              <w:rPr>
                <w:color w:val="auto"/>
                <w:highlight w:val="none"/>
              </w:rPr>
            </w:pPr>
          </w:p>
        </w:tc>
        <w:tc>
          <w:tcPr>
            <w:tcW w:w="253"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0.004</w:t>
            </w:r>
          </w:p>
        </w:tc>
        <w:tc>
          <w:tcPr>
            <w:tcW w:w="358"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0.02</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0.013</w:t>
            </w:r>
          </w:p>
        </w:tc>
        <w:tc>
          <w:tcPr>
            <w:tcW w:w="441" w:type="pct"/>
            <w:vMerge w:val="continue"/>
            <w:tcBorders>
              <w:tl2br w:val="nil"/>
              <w:tr2bl w:val="nil"/>
            </w:tcBorders>
            <w:vAlign w:val="center"/>
          </w:tcPr>
          <w:p>
            <w:pPr>
              <w:pStyle w:val="28"/>
              <w:widowControl w:val="0"/>
              <w:rPr>
                <w:color w:val="auto"/>
                <w:highlight w:val="none"/>
              </w:rPr>
            </w:pPr>
          </w:p>
        </w:tc>
        <w:tc>
          <w:tcPr>
            <w:tcW w:w="601" w:type="pct"/>
            <w:vMerge w:val="continue"/>
            <w:tcBorders>
              <w:tl2br w:val="nil"/>
              <w:tr2bl w:val="nil"/>
            </w:tcBorders>
            <w:vAlign w:val="center"/>
          </w:tcPr>
          <w:p>
            <w:pPr>
              <w:pStyle w:val="28"/>
              <w:widowControl w:val="0"/>
              <w:rPr>
                <w:color w:val="auto"/>
                <w:highlight w:val="none"/>
              </w:rPr>
            </w:pPr>
          </w:p>
        </w:tc>
        <w:tc>
          <w:tcPr>
            <w:tcW w:w="419" w:type="pct"/>
            <w:vMerge w:val="continue"/>
            <w:tcBorders>
              <w:tl2br w:val="nil"/>
              <w:tr2bl w:val="nil"/>
            </w:tcBorders>
            <w:vAlign w:val="center"/>
          </w:tcPr>
          <w:p>
            <w:pPr>
              <w:pStyle w:val="28"/>
              <w:widowControl w:val="0"/>
              <w:rPr>
                <w:color w:val="auto"/>
                <w:highlight w:val="none"/>
              </w:rPr>
            </w:pPr>
          </w:p>
        </w:tc>
        <w:tc>
          <w:tcPr>
            <w:tcW w:w="423"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0.0004</w:t>
            </w:r>
          </w:p>
        </w:tc>
        <w:tc>
          <w:tcPr>
            <w:tcW w:w="381"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0.0015</w:t>
            </w:r>
          </w:p>
        </w:tc>
        <w:tc>
          <w:tcPr>
            <w:tcW w:w="487"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0.0013</w:t>
            </w:r>
          </w:p>
        </w:tc>
        <w:tc>
          <w:tcPr>
            <w:tcW w:w="44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307" w:type="pct"/>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污水处理站、肉牛屠宰</w:t>
            </w:r>
          </w:p>
        </w:tc>
        <w:tc>
          <w:tcPr>
            <w:tcW w:w="253"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0.047</w:t>
            </w:r>
          </w:p>
        </w:tc>
        <w:tc>
          <w:tcPr>
            <w:tcW w:w="358"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0.22</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0.73</w:t>
            </w:r>
          </w:p>
        </w:tc>
        <w:tc>
          <w:tcPr>
            <w:tcW w:w="441" w:type="pct"/>
            <w:vMerge w:val="restart"/>
            <w:tcBorders>
              <w:tl2br w:val="nil"/>
              <w:tr2bl w:val="nil"/>
            </w:tcBorders>
            <w:vAlign w:val="center"/>
          </w:tcPr>
          <w:p>
            <w:pPr>
              <w:pStyle w:val="28"/>
              <w:widowControl w:val="0"/>
              <w:rPr>
                <w:color w:val="auto"/>
                <w:highlight w:val="none"/>
              </w:rPr>
            </w:pPr>
            <w:r>
              <w:rPr>
                <w:rFonts w:hint="eastAsia"/>
                <w:color w:val="auto"/>
                <w:highlight w:val="none"/>
              </w:rPr>
              <w:t>UV光解+生物洗涤塔（2#）</w:t>
            </w:r>
          </w:p>
        </w:tc>
        <w:tc>
          <w:tcPr>
            <w:tcW w:w="601" w:type="pct"/>
            <w:vMerge w:val="restart"/>
            <w:tcBorders>
              <w:tl2br w:val="nil"/>
              <w:tr2bl w:val="nil"/>
            </w:tcBorders>
            <w:vAlign w:val="center"/>
          </w:tcPr>
          <w:p>
            <w:pPr>
              <w:pStyle w:val="28"/>
              <w:widowControl w:val="0"/>
              <w:rPr>
                <w:color w:val="auto"/>
                <w:highlight w:val="none"/>
              </w:rPr>
            </w:pPr>
            <w:r>
              <w:rPr>
                <w:rFonts w:hint="eastAsia"/>
                <w:color w:val="auto"/>
                <w:highlight w:val="none"/>
              </w:rPr>
              <w:t>90%</w:t>
            </w:r>
          </w:p>
          <w:p>
            <w:pPr>
              <w:pStyle w:val="28"/>
              <w:widowControl w:val="0"/>
              <w:rPr>
                <w:color w:val="auto"/>
                <w:highlight w:val="none"/>
              </w:rPr>
            </w:pPr>
            <w:r>
              <w:rPr>
                <w:rFonts w:hint="eastAsia"/>
                <w:color w:val="auto"/>
                <w:highlight w:val="none"/>
              </w:rPr>
              <w:t>90%</w:t>
            </w:r>
          </w:p>
        </w:tc>
        <w:tc>
          <w:tcPr>
            <w:tcW w:w="419" w:type="pct"/>
            <w:vMerge w:val="restar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64000</w:t>
            </w:r>
          </w:p>
        </w:tc>
        <w:tc>
          <w:tcPr>
            <w:tcW w:w="423"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0.0045</w:t>
            </w:r>
          </w:p>
        </w:tc>
        <w:tc>
          <w:tcPr>
            <w:tcW w:w="381"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0.02</w:t>
            </w:r>
          </w:p>
        </w:tc>
        <w:tc>
          <w:tcPr>
            <w:tcW w:w="487"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0.07</w:t>
            </w:r>
          </w:p>
        </w:tc>
        <w:tc>
          <w:tcPr>
            <w:tcW w:w="442" w:type="pct"/>
            <w:vMerge w:val="restart"/>
            <w:tcBorders>
              <w:tl2br w:val="nil"/>
              <w:tr2bl w:val="nil"/>
            </w:tcBorders>
            <w:vAlign w:val="center"/>
          </w:tcPr>
          <w:p>
            <w:pPr>
              <w:pStyle w:val="28"/>
              <w:widowControl w:val="0"/>
              <w:rPr>
                <w:color w:val="auto"/>
                <w:highlight w:val="none"/>
              </w:rPr>
            </w:pPr>
            <w:r>
              <w:rPr>
                <w:rFonts w:hint="eastAsia"/>
                <w:color w:val="auto"/>
                <w:highlight w:val="none"/>
              </w:rPr>
              <w:t>P2排气筒H=15m</w:t>
            </w:r>
          </w:p>
          <w:p>
            <w:pPr>
              <w:pStyle w:val="28"/>
              <w:widowControl w:val="0"/>
              <w:rPr>
                <w:color w:val="auto"/>
                <w:highlight w:val="none"/>
              </w:rPr>
            </w:pPr>
            <w:r>
              <w:rPr>
                <w:rFonts w:hint="eastAsia"/>
                <w:color w:val="auto"/>
                <w:highlight w:val="none"/>
              </w:rPr>
              <w:t>D=1.2m环境温度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 w:type="pct"/>
            <w:vMerge w:val="continue"/>
            <w:tcBorders>
              <w:tl2br w:val="nil"/>
              <w:tr2bl w:val="nil"/>
            </w:tcBorders>
            <w:vAlign w:val="center"/>
          </w:tcPr>
          <w:p>
            <w:pPr>
              <w:pStyle w:val="28"/>
              <w:widowControl w:val="0"/>
              <w:rPr>
                <w:color w:val="auto"/>
                <w:highlight w:val="none"/>
              </w:rPr>
            </w:pPr>
          </w:p>
        </w:tc>
        <w:tc>
          <w:tcPr>
            <w:tcW w:w="253"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0.01</w:t>
            </w:r>
          </w:p>
        </w:tc>
        <w:tc>
          <w:tcPr>
            <w:tcW w:w="358"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0.024</w:t>
            </w:r>
          </w:p>
        </w:tc>
        <w:tc>
          <w:tcPr>
            <w:tcW w:w="44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0.16</w:t>
            </w:r>
          </w:p>
        </w:tc>
        <w:tc>
          <w:tcPr>
            <w:tcW w:w="441" w:type="pct"/>
            <w:vMerge w:val="continue"/>
            <w:tcBorders>
              <w:tl2br w:val="nil"/>
              <w:tr2bl w:val="nil"/>
            </w:tcBorders>
            <w:vAlign w:val="center"/>
          </w:tcPr>
          <w:p>
            <w:pPr>
              <w:pStyle w:val="28"/>
              <w:widowControl w:val="0"/>
              <w:rPr>
                <w:color w:val="auto"/>
                <w:highlight w:val="none"/>
              </w:rPr>
            </w:pPr>
          </w:p>
        </w:tc>
        <w:tc>
          <w:tcPr>
            <w:tcW w:w="601" w:type="pct"/>
            <w:vMerge w:val="continue"/>
            <w:tcBorders>
              <w:tl2br w:val="nil"/>
              <w:tr2bl w:val="nil"/>
            </w:tcBorders>
            <w:vAlign w:val="center"/>
          </w:tcPr>
          <w:p>
            <w:pPr>
              <w:pStyle w:val="28"/>
              <w:widowControl w:val="0"/>
              <w:rPr>
                <w:color w:val="auto"/>
                <w:highlight w:val="none"/>
              </w:rPr>
            </w:pPr>
          </w:p>
        </w:tc>
        <w:tc>
          <w:tcPr>
            <w:tcW w:w="419" w:type="pct"/>
            <w:vMerge w:val="continue"/>
            <w:tcBorders>
              <w:tl2br w:val="nil"/>
              <w:tr2bl w:val="nil"/>
            </w:tcBorders>
            <w:vAlign w:val="center"/>
          </w:tcPr>
          <w:p>
            <w:pPr>
              <w:pStyle w:val="28"/>
              <w:widowControl w:val="0"/>
              <w:rPr>
                <w:color w:val="auto"/>
                <w:highlight w:val="none"/>
              </w:rPr>
            </w:pPr>
          </w:p>
        </w:tc>
        <w:tc>
          <w:tcPr>
            <w:tcW w:w="423"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0.0009</w:t>
            </w:r>
          </w:p>
        </w:tc>
        <w:tc>
          <w:tcPr>
            <w:tcW w:w="381"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0.002</w:t>
            </w:r>
          </w:p>
        </w:tc>
        <w:tc>
          <w:tcPr>
            <w:tcW w:w="487"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0.014</w:t>
            </w:r>
          </w:p>
        </w:tc>
        <w:tc>
          <w:tcPr>
            <w:tcW w:w="442" w:type="pct"/>
            <w:vMerge w:val="continue"/>
            <w:tcBorders>
              <w:tl2br w:val="nil"/>
              <w:tr2bl w:val="nil"/>
            </w:tcBorders>
            <w:vAlign w:val="center"/>
          </w:tcPr>
          <w:p>
            <w:pPr>
              <w:pStyle w:val="28"/>
              <w:widowControl w:val="0"/>
              <w:rPr>
                <w:color w:val="auto"/>
                <w:highlight w:val="none"/>
              </w:rPr>
            </w:pPr>
          </w:p>
        </w:tc>
      </w:tr>
    </w:tbl>
    <w:p>
      <w:pPr>
        <w:pStyle w:val="27"/>
        <w:widowControl w:val="0"/>
        <w:rPr>
          <w:color w:val="auto"/>
          <w:highlight w:val="none"/>
        </w:rPr>
      </w:pPr>
      <w:r>
        <w:rPr>
          <w:rFonts w:hint="eastAsia"/>
          <w:color w:val="auto"/>
          <w:highlight w:val="none"/>
        </w:rPr>
        <w:t>项目恶臭污染物无组织排放统计表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112"/>
        <w:gridCol w:w="1161"/>
        <w:gridCol w:w="1161"/>
        <w:gridCol w:w="1172"/>
        <w:gridCol w:w="1500"/>
        <w:gridCol w:w="1940"/>
        <w:gridCol w:w="1940"/>
        <w:gridCol w:w="2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1246"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面源</w:t>
            </w:r>
          </w:p>
        </w:tc>
        <w:tc>
          <w:tcPr>
            <w:tcW w:w="535"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384"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产生情况</w:t>
            </w:r>
          </w:p>
        </w:tc>
        <w:tc>
          <w:tcPr>
            <w:tcW w:w="102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vMerge w:val="continue"/>
            <w:tcBorders>
              <w:tl2br w:val="nil"/>
              <w:tr2bl w:val="nil"/>
            </w:tcBorders>
            <w:vAlign w:val="center"/>
          </w:tcPr>
          <w:p>
            <w:pPr>
              <w:pStyle w:val="28"/>
              <w:widowControl w:val="0"/>
              <w:rPr>
                <w:b/>
                <w:bCs/>
                <w:color w:val="auto"/>
                <w:highlight w:val="none"/>
              </w:rPr>
            </w:pPr>
          </w:p>
        </w:tc>
        <w:tc>
          <w:tcPr>
            <w:tcW w:w="414" w:type="pct"/>
            <w:tcBorders>
              <w:tl2br w:val="nil"/>
              <w:tr2bl w:val="nil"/>
            </w:tcBorders>
            <w:vAlign w:val="center"/>
          </w:tcPr>
          <w:p>
            <w:pPr>
              <w:pStyle w:val="28"/>
              <w:widowControl w:val="0"/>
              <w:rPr>
                <w:b/>
                <w:bCs/>
                <w:color w:val="auto"/>
                <w:highlight w:val="none"/>
              </w:rPr>
            </w:pPr>
            <w:r>
              <w:rPr>
                <w:rFonts w:hint="eastAsia"/>
                <w:b/>
                <w:bCs/>
                <w:color w:val="auto"/>
                <w:highlight w:val="none"/>
              </w:rPr>
              <w:t>长（m）</w:t>
            </w:r>
          </w:p>
        </w:tc>
        <w:tc>
          <w:tcPr>
            <w:tcW w:w="414" w:type="pct"/>
            <w:tcBorders>
              <w:tl2br w:val="nil"/>
              <w:tr2bl w:val="nil"/>
            </w:tcBorders>
            <w:vAlign w:val="center"/>
          </w:tcPr>
          <w:p>
            <w:pPr>
              <w:pStyle w:val="28"/>
              <w:widowControl w:val="0"/>
              <w:rPr>
                <w:b/>
                <w:bCs/>
                <w:color w:val="auto"/>
                <w:highlight w:val="none"/>
              </w:rPr>
            </w:pPr>
            <w:r>
              <w:rPr>
                <w:rFonts w:hint="eastAsia"/>
                <w:b/>
                <w:bCs/>
                <w:color w:val="auto"/>
                <w:highlight w:val="none"/>
              </w:rPr>
              <w:t>宽（m）</w:t>
            </w:r>
          </w:p>
        </w:tc>
        <w:tc>
          <w:tcPr>
            <w:tcW w:w="418" w:type="pct"/>
            <w:tcBorders>
              <w:tl2br w:val="nil"/>
              <w:tr2bl w:val="nil"/>
            </w:tcBorders>
            <w:vAlign w:val="center"/>
          </w:tcPr>
          <w:p>
            <w:pPr>
              <w:pStyle w:val="28"/>
              <w:widowControl w:val="0"/>
              <w:rPr>
                <w:b/>
                <w:bCs/>
                <w:color w:val="auto"/>
                <w:highlight w:val="none"/>
              </w:rPr>
            </w:pPr>
            <w:r>
              <w:rPr>
                <w:rFonts w:hint="eastAsia"/>
                <w:b/>
                <w:bCs/>
                <w:color w:val="auto"/>
                <w:highlight w:val="none"/>
              </w:rPr>
              <w:t>高（m）</w:t>
            </w:r>
          </w:p>
        </w:tc>
        <w:tc>
          <w:tcPr>
            <w:tcW w:w="535" w:type="pct"/>
            <w:vMerge w:val="continue"/>
            <w:tcBorders>
              <w:tl2br w:val="nil"/>
              <w:tr2bl w:val="nil"/>
            </w:tcBorders>
            <w:vAlign w:val="center"/>
          </w:tcPr>
          <w:p>
            <w:pPr>
              <w:pStyle w:val="28"/>
              <w:widowControl w:val="0"/>
              <w:rPr>
                <w:b/>
                <w:bCs/>
                <w:color w:val="auto"/>
                <w:highlight w:val="none"/>
              </w:rPr>
            </w:pPr>
          </w:p>
        </w:tc>
        <w:tc>
          <w:tcPr>
            <w:tcW w:w="692" w:type="pct"/>
            <w:tcBorders>
              <w:tl2br w:val="nil"/>
              <w:tr2bl w:val="nil"/>
            </w:tcBorders>
            <w:vAlign w:val="center"/>
          </w:tcPr>
          <w:p>
            <w:pPr>
              <w:pStyle w:val="28"/>
              <w:widowControl w:val="0"/>
              <w:rPr>
                <w:b/>
                <w:bCs/>
                <w:color w:val="auto"/>
                <w:highlight w:val="none"/>
              </w:rPr>
            </w:pPr>
            <w:r>
              <w:rPr>
                <w:rFonts w:hint="eastAsia"/>
                <w:b/>
                <w:bCs/>
                <w:color w:val="auto"/>
                <w:highlight w:val="none"/>
              </w:rPr>
              <w:t>产生速率（kg/h）</w:t>
            </w:r>
          </w:p>
        </w:tc>
        <w:tc>
          <w:tcPr>
            <w:tcW w:w="692"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027" w:type="pct"/>
            <w:vMerge w:val="continue"/>
            <w:tcBorders>
              <w:tl2br w:val="nil"/>
              <w:tr2bl w:val="nil"/>
            </w:tcBorders>
            <w:vAlign w:val="center"/>
          </w:tcPr>
          <w:p>
            <w:pPr>
              <w:pStyle w:val="28"/>
              <w:widowControl w:val="0"/>
              <w:rPr>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396"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150</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64</w:t>
            </w:r>
          </w:p>
        </w:tc>
        <w:tc>
          <w:tcPr>
            <w:tcW w:w="418" w:type="pct"/>
            <w:vMerge w:val="restart"/>
            <w:tcBorders>
              <w:tl2br w:val="nil"/>
              <w:tr2bl w:val="nil"/>
            </w:tcBorders>
            <w:vAlign w:val="center"/>
          </w:tcPr>
          <w:p>
            <w:pPr>
              <w:pStyle w:val="28"/>
              <w:widowControl w:val="0"/>
              <w:rPr>
                <w:color w:val="auto"/>
                <w:highlight w:val="none"/>
              </w:rPr>
            </w:pPr>
            <w:r>
              <w:rPr>
                <w:rFonts w:hint="eastAsia"/>
                <w:color w:val="auto"/>
                <w:highlight w:val="none"/>
              </w:rPr>
              <w:t>8</w:t>
            </w: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027" w:type="pct"/>
            <w:vMerge w:val="restart"/>
            <w:tcBorders>
              <w:tl2br w:val="nil"/>
              <w:tr2bl w:val="nil"/>
            </w:tcBorders>
            <w:vAlign w:val="center"/>
          </w:tcPr>
          <w:p>
            <w:pPr>
              <w:pStyle w:val="28"/>
              <w:widowControl w:val="0"/>
              <w:rPr>
                <w:color w:val="auto"/>
                <w:highlight w:val="none"/>
              </w:rPr>
            </w:pPr>
            <w:r>
              <w:rPr>
                <w:rFonts w:hint="eastAsia"/>
                <w:color w:val="auto"/>
                <w:highlight w:val="none"/>
              </w:rPr>
              <w:t>8</w:t>
            </w:r>
            <w:r>
              <w:rPr>
                <w:color w:val="auto"/>
                <w:highlight w:val="none"/>
              </w:rPr>
              <w:t>×</w:t>
            </w:r>
            <w:r>
              <w:rPr>
                <w:rFonts w:hint="eastAsia"/>
                <w:color w:val="auto"/>
                <w:highlight w:val="none"/>
              </w:rPr>
              <w:t>350=2800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tl2br w:val="nil"/>
              <w:tr2bl w:val="nil"/>
            </w:tcBorders>
            <w:vAlign w:val="center"/>
          </w:tcPr>
          <w:p>
            <w:pPr>
              <w:pStyle w:val="28"/>
              <w:widowControl w:val="0"/>
              <w:rPr>
                <w:color w:val="auto"/>
                <w:highlight w:val="none"/>
              </w:rPr>
            </w:pPr>
          </w:p>
        </w:tc>
        <w:tc>
          <w:tcPr>
            <w:tcW w:w="396"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8" w:type="pct"/>
            <w:vMerge w:val="continue"/>
            <w:tcBorders>
              <w:tl2br w:val="nil"/>
              <w:tr2bl w:val="nil"/>
            </w:tcBorders>
            <w:vAlign w:val="center"/>
          </w:tcPr>
          <w:p>
            <w:pPr>
              <w:pStyle w:val="28"/>
              <w:widowControl w:val="0"/>
              <w:rPr>
                <w:color w:val="auto"/>
                <w:highlight w:val="none"/>
              </w:rPr>
            </w:pP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0.000006</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0.00002</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10" w:type="pct"/>
            <w:vMerge w:val="continue"/>
            <w:tcBorders>
              <w:tl2br w:val="nil"/>
              <w:tr2bl w:val="nil"/>
            </w:tcBorders>
            <w:vAlign w:val="center"/>
          </w:tcPr>
          <w:p>
            <w:pPr>
              <w:pStyle w:val="28"/>
              <w:widowControl w:val="0"/>
              <w:rPr>
                <w:color w:val="auto"/>
                <w:highlight w:val="none"/>
              </w:rPr>
            </w:pPr>
          </w:p>
        </w:tc>
        <w:tc>
          <w:tcPr>
            <w:tcW w:w="396"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65</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30</w:t>
            </w:r>
          </w:p>
        </w:tc>
        <w:tc>
          <w:tcPr>
            <w:tcW w:w="418" w:type="pct"/>
            <w:vMerge w:val="restart"/>
            <w:tcBorders>
              <w:tl2br w:val="nil"/>
              <w:tr2bl w:val="nil"/>
            </w:tcBorders>
            <w:vAlign w:val="center"/>
          </w:tcPr>
          <w:p>
            <w:pPr>
              <w:pStyle w:val="28"/>
              <w:widowControl w:val="0"/>
              <w:rPr>
                <w:color w:val="auto"/>
                <w:highlight w:val="none"/>
              </w:rPr>
            </w:pPr>
            <w:r>
              <w:rPr>
                <w:rFonts w:hint="eastAsia"/>
                <w:color w:val="auto"/>
                <w:highlight w:val="none"/>
              </w:rPr>
              <w:t>8</w:t>
            </w: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69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0.0028</w:t>
            </w:r>
          </w:p>
        </w:tc>
        <w:tc>
          <w:tcPr>
            <w:tcW w:w="69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0.0056</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tl2br w:val="nil"/>
              <w:tr2bl w:val="nil"/>
            </w:tcBorders>
            <w:vAlign w:val="center"/>
          </w:tcPr>
          <w:p>
            <w:pPr>
              <w:pStyle w:val="28"/>
              <w:widowControl w:val="0"/>
              <w:rPr>
                <w:color w:val="auto"/>
                <w:highlight w:val="none"/>
              </w:rPr>
            </w:pPr>
          </w:p>
        </w:tc>
        <w:tc>
          <w:tcPr>
            <w:tcW w:w="396"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8" w:type="pct"/>
            <w:vMerge w:val="continue"/>
            <w:tcBorders>
              <w:tl2br w:val="nil"/>
              <w:tr2bl w:val="nil"/>
            </w:tcBorders>
            <w:vAlign w:val="center"/>
          </w:tcPr>
          <w:p>
            <w:pPr>
              <w:pStyle w:val="28"/>
              <w:widowControl w:val="0"/>
              <w:rPr>
                <w:color w:val="auto"/>
                <w:highlight w:val="none"/>
              </w:rPr>
            </w:pP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69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0.0009</w:t>
            </w:r>
          </w:p>
        </w:tc>
        <w:tc>
          <w:tcPr>
            <w:tcW w:w="69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0.0018</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90</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32</w:t>
            </w:r>
          </w:p>
        </w:tc>
        <w:tc>
          <w:tcPr>
            <w:tcW w:w="418" w:type="pct"/>
            <w:vMerge w:val="restart"/>
            <w:tcBorders>
              <w:tl2br w:val="nil"/>
              <w:tr2bl w:val="nil"/>
            </w:tcBorders>
            <w:vAlign w:val="center"/>
          </w:tcPr>
          <w:p>
            <w:pPr>
              <w:pStyle w:val="28"/>
              <w:widowControl w:val="0"/>
              <w:rPr>
                <w:color w:val="auto"/>
                <w:highlight w:val="none"/>
              </w:rPr>
            </w:pPr>
            <w:r>
              <w:rPr>
                <w:rFonts w:hint="eastAsia"/>
                <w:color w:val="auto"/>
                <w:highlight w:val="none"/>
              </w:rPr>
              <w:t>5</w:t>
            </w: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0.004</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0.029</w:t>
            </w:r>
          </w:p>
        </w:tc>
        <w:tc>
          <w:tcPr>
            <w:tcW w:w="1027" w:type="pct"/>
            <w:vMerge w:val="restart"/>
            <w:tcBorders>
              <w:tl2br w:val="nil"/>
              <w:tr2bl w:val="nil"/>
            </w:tcBorders>
            <w:vAlign w:val="center"/>
          </w:tcPr>
          <w:p>
            <w:pPr>
              <w:pStyle w:val="28"/>
              <w:widowControl w:val="0"/>
              <w:rPr>
                <w:color w:val="auto"/>
                <w:highlight w:val="none"/>
              </w:rPr>
            </w:pPr>
            <w:r>
              <w:rPr>
                <w:rFonts w:hint="eastAsia"/>
                <w:color w:val="auto"/>
                <w:highlight w:val="none"/>
              </w:rPr>
              <w:t>24</w:t>
            </w:r>
            <w:r>
              <w:rPr>
                <w:color w:val="auto"/>
                <w:highlight w:val="none"/>
              </w:rPr>
              <w:t>×</w:t>
            </w:r>
            <w:r>
              <w:rPr>
                <w:rFonts w:hint="eastAsia"/>
                <w:color w:val="auto"/>
                <w:highlight w:val="none"/>
              </w:rPr>
              <w:t>350=8400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8" w:type="pct"/>
            <w:vMerge w:val="continue"/>
            <w:tcBorders>
              <w:tl2br w:val="nil"/>
              <w:tr2bl w:val="nil"/>
            </w:tcBorders>
            <w:vAlign w:val="center"/>
          </w:tcPr>
          <w:p>
            <w:pPr>
              <w:pStyle w:val="28"/>
              <w:widowControl w:val="0"/>
              <w:rPr>
                <w:color w:val="auto"/>
                <w:highlight w:val="none"/>
              </w:rPr>
            </w:pP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0.0004</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0.0017</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41</w:t>
            </w:r>
          </w:p>
        </w:tc>
        <w:tc>
          <w:tcPr>
            <w:tcW w:w="414" w:type="pct"/>
            <w:vMerge w:val="restart"/>
            <w:tcBorders>
              <w:tl2br w:val="nil"/>
              <w:tr2bl w:val="nil"/>
            </w:tcBorders>
            <w:vAlign w:val="center"/>
          </w:tcPr>
          <w:p>
            <w:pPr>
              <w:pStyle w:val="28"/>
              <w:widowControl w:val="0"/>
              <w:rPr>
                <w:color w:val="auto"/>
                <w:highlight w:val="none"/>
              </w:rPr>
            </w:pPr>
            <w:r>
              <w:rPr>
                <w:rFonts w:hint="eastAsia"/>
                <w:color w:val="auto"/>
                <w:highlight w:val="none"/>
              </w:rPr>
              <w:t>25</w:t>
            </w:r>
          </w:p>
        </w:tc>
        <w:tc>
          <w:tcPr>
            <w:tcW w:w="418" w:type="pct"/>
            <w:vMerge w:val="restart"/>
            <w:tcBorders>
              <w:tl2br w:val="nil"/>
              <w:tr2bl w:val="nil"/>
            </w:tcBorders>
            <w:vAlign w:val="center"/>
          </w:tcPr>
          <w:p>
            <w:pPr>
              <w:pStyle w:val="28"/>
              <w:widowControl w:val="0"/>
              <w:rPr>
                <w:color w:val="auto"/>
                <w:highlight w:val="none"/>
              </w:rPr>
            </w:pPr>
            <w:r>
              <w:rPr>
                <w:rFonts w:hint="eastAsia"/>
                <w:color w:val="auto"/>
                <w:highlight w:val="none"/>
              </w:rPr>
              <w:t>3</w:t>
            </w: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4" w:type="pct"/>
            <w:vMerge w:val="continue"/>
            <w:tcBorders>
              <w:tl2br w:val="nil"/>
              <w:tr2bl w:val="nil"/>
            </w:tcBorders>
            <w:vAlign w:val="center"/>
          </w:tcPr>
          <w:p>
            <w:pPr>
              <w:pStyle w:val="28"/>
              <w:widowControl w:val="0"/>
              <w:rPr>
                <w:color w:val="auto"/>
                <w:highlight w:val="none"/>
              </w:rPr>
            </w:pPr>
          </w:p>
        </w:tc>
        <w:tc>
          <w:tcPr>
            <w:tcW w:w="418" w:type="pct"/>
            <w:vMerge w:val="continue"/>
            <w:tcBorders>
              <w:tl2br w:val="nil"/>
              <w:tr2bl w:val="nil"/>
            </w:tcBorders>
            <w:vAlign w:val="center"/>
          </w:tcPr>
          <w:p>
            <w:pPr>
              <w:pStyle w:val="28"/>
              <w:widowControl w:val="0"/>
              <w:rPr>
                <w:color w:val="auto"/>
                <w:highlight w:val="none"/>
              </w:rPr>
            </w:pPr>
          </w:p>
        </w:tc>
        <w:tc>
          <w:tcPr>
            <w:tcW w:w="53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0.0001</w:t>
            </w:r>
          </w:p>
        </w:tc>
        <w:tc>
          <w:tcPr>
            <w:tcW w:w="692"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027"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pPr>
              <w:pStyle w:val="28"/>
              <w:widowControl w:val="0"/>
              <w:jc w:val="left"/>
              <w:rPr>
                <w:color w:val="auto"/>
                <w:highlight w:val="none"/>
              </w:rPr>
            </w:pPr>
            <w:r>
              <w:rPr>
                <w:rFonts w:hint="eastAsia"/>
                <w:color w:val="auto"/>
                <w:highlight w:val="none"/>
              </w:rPr>
              <w:t>注：项目各生产单元无组织排放均满足《恶臭污染物排放标准》（</w:t>
            </w:r>
            <w:r>
              <w:rPr>
                <w:color w:val="auto"/>
                <w:highlight w:val="none"/>
              </w:rPr>
              <w:t>GB14554-93</w:t>
            </w:r>
            <w:r>
              <w:rPr>
                <w:rFonts w:hint="eastAsia"/>
                <w:color w:val="auto"/>
                <w:highlight w:val="none"/>
              </w:rPr>
              <w:t>）中无组织NH</w:t>
            </w:r>
            <w:r>
              <w:rPr>
                <w:rFonts w:hint="eastAsia"/>
                <w:color w:val="auto"/>
                <w:highlight w:val="none"/>
                <w:vertAlign w:val="subscript"/>
              </w:rPr>
              <w:t>3</w:t>
            </w:r>
            <w:r>
              <w:rPr>
                <w:rFonts w:hint="eastAsia"/>
                <w:color w:val="auto"/>
                <w:highlight w:val="none"/>
              </w:rPr>
              <w:t>和H</w:t>
            </w:r>
            <w:r>
              <w:rPr>
                <w:rFonts w:hint="eastAsia"/>
                <w:color w:val="auto"/>
                <w:highlight w:val="none"/>
                <w:vertAlign w:val="subscript"/>
              </w:rPr>
              <w:t>2</w:t>
            </w:r>
            <w:r>
              <w:rPr>
                <w:rFonts w:hint="eastAsia"/>
                <w:color w:val="auto"/>
                <w:highlight w:val="none"/>
              </w:rPr>
              <w:t>S排放限值</w:t>
            </w:r>
          </w:p>
        </w:tc>
      </w:tr>
    </w:tbl>
    <w:p>
      <w:pPr>
        <w:pStyle w:val="28"/>
        <w:widowControl w:val="0"/>
        <w:rPr>
          <w:color w:val="auto"/>
          <w:highlight w:val="none"/>
        </w:rPr>
      </w:pPr>
    </w:p>
    <w:p>
      <w:pPr>
        <w:widowControl w:val="0"/>
        <w:ind w:firstLine="480"/>
        <w:rPr>
          <w:color w:val="auto"/>
          <w:highlight w:val="none"/>
        </w:rPr>
        <w:sectPr>
          <w:pgSz w:w="15840" w:h="12240" w:orient="landscape"/>
          <w:pgMar w:top="1417" w:right="1020" w:bottom="1417" w:left="102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6"/>
        <w:widowControl w:val="0"/>
        <w:ind w:left="-160" w:firstLineChars="0"/>
        <w:rPr>
          <w:color w:val="auto"/>
          <w:highlight w:val="none"/>
        </w:rPr>
      </w:pPr>
      <w:r>
        <w:rPr>
          <w:rFonts w:hint="eastAsia"/>
          <w:color w:val="auto"/>
          <w:highlight w:val="none"/>
        </w:rPr>
        <w:t>食堂油烟</w:t>
      </w:r>
    </w:p>
    <w:p>
      <w:pPr>
        <w:widowControl w:val="0"/>
        <w:ind w:firstLine="480"/>
        <w:rPr>
          <w:color w:val="auto"/>
          <w:highlight w:val="none"/>
        </w:rPr>
      </w:pPr>
      <w:r>
        <w:rPr>
          <w:rFonts w:hint="eastAsia"/>
          <w:color w:val="auto"/>
          <w:highlight w:val="none"/>
        </w:rPr>
        <w:t>本项目设置有食堂，供项目内员工就餐（</w:t>
      </w:r>
      <w:r>
        <w:rPr>
          <w:rFonts w:hint="eastAsia"/>
          <w:color w:val="auto"/>
          <w:highlight w:val="none"/>
          <w:lang w:val="en-US" w:eastAsia="zh-CN"/>
        </w:rPr>
        <w:t>一</w:t>
      </w:r>
      <w:r>
        <w:rPr>
          <w:rFonts w:hint="eastAsia"/>
          <w:color w:val="auto"/>
          <w:highlight w:val="none"/>
        </w:rPr>
        <w:t>餐）。本项目劳动定员50人，就餐人数按50人计，餐厅规模按小型计（设2个灶头）。根据类比调查，一般餐厅的食用油耗油系数为40</w:t>
      </w:r>
      <w:r>
        <w:rPr>
          <w:color w:val="auto"/>
          <w:highlight w:val="none"/>
        </w:rPr>
        <w:t>g/</w:t>
      </w:r>
      <w:r>
        <w:rPr>
          <w:rFonts w:hint="eastAsia"/>
          <w:color w:val="auto"/>
          <w:highlight w:val="none"/>
        </w:rPr>
        <w:t>人·餐一般油烟挥发量占总耗油量的1%~3%，平均为</w:t>
      </w:r>
      <w:r>
        <w:rPr>
          <w:color w:val="auto"/>
          <w:highlight w:val="none"/>
        </w:rPr>
        <w:t>2%</w:t>
      </w:r>
      <w:r>
        <w:rPr>
          <w:rFonts w:hint="eastAsia"/>
          <w:color w:val="auto"/>
          <w:highlight w:val="none"/>
        </w:rPr>
        <w:t>，则油烟产生量为</w:t>
      </w:r>
      <w:r>
        <w:rPr>
          <w:color w:val="auto"/>
          <w:highlight w:val="none"/>
        </w:rPr>
        <w:t>0.0</w:t>
      </w:r>
      <w:r>
        <w:rPr>
          <w:rFonts w:hint="eastAsia"/>
          <w:color w:val="auto"/>
          <w:highlight w:val="none"/>
        </w:rPr>
        <w:t>24</w:t>
      </w:r>
      <w:r>
        <w:rPr>
          <w:color w:val="auto"/>
          <w:highlight w:val="none"/>
        </w:rPr>
        <w:t>t/a</w:t>
      </w:r>
      <w:r>
        <w:rPr>
          <w:rFonts w:hint="eastAsia"/>
          <w:color w:val="auto"/>
          <w:highlight w:val="none"/>
        </w:rPr>
        <w:t>，餐厅拟安装净化效率为70</w:t>
      </w:r>
      <w:r>
        <w:rPr>
          <w:color w:val="auto"/>
          <w:highlight w:val="none"/>
        </w:rPr>
        <w:t>%</w:t>
      </w:r>
      <w:r>
        <w:rPr>
          <w:rFonts w:hint="eastAsia"/>
          <w:color w:val="auto"/>
          <w:highlight w:val="none"/>
        </w:rPr>
        <w:t>，排风量为2000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的油烟净化器，食堂使用时间按</w:t>
      </w:r>
      <w:r>
        <w:rPr>
          <w:color w:val="auto"/>
          <w:highlight w:val="none"/>
        </w:rPr>
        <w:t>5h/d</w:t>
      </w:r>
      <w:r>
        <w:rPr>
          <w:rFonts w:hint="eastAsia"/>
          <w:color w:val="auto"/>
          <w:highlight w:val="none"/>
        </w:rPr>
        <w:t>计，处理后排放量为</w:t>
      </w:r>
      <w:r>
        <w:rPr>
          <w:color w:val="auto"/>
          <w:highlight w:val="none"/>
        </w:rPr>
        <w:t>0.00</w:t>
      </w:r>
      <w:r>
        <w:rPr>
          <w:rFonts w:hint="eastAsia"/>
          <w:color w:val="auto"/>
          <w:highlight w:val="none"/>
        </w:rPr>
        <w:t>36</w:t>
      </w:r>
      <w:r>
        <w:rPr>
          <w:color w:val="auto"/>
          <w:highlight w:val="none"/>
        </w:rPr>
        <w:t>t/a</w:t>
      </w:r>
      <w:r>
        <w:rPr>
          <w:rFonts w:hint="eastAsia"/>
          <w:color w:val="auto"/>
          <w:highlight w:val="none"/>
        </w:rPr>
        <w:t>，排放浓度为1.2</w:t>
      </w:r>
      <w:r>
        <w:rPr>
          <w:color w:val="auto"/>
          <w:highlight w:val="none"/>
        </w:rPr>
        <w:t>mg/m</w:t>
      </w:r>
      <w:r>
        <w:rPr>
          <w:color w:val="auto"/>
          <w:highlight w:val="none"/>
          <w:vertAlign w:val="superscript"/>
        </w:rPr>
        <w:t>3</w:t>
      </w:r>
      <w:r>
        <w:rPr>
          <w:rFonts w:hint="eastAsia"/>
          <w:color w:val="auto"/>
          <w:highlight w:val="none"/>
        </w:rPr>
        <w:t>；满足《饮食业油烟排放标准（试行）》（</w:t>
      </w:r>
      <w:r>
        <w:rPr>
          <w:color w:val="auto"/>
          <w:highlight w:val="none"/>
        </w:rPr>
        <w:t>GB18483-2001</w:t>
      </w:r>
      <w:r>
        <w:rPr>
          <w:rFonts w:hint="eastAsia"/>
          <w:color w:val="auto"/>
          <w:highlight w:val="none"/>
        </w:rPr>
        <w:t>）中油烟最高允许排放浓度的要求，并经油烟道屋顶排放，对当地大气环境影响较小。</w:t>
      </w:r>
    </w:p>
    <w:p>
      <w:pPr>
        <w:pStyle w:val="27"/>
        <w:widowControl w:val="0"/>
        <w:rPr>
          <w:color w:val="auto"/>
          <w:highlight w:val="none"/>
        </w:rPr>
      </w:pPr>
      <w:r>
        <w:rPr>
          <w:rFonts w:hint="eastAsia"/>
          <w:color w:val="auto"/>
          <w:highlight w:val="none"/>
        </w:rPr>
        <w:t>营运期餐饮油烟排放情况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85"/>
        <w:gridCol w:w="690"/>
        <w:gridCol w:w="915"/>
        <w:gridCol w:w="1080"/>
        <w:gridCol w:w="2235"/>
        <w:gridCol w:w="975"/>
        <w:gridCol w:w="1140"/>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78"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885"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690" w:type="dxa"/>
            <w:tcBorders>
              <w:tl2br w:val="nil"/>
              <w:tr2bl w:val="nil"/>
            </w:tcBorders>
            <w:vAlign w:val="center"/>
          </w:tcPr>
          <w:p>
            <w:pPr>
              <w:pStyle w:val="28"/>
              <w:widowControl w:val="0"/>
              <w:rPr>
                <w:b/>
                <w:bCs/>
                <w:color w:val="auto"/>
                <w:highlight w:val="none"/>
              </w:rPr>
            </w:pPr>
            <w:r>
              <w:rPr>
                <w:rFonts w:hint="eastAsia"/>
                <w:b/>
                <w:bCs/>
                <w:color w:val="auto"/>
                <w:highlight w:val="none"/>
              </w:rPr>
              <w:t>产生位置</w:t>
            </w:r>
          </w:p>
        </w:tc>
        <w:tc>
          <w:tcPr>
            <w:tcW w:w="915" w:type="dxa"/>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080" w:type="dxa"/>
            <w:tcBorders>
              <w:tl2br w:val="nil"/>
              <w:tr2bl w:val="nil"/>
            </w:tcBorders>
            <w:vAlign w:val="center"/>
          </w:tcPr>
          <w:p>
            <w:pPr>
              <w:pStyle w:val="28"/>
              <w:widowControl w:val="0"/>
              <w:rPr>
                <w:b/>
                <w:bCs/>
                <w:color w:val="auto"/>
                <w:highlight w:val="none"/>
              </w:rPr>
            </w:pPr>
            <w:r>
              <w:rPr>
                <w:rFonts w:hint="eastAsia"/>
                <w:b/>
                <w:bCs/>
                <w:color w:val="auto"/>
                <w:highlight w:val="none"/>
              </w:rPr>
              <w:t>产生速率（kg/h）</w:t>
            </w:r>
          </w:p>
        </w:tc>
        <w:tc>
          <w:tcPr>
            <w:tcW w:w="2235" w:type="dxa"/>
            <w:tcBorders>
              <w:tl2br w:val="nil"/>
              <w:tr2bl w:val="nil"/>
            </w:tcBorders>
            <w:vAlign w:val="center"/>
          </w:tcPr>
          <w:p>
            <w:pPr>
              <w:pStyle w:val="28"/>
              <w:widowControl w:val="0"/>
              <w:rPr>
                <w:b/>
                <w:bCs/>
                <w:color w:val="auto"/>
                <w:highlight w:val="none"/>
              </w:rPr>
            </w:pPr>
            <w:r>
              <w:rPr>
                <w:rFonts w:hint="eastAsia"/>
                <w:b/>
                <w:bCs/>
                <w:color w:val="auto"/>
                <w:highlight w:val="none"/>
              </w:rPr>
              <w:t>处理措施</w:t>
            </w:r>
          </w:p>
        </w:tc>
        <w:tc>
          <w:tcPr>
            <w:tcW w:w="975" w:type="dxa"/>
            <w:tcBorders>
              <w:tl2br w:val="nil"/>
              <w:tr2bl w:val="nil"/>
            </w:tcBorders>
            <w:vAlign w:val="center"/>
          </w:tcPr>
          <w:p>
            <w:pPr>
              <w:pStyle w:val="28"/>
              <w:widowControl w:val="0"/>
              <w:rPr>
                <w:b/>
                <w:bCs/>
                <w:color w:val="auto"/>
                <w:highlight w:val="none"/>
              </w:rPr>
            </w:pPr>
            <w:r>
              <w:rPr>
                <w:rFonts w:hint="eastAsia"/>
                <w:b/>
                <w:bCs/>
                <w:color w:val="auto"/>
                <w:highlight w:val="none"/>
              </w:rPr>
              <w:t>排放量（t/a）</w:t>
            </w:r>
          </w:p>
        </w:tc>
        <w:tc>
          <w:tcPr>
            <w:tcW w:w="1140" w:type="dxa"/>
            <w:tcBorders>
              <w:tl2br w:val="nil"/>
              <w:tr2bl w:val="nil"/>
            </w:tcBorders>
            <w:vAlign w:val="center"/>
          </w:tcPr>
          <w:p>
            <w:pPr>
              <w:pStyle w:val="28"/>
              <w:widowControl w:val="0"/>
              <w:rPr>
                <w:b/>
                <w:bCs/>
                <w:color w:val="auto"/>
                <w:highlight w:val="none"/>
              </w:rPr>
            </w:pPr>
            <w:r>
              <w:rPr>
                <w:rFonts w:hint="eastAsia"/>
                <w:b/>
                <w:bCs/>
                <w:color w:val="auto"/>
                <w:highlight w:val="none"/>
              </w:rPr>
              <w:t>排放速率（kg/h）</w:t>
            </w:r>
          </w:p>
        </w:tc>
        <w:tc>
          <w:tcPr>
            <w:tcW w:w="1224" w:type="dxa"/>
            <w:tcBorders>
              <w:tl2br w:val="nil"/>
              <w:tr2bl w:val="nil"/>
            </w:tcBorders>
            <w:vAlign w:val="center"/>
          </w:tcPr>
          <w:p>
            <w:pPr>
              <w:pStyle w:val="28"/>
              <w:widowControl w:val="0"/>
              <w:rPr>
                <w:b/>
                <w:bCs/>
                <w:color w:val="auto"/>
                <w:highlight w:val="none"/>
              </w:rPr>
            </w:pPr>
            <w:r>
              <w:rPr>
                <w:rFonts w:hint="eastAsia"/>
                <w:b/>
                <w:bCs/>
                <w:color w:val="auto"/>
                <w:highlight w:val="none"/>
              </w:rPr>
              <w:t>排放浓度（mg/m</w:t>
            </w:r>
            <w:r>
              <w:rPr>
                <w:rFonts w:hint="eastAsia"/>
                <w:b/>
                <w:bCs/>
                <w:color w:val="auto"/>
                <w:highlight w:val="none"/>
                <w:vertAlign w:val="superscript"/>
              </w:rPr>
              <w:t>3</w:t>
            </w:r>
            <w:r>
              <w:rPr>
                <w:rFonts w:hint="eastAsia"/>
                <w:b/>
                <w:bCs/>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885" w:type="dxa"/>
            <w:tcBorders>
              <w:tl2br w:val="nil"/>
              <w:tr2bl w:val="nil"/>
            </w:tcBorders>
            <w:vAlign w:val="center"/>
          </w:tcPr>
          <w:p>
            <w:pPr>
              <w:pStyle w:val="28"/>
              <w:widowControl w:val="0"/>
              <w:rPr>
                <w:color w:val="auto"/>
                <w:highlight w:val="none"/>
              </w:rPr>
            </w:pPr>
            <w:r>
              <w:rPr>
                <w:rFonts w:hint="eastAsia"/>
                <w:color w:val="auto"/>
                <w:highlight w:val="none"/>
              </w:rPr>
              <w:t>餐饮油烟</w:t>
            </w:r>
          </w:p>
        </w:tc>
        <w:tc>
          <w:tcPr>
            <w:tcW w:w="690" w:type="dxa"/>
            <w:tcBorders>
              <w:tl2br w:val="nil"/>
              <w:tr2bl w:val="nil"/>
            </w:tcBorders>
            <w:vAlign w:val="center"/>
          </w:tcPr>
          <w:p>
            <w:pPr>
              <w:pStyle w:val="28"/>
              <w:widowControl w:val="0"/>
              <w:rPr>
                <w:color w:val="auto"/>
                <w:highlight w:val="none"/>
              </w:rPr>
            </w:pPr>
            <w:r>
              <w:rPr>
                <w:rFonts w:hint="eastAsia"/>
                <w:color w:val="auto"/>
                <w:highlight w:val="none"/>
              </w:rPr>
              <w:t>食堂</w:t>
            </w:r>
          </w:p>
        </w:tc>
        <w:tc>
          <w:tcPr>
            <w:tcW w:w="915" w:type="dxa"/>
            <w:tcBorders>
              <w:tl2br w:val="nil"/>
              <w:tr2bl w:val="nil"/>
            </w:tcBorders>
            <w:vAlign w:val="center"/>
          </w:tcPr>
          <w:p>
            <w:pPr>
              <w:pStyle w:val="28"/>
              <w:widowControl w:val="0"/>
              <w:rPr>
                <w:color w:val="auto"/>
                <w:highlight w:val="none"/>
              </w:rPr>
            </w:pPr>
            <w:r>
              <w:rPr>
                <w:rFonts w:hint="eastAsia"/>
                <w:color w:val="auto"/>
                <w:highlight w:val="none"/>
              </w:rPr>
              <w:t>0.024</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0.016</w:t>
            </w:r>
          </w:p>
        </w:tc>
        <w:tc>
          <w:tcPr>
            <w:tcW w:w="2235" w:type="dxa"/>
            <w:tcBorders>
              <w:tl2br w:val="nil"/>
              <w:tr2bl w:val="nil"/>
            </w:tcBorders>
            <w:vAlign w:val="center"/>
          </w:tcPr>
          <w:p>
            <w:pPr>
              <w:pStyle w:val="28"/>
              <w:widowControl w:val="0"/>
              <w:rPr>
                <w:color w:val="auto"/>
                <w:highlight w:val="none"/>
              </w:rPr>
            </w:pPr>
            <w:r>
              <w:rPr>
                <w:rFonts w:hint="eastAsia"/>
                <w:color w:val="auto"/>
                <w:highlight w:val="none"/>
              </w:rPr>
              <w:t>安装净化效率为70%，排风量为2000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的油烟净化器</w:t>
            </w:r>
          </w:p>
        </w:tc>
        <w:tc>
          <w:tcPr>
            <w:tcW w:w="975" w:type="dxa"/>
            <w:tcBorders>
              <w:tl2br w:val="nil"/>
              <w:tr2bl w:val="nil"/>
            </w:tcBorders>
            <w:vAlign w:val="center"/>
          </w:tcPr>
          <w:p>
            <w:pPr>
              <w:pStyle w:val="28"/>
              <w:widowControl w:val="0"/>
              <w:rPr>
                <w:color w:val="auto"/>
                <w:highlight w:val="none"/>
              </w:rPr>
            </w:pPr>
            <w:r>
              <w:rPr>
                <w:rFonts w:hint="eastAsia"/>
                <w:color w:val="auto"/>
                <w:highlight w:val="none"/>
              </w:rPr>
              <w:t>0.0072</w:t>
            </w:r>
          </w:p>
        </w:tc>
        <w:tc>
          <w:tcPr>
            <w:tcW w:w="1140" w:type="dxa"/>
            <w:tcBorders>
              <w:tl2br w:val="nil"/>
              <w:tr2bl w:val="nil"/>
            </w:tcBorders>
            <w:vAlign w:val="center"/>
          </w:tcPr>
          <w:p>
            <w:pPr>
              <w:pStyle w:val="28"/>
              <w:widowControl w:val="0"/>
              <w:rPr>
                <w:color w:val="auto"/>
                <w:highlight w:val="none"/>
              </w:rPr>
            </w:pPr>
            <w:r>
              <w:rPr>
                <w:rFonts w:hint="eastAsia"/>
                <w:color w:val="auto"/>
                <w:highlight w:val="none"/>
              </w:rPr>
              <w:t>0.0048</w:t>
            </w:r>
          </w:p>
        </w:tc>
        <w:tc>
          <w:tcPr>
            <w:tcW w:w="1224" w:type="dxa"/>
            <w:tcBorders>
              <w:tl2br w:val="nil"/>
              <w:tr2bl w:val="nil"/>
            </w:tcBorders>
            <w:vAlign w:val="center"/>
          </w:tcPr>
          <w:p>
            <w:pPr>
              <w:pStyle w:val="28"/>
              <w:widowControl w:val="0"/>
              <w:rPr>
                <w:color w:val="auto"/>
                <w:highlight w:val="none"/>
              </w:rPr>
            </w:pPr>
            <w:r>
              <w:rPr>
                <w:rFonts w:hint="eastAsia"/>
                <w:color w:val="auto"/>
                <w:highlight w:val="none"/>
              </w:rPr>
              <w:t>1.2</w:t>
            </w:r>
          </w:p>
        </w:tc>
      </w:tr>
    </w:tbl>
    <w:p>
      <w:pPr>
        <w:pStyle w:val="6"/>
        <w:widowControl w:val="0"/>
        <w:ind w:left="-160" w:firstLineChars="0"/>
        <w:rPr>
          <w:color w:val="auto"/>
          <w:highlight w:val="none"/>
        </w:rPr>
      </w:pPr>
      <w:r>
        <w:rPr>
          <w:rFonts w:hint="eastAsia"/>
          <w:color w:val="auto"/>
          <w:highlight w:val="none"/>
        </w:rPr>
        <w:t>备用发电机烟气</w:t>
      </w:r>
    </w:p>
    <w:p>
      <w:pPr>
        <w:widowControl w:val="0"/>
        <w:ind w:firstLine="480"/>
        <w:rPr>
          <w:color w:val="auto"/>
          <w:highlight w:val="none"/>
        </w:rPr>
      </w:pPr>
      <w:r>
        <w:rPr>
          <w:rFonts w:hint="eastAsia"/>
          <w:color w:val="auto"/>
          <w:highlight w:val="none"/>
        </w:rPr>
        <w:t>本项目拟设置</w:t>
      </w:r>
      <w:r>
        <w:rPr>
          <w:color w:val="auto"/>
          <w:highlight w:val="none"/>
        </w:rPr>
        <w:t>1</w:t>
      </w:r>
      <w:r>
        <w:rPr>
          <w:rFonts w:hint="eastAsia"/>
          <w:color w:val="auto"/>
          <w:highlight w:val="none"/>
        </w:rPr>
        <w:t>台备用柴油发电机，功率为</w:t>
      </w:r>
      <w:r>
        <w:rPr>
          <w:color w:val="auto"/>
          <w:highlight w:val="none"/>
        </w:rPr>
        <w:t>500kw</w:t>
      </w:r>
      <w:r>
        <w:rPr>
          <w:rFonts w:hint="eastAsia"/>
          <w:color w:val="auto"/>
          <w:highlight w:val="none"/>
        </w:rPr>
        <w:t>，位于屠宰车间电控房内，停电时</w:t>
      </w:r>
      <w:r>
        <w:rPr>
          <w:color w:val="auto"/>
          <w:highlight w:val="none"/>
        </w:rPr>
        <w:t>15</w:t>
      </w:r>
      <w:r>
        <w:rPr>
          <w:rFonts w:hint="eastAsia"/>
          <w:color w:val="auto"/>
          <w:highlight w:val="none"/>
        </w:rPr>
        <w:t>秒内自动启动。柴油发电机在使用过程中会产生发电机烟气，其主要成分为</w:t>
      </w:r>
      <w:r>
        <w:rPr>
          <w:color w:val="auto"/>
          <w:highlight w:val="none"/>
        </w:rPr>
        <w:t>CO</w:t>
      </w:r>
      <w:r>
        <w:rPr>
          <w:rFonts w:hint="eastAsia"/>
          <w:color w:val="auto"/>
          <w:highlight w:val="none"/>
        </w:rPr>
        <w:t>、</w:t>
      </w:r>
      <w:r>
        <w:rPr>
          <w:color w:val="auto"/>
          <w:highlight w:val="none"/>
        </w:rPr>
        <w:t>HC</w:t>
      </w:r>
      <w:r>
        <w:rPr>
          <w:rFonts w:hint="eastAsia"/>
          <w:color w:val="auto"/>
          <w:highlight w:val="none"/>
        </w:rPr>
        <w:t>、</w:t>
      </w:r>
      <w:r>
        <w:rPr>
          <w:color w:val="auto"/>
          <w:highlight w:val="none"/>
        </w:rPr>
        <w:t>NOx</w:t>
      </w:r>
      <w:r>
        <w:rPr>
          <w:rFonts w:hint="eastAsia"/>
          <w:color w:val="auto"/>
          <w:highlight w:val="none"/>
        </w:rPr>
        <w:t>，烟气由自身携带的废气净化装置处理后经抽排风系统抽至配电房顶排放。</w:t>
      </w:r>
    </w:p>
    <w:p>
      <w:pPr>
        <w:widowControl w:val="0"/>
        <w:ind w:firstLine="480"/>
        <w:rPr>
          <w:color w:val="auto"/>
          <w:highlight w:val="none"/>
        </w:rPr>
      </w:pPr>
      <w:r>
        <w:rPr>
          <w:rFonts w:hint="eastAsia"/>
          <w:color w:val="auto"/>
          <w:highlight w:val="none"/>
        </w:rPr>
        <w:t>由于柴油发电机只有在停电时应急使用，因此其产生频率小且具有偶发性，采用措施后完全能够做到达标排放，对周围环境影响很小。</w:t>
      </w:r>
    </w:p>
    <w:p>
      <w:pPr>
        <w:pStyle w:val="6"/>
        <w:widowControl w:val="0"/>
        <w:ind w:left="-160" w:firstLineChars="0"/>
        <w:rPr>
          <w:color w:val="auto"/>
          <w:highlight w:val="none"/>
        </w:rPr>
      </w:pPr>
      <w:r>
        <w:rPr>
          <w:rFonts w:hint="eastAsia"/>
          <w:color w:val="auto"/>
          <w:highlight w:val="none"/>
        </w:rPr>
        <w:t>锅炉天然气燃烧废气</w:t>
      </w:r>
    </w:p>
    <w:p>
      <w:pPr>
        <w:widowControl w:val="0"/>
        <w:adjustRightInd w:val="0"/>
        <w:snapToGrid w:val="0"/>
        <w:ind w:firstLine="480"/>
        <w:rPr>
          <w:color w:val="auto"/>
          <w:highlight w:val="none"/>
        </w:rPr>
      </w:pPr>
      <w:r>
        <w:rPr>
          <w:rFonts w:hint="eastAsia"/>
          <w:color w:val="auto"/>
          <w:highlight w:val="none"/>
        </w:rPr>
        <w:t>本项目设置两台</w:t>
      </w:r>
      <w:r>
        <w:rPr>
          <w:color w:val="auto"/>
          <w:highlight w:val="none"/>
        </w:rPr>
        <w:t>全自动恒温</w:t>
      </w:r>
      <w:r>
        <w:rPr>
          <w:rFonts w:hint="eastAsia"/>
          <w:color w:val="auto"/>
          <w:highlight w:val="none"/>
        </w:rPr>
        <w:t>锅炉，采用的燃料为天然气，项目天然气使用量为12万</w:t>
      </w:r>
      <w:r>
        <w:rPr>
          <w:color w:val="auto"/>
          <w:highlight w:val="none"/>
        </w:rPr>
        <w:t>Nm</w:t>
      </w:r>
      <w:r>
        <w:rPr>
          <w:color w:val="auto"/>
          <w:highlight w:val="none"/>
          <w:vertAlign w:val="superscript"/>
        </w:rPr>
        <w:t>3</w:t>
      </w:r>
      <w:r>
        <w:rPr>
          <w:color w:val="auto"/>
          <w:highlight w:val="none"/>
        </w:rPr>
        <w:t>/a。产生的废气污染物主要为S</w:t>
      </w:r>
      <w:r>
        <w:rPr>
          <w:rFonts w:hint="eastAsia"/>
          <w:color w:val="auto"/>
          <w:highlight w:val="none"/>
        </w:rPr>
        <w:t>O</w:t>
      </w:r>
      <w:r>
        <w:rPr>
          <w:color w:val="auto"/>
          <w:highlight w:val="none"/>
          <w:vertAlign w:val="subscript"/>
        </w:rPr>
        <w:t>2</w:t>
      </w:r>
      <w:r>
        <w:rPr>
          <w:color w:val="auto"/>
          <w:highlight w:val="none"/>
        </w:rPr>
        <w:t>、NOx、颗粒物。参照</w:t>
      </w:r>
      <w:r>
        <w:rPr>
          <w:rFonts w:hint="eastAsia"/>
          <w:color w:val="auto"/>
          <w:highlight w:val="none"/>
        </w:rPr>
        <w:t>“</w:t>
      </w:r>
      <w:r>
        <w:rPr>
          <w:color w:val="auto"/>
          <w:highlight w:val="none"/>
        </w:rPr>
        <w:t>《环境保护实用数据手册》（胡名操 主编）及《第</w:t>
      </w:r>
      <w:r>
        <w:rPr>
          <w:rFonts w:hint="eastAsia"/>
          <w:color w:val="auto"/>
          <w:highlight w:val="none"/>
        </w:rPr>
        <w:t>二</w:t>
      </w:r>
      <w:r>
        <w:rPr>
          <w:color w:val="auto"/>
          <w:highlight w:val="none"/>
        </w:rPr>
        <w:t>次全国污染源普查 工业污染源产排污系数手册》</w:t>
      </w:r>
      <w:r>
        <w:rPr>
          <w:rFonts w:hint="eastAsia"/>
          <w:color w:val="auto"/>
          <w:highlight w:val="none"/>
        </w:rPr>
        <w:t>中</w:t>
      </w:r>
      <w:r>
        <w:rPr>
          <w:color w:val="auto"/>
          <w:highlight w:val="none"/>
        </w:rPr>
        <w:t>的</w:t>
      </w:r>
      <w:r>
        <w:rPr>
          <w:rFonts w:hint="eastAsia"/>
          <w:color w:val="auto"/>
          <w:highlight w:val="none"/>
        </w:rPr>
        <w:t>热力生产和供应”</w:t>
      </w:r>
      <w:r>
        <w:rPr>
          <w:color w:val="auto"/>
          <w:highlight w:val="none"/>
        </w:rPr>
        <w:t>可知燃烧1万Nm</w:t>
      </w:r>
      <w:r>
        <w:rPr>
          <w:color w:val="auto"/>
          <w:highlight w:val="none"/>
          <w:vertAlign w:val="superscript"/>
        </w:rPr>
        <w:t>3</w:t>
      </w:r>
      <w:r>
        <w:rPr>
          <w:color w:val="auto"/>
          <w:highlight w:val="none"/>
        </w:rPr>
        <w:t>天然气工业废气产生量为136259.17Nm</w:t>
      </w:r>
      <w:r>
        <w:rPr>
          <w:color w:val="auto"/>
          <w:highlight w:val="none"/>
          <w:vertAlign w:val="superscript"/>
        </w:rPr>
        <w:t>3</w:t>
      </w:r>
      <w:r>
        <w:rPr>
          <w:color w:val="auto"/>
          <w:highlight w:val="none"/>
        </w:rPr>
        <w:t>，S</w:t>
      </w:r>
      <w:r>
        <w:rPr>
          <w:rFonts w:hint="eastAsia"/>
          <w:color w:val="auto"/>
          <w:highlight w:val="none"/>
        </w:rPr>
        <w:t>O</w:t>
      </w:r>
      <w:r>
        <w:rPr>
          <w:color w:val="auto"/>
          <w:highlight w:val="none"/>
          <w:vertAlign w:val="subscript"/>
        </w:rPr>
        <w:t>2</w:t>
      </w:r>
      <w:r>
        <w:rPr>
          <w:color w:val="auto"/>
          <w:highlight w:val="none"/>
        </w:rPr>
        <w:t>产生量为0.02Skg（本次S取</w:t>
      </w:r>
      <w:r>
        <w:rPr>
          <w:rFonts w:hint="eastAsia"/>
          <w:color w:val="auto"/>
          <w:highlight w:val="none"/>
        </w:rPr>
        <w:t>2</w:t>
      </w:r>
      <w:r>
        <w:rPr>
          <w:color w:val="auto"/>
          <w:highlight w:val="none"/>
        </w:rPr>
        <w:t>00mg/</w:t>
      </w:r>
      <w:r>
        <w:rPr>
          <w:rFonts w:hint="eastAsia"/>
          <w:color w:val="auto"/>
          <w:highlight w:val="none"/>
        </w:rPr>
        <w:t>m</w:t>
      </w:r>
      <w:r>
        <w:rPr>
          <w:rFonts w:hint="eastAsia"/>
          <w:color w:val="auto"/>
          <w:highlight w:val="none"/>
          <w:vertAlign w:val="superscript"/>
        </w:rPr>
        <w:t>3</w:t>
      </w:r>
      <w:r>
        <w:rPr>
          <w:color w:val="auto"/>
          <w:highlight w:val="none"/>
        </w:rPr>
        <w:t>），NOx产生量为18.71kg，颗粒物产生量为2.4kg。</w:t>
      </w:r>
    </w:p>
    <w:p>
      <w:pPr>
        <w:widowControl w:val="0"/>
        <w:adjustRightInd w:val="0"/>
        <w:snapToGrid w:val="0"/>
        <w:ind w:firstLine="480"/>
        <w:rPr>
          <w:color w:val="auto"/>
          <w:highlight w:val="none"/>
        </w:rPr>
      </w:pPr>
      <w:r>
        <w:rPr>
          <w:color w:val="auto"/>
          <w:highlight w:val="none"/>
        </w:rPr>
        <w:t>天然气废气中各污染物的产生</w:t>
      </w:r>
      <w:r>
        <w:rPr>
          <w:rFonts w:hint="eastAsia"/>
          <w:color w:val="auto"/>
          <w:highlight w:val="none"/>
        </w:rPr>
        <w:t>排放情况</w:t>
      </w:r>
      <w:r>
        <w:rPr>
          <w:color w:val="auto"/>
          <w:highlight w:val="none"/>
        </w:rPr>
        <w:t>如下表所示。</w:t>
      </w:r>
    </w:p>
    <w:p>
      <w:pPr>
        <w:widowControl w:val="0"/>
        <w:ind w:firstLine="480"/>
        <w:rPr>
          <w:color w:val="auto"/>
          <w:highlight w:val="none"/>
        </w:rPr>
      </w:pPr>
    </w:p>
    <w:p>
      <w:pPr>
        <w:widowControl w:val="0"/>
        <w:ind w:firstLine="480"/>
        <w:rPr>
          <w:color w:val="auto"/>
          <w:highlight w:val="none"/>
        </w:rPr>
      </w:pPr>
    </w:p>
    <w:p>
      <w:pPr>
        <w:pStyle w:val="27"/>
        <w:widowControl w:val="0"/>
        <w:rPr>
          <w:color w:val="auto"/>
          <w:highlight w:val="none"/>
        </w:rPr>
      </w:pPr>
      <w:r>
        <w:rPr>
          <w:rFonts w:hint="eastAsia"/>
          <w:color w:val="auto"/>
          <w:highlight w:val="none"/>
        </w:rPr>
        <w:t>项目天然气废气预测产排量</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94"/>
        <w:gridCol w:w="1007"/>
        <w:gridCol w:w="967"/>
        <w:gridCol w:w="973"/>
        <w:gridCol w:w="1047"/>
        <w:gridCol w:w="894"/>
        <w:gridCol w:w="1005"/>
        <w:gridCol w:w="1219"/>
        <w:gridCol w:w="1214"/>
        <w:gridCol w:w="6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52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563" w:type="pct"/>
            <w:gridSpan w:val="3"/>
            <w:tcBorders>
              <w:tl2br w:val="nil"/>
              <w:tr2bl w:val="nil"/>
            </w:tcBorders>
            <w:vAlign w:val="center"/>
          </w:tcPr>
          <w:p>
            <w:pPr>
              <w:widowControl w:val="0"/>
              <w:adjustRightInd w:val="0"/>
              <w:snapToGrid w:val="0"/>
              <w:spacing w:line="240" w:lineRule="auto"/>
              <w:ind w:firstLine="422"/>
              <w:jc w:val="center"/>
              <w:rPr>
                <w:b/>
                <w:bCs/>
                <w:color w:val="auto"/>
                <w:highlight w:val="none"/>
              </w:rPr>
            </w:pPr>
            <w:r>
              <w:rPr>
                <w:b/>
                <w:bCs/>
                <w:color w:val="auto"/>
                <w:sz w:val="21"/>
                <w:szCs w:val="21"/>
                <w:highlight w:val="none"/>
              </w:rPr>
              <w:t>产生状况</w:t>
            </w:r>
          </w:p>
        </w:tc>
        <w:tc>
          <w:tcPr>
            <w:tcW w:w="1632" w:type="pct"/>
            <w:gridSpan w:val="3"/>
            <w:tcBorders>
              <w:tl2br w:val="nil"/>
              <w:tr2bl w:val="nil"/>
            </w:tcBorders>
            <w:vAlign w:val="center"/>
          </w:tcPr>
          <w:p>
            <w:pPr>
              <w:widowControl w:val="0"/>
              <w:adjustRightInd w:val="0"/>
              <w:snapToGrid w:val="0"/>
              <w:spacing w:line="240" w:lineRule="auto"/>
              <w:ind w:firstLine="422"/>
              <w:jc w:val="center"/>
              <w:rPr>
                <w:b/>
                <w:bCs/>
                <w:color w:val="auto"/>
                <w:highlight w:val="none"/>
              </w:rPr>
            </w:pPr>
            <w:r>
              <w:rPr>
                <w:rFonts w:hint="eastAsia"/>
                <w:b/>
                <w:bCs/>
                <w:color w:val="auto"/>
                <w:sz w:val="21"/>
                <w:szCs w:val="21"/>
                <w:highlight w:val="none"/>
              </w:rPr>
              <w:t>排放</w:t>
            </w:r>
            <w:r>
              <w:rPr>
                <w:b/>
                <w:bCs/>
                <w:color w:val="auto"/>
                <w:sz w:val="21"/>
                <w:szCs w:val="21"/>
                <w:highlight w:val="none"/>
              </w:rPr>
              <w:t>状况</w:t>
            </w:r>
          </w:p>
        </w:tc>
        <w:tc>
          <w:tcPr>
            <w:tcW w:w="635" w:type="pct"/>
            <w:vMerge w:val="restart"/>
            <w:tcBorders>
              <w:tl2br w:val="nil"/>
              <w:tr2bl w:val="nil"/>
            </w:tcBorders>
            <w:vAlign w:val="center"/>
          </w:tcPr>
          <w:p>
            <w:pPr>
              <w:widowControl w:val="0"/>
              <w:adjustRightInd w:val="0"/>
              <w:snapToGrid w:val="0"/>
              <w:spacing w:line="240" w:lineRule="auto"/>
              <w:ind w:firstLine="0" w:firstLineChars="0"/>
              <w:jc w:val="center"/>
              <w:rPr>
                <w:b/>
                <w:bCs/>
                <w:color w:val="auto"/>
                <w:sz w:val="21"/>
                <w:szCs w:val="21"/>
                <w:highlight w:val="none"/>
              </w:rPr>
            </w:pPr>
            <w:r>
              <w:rPr>
                <w:b/>
                <w:bCs/>
                <w:color w:val="auto"/>
                <w:sz w:val="21"/>
                <w:szCs w:val="21"/>
                <w:highlight w:val="none"/>
              </w:rPr>
              <w:t>执行标准</w:t>
            </w:r>
          </w:p>
          <w:p>
            <w:pPr>
              <w:widowControl w:val="0"/>
              <w:adjustRightInd w:val="0"/>
              <w:snapToGrid w:val="0"/>
              <w:spacing w:line="240" w:lineRule="auto"/>
              <w:ind w:firstLine="0" w:firstLineChars="0"/>
              <w:jc w:val="center"/>
              <w:rPr>
                <w:b/>
                <w:bCs/>
                <w:color w:val="auto"/>
                <w:highlight w:val="none"/>
              </w:rPr>
            </w:pPr>
            <w:r>
              <w:rPr>
                <w:b/>
                <w:bCs/>
                <w:color w:val="auto"/>
                <w:sz w:val="21"/>
                <w:szCs w:val="21"/>
                <w:highlight w:val="none"/>
              </w:rPr>
              <w:t>mg/m</w:t>
            </w:r>
            <w:r>
              <w:rPr>
                <w:b/>
                <w:bCs/>
                <w:color w:val="auto"/>
                <w:sz w:val="21"/>
                <w:szCs w:val="21"/>
                <w:highlight w:val="none"/>
                <w:vertAlign w:val="superscript"/>
              </w:rPr>
              <w:t>3</w:t>
            </w:r>
          </w:p>
        </w:tc>
        <w:tc>
          <w:tcPr>
            <w:tcW w:w="328" w:type="pct"/>
            <w:vMerge w:val="restart"/>
            <w:tcBorders>
              <w:tl2br w:val="nil"/>
              <w:tr2bl w:val="nil"/>
            </w:tcBorders>
            <w:vAlign w:val="center"/>
          </w:tcPr>
          <w:p>
            <w:pPr>
              <w:widowControl w:val="0"/>
              <w:adjustRightInd w:val="0"/>
              <w:snapToGrid w:val="0"/>
              <w:spacing w:line="240" w:lineRule="auto"/>
              <w:ind w:firstLine="0" w:firstLineChars="0"/>
              <w:jc w:val="center"/>
              <w:rPr>
                <w:b/>
                <w:bCs/>
                <w:color w:val="auto"/>
                <w:highlight w:val="none"/>
              </w:rPr>
            </w:pPr>
            <w:r>
              <w:rPr>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vMerge w:val="continue"/>
            <w:tcBorders>
              <w:tl2br w:val="nil"/>
              <w:tr2bl w:val="nil"/>
            </w:tcBorders>
            <w:vAlign w:val="center"/>
          </w:tcPr>
          <w:p>
            <w:pPr>
              <w:pStyle w:val="28"/>
              <w:widowControl w:val="0"/>
              <w:rPr>
                <w:color w:val="auto"/>
                <w:highlight w:val="none"/>
              </w:rPr>
            </w:pPr>
          </w:p>
        </w:tc>
        <w:tc>
          <w:tcPr>
            <w:tcW w:w="527" w:type="pct"/>
            <w:vMerge w:val="continue"/>
            <w:tcBorders>
              <w:tl2br w:val="nil"/>
              <w:tr2bl w:val="nil"/>
            </w:tcBorders>
            <w:vAlign w:val="center"/>
          </w:tcPr>
          <w:p>
            <w:pPr>
              <w:pStyle w:val="28"/>
              <w:widowControl w:val="0"/>
              <w:rPr>
                <w:color w:val="auto"/>
                <w:highlight w:val="none"/>
              </w:rPr>
            </w:pPr>
          </w:p>
        </w:tc>
        <w:tc>
          <w:tcPr>
            <w:tcW w:w="506"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b/>
                <w:color w:val="auto"/>
                <w:sz w:val="21"/>
                <w:szCs w:val="21"/>
                <w:highlight w:val="none"/>
              </w:rPr>
              <w:t>产生量t/a</w:t>
            </w:r>
          </w:p>
        </w:tc>
        <w:tc>
          <w:tcPr>
            <w:tcW w:w="509"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b/>
                <w:color w:val="auto"/>
                <w:sz w:val="21"/>
                <w:szCs w:val="21"/>
                <w:highlight w:val="none"/>
              </w:rPr>
              <w:t>产生速率kg/h</w:t>
            </w:r>
          </w:p>
        </w:tc>
        <w:tc>
          <w:tcPr>
            <w:tcW w:w="547"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b/>
                <w:color w:val="auto"/>
                <w:sz w:val="21"/>
                <w:szCs w:val="21"/>
                <w:highlight w:val="none"/>
              </w:rPr>
              <w:t>产生浓度mg/m</w:t>
            </w:r>
            <w:r>
              <w:rPr>
                <w:b/>
                <w:color w:val="auto"/>
                <w:sz w:val="21"/>
                <w:szCs w:val="21"/>
                <w:highlight w:val="none"/>
                <w:vertAlign w:val="superscript"/>
              </w:rPr>
              <w:t>3</w:t>
            </w:r>
          </w:p>
        </w:tc>
        <w:tc>
          <w:tcPr>
            <w:tcW w:w="468"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rFonts w:hint="eastAsia"/>
                <w:b/>
                <w:color w:val="auto"/>
                <w:sz w:val="21"/>
                <w:szCs w:val="21"/>
                <w:highlight w:val="none"/>
              </w:rPr>
              <w:t>排放</w:t>
            </w:r>
            <w:r>
              <w:rPr>
                <w:b/>
                <w:color w:val="auto"/>
                <w:sz w:val="21"/>
                <w:szCs w:val="21"/>
                <w:highlight w:val="none"/>
              </w:rPr>
              <w:t>量t/a</w:t>
            </w:r>
          </w:p>
        </w:tc>
        <w:tc>
          <w:tcPr>
            <w:tcW w:w="526"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rFonts w:hint="eastAsia"/>
                <w:b/>
                <w:color w:val="auto"/>
                <w:sz w:val="21"/>
                <w:szCs w:val="21"/>
                <w:highlight w:val="none"/>
              </w:rPr>
              <w:t>排放</w:t>
            </w:r>
            <w:r>
              <w:rPr>
                <w:b/>
                <w:color w:val="auto"/>
                <w:sz w:val="21"/>
                <w:szCs w:val="21"/>
                <w:highlight w:val="none"/>
              </w:rPr>
              <w:t>速率kg/h</w:t>
            </w:r>
          </w:p>
        </w:tc>
        <w:tc>
          <w:tcPr>
            <w:tcW w:w="637"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rFonts w:hint="eastAsia"/>
                <w:b/>
                <w:color w:val="auto"/>
                <w:sz w:val="21"/>
                <w:szCs w:val="21"/>
                <w:highlight w:val="none"/>
              </w:rPr>
              <w:t>排放</w:t>
            </w:r>
            <w:r>
              <w:rPr>
                <w:b/>
                <w:color w:val="auto"/>
                <w:sz w:val="21"/>
                <w:szCs w:val="21"/>
                <w:highlight w:val="none"/>
              </w:rPr>
              <w:t>浓度mg/m</w:t>
            </w:r>
            <w:r>
              <w:rPr>
                <w:b/>
                <w:color w:val="auto"/>
                <w:sz w:val="21"/>
                <w:szCs w:val="21"/>
                <w:highlight w:val="none"/>
                <w:vertAlign w:val="superscript"/>
              </w:rPr>
              <w:t>3</w:t>
            </w:r>
          </w:p>
        </w:tc>
        <w:tc>
          <w:tcPr>
            <w:tcW w:w="635" w:type="pct"/>
            <w:vMerge w:val="continue"/>
            <w:tcBorders>
              <w:tl2br w:val="nil"/>
              <w:tr2bl w:val="nil"/>
            </w:tcBorders>
            <w:vAlign w:val="center"/>
          </w:tcPr>
          <w:p>
            <w:pPr>
              <w:pStyle w:val="28"/>
              <w:widowControl w:val="0"/>
              <w:rPr>
                <w:color w:val="auto"/>
                <w:highlight w:val="none"/>
              </w:rPr>
            </w:pPr>
          </w:p>
        </w:tc>
        <w:tc>
          <w:tcPr>
            <w:tcW w:w="328"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52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50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50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w:t>
            </w:r>
          </w:p>
        </w:tc>
        <w:tc>
          <w:tcPr>
            <w:tcW w:w="5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24</w:t>
            </w:r>
          </w:p>
        </w:tc>
        <w:tc>
          <w:tcPr>
            <w:tcW w:w="46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52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w:t>
            </w:r>
          </w:p>
        </w:tc>
        <w:tc>
          <w:tcPr>
            <w:tcW w:w="63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24</w:t>
            </w:r>
          </w:p>
        </w:tc>
        <w:tc>
          <w:tcPr>
            <w:tcW w:w="635" w:type="pct"/>
            <w:tcBorders>
              <w:tl2br w:val="nil"/>
              <w:tr2bl w:val="nil"/>
            </w:tcBorders>
            <w:vAlign w:val="center"/>
          </w:tcPr>
          <w:p>
            <w:pPr>
              <w:pStyle w:val="28"/>
              <w:widowControl w:val="0"/>
              <w:rPr>
                <w:color w:val="auto"/>
                <w:highlight w:val="none"/>
              </w:rPr>
            </w:pPr>
            <w:r>
              <w:rPr>
                <w:rFonts w:hint="eastAsia"/>
                <w:color w:val="auto"/>
                <w:highlight w:val="none"/>
              </w:rPr>
              <w:t>50</w:t>
            </w:r>
          </w:p>
        </w:tc>
        <w:tc>
          <w:tcPr>
            <w:tcW w:w="328"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2</w:t>
            </w:r>
          </w:p>
        </w:tc>
        <w:tc>
          <w:tcPr>
            <w:tcW w:w="52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NOx</w:t>
            </w:r>
          </w:p>
        </w:tc>
        <w:tc>
          <w:tcPr>
            <w:tcW w:w="50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50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0.089</w:t>
            </w:r>
          </w:p>
        </w:tc>
        <w:tc>
          <w:tcPr>
            <w:tcW w:w="5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106.5</w:t>
            </w:r>
          </w:p>
        </w:tc>
        <w:tc>
          <w:tcPr>
            <w:tcW w:w="46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52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0.089</w:t>
            </w:r>
          </w:p>
        </w:tc>
        <w:tc>
          <w:tcPr>
            <w:tcW w:w="63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106.5</w:t>
            </w:r>
          </w:p>
        </w:tc>
        <w:tc>
          <w:tcPr>
            <w:tcW w:w="635" w:type="pct"/>
            <w:tcBorders>
              <w:tl2br w:val="nil"/>
              <w:tr2bl w:val="nil"/>
            </w:tcBorders>
            <w:vAlign w:val="center"/>
          </w:tcPr>
          <w:p>
            <w:pPr>
              <w:pStyle w:val="28"/>
              <w:widowControl w:val="0"/>
              <w:rPr>
                <w:color w:val="auto"/>
                <w:highlight w:val="none"/>
              </w:rPr>
            </w:pPr>
            <w:r>
              <w:rPr>
                <w:rFonts w:hint="eastAsia"/>
                <w:color w:val="auto"/>
                <w:highlight w:val="none"/>
              </w:rPr>
              <w:t>200</w:t>
            </w:r>
          </w:p>
        </w:tc>
        <w:tc>
          <w:tcPr>
            <w:tcW w:w="328"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3</w:t>
            </w:r>
          </w:p>
        </w:tc>
        <w:tc>
          <w:tcPr>
            <w:tcW w:w="52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颗粒物</w:t>
            </w:r>
          </w:p>
        </w:tc>
        <w:tc>
          <w:tcPr>
            <w:tcW w:w="50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50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0.012</w:t>
            </w:r>
          </w:p>
        </w:tc>
        <w:tc>
          <w:tcPr>
            <w:tcW w:w="5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14.5</w:t>
            </w:r>
          </w:p>
        </w:tc>
        <w:tc>
          <w:tcPr>
            <w:tcW w:w="46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526"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0.012</w:t>
            </w:r>
          </w:p>
        </w:tc>
        <w:tc>
          <w:tcPr>
            <w:tcW w:w="63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14.5</w:t>
            </w:r>
          </w:p>
        </w:tc>
        <w:tc>
          <w:tcPr>
            <w:tcW w:w="635"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28"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000" w:type="pct"/>
            <w:gridSpan w:val="10"/>
            <w:tcBorders>
              <w:tl2br w:val="nil"/>
              <w:tr2bl w:val="nil"/>
            </w:tcBorders>
            <w:vAlign w:val="center"/>
          </w:tcPr>
          <w:p>
            <w:pPr>
              <w:pStyle w:val="28"/>
              <w:widowControl w:val="0"/>
              <w:jc w:val="both"/>
              <w:rPr>
                <w:color w:val="auto"/>
                <w:highlight w:val="none"/>
              </w:rPr>
            </w:pPr>
            <w:r>
              <w:rPr>
                <w:rFonts w:hint="eastAsia"/>
                <w:color w:val="auto"/>
                <w:highlight w:val="none"/>
              </w:rPr>
              <w:t>注：燃烧废气执行《锅炉大气污染物排放标准》（GB 13271-2014）中表2标准</w:t>
            </w:r>
          </w:p>
        </w:tc>
      </w:tr>
    </w:tbl>
    <w:p>
      <w:pPr>
        <w:widowControl w:val="0"/>
        <w:ind w:firstLine="480"/>
        <w:rPr>
          <w:color w:val="auto"/>
          <w:highlight w:val="none"/>
        </w:rPr>
      </w:pPr>
      <w:r>
        <w:rPr>
          <w:rFonts w:hint="eastAsia"/>
          <w:color w:val="auto"/>
          <w:highlight w:val="none"/>
        </w:rPr>
        <w:t>本项目设备设置于屠宰车间</w:t>
      </w:r>
      <w:r>
        <w:rPr>
          <w:rFonts w:hint="eastAsia"/>
          <w:color w:val="auto"/>
          <w:highlight w:val="none"/>
          <w:lang w:val="en-US" w:eastAsia="zh-CN"/>
        </w:rPr>
        <w:t>南侧</w:t>
      </w:r>
      <w:r>
        <w:rPr>
          <w:rFonts w:hint="eastAsia"/>
          <w:color w:val="auto"/>
          <w:highlight w:val="none"/>
        </w:rPr>
        <w:t>，两台</w:t>
      </w:r>
      <w:r>
        <w:rPr>
          <w:rFonts w:hint="eastAsia"/>
          <w:color w:val="auto"/>
          <w:highlight w:val="none"/>
          <w:lang w:val="en-US" w:eastAsia="zh-CN"/>
        </w:rPr>
        <w:t>锅炉</w:t>
      </w:r>
      <w:r>
        <w:rPr>
          <w:rFonts w:hint="eastAsia"/>
          <w:color w:val="auto"/>
          <w:highlight w:val="none"/>
        </w:rPr>
        <w:t>共用一根排气筒至楼顶排放（h=8m），燃烧后的废气直接通过排气筒排出。</w:t>
      </w:r>
    </w:p>
    <w:p>
      <w:pPr>
        <w:widowControl w:val="0"/>
        <w:ind w:firstLine="480"/>
        <w:rPr>
          <w:color w:val="auto"/>
          <w:highlight w:val="none"/>
        </w:rPr>
      </w:pPr>
      <w:r>
        <w:rPr>
          <w:rFonts w:hint="eastAsia"/>
          <w:color w:val="auto"/>
          <w:highlight w:val="none"/>
        </w:rPr>
        <w:t>天然气属清洁能源，产生的燃烧废气，对周边环境影响较小，项目采取增强厂区绿化，排气筒设置远离居民敏感点，采取上述措施后，天然气产生的燃烧废气影响较小。</w:t>
      </w:r>
    </w:p>
    <w:p>
      <w:pPr>
        <w:pStyle w:val="5"/>
        <w:widowControl w:val="0"/>
        <w:ind w:firstLine="120"/>
        <w:rPr>
          <w:color w:val="auto"/>
          <w:highlight w:val="none"/>
        </w:rPr>
      </w:pPr>
      <w:r>
        <w:rPr>
          <w:rFonts w:hint="eastAsia"/>
          <w:color w:val="auto"/>
          <w:highlight w:val="none"/>
        </w:rPr>
        <w:t>噪声排放和治理措施</w:t>
      </w:r>
    </w:p>
    <w:p>
      <w:pPr>
        <w:widowControl w:val="0"/>
        <w:ind w:firstLine="480"/>
        <w:jc w:val="left"/>
        <w:rPr>
          <w:color w:val="auto"/>
          <w:highlight w:val="none"/>
        </w:rPr>
      </w:pPr>
      <w:r>
        <w:rPr>
          <w:rFonts w:hint="eastAsia" w:ascii="宋体" w:hAnsi="宋体"/>
          <w:color w:val="auto"/>
          <w:highlight w:val="none"/>
        </w:rPr>
        <w:t>本项目噪声源主要为待宰圈猪叫声、牛叫声、屠宰车间生产设备</w:t>
      </w:r>
      <w:r>
        <w:rPr>
          <w:rFonts w:hint="eastAsia" w:ascii="宋体" w:hAnsi="宋体"/>
          <w:color w:val="auto"/>
          <w:highlight w:val="none"/>
          <w:lang w:eastAsia="zh-CN"/>
        </w:rPr>
        <w:t>、</w:t>
      </w:r>
      <w:r>
        <w:rPr>
          <w:rFonts w:hint="eastAsia" w:ascii="宋体" w:hAnsi="宋体"/>
          <w:color w:val="auto"/>
          <w:highlight w:val="none"/>
          <w:lang w:val="en-US" w:eastAsia="zh-CN"/>
        </w:rPr>
        <w:t>污水处理提升泵</w:t>
      </w:r>
      <w:r>
        <w:rPr>
          <w:rFonts w:hint="eastAsia" w:ascii="宋体" w:hAnsi="宋体"/>
          <w:color w:val="auto"/>
          <w:highlight w:val="none"/>
        </w:rPr>
        <w:t>及辅助设备噪声，运输车辆产生的噪声。</w:t>
      </w:r>
    </w:p>
    <w:p>
      <w:pPr>
        <w:pStyle w:val="6"/>
        <w:widowControl w:val="0"/>
        <w:ind w:left="-160" w:firstLineChars="0"/>
        <w:rPr>
          <w:color w:val="auto"/>
          <w:highlight w:val="none"/>
        </w:rPr>
      </w:pPr>
      <w:r>
        <w:rPr>
          <w:rFonts w:hint="eastAsia"/>
          <w:color w:val="auto"/>
          <w:highlight w:val="none"/>
        </w:rPr>
        <w:t>动物叫声及治理措施</w:t>
      </w:r>
    </w:p>
    <w:p>
      <w:pPr>
        <w:widowControl w:val="0"/>
        <w:ind w:firstLine="480"/>
        <w:jc w:val="left"/>
        <w:rPr>
          <w:color w:val="auto"/>
          <w:highlight w:val="none"/>
        </w:rPr>
      </w:pPr>
      <w:r>
        <w:rPr>
          <w:rFonts w:hint="eastAsia" w:ascii="宋体" w:hAnsi="宋体"/>
          <w:color w:val="auto"/>
          <w:highlight w:val="none"/>
        </w:rPr>
        <w:t>由于项目宰杀采用电麻技术，因此在宰杀过程中不会产生动物叫声</w:t>
      </w:r>
      <w:r>
        <w:rPr>
          <w:rFonts w:hint="eastAsia" w:ascii="宋体" w:hAnsi="宋体"/>
          <w:color w:val="auto"/>
          <w:highlight w:val="none"/>
          <w:lang w:eastAsia="zh-CN"/>
        </w:rPr>
        <w:t>，</w:t>
      </w:r>
      <w:r>
        <w:rPr>
          <w:rFonts w:hint="eastAsia" w:ascii="宋体" w:hAnsi="宋体"/>
          <w:color w:val="auto"/>
          <w:highlight w:val="none"/>
        </w:rPr>
        <w:t>动物叫声主要产生于生猪和肉牛卸载及静养期间，根据类比调查，动物卸载时，叫声产生的噪声值在</w:t>
      </w:r>
      <w:r>
        <w:rPr>
          <w:rFonts w:hint="eastAsia"/>
          <w:color w:val="auto"/>
          <w:highlight w:val="none"/>
        </w:rPr>
        <w:t>80</w:t>
      </w:r>
      <w:r>
        <w:rPr>
          <w:rFonts w:eastAsia="Times New Roman"/>
          <w:color w:val="auto"/>
          <w:highlight w:val="none"/>
        </w:rPr>
        <w:t>dB</w:t>
      </w:r>
      <w:r>
        <w:rPr>
          <w:rFonts w:hint="eastAsia" w:ascii="宋体" w:hAnsi="宋体"/>
          <w:color w:val="auto"/>
          <w:highlight w:val="none"/>
        </w:rPr>
        <w:t>（</w:t>
      </w:r>
      <w:r>
        <w:rPr>
          <w:rFonts w:eastAsia="Times New Roman"/>
          <w:color w:val="auto"/>
          <w:highlight w:val="none"/>
        </w:rPr>
        <w:t>A</w:t>
      </w:r>
      <w:r>
        <w:rPr>
          <w:rFonts w:hint="eastAsia" w:ascii="宋体" w:hAnsi="宋体"/>
          <w:color w:val="auto"/>
          <w:highlight w:val="none"/>
        </w:rPr>
        <w:t>）左右，而在静养期间，由于会对其放音乐，而待宰生猪及肉牛较安静，猪叫声一般低</w:t>
      </w:r>
      <w:r>
        <w:rPr>
          <w:rFonts w:hint="eastAsia"/>
          <w:color w:val="auto"/>
          <w:highlight w:val="none"/>
        </w:rPr>
        <w:t>65</w:t>
      </w:r>
      <w:r>
        <w:rPr>
          <w:rFonts w:eastAsia="Times New Roman"/>
          <w:color w:val="auto"/>
          <w:highlight w:val="none"/>
        </w:rPr>
        <w:t>dB</w:t>
      </w:r>
      <w:r>
        <w:rPr>
          <w:rFonts w:hint="eastAsia"/>
          <w:color w:val="auto"/>
          <w:highlight w:val="none"/>
        </w:rPr>
        <w:t>（</w:t>
      </w:r>
      <w:r>
        <w:rPr>
          <w:rFonts w:eastAsia="Times New Roman"/>
          <w:color w:val="auto"/>
          <w:highlight w:val="none"/>
        </w:rPr>
        <w:t>A</w:t>
      </w:r>
      <w:r>
        <w:rPr>
          <w:rFonts w:hint="eastAsia"/>
          <w:color w:val="auto"/>
          <w:highlight w:val="none"/>
        </w:rPr>
        <w:t>）</w:t>
      </w:r>
      <w:r>
        <w:rPr>
          <w:rFonts w:hint="eastAsia" w:ascii="宋体" w:hAnsi="宋体"/>
          <w:color w:val="auto"/>
          <w:highlight w:val="none"/>
        </w:rPr>
        <w:t>，因此项目猪叫声产生时段主要在动物进场时。本项目拟采用以下治理措施：</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）项目采用麻电机将牲畜致昏后刺杀，可大大降低牲畜宰杀过程中噪声。</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）待宰圈进行封闭措施，墙体采用吸音、隔声建筑材料建造厂房，同时，项目应当尽量减少对待宰圈的干扰，保持安定平和的气氛，以缓解牲畜的紧张情绪，减少卸载和待宰过程的嘶叫。</w:t>
      </w:r>
    </w:p>
    <w:p>
      <w:pPr>
        <w:widowControl w:val="0"/>
        <w:ind w:firstLine="480"/>
        <w:rPr>
          <w:color w:val="auto"/>
          <w:highlight w:val="none"/>
        </w:rPr>
      </w:pPr>
      <w:r>
        <w:rPr>
          <w:rFonts w:hint="eastAsia" w:ascii="宋体" w:hAnsi="宋体"/>
          <w:color w:val="auto"/>
          <w:highlight w:val="none"/>
        </w:rPr>
        <w:t>（</w:t>
      </w:r>
      <w:r>
        <w:rPr>
          <w:rFonts w:eastAsia="Times New Roman"/>
          <w:color w:val="auto"/>
          <w:highlight w:val="none"/>
        </w:rPr>
        <w:t>3</w:t>
      </w:r>
      <w:r>
        <w:rPr>
          <w:rFonts w:hint="eastAsia" w:ascii="宋体" w:hAnsi="宋体"/>
          <w:color w:val="auto"/>
          <w:highlight w:val="none"/>
        </w:rPr>
        <w:t>）在待宰圈内播放音乐（音量较小），使生猪和肉牛保持安静。</w:t>
      </w:r>
    </w:p>
    <w:p>
      <w:pPr>
        <w:pStyle w:val="6"/>
        <w:widowControl w:val="0"/>
        <w:ind w:left="-160" w:firstLineChars="0"/>
        <w:rPr>
          <w:color w:val="auto"/>
          <w:highlight w:val="none"/>
        </w:rPr>
      </w:pPr>
      <w:r>
        <w:rPr>
          <w:rFonts w:hint="eastAsia"/>
          <w:color w:val="auto"/>
          <w:highlight w:val="none"/>
        </w:rPr>
        <w:t>设备噪声及治理措施</w:t>
      </w:r>
    </w:p>
    <w:p>
      <w:pPr>
        <w:widowControl w:val="0"/>
        <w:ind w:firstLine="480"/>
        <w:jc w:val="left"/>
        <w:rPr>
          <w:rFonts w:hint="eastAsia" w:ascii="宋体" w:hAnsi="宋体"/>
          <w:color w:val="auto"/>
          <w:highlight w:val="none"/>
        </w:rPr>
        <w:sectPr>
          <w:pgSz w:w="12240" w:h="15840"/>
          <w:pgMar w:top="1440" w:right="1474"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olor w:val="auto"/>
          <w:highlight w:val="none"/>
        </w:rPr>
        <w:t>设备噪声源主要为屠宰车间刨毛机、劈半机等生产设备产生的噪声，污水处理站水泵产生的噪声，废气处理设备风机产生噪声，噪声源强为</w:t>
      </w:r>
      <w:r>
        <w:rPr>
          <w:rFonts w:eastAsia="Times New Roman"/>
          <w:color w:val="auto"/>
          <w:highlight w:val="none"/>
        </w:rPr>
        <w:t>70~105dB</w:t>
      </w:r>
      <w:r>
        <w:rPr>
          <w:rFonts w:hint="eastAsia" w:ascii="宋体" w:hAnsi="宋体"/>
          <w:color w:val="auto"/>
          <w:highlight w:val="none"/>
        </w:rPr>
        <w:t>（</w:t>
      </w:r>
      <w:r>
        <w:rPr>
          <w:rFonts w:eastAsia="Times New Roman"/>
          <w:color w:val="auto"/>
          <w:highlight w:val="none"/>
        </w:rPr>
        <w:t>A</w:t>
      </w:r>
      <w:r>
        <w:rPr>
          <w:rFonts w:hint="eastAsia" w:ascii="宋体" w:hAnsi="宋体"/>
          <w:color w:val="auto"/>
          <w:highlight w:val="none"/>
        </w:rPr>
        <w:t>），各噪声源强及治理措施见下表。</w:t>
      </w:r>
    </w:p>
    <w:p>
      <w:pPr>
        <w:pStyle w:val="27"/>
        <w:widowControl w:val="0"/>
        <w:rPr>
          <w:color w:val="auto"/>
          <w:highlight w:val="none"/>
        </w:rPr>
      </w:pPr>
      <w:r>
        <w:rPr>
          <w:rFonts w:hint="eastAsia"/>
          <w:color w:val="auto"/>
          <w:highlight w:val="none"/>
        </w:rPr>
        <w:t>本项目噪声源源强及治理措施一览表   单位：</w:t>
      </w:r>
      <w:r>
        <w:rPr>
          <w:color w:val="auto"/>
          <w:highlight w:val="none"/>
        </w:rPr>
        <w:t>dB</w:t>
      </w:r>
      <w:r>
        <w:rPr>
          <w:rFonts w:hint="eastAsia"/>
          <w:color w:val="auto"/>
          <w:highlight w:val="none"/>
        </w:rPr>
        <w:t>（A）</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618"/>
        <w:gridCol w:w="2163"/>
        <w:gridCol w:w="946"/>
        <w:gridCol w:w="2540"/>
        <w:gridCol w:w="822"/>
        <w:gridCol w:w="1062"/>
        <w:gridCol w:w="1093"/>
        <w:gridCol w:w="120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05" w:type="pct"/>
            <w:vMerge w:val="restar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序号</w:t>
            </w:r>
          </w:p>
        </w:tc>
        <w:tc>
          <w:tcPr>
            <w:tcW w:w="614"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建筑物名称</w:t>
            </w:r>
          </w:p>
        </w:tc>
        <w:tc>
          <w:tcPr>
            <w:tcW w:w="821"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声源名称</w:t>
            </w:r>
          </w:p>
        </w:tc>
        <w:tc>
          <w:tcPr>
            <w:tcW w:w="359"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声压级/距声源距离m</w:t>
            </w:r>
          </w:p>
        </w:tc>
        <w:tc>
          <w:tcPr>
            <w:tcW w:w="964"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声源控制措施</w:t>
            </w:r>
          </w:p>
        </w:tc>
        <w:tc>
          <w:tcPr>
            <w:tcW w:w="312"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居室内边界距离/m</w:t>
            </w:r>
          </w:p>
        </w:tc>
        <w:tc>
          <w:tcPr>
            <w:tcW w:w="403"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室内边界声级/dB（A）</w:t>
            </w:r>
          </w:p>
        </w:tc>
        <w:tc>
          <w:tcPr>
            <w:tcW w:w="415" w:type="pct"/>
            <w:vMerge w:val="restar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建筑物插入损失/dB（A）</w:t>
            </w:r>
          </w:p>
        </w:tc>
        <w:tc>
          <w:tcPr>
            <w:tcW w:w="903" w:type="pct"/>
            <w:gridSpan w:val="2"/>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建筑外噪声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05" w:type="pct"/>
            <w:vMerge w:val="continue"/>
            <w:vAlign w:val="center"/>
          </w:tcPr>
          <w:p>
            <w:pPr>
              <w:pStyle w:val="28"/>
              <w:widowControl w:val="0"/>
              <w:rPr>
                <w:color w:val="auto"/>
                <w:highlight w:val="none"/>
              </w:rPr>
            </w:pPr>
          </w:p>
        </w:tc>
        <w:tc>
          <w:tcPr>
            <w:tcW w:w="614" w:type="pct"/>
            <w:vMerge w:val="continue"/>
            <w:vAlign w:val="center"/>
          </w:tcPr>
          <w:p>
            <w:pPr>
              <w:pStyle w:val="28"/>
              <w:widowControl w:val="0"/>
              <w:rPr>
                <w:color w:val="auto"/>
                <w:highlight w:val="none"/>
              </w:rPr>
            </w:pPr>
          </w:p>
        </w:tc>
        <w:tc>
          <w:tcPr>
            <w:tcW w:w="821" w:type="pct"/>
            <w:vMerge w:val="continue"/>
            <w:vAlign w:val="center"/>
          </w:tcPr>
          <w:p>
            <w:pPr>
              <w:pStyle w:val="28"/>
              <w:widowControl w:val="0"/>
              <w:rPr>
                <w:color w:val="auto"/>
                <w:highlight w:val="none"/>
              </w:rPr>
            </w:pPr>
          </w:p>
        </w:tc>
        <w:tc>
          <w:tcPr>
            <w:tcW w:w="359" w:type="pct"/>
            <w:vMerge w:val="continue"/>
            <w:vAlign w:val="center"/>
          </w:tcPr>
          <w:p>
            <w:pPr>
              <w:pStyle w:val="28"/>
              <w:widowControl w:val="0"/>
              <w:rPr>
                <w:color w:val="auto"/>
                <w:highlight w:val="none"/>
              </w:rPr>
            </w:pPr>
          </w:p>
        </w:tc>
        <w:tc>
          <w:tcPr>
            <w:tcW w:w="964" w:type="pct"/>
            <w:vMerge w:val="continue"/>
            <w:vAlign w:val="center"/>
          </w:tcPr>
          <w:p>
            <w:pPr>
              <w:pStyle w:val="28"/>
              <w:widowControl w:val="0"/>
              <w:rPr>
                <w:color w:val="auto"/>
                <w:highlight w:val="none"/>
              </w:rPr>
            </w:pPr>
          </w:p>
        </w:tc>
        <w:tc>
          <w:tcPr>
            <w:tcW w:w="312" w:type="pct"/>
            <w:vMerge w:val="continue"/>
            <w:vAlign w:val="center"/>
          </w:tcPr>
          <w:p>
            <w:pPr>
              <w:pStyle w:val="28"/>
              <w:widowControl w:val="0"/>
              <w:rPr>
                <w:color w:val="auto"/>
                <w:highlight w:val="none"/>
              </w:rPr>
            </w:pPr>
          </w:p>
        </w:tc>
        <w:tc>
          <w:tcPr>
            <w:tcW w:w="403" w:type="pct"/>
            <w:vMerge w:val="continue"/>
            <w:vAlign w:val="center"/>
          </w:tcPr>
          <w:p>
            <w:pPr>
              <w:pStyle w:val="28"/>
              <w:widowControl w:val="0"/>
              <w:rPr>
                <w:color w:val="auto"/>
                <w:highlight w:val="none"/>
              </w:rPr>
            </w:pPr>
          </w:p>
        </w:tc>
        <w:tc>
          <w:tcPr>
            <w:tcW w:w="415" w:type="pct"/>
            <w:vMerge w:val="continue"/>
            <w:vAlign w:val="center"/>
          </w:tcPr>
          <w:p>
            <w:pPr>
              <w:pStyle w:val="28"/>
              <w:widowControl w:val="0"/>
              <w:rPr>
                <w:color w:val="auto"/>
                <w:highlight w:val="none"/>
              </w:rPr>
            </w:pPr>
          </w:p>
        </w:tc>
        <w:tc>
          <w:tcPr>
            <w:tcW w:w="459"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声压级/dB（A）</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w:t>
            </w:r>
          </w:p>
        </w:tc>
        <w:tc>
          <w:tcPr>
            <w:tcW w:w="614" w:type="pct"/>
            <w:vMerge w:val="restar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生猪屠宰车间</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托胸活挂输送机</w:t>
            </w:r>
          </w:p>
        </w:tc>
        <w:tc>
          <w:tcPr>
            <w:tcW w:w="359"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自动落猪器</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3</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洗猪机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5</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4</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打毛机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15</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85</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65</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5</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劈半锯</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6</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断轨器</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7</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劈半站台</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5</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8</w:t>
            </w:r>
          </w:p>
        </w:tc>
        <w:tc>
          <w:tcPr>
            <w:tcW w:w="614" w:type="pct"/>
            <w:vMerge w:val="restar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肉牛屠宰车间</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牵牛机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5</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9</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牛翻板箱</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10</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活牛起吊器</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11</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开胸锯</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12</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劈半锯</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13</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四分体单柱升降台</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70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50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14</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四分体转挂装置</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建筑隔声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70</w:t>
            </w:r>
          </w:p>
        </w:tc>
        <w:tc>
          <w:tcPr>
            <w:tcW w:w="1093"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50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15</w:t>
            </w:r>
          </w:p>
        </w:tc>
        <w:tc>
          <w:tcPr>
            <w:tcW w:w="614" w:type="pct"/>
            <w:vMerge w:val="restar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污水处理站</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调节池预曝气装置</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减振、地埋、构筑物隔声</w:t>
            </w:r>
          </w:p>
        </w:tc>
        <w:tc>
          <w:tcPr>
            <w:tcW w:w="312"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w:t>
            </w:r>
          </w:p>
        </w:tc>
        <w:tc>
          <w:tcPr>
            <w:tcW w:w="403" w:type="pct"/>
            <w:vAlign w:val="center"/>
          </w:tcPr>
          <w:p>
            <w:pPr>
              <w:pStyle w:val="28"/>
              <w:widowControl w:val="0"/>
              <w:ind w:firstLine="0" w:firstLineChars="0"/>
              <w:rPr>
                <w:rFonts w:hint="default" w:eastAsia="宋体"/>
                <w:color w:val="auto"/>
                <w:highlight w:val="none"/>
                <w:vertAlign w:val="baseline"/>
                <w:lang w:val="en-US" w:eastAsia="zh-CN"/>
              </w:rPr>
            </w:pPr>
            <w:r>
              <w:rPr>
                <w:rFonts w:hint="eastAsia"/>
                <w:color w:val="auto"/>
                <w:highlight w:val="none"/>
                <w:lang w:val="en-US" w:eastAsia="zh-CN"/>
              </w:rPr>
              <w:t>90</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25</w:t>
            </w:r>
          </w:p>
        </w:tc>
        <w:tc>
          <w:tcPr>
            <w:tcW w:w="1209" w:type="dxa"/>
            <w:vAlign w:val="center"/>
          </w:tcPr>
          <w:p>
            <w:pPr>
              <w:pStyle w:val="28"/>
              <w:widowControl w:val="0"/>
              <w:bidi w:val="0"/>
              <w:rPr>
                <w:color w:val="auto"/>
                <w:highlight w:val="none"/>
              </w:rPr>
            </w:pPr>
            <w:r>
              <w:rPr>
                <w:rFonts w:hint="eastAsia"/>
                <w:color w:val="auto"/>
                <w:highlight w:val="none"/>
                <w:lang w:val="en-US" w:eastAsia="zh-CN"/>
              </w:rPr>
              <w:t>65</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16</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调节池潜污泵</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减振、地埋、构筑物隔声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403" w:type="pct"/>
            <w:vAlign w:val="center"/>
          </w:tcPr>
          <w:p>
            <w:pPr>
              <w:pStyle w:val="28"/>
              <w:widowControl w:val="0"/>
              <w:ind w:firstLine="0" w:firstLineChars="0"/>
              <w:rPr>
                <w:rFonts w:hint="default" w:eastAsia="宋体"/>
                <w:color w:val="auto"/>
                <w:highlight w:val="none"/>
                <w:vertAlign w:val="baseline"/>
                <w:lang w:val="en-US" w:eastAsia="zh-CN"/>
              </w:rPr>
            </w:pPr>
            <w:r>
              <w:rPr>
                <w:rFonts w:hint="eastAsia"/>
                <w:color w:val="auto"/>
                <w:highlight w:val="none"/>
                <w:lang w:val="en-US" w:eastAsia="zh-CN"/>
              </w:rPr>
              <w:t>95</w:t>
            </w:r>
          </w:p>
        </w:tc>
        <w:tc>
          <w:tcPr>
            <w:tcW w:w="415" w:type="pct"/>
            <w:vAlign w:val="center"/>
          </w:tcPr>
          <w:p>
            <w:pPr>
              <w:pStyle w:val="28"/>
              <w:widowControl w:val="0"/>
              <w:rPr>
                <w:color w:val="auto"/>
                <w:highlight w:val="none"/>
                <w:vertAlign w:val="baseline"/>
              </w:rPr>
            </w:pPr>
            <w:r>
              <w:rPr>
                <w:rFonts w:hint="eastAsia"/>
                <w:color w:val="auto"/>
                <w:highlight w:val="none"/>
                <w:vertAlign w:val="baseline"/>
                <w:lang w:val="en-US" w:eastAsia="zh-CN"/>
              </w:rPr>
              <w:t>25</w:t>
            </w:r>
          </w:p>
        </w:tc>
        <w:tc>
          <w:tcPr>
            <w:tcW w:w="1209" w:type="dxa"/>
            <w:vAlign w:val="center"/>
          </w:tcPr>
          <w:p>
            <w:pPr>
              <w:pStyle w:val="28"/>
              <w:widowControl w:val="0"/>
              <w:bidi w:val="0"/>
              <w:rPr>
                <w:color w:val="auto"/>
                <w:highlight w:val="none"/>
              </w:rPr>
            </w:pPr>
            <w:r>
              <w:rPr>
                <w:rFonts w:hint="eastAsia"/>
                <w:color w:val="auto"/>
                <w:highlight w:val="none"/>
                <w:lang w:val="en-US" w:eastAsia="zh-CN"/>
              </w:rPr>
              <w:t>70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17</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硝化液回流泵</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减振、地埋、构筑物隔声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403" w:type="pct"/>
            <w:vAlign w:val="center"/>
          </w:tcPr>
          <w:p>
            <w:pPr>
              <w:pStyle w:val="28"/>
              <w:widowControl w:val="0"/>
              <w:ind w:firstLine="0" w:firstLineChars="0"/>
              <w:rPr>
                <w:rFonts w:hint="default" w:eastAsia="宋体"/>
                <w:color w:val="auto"/>
                <w:highlight w:val="none"/>
                <w:vertAlign w:val="baseline"/>
                <w:lang w:val="en-US" w:eastAsia="zh-CN"/>
              </w:rPr>
            </w:pPr>
            <w:r>
              <w:rPr>
                <w:rFonts w:hint="eastAsia"/>
                <w:color w:val="auto"/>
                <w:highlight w:val="none"/>
                <w:lang w:val="en-US" w:eastAsia="zh-CN"/>
              </w:rPr>
              <w:t>95</w:t>
            </w:r>
          </w:p>
        </w:tc>
        <w:tc>
          <w:tcPr>
            <w:tcW w:w="415" w:type="pct"/>
            <w:vAlign w:val="center"/>
          </w:tcPr>
          <w:p>
            <w:pPr>
              <w:pStyle w:val="28"/>
              <w:widowControl w:val="0"/>
              <w:rPr>
                <w:color w:val="auto"/>
                <w:highlight w:val="none"/>
                <w:vertAlign w:val="baseline"/>
              </w:rPr>
            </w:pPr>
            <w:r>
              <w:rPr>
                <w:rFonts w:hint="eastAsia"/>
                <w:color w:val="auto"/>
                <w:highlight w:val="none"/>
                <w:vertAlign w:val="baseline"/>
                <w:lang w:val="en-US" w:eastAsia="zh-CN"/>
              </w:rPr>
              <w:t>25</w:t>
            </w:r>
          </w:p>
        </w:tc>
        <w:tc>
          <w:tcPr>
            <w:tcW w:w="1209" w:type="dxa"/>
            <w:vAlign w:val="center"/>
          </w:tcPr>
          <w:p>
            <w:pPr>
              <w:pStyle w:val="28"/>
              <w:widowControl w:val="0"/>
              <w:bidi w:val="0"/>
              <w:rPr>
                <w:color w:val="auto"/>
                <w:highlight w:val="none"/>
              </w:rPr>
            </w:pPr>
            <w:r>
              <w:rPr>
                <w:rFonts w:hint="eastAsia"/>
                <w:color w:val="auto"/>
                <w:highlight w:val="none"/>
                <w:lang w:val="en-US" w:eastAsia="zh-CN"/>
              </w:rPr>
              <w:t>70</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18</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水解池微曝气装置</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减振、地埋、构筑物隔声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403" w:type="pct"/>
            <w:vAlign w:val="center"/>
          </w:tcPr>
          <w:p>
            <w:pPr>
              <w:pStyle w:val="28"/>
              <w:widowControl w:val="0"/>
              <w:ind w:firstLine="0" w:firstLineChars="0"/>
              <w:rPr>
                <w:rFonts w:hint="default" w:eastAsia="宋体"/>
                <w:color w:val="auto"/>
                <w:highlight w:val="none"/>
                <w:vertAlign w:val="baseline"/>
                <w:lang w:val="en-US" w:eastAsia="zh-CN"/>
              </w:rPr>
            </w:pPr>
            <w:r>
              <w:rPr>
                <w:rFonts w:hint="eastAsia"/>
                <w:color w:val="auto"/>
                <w:highlight w:val="none"/>
                <w:lang w:val="en-US" w:eastAsia="zh-CN"/>
              </w:rPr>
              <w:t>90</w:t>
            </w:r>
          </w:p>
        </w:tc>
        <w:tc>
          <w:tcPr>
            <w:tcW w:w="415" w:type="pct"/>
            <w:vAlign w:val="center"/>
          </w:tcPr>
          <w:p>
            <w:pPr>
              <w:pStyle w:val="28"/>
              <w:widowControl w:val="0"/>
              <w:rPr>
                <w:color w:val="auto"/>
                <w:highlight w:val="none"/>
                <w:vertAlign w:val="baseline"/>
              </w:rPr>
            </w:pPr>
            <w:r>
              <w:rPr>
                <w:rFonts w:hint="eastAsia"/>
                <w:color w:val="auto"/>
                <w:highlight w:val="none"/>
                <w:vertAlign w:val="baseline"/>
                <w:lang w:val="en-US" w:eastAsia="zh-CN"/>
              </w:rPr>
              <w:t>25</w:t>
            </w:r>
          </w:p>
        </w:tc>
        <w:tc>
          <w:tcPr>
            <w:tcW w:w="1209" w:type="dxa"/>
            <w:vAlign w:val="center"/>
          </w:tcPr>
          <w:p>
            <w:pPr>
              <w:pStyle w:val="28"/>
              <w:widowControl w:val="0"/>
              <w:bidi w:val="0"/>
              <w:rPr>
                <w:color w:val="auto"/>
                <w:highlight w:val="none"/>
              </w:rPr>
            </w:pPr>
            <w:r>
              <w:rPr>
                <w:rFonts w:hint="eastAsia"/>
                <w:color w:val="auto"/>
                <w:highlight w:val="none"/>
                <w:lang w:val="en-US" w:eastAsia="zh-CN"/>
              </w:rPr>
              <w:t>65</w:t>
            </w:r>
          </w:p>
        </w:tc>
        <w:tc>
          <w:tcPr>
            <w:tcW w:w="1170" w:type="dxa"/>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19</w:t>
            </w:r>
          </w:p>
        </w:tc>
        <w:tc>
          <w:tcPr>
            <w:tcW w:w="614"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废气处理系统</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风机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减振、隔声罩</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1</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95</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15</w:t>
            </w:r>
          </w:p>
        </w:tc>
        <w:tc>
          <w:tcPr>
            <w:tcW w:w="1209" w:type="dxa"/>
            <w:vAlign w:val="center"/>
          </w:tcPr>
          <w:p>
            <w:pPr>
              <w:pStyle w:val="28"/>
              <w:widowControl w:val="0"/>
              <w:bidi w:val="0"/>
              <w:rPr>
                <w:color w:val="auto"/>
                <w:highlight w:val="none"/>
              </w:rPr>
            </w:pPr>
            <w:r>
              <w:rPr>
                <w:rFonts w:hint="eastAsia"/>
                <w:color w:val="auto"/>
                <w:highlight w:val="none"/>
                <w:lang w:val="en-US" w:eastAsia="zh-CN"/>
              </w:rPr>
              <w:t>80</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20</w:t>
            </w:r>
          </w:p>
        </w:tc>
        <w:tc>
          <w:tcPr>
            <w:tcW w:w="614" w:type="pct"/>
            <w:vMerge w:val="restar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冷库</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压缩机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2</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21</w:t>
            </w:r>
          </w:p>
        </w:tc>
        <w:tc>
          <w:tcPr>
            <w:tcW w:w="614" w:type="pct"/>
            <w:vMerge w:val="continue"/>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color w:val="auto"/>
                <w:highlight w:val="none"/>
              </w:rPr>
              <w:t>风幕机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2</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80</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60</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22</w:t>
            </w:r>
          </w:p>
        </w:tc>
        <w:tc>
          <w:tcPr>
            <w:tcW w:w="614"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配电房</w:t>
            </w:r>
          </w:p>
        </w:tc>
        <w:tc>
          <w:tcPr>
            <w:tcW w:w="821" w:type="pct"/>
            <w:vAlign w:val="center"/>
          </w:tcPr>
          <w:p>
            <w:pPr>
              <w:pStyle w:val="28"/>
              <w:widowControl w:val="0"/>
              <w:ind w:firstLine="0" w:firstLineChars="0"/>
              <w:rPr>
                <w:rFonts w:ascii="Times New Roman" w:hAnsi="Times New Roman" w:eastAsia="宋体" w:cs="Times New Roman"/>
                <w:color w:val="auto"/>
                <w:kern w:val="2"/>
                <w:sz w:val="21"/>
                <w:highlight w:val="none"/>
                <w:lang w:val="en-US" w:eastAsia="zh-CN" w:bidi="ar-SA"/>
              </w:rPr>
            </w:pPr>
            <w:r>
              <w:rPr>
                <w:rFonts w:hint="eastAsia"/>
                <w:color w:val="auto"/>
                <w:highlight w:val="none"/>
              </w:rPr>
              <w:t>备用柴油发电机</w:t>
            </w:r>
          </w:p>
        </w:tc>
        <w:tc>
          <w:tcPr>
            <w:tcW w:w="359" w:type="pct"/>
            <w:vAlign w:val="center"/>
          </w:tcPr>
          <w:p>
            <w:pPr>
              <w:pStyle w:val="28"/>
              <w:widowControl w:val="0"/>
              <w:ind w:firstLine="0" w:firstLineChars="0"/>
              <w:rPr>
                <w:color w:val="auto"/>
                <w:highlight w:val="none"/>
                <w:vertAlign w:val="baseline"/>
              </w:rPr>
            </w:pPr>
            <w:r>
              <w:rPr>
                <w:rFonts w:hint="eastAsia"/>
                <w:color w:val="auto"/>
                <w:highlight w:val="none"/>
                <w:vertAlign w:val="baseline"/>
                <w:lang w:val="en-US" w:eastAsia="zh-CN"/>
              </w:rPr>
              <w:t>1</w:t>
            </w:r>
          </w:p>
        </w:tc>
        <w:tc>
          <w:tcPr>
            <w:tcW w:w="964" w:type="pct"/>
            <w:vAlign w:val="center"/>
          </w:tcPr>
          <w:p>
            <w:pPr>
              <w:pStyle w:val="28"/>
              <w:widowControl w:val="0"/>
              <w:ind w:firstLine="0" w:firstLineChars="0"/>
              <w:rPr>
                <w:color w:val="auto"/>
                <w:highlight w:val="none"/>
                <w:vertAlign w:val="baseline"/>
              </w:rPr>
            </w:pPr>
            <w:r>
              <w:rPr>
                <w:rFonts w:hint="eastAsia"/>
                <w:color w:val="auto"/>
                <w:highlight w:val="none"/>
              </w:rPr>
              <w:t>减振、建筑隔声</w:t>
            </w:r>
          </w:p>
        </w:tc>
        <w:tc>
          <w:tcPr>
            <w:tcW w:w="312" w:type="pct"/>
            <w:vAlign w:val="center"/>
          </w:tcPr>
          <w:p>
            <w:pPr>
              <w:pStyle w:val="28"/>
              <w:widowControl w:val="0"/>
              <w:rPr>
                <w:rFonts w:hint="eastAsia" w:eastAsia="宋体"/>
                <w:color w:val="auto"/>
                <w:highlight w:val="none"/>
                <w:vertAlign w:val="baseline"/>
                <w:lang w:val="en-US" w:eastAsia="zh-CN"/>
              </w:rPr>
            </w:pPr>
            <w:r>
              <w:rPr>
                <w:rFonts w:hint="eastAsia"/>
                <w:color w:val="auto"/>
                <w:highlight w:val="none"/>
                <w:vertAlign w:val="baseline"/>
                <w:lang w:val="en-US" w:eastAsia="zh-CN"/>
              </w:rPr>
              <w:t>5</w:t>
            </w:r>
          </w:p>
        </w:tc>
        <w:tc>
          <w:tcPr>
            <w:tcW w:w="403" w:type="pct"/>
            <w:vAlign w:val="center"/>
          </w:tcPr>
          <w:p>
            <w:pPr>
              <w:pStyle w:val="28"/>
              <w:widowControl w:val="0"/>
              <w:ind w:firstLine="0" w:firstLineChars="0"/>
              <w:rPr>
                <w:color w:val="auto"/>
                <w:highlight w:val="none"/>
                <w:vertAlign w:val="baseline"/>
              </w:rPr>
            </w:pPr>
            <w:r>
              <w:rPr>
                <w:rFonts w:hint="eastAsia"/>
                <w:color w:val="auto"/>
                <w:highlight w:val="none"/>
              </w:rPr>
              <w:t>105</w:t>
            </w:r>
          </w:p>
        </w:tc>
        <w:tc>
          <w:tcPr>
            <w:tcW w:w="415"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20</w:t>
            </w:r>
          </w:p>
        </w:tc>
        <w:tc>
          <w:tcPr>
            <w:tcW w:w="1209" w:type="dxa"/>
            <w:vAlign w:val="center"/>
          </w:tcPr>
          <w:p>
            <w:pPr>
              <w:pStyle w:val="28"/>
              <w:widowControl w:val="0"/>
              <w:bidi w:val="0"/>
              <w:rPr>
                <w:color w:val="auto"/>
                <w:highlight w:val="none"/>
              </w:rPr>
            </w:pPr>
            <w:r>
              <w:rPr>
                <w:rFonts w:hint="eastAsia"/>
                <w:color w:val="auto"/>
                <w:highlight w:val="none"/>
                <w:lang w:val="en-US" w:eastAsia="zh-CN"/>
              </w:rPr>
              <w:t>85</w:t>
            </w:r>
          </w:p>
        </w:tc>
        <w:tc>
          <w:tcPr>
            <w:tcW w:w="444" w:type="pct"/>
            <w:vAlign w:val="center"/>
          </w:tcPr>
          <w:p>
            <w:pPr>
              <w:pStyle w:val="28"/>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30</w:t>
            </w:r>
          </w:p>
        </w:tc>
      </w:tr>
    </w:tbl>
    <w:p>
      <w:pPr>
        <w:pStyle w:val="28"/>
        <w:rPr>
          <w:color w:val="auto"/>
          <w:highlight w:val="none"/>
        </w:rPr>
      </w:pPr>
    </w:p>
    <w:p>
      <w:pPr>
        <w:tabs>
          <w:tab w:val="left" w:pos="1134"/>
        </w:tabs>
        <w:ind w:left="-160" w:firstLineChars="0"/>
        <w:rPr>
          <w:color w:val="auto"/>
          <w:highlight w:val="none"/>
        </w:rPr>
        <w:sectPr>
          <w:pgSz w:w="15840" w:h="12240" w:orient="landscape"/>
          <w:pgMar w:top="1417" w:right="1440" w:bottom="1474" w:left="144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6"/>
        <w:widowControl w:val="0"/>
        <w:ind w:left="-160" w:firstLineChars="0"/>
        <w:rPr>
          <w:color w:val="auto"/>
          <w:highlight w:val="none"/>
        </w:rPr>
      </w:pPr>
      <w:r>
        <w:rPr>
          <w:rFonts w:hint="eastAsia"/>
          <w:color w:val="auto"/>
          <w:highlight w:val="none"/>
        </w:rPr>
        <w:t>运输车辆噪声</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）场外运输车辆噪声控制</w:t>
      </w:r>
    </w:p>
    <w:p>
      <w:pPr>
        <w:widowControl w:val="0"/>
        <w:ind w:firstLine="480"/>
        <w:rPr>
          <w:color w:val="auto"/>
          <w:highlight w:val="none"/>
        </w:rPr>
      </w:pPr>
      <w:r>
        <w:rPr>
          <w:rFonts w:hint="eastAsia"/>
          <w:color w:val="auto"/>
          <w:highlight w:val="none"/>
        </w:rPr>
        <w:t>运输车辆噪声属非稳态噪声源，其源强在70</w:t>
      </w:r>
      <w:r>
        <w:rPr>
          <w:color w:val="auto"/>
          <w:highlight w:val="none"/>
        </w:rPr>
        <w:t>~95dB</w:t>
      </w:r>
      <w:r>
        <w:rPr>
          <w:rFonts w:hint="eastAsia"/>
          <w:color w:val="auto"/>
          <w:highlight w:val="none"/>
        </w:rPr>
        <w:t>（</w:t>
      </w:r>
      <w:r>
        <w:rPr>
          <w:color w:val="auto"/>
          <w:highlight w:val="none"/>
        </w:rPr>
        <w:t>A</w:t>
      </w:r>
      <w:r>
        <w:rPr>
          <w:rFonts w:hint="eastAsia"/>
          <w:color w:val="auto"/>
          <w:highlight w:val="none"/>
        </w:rPr>
        <w:t>）之间，其特点为不连续、间断性噪声。运输车辆拟通过优化线路、加强管理等措施进行控制。</w:t>
      </w:r>
    </w:p>
    <w:p>
      <w:pPr>
        <w:widowControl w:val="0"/>
        <w:ind w:firstLine="480"/>
        <w:rPr>
          <w:color w:val="auto"/>
          <w:highlight w:val="none"/>
        </w:rPr>
      </w:pPr>
      <w:r>
        <w:rPr>
          <w:rFonts w:hint="eastAsia"/>
          <w:color w:val="auto"/>
          <w:highlight w:val="none"/>
        </w:rPr>
        <w:t>本环评要求：</w:t>
      </w:r>
    </w:p>
    <w:p>
      <w:pPr>
        <w:widowControl w:val="0"/>
        <w:ind w:firstLine="480"/>
        <w:rPr>
          <w:color w:val="auto"/>
          <w:highlight w:val="none"/>
        </w:rPr>
      </w:pPr>
      <w:r>
        <w:rPr>
          <w:rFonts w:hint="eastAsia"/>
          <w:color w:val="auto"/>
          <w:highlight w:val="none"/>
        </w:rPr>
        <w:t>①合理选择生猪和肉牛运输路线和运输时间，减缓对运输沿线的影响。</w:t>
      </w:r>
    </w:p>
    <w:p>
      <w:pPr>
        <w:widowControl w:val="0"/>
        <w:ind w:firstLine="480"/>
        <w:rPr>
          <w:color w:val="auto"/>
          <w:highlight w:val="none"/>
        </w:rPr>
      </w:pPr>
      <w:r>
        <w:rPr>
          <w:rFonts w:hint="eastAsia"/>
          <w:color w:val="auto"/>
          <w:highlight w:val="none"/>
        </w:rPr>
        <w:t>②制定好运输的时间、路线和人员等的安排。长途运输的运输车应尽量行驶高速公路。刚开始时应控制车速慢行，待猪适应后再以正常速度行驶，尽量避免出现急转弯或急刹车的现象，减少动物的挤压或恐慌发出的叫声。</w:t>
      </w:r>
    </w:p>
    <w:p>
      <w:pPr>
        <w:widowControl w:val="0"/>
        <w:ind w:firstLine="480"/>
        <w:rPr>
          <w:color w:val="auto"/>
          <w:highlight w:val="none"/>
        </w:rPr>
      </w:pPr>
      <w:r>
        <w:rPr>
          <w:rFonts w:hint="eastAsia"/>
          <w:color w:val="auto"/>
          <w:highlight w:val="none"/>
        </w:rPr>
        <w:t>③白天运输入场，避免夜间（</w:t>
      </w:r>
      <w:r>
        <w:rPr>
          <w:color w:val="auto"/>
          <w:highlight w:val="none"/>
        </w:rPr>
        <w:t>22</w:t>
      </w:r>
      <w:r>
        <w:rPr>
          <w:rFonts w:hint="eastAsia"/>
          <w:color w:val="auto"/>
          <w:highlight w:val="none"/>
        </w:rPr>
        <w:t>：</w:t>
      </w:r>
      <w:r>
        <w:rPr>
          <w:color w:val="auto"/>
          <w:highlight w:val="none"/>
        </w:rPr>
        <w:t>00</w:t>
      </w:r>
      <w:r>
        <w:rPr>
          <w:rFonts w:hint="eastAsia"/>
          <w:color w:val="auto"/>
          <w:highlight w:val="none"/>
        </w:rPr>
        <w:t>后）卸载；加强管理，禁止夜间鸣笛。</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）场内运输车辆噪声控制</w:t>
      </w:r>
    </w:p>
    <w:p>
      <w:pPr>
        <w:widowControl w:val="0"/>
        <w:ind w:firstLine="480"/>
        <w:rPr>
          <w:color w:val="auto"/>
          <w:highlight w:val="none"/>
        </w:rPr>
      </w:pPr>
      <w:r>
        <w:rPr>
          <w:rFonts w:hint="eastAsia"/>
          <w:color w:val="auto"/>
          <w:highlight w:val="none"/>
        </w:rPr>
        <w:t>①厂区内禁止车辆鸣笛。</w:t>
      </w:r>
    </w:p>
    <w:p>
      <w:pPr>
        <w:widowControl w:val="0"/>
        <w:ind w:firstLine="480"/>
        <w:rPr>
          <w:color w:val="auto"/>
          <w:highlight w:val="none"/>
        </w:rPr>
      </w:pPr>
      <w:r>
        <w:rPr>
          <w:rFonts w:hint="eastAsia"/>
          <w:color w:val="auto"/>
          <w:highlight w:val="none"/>
        </w:rPr>
        <w:t>②车辆在场区内控制车速，限速</w:t>
      </w:r>
      <w:r>
        <w:rPr>
          <w:color w:val="auto"/>
          <w:highlight w:val="none"/>
        </w:rPr>
        <w:t>10km/h</w:t>
      </w:r>
      <w:r>
        <w:rPr>
          <w:rFonts w:hint="eastAsia"/>
          <w:color w:val="auto"/>
          <w:highlight w:val="none"/>
        </w:rPr>
        <w:t>。</w:t>
      </w:r>
    </w:p>
    <w:p>
      <w:pPr>
        <w:pStyle w:val="5"/>
        <w:widowControl w:val="0"/>
        <w:ind w:firstLine="120"/>
        <w:rPr>
          <w:color w:val="auto"/>
          <w:highlight w:val="none"/>
        </w:rPr>
      </w:pPr>
      <w:r>
        <w:rPr>
          <w:rFonts w:hint="eastAsia"/>
          <w:color w:val="auto"/>
          <w:highlight w:val="none"/>
        </w:rPr>
        <w:t>固体废物产生和治理措施</w:t>
      </w:r>
    </w:p>
    <w:p>
      <w:pPr>
        <w:widowControl w:val="0"/>
        <w:ind w:firstLine="480"/>
        <w:jc w:val="left"/>
        <w:rPr>
          <w:color w:val="auto"/>
          <w:highlight w:val="none"/>
        </w:rPr>
      </w:pPr>
      <w:r>
        <w:rPr>
          <w:rFonts w:hint="eastAsia" w:ascii="宋体" w:hAnsi="宋体"/>
          <w:color w:val="auto"/>
          <w:highlight w:val="none"/>
        </w:rPr>
        <w:t>项目营运期产生的固废主要为一般工业固废（检疫不合格猪、牛及病胴体、病内脏，不可食用内脏，粪便及肠胃内容物，检验后残渣、废弃动物组织及碎肉碎骨等，污水处理站栅渣、废油脂和污泥、废包装材料、废胶皮手套）、生活垃圾、餐厨垃圾和危险固废（废润滑油及废油桶）。</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）检疫不合格猪、牛及病胴体、病内脏</w:t>
      </w:r>
    </w:p>
    <w:p>
      <w:pPr>
        <w:widowControl w:val="0"/>
        <w:ind w:firstLine="480"/>
        <w:rPr>
          <w:color w:val="auto"/>
          <w:highlight w:val="none"/>
        </w:rPr>
      </w:pPr>
      <w:r>
        <w:rPr>
          <w:rFonts w:hint="eastAsia"/>
          <w:color w:val="auto"/>
          <w:highlight w:val="none"/>
        </w:rPr>
        <w:t>包括生猪、肉牛进场后在检疫过程产生的生猪、猪肉、肉牛、牛肉及动物内脏等，根据物料平衡分析，项目检疫不合格猪、牛及病胴体、病内脏产生量约为54t/a。</w:t>
      </w:r>
    </w:p>
    <w:p>
      <w:pPr>
        <w:widowControl w:val="0"/>
        <w:ind w:firstLine="480"/>
        <w:jc w:val="left"/>
        <w:rPr>
          <w:color w:val="auto"/>
          <w:highlight w:val="none"/>
        </w:rPr>
      </w:pPr>
      <w:r>
        <w:rPr>
          <w:rFonts w:hint="eastAsia" w:ascii="宋体" w:hAnsi="宋体"/>
          <w:color w:val="auto"/>
          <w:highlight w:val="none"/>
        </w:rPr>
        <w:t>检疫不合格猪及病胴体、病内脏经企业分类桶装集中收集后暂存于无害化暂存间后交由具有无害化处理资质的单位处置。</w:t>
      </w:r>
    </w:p>
    <w:p>
      <w:pPr>
        <w:widowControl w:val="0"/>
        <w:ind w:firstLine="482"/>
        <w:rPr>
          <w:b/>
          <w:bCs/>
          <w:color w:val="auto"/>
          <w:highlight w:val="none"/>
        </w:rPr>
      </w:pPr>
      <w:r>
        <w:rPr>
          <w:rFonts w:hint="eastAsia"/>
          <w:b/>
          <w:bCs/>
          <w:color w:val="auto"/>
          <w:highlight w:val="none"/>
        </w:rPr>
        <w:t>（2）粪便及肠胃内容物</w:t>
      </w:r>
    </w:p>
    <w:p>
      <w:pPr>
        <w:widowControl w:val="0"/>
        <w:ind w:firstLine="480"/>
        <w:jc w:val="left"/>
        <w:rPr>
          <w:rFonts w:ascii="宋体" w:hAnsi="宋体"/>
          <w:color w:val="auto"/>
          <w:highlight w:val="none"/>
        </w:rPr>
      </w:pPr>
      <w:r>
        <w:rPr>
          <w:rFonts w:hint="eastAsia" w:ascii="宋体" w:hAnsi="宋体"/>
          <w:color w:val="auto"/>
          <w:highlight w:val="none"/>
        </w:rPr>
        <w:t>项目粪便及肠胃内容物主要来源于待宰圈的排泄物和屠宰车间内脏处置，根据物料平衡分析，项目粪便及肠胃内容物产生量约</w:t>
      </w:r>
      <w:r>
        <w:rPr>
          <w:rFonts w:hint="eastAsia"/>
          <w:color w:val="auto"/>
          <w:highlight w:val="none"/>
        </w:rPr>
        <w:t>1177</w:t>
      </w:r>
      <w:r>
        <w:rPr>
          <w:rFonts w:eastAsia="Times New Roman"/>
          <w:color w:val="auto"/>
          <w:highlight w:val="none"/>
        </w:rPr>
        <w:t>t/a</w:t>
      </w:r>
      <w:r>
        <w:rPr>
          <w:rFonts w:hint="eastAsia" w:ascii="宋体" w:hAnsi="宋体"/>
          <w:color w:val="auto"/>
          <w:highlight w:val="none"/>
        </w:rPr>
        <w:t>。</w:t>
      </w:r>
    </w:p>
    <w:p>
      <w:pPr>
        <w:widowControl w:val="0"/>
        <w:ind w:firstLine="480"/>
        <w:jc w:val="left"/>
        <w:rPr>
          <w:rFonts w:ascii="宋体" w:hAnsi="宋体"/>
          <w:color w:val="auto"/>
          <w:highlight w:val="none"/>
        </w:rPr>
      </w:pPr>
      <w:r>
        <w:rPr>
          <w:rFonts w:hint="eastAsia" w:ascii="宋体" w:hAnsi="宋体"/>
          <w:color w:val="auto"/>
          <w:highlight w:val="none"/>
        </w:rPr>
        <w:t>粪便暂存于粪便暂存区内；肠胃内容物暂存于内脏处理间内的垃圾箱内，每日由生产有机肥料的单位派遣车辆清运处置。</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）不可食用内脏</w:t>
      </w:r>
    </w:p>
    <w:p>
      <w:pPr>
        <w:widowControl w:val="0"/>
        <w:ind w:firstLine="480"/>
        <w:rPr>
          <w:color w:val="auto"/>
          <w:highlight w:val="none"/>
        </w:rPr>
      </w:pPr>
      <w:r>
        <w:rPr>
          <w:rFonts w:hint="eastAsia"/>
          <w:color w:val="auto"/>
          <w:highlight w:val="none"/>
        </w:rPr>
        <w:t>项目不可食用内脏包括摘除腺体及淋巴等，根据物料平衡分析，项目不可食用内脏产生量约384</w:t>
      </w:r>
      <w:r>
        <w:rPr>
          <w:color w:val="auto"/>
          <w:highlight w:val="none"/>
        </w:rPr>
        <w:t>t/a</w:t>
      </w:r>
      <w:r>
        <w:rPr>
          <w:rFonts w:hint="eastAsia"/>
          <w:color w:val="auto"/>
          <w:highlight w:val="none"/>
        </w:rPr>
        <w:t>。</w:t>
      </w:r>
    </w:p>
    <w:p>
      <w:pPr>
        <w:widowControl w:val="0"/>
        <w:ind w:firstLine="480"/>
        <w:rPr>
          <w:color w:val="auto"/>
          <w:highlight w:val="none"/>
        </w:rPr>
      </w:pPr>
      <w:r>
        <w:rPr>
          <w:rFonts w:hint="eastAsia"/>
          <w:color w:val="auto"/>
          <w:highlight w:val="none"/>
        </w:rPr>
        <w:t>收集后经企业分类桶装集中收集后</w:t>
      </w:r>
      <w:r>
        <w:rPr>
          <w:rFonts w:hint="eastAsia" w:ascii="宋体" w:hAnsi="宋体"/>
          <w:color w:val="auto"/>
          <w:highlight w:val="none"/>
        </w:rPr>
        <w:t>暂存于无害化暂存间后交由有处理资质的单位处置。</w:t>
      </w:r>
    </w:p>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）检验后残渣、废弃动物组织及碎肉碎骨等</w:t>
      </w:r>
    </w:p>
    <w:p>
      <w:pPr>
        <w:widowControl w:val="0"/>
        <w:ind w:firstLine="480"/>
        <w:rPr>
          <w:color w:val="auto"/>
          <w:highlight w:val="none"/>
        </w:rPr>
      </w:pPr>
      <w:r>
        <w:rPr>
          <w:rFonts w:hint="eastAsia"/>
          <w:color w:val="auto"/>
          <w:highlight w:val="none"/>
        </w:rPr>
        <w:t>根据物料平衡分析，项目检验后残渣、废弃动物组织及碎肉碎骨等产生量约82</w:t>
      </w:r>
      <w:r>
        <w:rPr>
          <w:color w:val="auto"/>
          <w:highlight w:val="none"/>
        </w:rPr>
        <w:t>t/a</w:t>
      </w:r>
      <w:r>
        <w:rPr>
          <w:rFonts w:hint="eastAsia"/>
          <w:color w:val="auto"/>
          <w:highlight w:val="none"/>
        </w:rPr>
        <w:t>。</w:t>
      </w:r>
    </w:p>
    <w:p>
      <w:pPr>
        <w:widowControl w:val="0"/>
        <w:ind w:firstLine="480"/>
        <w:rPr>
          <w:color w:val="auto"/>
          <w:highlight w:val="none"/>
        </w:rPr>
      </w:pPr>
      <w:r>
        <w:rPr>
          <w:rFonts w:hint="eastAsia"/>
          <w:color w:val="auto"/>
          <w:highlight w:val="none"/>
        </w:rPr>
        <w:t>收集后经企业分类桶装集中收集后</w:t>
      </w:r>
      <w:r>
        <w:rPr>
          <w:rFonts w:hint="eastAsia" w:ascii="宋体" w:hAnsi="宋体"/>
          <w:color w:val="auto"/>
          <w:highlight w:val="none"/>
        </w:rPr>
        <w:t>暂存于无害化暂存间后交由有处理资质的单位处置。</w:t>
      </w:r>
    </w:p>
    <w:p>
      <w:pPr>
        <w:widowControl w:val="0"/>
        <w:ind w:firstLine="482"/>
        <w:rPr>
          <w:b/>
          <w:bCs/>
          <w:color w:val="auto"/>
          <w:highlight w:val="none"/>
        </w:rPr>
      </w:pPr>
      <w:r>
        <w:rPr>
          <w:rFonts w:hint="eastAsia"/>
          <w:b/>
          <w:bCs/>
          <w:color w:val="auto"/>
          <w:highlight w:val="none"/>
        </w:rPr>
        <w:t>（</w:t>
      </w:r>
      <w:r>
        <w:rPr>
          <w:b/>
          <w:bCs/>
          <w:color w:val="auto"/>
          <w:highlight w:val="none"/>
        </w:rPr>
        <w:t>5</w:t>
      </w:r>
      <w:r>
        <w:rPr>
          <w:rFonts w:hint="eastAsia"/>
          <w:b/>
          <w:bCs/>
          <w:color w:val="auto"/>
          <w:highlight w:val="none"/>
        </w:rPr>
        <w:t>）污水处理站废物</w:t>
      </w:r>
    </w:p>
    <w:p>
      <w:pPr>
        <w:widowControl w:val="0"/>
        <w:ind w:firstLine="480"/>
        <w:jc w:val="left"/>
        <w:rPr>
          <w:rFonts w:ascii="宋体" w:hAnsi="宋体"/>
          <w:color w:val="auto"/>
          <w:highlight w:val="none"/>
        </w:rPr>
      </w:pPr>
      <w:r>
        <w:rPr>
          <w:rFonts w:hint="eastAsia" w:ascii="宋体" w:hAnsi="宋体"/>
          <w:color w:val="auto"/>
          <w:highlight w:val="none"/>
        </w:rPr>
        <w:t>项目污水处理系统产生的固体废物主要为栅渣、废油脂、污泥等。</w:t>
      </w:r>
    </w:p>
    <w:p>
      <w:pPr>
        <w:widowControl w:val="0"/>
        <w:ind w:firstLine="482"/>
        <w:rPr>
          <w:b/>
          <w:bCs/>
          <w:color w:val="auto"/>
          <w:highlight w:val="none"/>
        </w:rPr>
      </w:pPr>
      <w:r>
        <w:rPr>
          <w:b/>
          <w:bCs/>
          <w:color w:val="auto"/>
          <w:highlight w:val="none"/>
        </w:rPr>
        <w:t>1</w:t>
      </w:r>
      <w:r>
        <w:rPr>
          <w:rFonts w:hint="eastAsia"/>
          <w:b/>
          <w:bCs/>
          <w:color w:val="auto"/>
          <w:highlight w:val="none"/>
        </w:rPr>
        <w:t>）栅渣</w:t>
      </w:r>
    </w:p>
    <w:p>
      <w:pPr>
        <w:widowControl w:val="0"/>
        <w:ind w:firstLine="480"/>
        <w:rPr>
          <w:color w:val="auto"/>
          <w:highlight w:val="none"/>
        </w:rPr>
      </w:pPr>
      <w:r>
        <w:rPr>
          <w:rFonts w:hint="eastAsia"/>
          <w:color w:val="auto"/>
          <w:highlight w:val="none"/>
        </w:rPr>
        <w:t>项目污水处理站预处理时会产生栅渣（主要为待宰圈未能干清粪的少量粪便、内脏清理间内冲洗的胃渣、以及少量的动物毛、蹄壳等），预计产生量约48</w:t>
      </w:r>
      <w:r>
        <w:rPr>
          <w:color w:val="auto"/>
          <w:highlight w:val="none"/>
        </w:rPr>
        <w:t>t/a</w:t>
      </w:r>
      <w:r>
        <w:rPr>
          <w:rFonts w:hint="eastAsia"/>
          <w:color w:val="auto"/>
          <w:highlight w:val="none"/>
        </w:rPr>
        <w:t>，收集后暂存于污泥脱水间，与猪粪及肠胃内容物一并由生产有机肥料的单位每日派遣车辆清运处理。</w:t>
      </w:r>
    </w:p>
    <w:p>
      <w:pPr>
        <w:widowControl w:val="0"/>
        <w:ind w:firstLine="482"/>
        <w:rPr>
          <w:b/>
          <w:bCs/>
          <w:color w:val="auto"/>
          <w:highlight w:val="none"/>
        </w:rPr>
      </w:pPr>
      <w:r>
        <w:rPr>
          <w:rFonts w:hint="eastAsia"/>
          <w:b/>
          <w:bCs/>
          <w:color w:val="auto"/>
          <w:highlight w:val="none"/>
        </w:rPr>
        <w:t>2）污泥</w:t>
      </w:r>
    </w:p>
    <w:p>
      <w:pPr>
        <w:widowControl w:val="0"/>
        <w:ind w:firstLine="480"/>
        <w:rPr>
          <w:color w:val="auto"/>
          <w:highlight w:val="none"/>
        </w:rPr>
      </w:pPr>
      <w:r>
        <w:rPr>
          <w:rFonts w:hint="eastAsia"/>
          <w:color w:val="auto"/>
          <w:highlight w:val="none"/>
        </w:rPr>
        <w:t>污水处理设施污泥计算主要采用</w:t>
      </w:r>
      <w:r>
        <w:rPr>
          <w:color w:val="auto"/>
          <w:highlight w:val="none"/>
        </w:rPr>
        <w:t>SS</w:t>
      </w:r>
      <w:r>
        <w:rPr>
          <w:rFonts w:hint="eastAsia"/>
          <w:color w:val="auto"/>
          <w:highlight w:val="none"/>
        </w:rPr>
        <w:t>去除量进行计算。本项目干污泥产生量为58.8t/a，污泥考虑</w:t>
      </w:r>
      <w:r>
        <w:rPr>
          <w:color w:val="auto"/>
          <w:highlight w:val="none"/>
        </w:rPr>
        <w:t>80%</w:t>
      </w:r>
      <w:r>
        <w:rPr>
          <w:rFonts w:hint="eastAsia"/>
          <w:color w:val="auto"/>
          <w:highlight w:val="none"/>
        </w:rPr>
        <w:t>的含水率，则项目污水处理设施污泥产生量约12t/a。污泥脱水后暂存于脱水间，</w:t>
      </w:r>
      <w:r>
        <w:rPr>
          <w:rFonts w:hint="eastAsia"/>
          <w:color w:val="auto"/>
          <w:highlight w:val="none"/>
          <w:lang w:val="en-US" w:eastAsia="zh-CN"/>
        </w:rPr>
        <w:t>定期</w:t>
      </w:r>
      <w:r>
        <w:rPr>
          <w:rFonts w:hint="eastAsia"/>
          <w:color w:val="auto"/>
          <w:highlight w:val="none"/>
        </w:rPr>
        <w:t>交由有机肥厂界作为营养土。</w:t>
      </w:r>
    </w:p>
    <w:p>
      <w:pPr>
        <w:widowControl w:val="0"/>
        <w:ind w:firstLine="482"/>
        <w:rPr>
          <w:b/>
          <w:bCs/>
          <w:color w:val="auto"/>
          <w:highlight w:val="none"/>
        </w:rPr>
      </w:pPr>
      <w:r>
        <w:rPr>
          <w:b/>
          <w:bCs/>
          <w:color w:val="auto"/>
          <w:highlight w:val="none"/>
        </w:rPr>
        <w:t>3</w:t>
      </w:r>
      <w:r>
        <w:rPr>
          <w:rFonts w:hint="eastAsia"/>
          <w:b/>
          <w:bCs/>
          <w:color w:val="auto"/>
          <w:highlight w:val="none"/>
        </w:rPr>
        <w:t>）废油脂</w:t>
      </w:r>
    </w:p>
    <w:p>
      <w:pPr>
        <w:widowControl w:val="0"/>
        <w:ind w:firstLine="480"/>
        <w:rPr>
          <w:color w:val="auto"/>
          <w:highlight w:val="none"/>
        </w:rPr>
      </w:pPr>
      <w:r>
        <w:rPr>
          <w:rFonts w:hint="eastAsia"/>
          <w:color w:val="auto"/>
          <w:highlight w:val="none"/>
        </w:rPr>
        <w:t>项目生产、生活废水经隔油处理时会产生一定量的浮油，本项目污水处理油脂产生量为8.13t/a，委托有资质的单位进行清掏处置。</w:t>
      </w:r>
    </w:p>
    <w:p>
      <w:pPr>
        <w:widowControl w:val="0"/>
        <w:ind w:firstLine="482"/>
        <w:rPr>
          <w:b/>
          <w:bCs/>
          <w:color w:val="auto"/>
          <w:highlight w:val="none"/>
        </w:rPr>
      </w:pPr>
      <w:r>
        <w:rPr>
          <w:rFonts w:hint="eastAsia"/>
          <w:b/>
          <w:bCs/>
          <w:color w:val="auto"/>
          <w:highlight w:val="none"/>
        </w:rPr>
        <w:t>（</w:t>
      </w:r>
      <w:r>
        <w:rPr>
          <w:b/>
          <w:bCs/>
          <w:color w:val="auto"/>
          <w:highlight w:val="none"/>
        </w:rPr>
        <w:t>6</w:t>
      </w:r>
      <w:r>
        <w:rPr>
          <w:rFonts w:hint="eastAsia"/>
          <w:b/>
          <w:bCs/>
          <w:color w:val="auto"/>
          <w:highlight w:val="none"/>
        </w:rPr>
        <w:t>）废包装材料、废胶皮手套</w:t>
      </w:r>
    </w:p>
    <w:p>
      <w:pPr>
        <w:widowControl w:val="0"/>
        <w:ind w:firstLine="480"/>
        <w:rPr>
          <w:color w:val="auto"/>
          <w:highlight w:val="none"/>
        </w:rPr>
      </w:pPr>
      <w:r>
        <w:rPr>
          <w:rFonts w:hint="eastAsia"/>
          <w:color w:val="auto"/>
          <w:highlight w:val="none"/>
        </w:rPr>
        <w:t>项目分割肉包装时会产生少量塑料薄膜等废包装材料，生产过程会产生废胶皮手套，产生量约1.2</w:t>
      </w:r>
      <w:r>
        <w:rPr>
          <w:color w:val="auto"/>
          <w:highlight w:val="none"/>
        </w:rPr>
        <w:t>t/a</w:t>
      </w:r>
      <w:r>
        <w:rPr>
          <w:rFonts w:hint="eastAsia"/>
          <w:color w:val="auto"/>
          <w:highlight w:val="none"/>
        </w:rPr>
        <w:t>，收集后外售废品收购站处理。</w:t>
      </w:r>
    </w:p>
    <w:p>
      <w:pPr>
        <w:widowControl w:val="0"/>
        <w:ind w:firstLine="482"/>
        <w:rPr>
          <w:b/>
          <w:bCs/>
          <w:color w:val="auto"/>
          <w:highlight w:val="none"/>
        </w:rPr>
      </w:pPr>
      <w:r>
        <w:rPr>
          <w:rFonts w:hint="eastAsia"/>
          <w:b/>
          <w:bCs/>
          <w:color w:val="auto"/>
          <w:highlight w:val="none"/>
        </w:rPr>
        <w:t>（7）生活垃圾</w:t>
      </w:r>
    </w:p>
    <w:p>
      <w:pPr>
        <w:widowControl w:val="0"/>
        <w:ind w:firstLine="480"/>
        <w:jc w:val="left"/>
        <w:rPr>
          <w:rFonts w:ascii="宋体" w:hAnsi="宋体"/>
          <w:color w:val="auto"/>
          <w:highlight w:val="none"/>
        </w:rPr>
      </w:pPr>
      <w:r>
        <w:rPr>
          <w:rFonts w:hint="eastAsia" w:ascii="宋体" w:hAnsi="宋体"/>
          <w:color w:val="auto"/>
          <w:highlight w:val="none"/>
        </w:rPr>
        <w:t>项目员工定员</w:t>
      </w:r>
      <w:r>
        <w:rPr>
          <w:rFonts w:hint="eastAsia"/>
          <w:color w:val="auto"/>
          <w:highlight w:val="none"/>
        </w:rPr>
        <w:t>50</w:t>
      </w:r>
      <w:r>
        <w:rPr>
          <w:rFonts w:hint="eastAsia" w:ascii="宋体" w:hAnsi="宋体"/>
          <w:color w:val="auto"/>
          <w:highlight w:val="none"/>
        </w:rPr>
        <w:t>人，工作人员产生的生活垃圾按每人每天</w:t>
      </w:r>
      <w:r>
        <w:rPr>
          <w:rFonts w:eastAsia="Times New Roman"/>
          <w:color w:val="auto"/>
          <w:highlight w:val="none"/>
        </w:rPr>
        <w:t>0.5kg</w:t>
      </w:r>
      <w:r>
        <w:rPr>
          <w:rFonts w:hint="eastAsia" w:ascii="宋体" w:hAnsi="宋体"/>
          <w:color w:val="auto"/>
          <w:highlight w:val="none"/>
        </w:rPr>
        <w:t>计算，故产生量为</w:t>
      </w:r>
      <w:r>
        <w:rPr>
          <w:rFonts w:eastAsia="Times New Roman"/>
          <w:color w:val="auto"/>
          <w:highlight w:val="none"/>
        </w:rPr>
        <w:t>7.5t/a</w:t>
      </w:r>
      <w:r>
        <w:rPr>
          <w:rFonts w:hint="eastAsia" w:ascii="宋体" w:hAnsi="宋体"/>
          <w:color w:val="auto"/>
          <w:highlight w:val="none"/>
        </w:rPr>
        <w:t>，生活垃圾收集后暂存生活垃圾收集点由环卫部门统一清运，日清日产。</w:t>
      </w:r>
    </w:p>
    <w:p>
      <w:pPr>
        <w:widowControl w:val="0"/>
        <w:ind w:firstLine="482"/>
        <w:rPr>
          <w:b/>
          <w:bCs/>
          <w:color w:val="auto"/>
          <w:highlight w:val="none"/>
        </w:rPr>
      </w:pPr>
      <w:r>
        <w:rPr>
          <w:rFonts w:hint="eastAsia"/>
          <w:b/>
          <w:bCs/>
          <w:color w:val="auto"/>
          <w:highlight w:val="none"/>
        </w:rPr>
        <w:t>（8）餐厨垃圾</w:t>
      </w:r>
    </w:p>
    <w:p>
      <w:pPr>
        <w:widowControl w:val="0"/>
        <w:ind w:firstLine="480"/>
        <w:rPr>
          <w:color w:val="auto"/>
          <w:highlight w:val="none"/>
        </w:rPr>
      </w:pPr>
      <w:r>
        <w:rPr>
          <w:rFonts w:hint="eastAsia"/>
          <w:color w:val="auto"/>
          <w:highlight w:val="none"/>
        </w:rPr>
        <w:t>本项目设置食堂，共50名员工用餐，餐厨垃圾产生量按</w:t>
      </w:r>
      <w:r>
        <w:rPr>
          <w:color w:val="auto"/>
          <w:highlight w:val="none"/>
        </w:rPr>
        <w:t>0.05kg/</w:t>
      </w:r>
      <w:r>
        <w:rPr>
          <w:rFonts w:hint="eastAsia"/>
          <w:color w:val="auto"/>
          <w:highlight w:val="none"/>
        </w:rPr>
        <w:t>人</w:t>
      </w:r>
      <w:r>
        <w:rPr>
          <w:color w:val="auto"/>
          <w:highlight w:val="none"/>
        </w:rPr>
        <w:t>·d</w:t>
      </w:r>
      <w:r>
        <w:rPr>
          <w:rFonts w:hint="eastAsia"/>
          <w:color w:val="auto"/>
          <w:highlight w:val="none"/>
        </w:rPr>
        <w:t>计，餐厨垃圾产生量为2.5</w:t>
      </w:r>
      <w:r>
        <w:rPr>
          <w:color w:val="auto"/>
          <w:highlight w:val="none"/>
        </w:rPr>
        <w:t>kg/d</w:t>
      </w:r>
      <w:r>
        <w:rPr>
          <w:rFonts w:hint="eastAsia"/>
          <w:color w:val="auto"/>
          <w:highlight w:val="none"/>
        </w:rPr>
        <w:t>（0</w:t>
      </w:r>
      <w:r>
        <w:rPr>
          <w:color w:val="auto"/>
          <w:highlight w:val="none"/>
        </w:rPr>
        <w:t>.75t/a</w:t>
      </w:r>
      <w:r>
        <w:rPr>
          <w:rFonts w:hint="eastAsia"/>
          <w:color w:val="auto"/>
          <w:highlight w:val="none"/>
        </w:rPr>
        <w:t>）。</w:t>
      </w:r>
    </w:p>
    <w:p>
      <w:pPr>
        <w:widowControl w:val="0"/>
        <w:ind w:firstLine="480"/>
        <w:rPr>
          <w:color w:val="auto"/>
          <w:highlight w:val="none"/>
        </w:rPr>
      </w:pPr>
      <w:r>
        <w:rPr>
          <w:rFonts w:hint="eastAsia"/>
          <w:color w:val="auto"/>
          <w:highlight w:val="none"/>
        </w:rPr>
        <w:t>产生的餐厨垃圾经专用收集桶收集后交由经城管部门许可的餐厨垃圾收运单位处置。</w:t>
      </w:r>
    </w:p>
    <w:p>
      <w:pPr>
        <w:widowControl w:val="0"/>
        <w:ind w:firstLine="482"/>
        <w:rPr>
          <w:b/>
          <w:bCs/>
          <w:color w:val="auto"/>
          <w:highlight w:val="none"/>
        </w:rPr>
      </w:pPr>
      <w:r>
        <w:rPr>
          <w:rFonts w:hint="eastAsia"/>
          <w:b/>
          <w:bCs/>
          <w:color w:val="auto"/>
          <w:highlight w:val="none"/>
        </w:rPr>
        <w:t>（9）废试纸、废</w:t>
      </w:r>
      <w:r>
        <w:rPr>
          <w:b/>
          <w:bCs/>
          <w:color w:val="auto"/>
          <w:highlight w:val="none"/>
        </w:rPr>
        <w:t>PCR</w:t>
      </w:r>
      <w:r>
        <w:rPr>
          <w:rFonts w:hint="eastAsia"/>
          <w:b/>
          <w:bCs/>
          <w:color w:val="auto"/>
          <w:highlight w:val="none"/>
        </w:rPr>
        <w:t>试剂盒</w:t>
      </w:r>
    </w:p>
    <w:p>
      <w:pPr>
        <w:widowControl w:val="0"/>
        <w:ind w:firstLine="480"/>
        <w:rPr>
          <w:color w:val="auto"/>
          <w:highlight w:val="none"/>
        </w:rPr>
      </w:pPr>
      <w:r>
        <w:rPr>
          <w:rFonts w:hint="eastAsia"/>
          <w:color w:val="auto"/>
          <w:highlight w:val="none"/>
        </w:rPr>
        <w:t>牲畜进场进行抽检产生的废试纸、废</w:t>
      </w:r>
      <w:r>
        <w:rPr>
          <w:color w:val="auto"/>
          <w:highlight w:val="none"/>
        </w:rPr>
        <w:t>PCR</w:t>
      </w:r>
      <w:r>
        <w:rPr>
          <w:rFonts w:hint="eastAsia"/>
          <w:color w:val="auto"/>
          <w:highlight w:val="none"/>
        </w:rPr>
        <w:t>试剂盒产生量为0.15t/a，</w:t>
      </w:r>
      <w:r>
        <w:rPr>
          <w:rFonts w:hint="eastAsia"/>
          <w:color w:val="auto"/>
          <w:highlight w:val="none"/>
          <w:lang w:val="en-US" w:eastAsia="zh-CN"/>
        </w:rPr>
        <w:t>按照</w:t>
      </w:r>
      <w:r>
        <w:rPr>
          <w:rFonts w:hint="eastAsia"/>
          <w:color w:val="auto"/>
          <w:highlight w:val="none"/>
        </w:rPr>
        <w:t>农业行政管理部门</w:t>
      </w:r>
      <w:r>
        <w:rPr>
          <w:rFonts w:hint="eastAsia"/>
          <w:color w:val="auto"/>
          <w:highlight w:val="none"/>
          <w:lang w:val="en-US" w:eastAsia="zh-CN"/>
        </w:rPr>
        <w:t>的管理要求，交由相应单位处理</w:t>
      </w:r>
      <w:r>
        <w:rPr>
          <w:rFonts w:hint="eastAsia"/>
          <w:color w:val="auto"/>
          <w:highlight w:val="none"/>
        </w:rPr>
        <w:t>。</w:t>
      </w:r>
    </w:p>
    <w:p>
      <w:pPr>
        <w:widowControl w:val="0"/>
        <w:ind w:firstLine="482"/>
        <w:rPr>
          <w:b/>
          <w:bCs/>
          <w:color w:val="auto"/>
          <w:highlight w:val="none"/>
        </w:rPr>
      </w:pPr>
      <w:r>
        <w:rPr>
          <w:rFonts w:hint="eastAsia"/>
          <w:b/>
          <w:bCs/>
          <w:color w:val="auto"/>
          <w:highlight w:val="none"/>
        </w:rPr>
        <w:t>（10）危险废物</w:t>
      </w:r>
    </w:p>
    <w:p>
      <w:pPr>
        <w:widowControl w:val="0"/>
        <w:ind w:firstLine="480"/>
        <w:jc w:val="left"/>
        <w:rPr>
          <w:color w:val="auto"/>
          <w:highlight w:val="none"/>
        </w:rPr>
      </w:pPr>
      <w:r>
        <w:rPr>
          <w:rFonts w:hint="eastAsia" w:ascii="宋体" w:hAnsi="宋体"/>
          <w:color w:val="auto"/>
          <w:highlight w:val="none"/>
        </w:rPr>
        <w:t>项目维护设备会产生了少量废润滑油，产生量约为</w:t>
      </w:r>
      <w:r>
        <w:rPr>
          <w:rFonts w:eastAsia="Times New Roman"/>
          <w:color w:val="auto"/>
          <w:highlight w:val="none"/>
        </w:rPr>
        <w:t>0.1t/a</w:t>
      </w:r>
      <w:r>
        <w:rPr>
          <w:rFonts w:hint="eastAsia" w:ascii="宋体" w:hAnsi="宋体"/>
          <w:color w:val="auto"/>
          <w:highlight w:val="none"/>
        </w:rPr>
        <w:t>，属于国家危险废物名录中的废矿物油与含矿物油废物（</w:t>
      </w:r>
      <w:r>
        <w:rPr>
          <w:rFonts w:eastAsia="Times New Roman"/>
          <w:color w:val="auto"/>
          <w:highlight w:val="none"/>
        </w:rPr>
        <w:t>HW08</w:t>
      </w:r>
      <w:r>
        <w:rPr>
          <w:rFonts w:hint="eastAsia" w:ascii="宋体" w:hAnsi="宋体"/>
          <w:color w:val="auto"/>
          <w:highlight w:val="none"/>
        </w:rPr>
        <w:t>），废润滑油（</w:t>
      </w:r>
      <w:r>
        <w:rPr>
          <w:rFonts w:eastAsia="Times New Roman"/>
          <w:color w:val="auto"/>
          <w:highlight w:val="none"/>
        </w:rPr>
        <w:t>900-217-08</w:t>
      </w:r>
      <w:r>
        <w:rPr>
          <w:rFonts w:hint="eastAsia" w:ascii="宋体" w:hAnsi="宋体"/>
          <w:color w:val="auto"/>
          <w:highlight w:val="none"/>
        </w:rPr>
        <w:t>），采用专用容器收集后暂存于危废暂存间，废油桶年产生量约</w:t>
      </w:r>
      <w:r>
        <w:rPr>
          <w:rFonts w:eastAsia="Times New Roman"/>
          <w:color w:val="auto"/>
          <w:highlight w:val="none"/>
        </w:rPr>
        <w:t>10</w:t>
      </w:r>
      <w:r>
        <w:rPr>
          <w:rFonts w:hint="eastAsia" w:ascii="宋体" w:hAnsi="宋体"/>
          <w:color w:val="auto"/>
          <w:highlight w:val="none"/>
        </w:rPr>
        <w:t>个</w:t>
      </w:r>
      <w:r>
        <w:rPr>
          <w:rFonts w:eastAsia="Times New Roman"/>
          <w:color w:val="auto"/>
          <w:highlight w:val="none"/>
        </w:rPr>
        <w:t>/a</w:t>
      </w:r>
      <w:r>
        <w:rPr>
          <w:rFonts w:hint="eastAsia" w:ascii="宋体" w:hAnsi="宋体"/>
          <w:color w:val="auto"/>
          <w:highlight w:val="none"/>
        </w:rPr>
        <w:t>，油桶重</w:t>
      </w:r>
      <w:r>
        <w:rPr>
          <w:rFonts w:eastAsia="Times New Roman"/>
          <w:color w:val="auto"/>
          <w:highlight w:val="none"/>
        </w:rPr>
        <w:t>1kg/</w:t>
      </w:r>
      <w:r>
        <w:rPr>
          <w:rFonts w:hint="eastAsia" w:ascii="宋体" w:hAnsi="宋体"/>
          <w:color w:val="auto"/>
          <w:highlight w:val="none"/>
        </w:rPr>
        <w:t>个，则年产生量为</w:t>
      </w:r>
      <w:r>
        <w:rPr>
          <w:rFonts w:eastAsia="Times New Roman"/>
          <w:color w:val="auto"/>
          <w:highlight w:val="none"/>
        </w:rPr>
        <w:t>0.01t/a</w:t>
      </w:r>
      <w:r>
        <w:rPr>
          <w:rFonts w:hint="eastAsia" w:ascii="宋体" w:hAnsi="宋体"/>
          <w:color w:val="auto"/>
          <w:highlight w:val="none"/>
        </w:rPr>
        <w:t>。交由具有相应资质的单位收集处理。</w:t>
      </w:r>
    </w:p>
    <w:p>
      <w:pPr>
        <w:pStyle w:val="27"/>
        <w:widowControl w:val="0"/>
        <w:rPr>
          <w:color w:val="auto"/>
          <w:highlight w:val="none"/>
        </w:rPr>
      </w:pPr>
      <w:r>
        <w:rPr>
          <w:rFonts w:hint="eastAsia"/>
          <w:color w:val="auto"/>
          <w:highlight w:val="none"/>
        </w:rPr>
        <w:t>危险废物汇总表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2"/>
        <w:gridCol w:w="862"/>
        <w:gridCol w:w="1197"/>
        <w:gridCol w:w="900"/>
        <w:gridCol w:w="896"/>
        <w:gridCol w:w="433"/>
        <w:gridCol w:w="672"/>
        <w:gridCol w:w="799"/>
        <w:gridCol w:w="762"/>
        <w:gridCol w:w="689"/>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419" w:type="pct"/>
            <w:tcBorders>
              <w:tl2br w:val="nil"/>
              <w:tr2bl w:val="nil"/>
            </w:tcBorders>
            <w:vAlign w:val="center"/>
          </w:tcPr>
          <w:p>
            <w:pPr>
              <w:pStyle w:val="28"/>
              <w:widowControl w:val="0"/>
              <w:rPr>
                <w:b/>
                <w:bCs/>
                <w:color w:val="auto"/>
                <w:highlight w:val="none"/>
              </w:rPr>
            </w:pPr>
            <w:r>
              <w:rPr>
                <w:rFonts w:hint="eastAsia"/>
                <w:b/>
                <w:bCs/>
                <w:color w:val="auto"/>
                <w:highlight w:val="none"/>
              </w:rPr>
              <w:t>危险废物名称</w:t>
            </w:r>
          </w:p>
        </w:tc>
        <w:tc>
          <w:tcPr>
            <w:tcW w:w="450" w:type="pct"/>
            <w:tcBorders>
              <w:tl2br w:val="nil"/>
              <w:tr2bl w:val="nil"/>
            </w:tcBorders>
            <w:vAlign w:val="center"/>
          </w:tcPr>
          <w:p>
            <w:pPr>
              <w:pStyle w:val="28"/>
              <w:widowControl w:val="0"/>
              <w:rPr>
                <w:b/>
                <w:bCs/>
                <w:color w:val="auto"/>
                <w:highlight w:val="none"/>
              </w:rPr>
            </w:pPr>
            <w:r>
              <w:rPr>
                <w:rFonts w:hint="eastAsia"/>
                <w:b/>
                <w:bCs/>
                <w:color w:val="auto"/>
                <w:highlight w:val="none"/>
              </w:rPr>
              <w:t>危险废物类别</w:t>
            </w:r>
          </w:p>
        </w:tc>
        <w:tc>
          <w:tcPr>
            <w:tcW w:w="625" w:type="pct"/>
            <w:tcBorders>
              <w:tl2br w:val="nil"/>
              <w:tr2bl w:val="nil"/>
            </w:tcBorders>
            <w:vAlign w:val="center"/>
          </w:tcPr>
          <w:p>
            <w:pPr>
              <w:pStyle w:val="28"/>
              <w:widowControl w:val="0"/>
              <w:rPr>
                <w:b/>
                <w:bCs/>
                <w:color w:val="auto"/>
                <w:highlight w:val="none"/>
              </w:rPr>
            </w:pPr>
            <w:r>
              <w:rPr>
                <w:rFonts w:hint="eastAsia"/>
                <w:b/>
                <w:bCs/>
                <w:color w:val="auto"/>
                <w:highlight w:val="none"/>
              </w:rPr>
              <w:t>危险废物代码</w:t>
            </w:r>
          </w:p>
        </w:tc>
        <w:tc>
          <w:tcPr>
            <w:tcW w:w="470"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468" w:type="pct"/>
            <w:tcBorders>
              <w:tl2br w:val="nil"/>
              <w:tr2bl w:val="nil"/>
            </w:tcBorders>
            <w:vAlign w:val="center"/>
          </w:tcPr>
          <w:p>
            <w:pPr>
              <w:pStyle w:val="28"/>
              <w:widowControl w:val="0"/>
              <w:rPr>
                <w:b/>
                <w:bCs/>
                <w:color w:val="auto"/>
                <w:highlight w:val="none"/>
              </w:rPr>
            </w:pPr>
            <w:r>
              <w:rPr>
                <w:rFonts w:hint="eastAsia"/>
                <w:b/>
                <w:bCs/>
                <w:color w:val="auto"/>
                <w:highlight w:val="none"/>
              </w:rPr>
              <w:t>产生工序及装置</w:t>
            </w:r>
          </w:p>
        </w:tc>
        <w:tc>
          <w:tcPr>
            <w:tcW w:w="226" w:type="pct"/>
            <w:tcBorders>
              <w:tl2br w:val="nil"/>
              <w:tr2bl w:val="nil"/>
            </w:tcBorders>
            <w:vAlign w:val="center"/>
          </w:tcPr>
          <w:p>
            <w:pPr>
              <w:pStyle w:val="28"/>
              <w:widowControl w:val="0"/>
              <w:rPr>
                <w:b/>
                <w:bCs/>
                <w:color w:val="auto"/>
                <w:highlight w:val="none"/>
              </w:rPr>
            </w:pPr>
            <w:r>
              <w:rPr>
                <w:rFonts w:hint="eastAsia"/>
                <w:b/>
                <w:bCs/>
                <w:color w:val="auto"/>
                <w:highlight w:val="none"/>
              </w:rPr>
              <w:t>形态</w:t>
            </w:r>
          </w:p>
        </w:tc>
        <w:tc>
          <w:tcPr>
            <w:tcW w:w="351" w:type="pct"/>
            <w:tcBorders>
              <w:tl2br w:val="nil"/>
              <w:tr2bl w:val="nil"/>
            </w:tcBorders>
            <w:vAlign w:val="center"/>
          </w:tcPr>
          <w:p>
            <w:pPr>
              <w:pStyle w:val="28"/>
              <w:widowControl w:val="0"/>
              <w:rPr>
                <w:b/>
                <w:bCs/>
                <w:color w:val="auto"/>
                <w:highlight w:val="none"/>
              </w:rPr>
            </w:pPr>
            <w:r>
              <w:rPr>
                <w:rFonts w:hint="eastAsia"/>
                <w:b/>
                <w:bCs/>
                <w:color w:val="auto"/>
                <w:highlight w:val="none"/>
              </w:rPr>
              <w:t>主要成分</w:t>
            </w:r>
          </w:p>
        </w:tc>
        <w:tc>
          <w:tcPr>
            <w:tcW w:w="417" w:type="pct"/>
            <w:tcBorders>
              <w:tl2br w:val="nil"/>
              <w:tr2bl w:val="nil"/>
            </w:tcBorders>
            <w:vAlign w:val="center"/>
          </w:tcPr>
          <w:p>
            <w:pPr>
              <w:pStyle w:val="28"/>
              <w:widowControl w:val="0"/>
              <w:rPr>
                <w:b/>
                <w:bCs/>
                <w:color w:val="auto"/>
                <w:highlight w:val="none"/>
              </w:rPr>
            </w:pPr>
            <w:r>
              <w:rPr>
                <w:rFonts w:hint="eastAsia"/>
                <w:b/>
                <w:bCs/>
                <w:color w:val="auto"/>
                <w:highlight w:val="none"/>
              </w:rPr>
              <w:t>有害成分</w:t>
            </w:r>
          </w:p>
        </w:tc>
        <w:tc>
          <w:tcPr>
            <w:tcW w:w="398" w:type="pct"/>
            <w:tcBorders>
              <w:tl2br w:val="nil"/>
              <w:tr2bl w:val="nil"/>
            </w:tcBorders>
            <w:vAlign w:val="center"/>
          </w:tcPr>
          <w:p>
            <w:pPr>
              <w:pStyle w:val="28"/>
              <w:widowControl w:val="0"/>
              <w:rPr>
                <w:b/>
                <w:bCs/>
                <w:color w:val="auto"/>
                <w:highlight w:val="none"/>
              </w:rPr>
            </w:pPr>
            <w:r>
              <w:rPr>
                <w:rFonts w:hint="eastAsia"/>
                <w:b/>
                <w:bCs/>
                <w:color w:val="auto"/>
                <w:highlight w:val="none"/>
              </w:rPr>
              <w:t>产废周期</w:t>
            </w:r>
          </w:p>
        </w:tc>
        <w:tc>
          <w:tcPr>
            <w:tcW w:w="360" w:type="pct"/>
            <w:tcBorders>
              <w:tl2br w:val="nil"/>
              <w:tr2bl w:val="nil"/>
            </w:tcBorders>
            <w:vAlign w:val="center"/>
          </w:tcPr>
          <w:p>
            <w:pPr>
              <w:pStyle w:val="28"/>
              <w:widowControl w:val="0"/>
              <w:rPr>
                <w:b/>
                <w:bCs/>
                <w:color w:val="auto"/>
                <w:highlight w:val="none"/>
              </w:rPr>
            </w:pPr>
            <w:r>
              <w:rPr>
                <w:rFonts w:hint="eastAsia"/>
                <w:b/>
                <w:bCs/>
                <w:color w:val="auto"/>
                <w:highlight w:val="none"/>
              </w:rPr>
              <w:t>危险特性</w:t>
            </w:r>
          </w:p>
        </w:tc>
        <w:tc>
          <w:tcPr>
            <w:tcW w:w="588" w:type="pct"/>
            <w:tcBorders>
              <w:tl2br w:val="nil"/>
              <w:tr2bl w:val="nil"/>
            </w:tcBorders>
            <w:vAlign w:val="center"/>
          </w:tcPr>
          <w:p>
            <w:pPr>
              <w:pStyle w:val="28"/>
              <w:widowControl w:val="0"/>
              <w:rPr>
                <w:b/>
                <w:bCs/>
                <w:color w:val="auto"/>
                <w:highlight w:val="none"/>
              </w:rPr>
            </w:pPr>
            <w:r>
              <w:rPr>
                <w:rFonts w:hint="eastAsia"/>
                <w:b/>
                <w:bCs/>
                <w:color w:val="auto"/>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419" w:type="pct"/>
            <w:tcBorders>
              <w:tl2br w:val="nil"/>
              <w:tr2bl w:val="nil"/>
            </w:tcBorders>
            <w:vAlign w:val="center"/>
          </w:tcPr>
          <w:p>
            <w:pPr>
              <w:pStyle w:val="28"/>
              <w:widowControl w:val="0"/>
              <w:rPr>
                <w:color w:val="auto"/>
                <w:highlight w:val="none"/>
              </w:rPr>
            </w:pPr>
            <w:r>
              <w:rPr>
                <w:rFonts w:hint="eastAsia"/>
                <w:color w:val="auto"/>
                <w:highlight w:val="none"/>
              </w:rPr>
              <w:t>废润滑油</w:t>
            </w:r>
          </w:p>
        </w:tc>
        <w:tc>
          <w:tcPr>
            <w:tcW w:w="450" w:type="pct"/>
            <w:tcBorders>
              <w:tl2br w:val="nil"/>
              <w:tr2bl w:val="nil"/>
            </w:tcBorders>
            <w:vAlign w:val="center"/>
          </w:tcPr>
          <w:p>
            <w:pPr>
              <w:pStyle w:val="28"/>
              <w:widowControl w:val="0"/>
              <w:rPr>
                <w:color w:val="auto"/>
                <w:highlight w:val="none"/>
              </w:rPr>
            </w:pPr>
            <w:r>
              <w:rPr>
                <w:rFonts w:hint="eastAsia"/>
                <w:color w:val="auto"/>
                <w:highlight w:val="none"/>
              </w:rPr>
              <w:t>HW08</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900-217-08</w:t>
            </w:r>
          </w:p>
        </w:tc>
        <w:tc>
          <w:tcPr>
            <w:tcW w:w="470"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468" w:type="pct"/>
            <w:tcBorders>
              <w:tl2br w:val="nil"/>
              <w:tr2bl w:val="nil"/>
            </w:tcBorders>
            <w:vAlign w:val="center"/>
          </w:tcPr>
          <w:p>
            <w:pPr>
              <w:pStyle w:val="28"/>
              <w:widowControl w:val="0"/>
              <w:rPr>
                <w:color w:val="auto"/>
                <w:highlight w:val="none"/>
              </w:rPr>
            </w:pPr>
            <w:r>
              <w:rPr>
                <w:rFonts w:hint="eastAsia"/>
                <w:color w:val="auto"/>
                <w:highlight w:val="none"/>
              </w:rPr>
              <w:t>设备维护</w:t>
            </w:r>
          </w:p>
        </w:tc>
        <w:tc>
          <w:tcPr>
            <w:tcW w:w="226" w:type="pct"/>
            <w:tcBorders>
              <w:tl2br w:val="nil"/>
              <w:tr2bl w:val="nil"/>
            </w:tcBorders>
            <w:vAlign w:val="center"/>
          </w:tcPr>
          <w:p>
            <w:pPr>
              <w:pStyle w:val="28"/>
              <w:widowControl w:val="0"/>
              <w:rPr>
                <w:color w:val="auto"/>
                <w:highlight w:val="none"/>
              </w:rPr>
            </w:pPr>
            <w:r>
              <w:rPr>
                <w:rFonts w:hint="eastAsia"/>
                <w:color w:val="auto"/>
                <w:highlight w:val="none"/>
              </w:rPr>
              <w:t>液态</w:t>
            </w:r>
          </w:p>
        </w:tc>
        <w:tc>
          <w:tcPr>
            <w:tcW w:w="351" w:type="pct"/>
            <w:tcBorders>
              <w:tl2br w:val="nil"/>
              <w:tr2bl w:val="nil"/>
            </w:tcBorders>
            <w:vAlign w:val="center"/>
          </w:tcPr>
          <w:p>
            <w:pPr>
              <w:pStyle w:val="28"/>
              <w:widowControl w:val="0"/>
              <w:rPr>
                <w:color w:val="auto"/>
                <w:highlight w:val="none"/>
              </w:rPr>
            </w:pPr>
            <w:r>
              <w:rPr>
                <w:rFonts w:hint="eastAsia"/>
                <w:color w:val="auto"/>
                <w:highlight w:val="none"/>
              </w:rPr>
              <w:t>矿物油</w:t>
            </w:r>
          </w:p>
        </w:tc>
        <w:tc>
          <w:tcPr>
            <w:tcW w:w="417" w:type="pct"/>
            <w:tcBorders>
              <w:tl2br w:val="nil"/>
              <w:tr2bl w:val="nil"/>
            </w:tcBorders>
            <w:vAlign w:val="center"/>
          </w:tcPr>
          <w:p>
            <w:pPr>
              <w:pStyle w:val="28"/>
              <w:widowControl w:val="0"/>
              <w:rPr>
                <w:color w:val="auto"/>
                <w:highlight w:val="none"/>
              </w:rPr>
            </w:pPr>
            <w:r>
              <w:rPr>
                <w:rFonts w:hint="eastAsia"/>
                <w:color w:val="auto"/>
                <w:highlight w:val="none"/>
              </w:rPr>
              <w:t>矿物油</w:t>
            </w:r>
          </w:p>
        </w:tc>
        <w:tc>
          <w:tcPr>
            <w:tcW w:w="398" w:type="pct"/>
            <w:tcBorders>
              <w:tl2br w:val="nil"/>
              <w:tr2bl w:val="nil"/>
            </w:tcBorders>
            <w:vAlign w:val="center"/>
          </w:tcPr>
          <w:p>
            <w:pPr>
              <w:pStyle w:val="28"/>
              <w:widowControl w:val="0"/>
              <w:rPr>
                <w:color w:val="auto"/>
                <w:highlight w:val="none"/>
              </w:rPr>
            </w:pPr>
            <w:r>
              <w:rPr>
                <w:rFonts w:hint="eastAsia"/>
                <w:color w:val="auto"/>
                <w:highlight w:val="none"/>
              </w:rPr>
              <w:t>30d</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T</w:t>
            </w:r>
          </w:p>
        </w:tc>
        <w:tc>
          <w:tcPr>
            <w:tcW w:w="588"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暂存于危险废物暂存点，交由具有相应资质的单位收集处理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419" w:type="pct"/>
            <w:tcBorders>
              <w:tl2br w:val="nil"/>
              <w:tr2bl w:val="nil"/>
            </w:tcBorders>
            <w:vAlign w:val="center"/>
          </w:tcPr>
          <w:p>
            <w:pPr>
              <w:pStyle w:val="28"/>
              <w:widowControl w:val="0"/>
              <w:rPr>
                <w:color w:val="auto"/>
                <w:highlight w:val="none"/>
              </w:rPr>
            </w:pPr>
            <w:r>
              <w:rPr>
                <w:rFonts w:hint="eastAsia"/>
                <w:color w:val="auto"/>
                <w:highlight w:val="none"/>
              </w:rPr>
              <w:t>废油桶</w:t>
            </w:r>
          </w:p>
        </w:tc>
        <w:tc>
          <w:tcPr>
            <w:tcW w:w="450" w:type="pct"/>
            <w:tcBorders>
              <w:tl2br w:val="nil"/>
              <w:tr2bl w:val="nil"/>
            </w:tcBorders>
            <w:vAlign w:val="center"/>
          </w:tcPr>
          <w:p>
            <w:pPr>
              <w:pStyle w:val="28"/>
              <w:widowControl w:val="0"/>
              <w:rPr>
                <w:color w:val="auto"/>
                <w:highlight w:val="none"/>
              </w:rPr>
            </w:pPr>
            <w:r>
              <w:rPr>
                <w:rFonts w:hint="eastAsia"/>
                <w:color w:val="auto"/>
                <w:highlight w:val="none"/>
              </w:rPr>
              <w:t>HW08</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900-249-08</w:t>
            </w:r>
          </w:p>
        </w:tc>
        <w:tc>
          <w:tcPr>
            <w:tcW w:w="470"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468" w:type="pct"/>
            <w:tcBorders>
              <w:tl2br w:val="nil"/>
              <w:tr2bl w:val="nil"/>
            </w:tcBorders>
            <w:vAlign w:val="center"/>
          </w:tcPr>
          <w:p>
            <w:pPr>
              <w:pStyle w:val="28"/>
              <w:widowControl w:val="0"/>
              <w:rPr>
                <w:color w:val="auto"/>
                <w:highlight w:val="none"/>
              </w:rPr>
            </w:pPr>
            <w:r>
              <w:rPr>
                <w:rFonts w:hint="eastAsia"/>
                <w:color w:val="auto"/>
                <w:highlight w:val="none"/>
              </w:rPr>
              <w:t>装润滑油</w:t>
            </w:r>
          </w:p>
        </w:tc>
        <w:tc>
          <w:tcPr>
            <w:tcW w:w="226" w:type="pct"/>
            <w:tcBorders>
              <w:tl2br w:val="nil"/>
              <w:tr2bl w:val="nil"/>
            </w:tcBorders>
            <w:vAlign w:val="center"/>
          </w:tcPr>
          <w:p>
            <w:pPr>
              <w:pStyle w:val="28"/>
              <w:widowControl w:val="0"/>
              <w:rPr>
                <w:color w:val="auto"/>
                <w:highlight w:val="none"/>
              </w:rPr>
            </w:pPr>
            <w:r>
              <w:rPr>
                <w:rFonts w:hint="eastAsia"/>
                <w:color w:val="auto"/>
                <w:highlight w:val="none"/>
              </w:rPr>
              <w:t>固态</w:t>
            </w:r>
          </w:p>
        </w:tc>
        <w:tc>
          <w:tcPr>
            <w:tcW w:w="351" w:type="pct"/>
            <w:tcBorders>
              <w:tl2br w:val="nil"/>
              <w:tr2bl w:val="nil"/>
            </w:tcBorders>
            <w:vAlign w:val="center"/>
          </w:tcPr>
          <w:p>
            <w:pPr>
              <w:pStyle w:val="28"/>
              <w:widowControl w:val="0"/>
              <w:rPr>
                <w:color w:val="auto"/>
                <w:highlight w:val="none"/>
              </w:rPr>
            </w:pPr>
            <w:r>
              <w:rPr>
                <w:rFonts w:hint="eastAsia"/>
                <w:color w:val="auto"/>
                <w:highlight w:val="none"/>
              </w:rPr>
              <w:t>矿物油</w:t>
            </w:r>
          </w:p>
        </w:tc>
        <w:tc>
          <w:tcPr>
            <w:tcW w:w="417" w:type="pct"/>
            <w:tcBorders>
              <w:tl2br w:val="nil"/>
              <w:tr2bl w:val="nil"/>
            </w:tcBorders>
            <w:vAlign w:val="center"/>
          </w:tcPr>
          <w:p>
            <w:pPr>
              <w:pStyle w:val="28"/>
              <w:widowControl w:val="0"/>
              <w:rPr>
                <w:color w:val="auto"/>
                <w:highlight w:val="none"/>
              </w:rPr>
            </w:pPr>
            <w:r>
              <w:rPr>
                <w:rFonts w:hint="eastAsia"/>
                <w:color w:val="auto"/>
                <w:highlight w:val="none"/>
              </w:rPr>
              <w:t>矿物油</w:t>
            </w:r>
          </w:p>
        </w:tc>
        <w:tc>
          <w:tcPr>
            <w:tcW w:w="398" w:type="pct"/>
            <w:tcBorders>
              <w:tl2br w:val="nil"/>
              <w:tr2bl w:val="nil"/>
            </w:tcBorders>
            <w:vAlign w:val="center"/>
          </w:tcPr>
          <w:p>
            <w:pPr>
              <w:pStyle w:val="28"/>
              <w:widowControl w:val="0"/>
              <w:rPr>
                <w:color w:val="auto"/>
                <w:highlight w:val="none"/>
              </w:rPr>
            </w:pPr>
            <w:r>
              <w:rPr>
                <w:rFonts w:hint="eastAsia"/>
                <w:color w:val="auto"/>
                <w:highlight w:val="none"/>
              </w:rPr>
              <w:t>60d</w:t>
            </w:r>
          </w:p>
        </w:tc>
        <w:tc>
          <w:tcPr>
            <w:tcW w:w="360" w:type="pct"/>
            <w:tcBorders>
              <w:tl2br w:val="nil"/>
              <w:tr2bl w:val="nil"/>
            </w:tcBorders>
            <w:vAlign w:val="center"/>
          </w:tcPr>
          <w:p>
            <w:pPr>
              <w:pStyle w:val="28"/>
              <w:widowControl w:val="0"/>
              <w:rPr>
                <w:color w:val="auto"/>
                <w:highlight w:val="none"/>
              </w:rPr>
            </w:pPr>
            <w:r>
              <w:rPr>
                <w:rFonts w:hint="eastAsia"/>
                <w:color w:val="auto"/>
                <w:highlight w:val="none"/>
              </w:rPr>
              <w:t>T</w:t>
            </w:r>
          </w:p>
        </w:tc>
        <w:tc>
          <w:tcPr>
            <w:tcW w:w="588" w:type="pct"/>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本项目产生的主要固体废弃物及处置情况见表</w:t>
      </w:r>
      <w:r>
        <w:rPr>
          <w:rFonts w:hint="eastAsia"/>
          <w:color w:val="auto"/>
          <w:highlight w:val="none"/>
          <w:lang w:val="en-US" w:eastAsia="zh-CN"/>
        </w:rPr>
        <w:t>4</w:t>
      </w:r>
      <w:r>
        <w:rPr>
          <w:rFonts w:hint="eastAsia"/>
          <w:color w:val="auto"/>
          <w:highlight w:val="none"/>
        </w:rPr>
        <w:t>.4-19。</w:t>
      </w:r>
    </w:p>
    <w:p>
      <w:pPr>
        <w:pStyle w:val="27"/>
        <w:widowControl w:val="0"/>
        <w:rPr>
          <w:color w:val="auto"/>
          <w:highlight w:val="none"/>
        </w:rPr>
      </w:pPr>
      <w:r>
        <w:rPr>
          <w:rFonts w:hint="eastAsia"/>
          <w:color w:val="auto"/>
          <w:highlight w:val="none"/>
        </w:rPr>
        <w:t>本项目固废分析情况汇总</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185"/>
        <w:gridCol w:w="1225"/>
        <w:gridCol w:w="1230"/>
        <w:gridCol w:w="1355"/>
        <w:gridCol w:w="2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142" w:type="pc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640" w:type="pct"/>
            <w:tcBorders>
              <w:tl2br w:val="nil"/>
              <w:tr2bl w:val="nil"/>
            </w:tcBorders>
            <w:vAlign w:val="center"/>
          </w:tcPr>
          <w:p>
            <w:pPr>
              <w:pStyle w:val="28"/>
              <w:widowControl w:val="0"/>
              <w:rPr>
                <w:b/>
                <w:bCs/>
                <w:color w:val="auto"/>
                <w:highlight w:val="none"/>
              </w:rPr>
            </w:pPr>
            <w:r>
              <w:rPr>
                <w:rFonts w:hint="eastAsia"/>
                <w:b/>
                <w:bCs/>
                <w:color w:val="auto"/>
                <w:highlight w:val="none"/>
              </w:rPr>
              <w:t>产生位置</w:t>
            </w:r>
          </w:p>
        </w:tc>
        <w:tc>
          <w:tcPr>
            <w:tcW w:w="642" w:type="pct"/>
            <w:tcBorders>
              <w:tl2br w:val="nil"/>
              <w:tr2bl w:val="nil"/>
            </w:tcBorders>
            <w:vAlign w:val="center"/>
          </w:tcPr>
          <w:p>
            <w:pPr>
              <w:pStyle w:val="28"/>
              <w:widowControl w:val="0"/>
              <w:rPr>
                <w:b/>
                <w:bCs/>
                <w:color w:val="auto"/>
                <w:highlight w:val="none"/>
              </w:rPr>
            </w:pPr>
            <w:r>
              <w:rPr>
                <w:rFonts w:hint="eastAsia"/>
                <w:b/>
                <w:bCs/>
                <w:color w:val="auto"/>
                <w:highlight w:val="none"/>
              </w:rPr>
              <w:t>固废类别</w:t>
            </w:r>
          </w:p>
        </w:tc>
        <w:tc>
          <w:tcPr>
            <w:tcW w:w="708"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532" w:type="pc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640" w:type="pct"/>
            <w:vMerge w:val="restart"/>
            <w:tcBorders>
              <w:tl2br w:val="nil"/>
              <w:tr2bl w:val="nil"/>
            </w:tcBorders>
            <w:vAlign w:val="center"/>
          </w:tcPr>
          <w:p>
            <w:pPr>
              <w:pStyle w:val="28"/>
              <w:widowControl w:val="0"/>
              <w:rPr>
                <w:color w:val="auto"/>
                <w:highlight w:val="none"/>
              </w:rPr>
            </w:pPr>
            <w:r>
              <w:rPr>
                <w:rFonts w:hint="eastAsia"/>
                <w:color w:val="auto"/>
                <w:highlight w:val="none"/>
              </w:rPr>
              <w:t>待宰圈、屠宰车间</w:t>
            </w:r>
          </w:p>
        </w:tc>
        <w:tc>
          <w:tcPr>
            <w:tcW w:w="642" w:type="pct"/>
            <w:vMerge w:val="restart"/>
            <w:tcBorders>
              <w:tl2br w:val="nil"/>
              <w:tr2bl w:val="nil"/>
            </w:tcBorders>
            <w:vAlign w:val="center"/>
          </w:tcPr>
          <w:p>
            <w:pPr>
              <w:pStyle w:val="28"/>
              <w:widowControl w:val="0"/>
              <w:rPr>
                <w:color w:val="auto"/>
                <w:highlight w:val="none"/>
              </w:rPr>
            </w:pPr>
            <w:r>
              <w:rPr>
                <w:rFonts w:hint="eastAsia"/>
                <w:color w:val="auto"/>
                <w:highlight w:val="none"/>
              </w:rPr>
              <w:t>一般固废</w:t>
            </w: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54</w:t>
            </w:r>
          </w:p>
        </w:tc>
        <w:tc>
          <w:tcPr>
            <w:tcW w:w="1532"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暂存于无害化暂存间后交由具有无害化处理资质的单位处置。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640" w:type="pct"/>
            <w:vMerge w:val="continue"/>
            <w:tcBorders>
              <w:tl2br w:val="nil"/>
              <w:tr2bl w:val="nil"/>
            </w:tcBorders>
            <w:vAlign w:val="center"/>
          </w:tcPr>
          <w:p>
            <w:pPr>
              <w:pStyle w:val="28"/>
              <w:widowControl w:val="0"/>
              <w:rPr>
                <w:color w:val="auto"/>
                <w:highlight w:val="none"/>
              </w:rPr>
            </w:pP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1177</w:t>
            </w:r>
          </w:p>
        </w:tc>
        <w:tc>
          <w:tcPr>
            <w:tcW w:w="153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640"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384</w:t>
            </w:r>
          </w:p>
        </w:tc>
        <w:tc>
          <w:tcPr>
            <w:tcW w:w="153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640" w:type="pct"/>
            <w:vMerge w:val="continue"/>
            <w:tcBorders>
              <w:tl2br w:val="nil"/>
              <w:tr2bl w:val="nil"/>
            </w:tcBorders>
            <w:vAlign w:val="center"/>
          </w:tcPr>
          <w:p>
            <w:pPr>
              <w:pStyle w:val="28"/>
              <w:widowControl w:val="0"/>
              <w:rPr>
                <w:color w:val="auto"/>
                <w:highlight w:val="none"/>
              </w:rPr>
            </w:pP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82</w:t>
            </w:r>
          </w:p>
        </w:tc>
        <w:tc>
          <w:tcPr>
            <w:tcW w:w="153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640" w:type="pct"/>
            <w:vMerge w:val="restart"/>
            <w:tcBorders>
              <w:tl2br w:val="nil"/>
              <w:tr2bl w:val="nil"/>
            </w:tcBorders>
            <w:vAlign w:val="center"/>
          </w:tcPr>
          <w:p>
            <w:pPr>
              <w:pStyle w:val="28"/>
              <w:widowControl w:val="0"/>
              <w:rPr>
                <w:color w:val="auto"/>
                <w:highlight w:val="none"/>
              </w:rPr>
            </w:pPr>
            <w:r>
              <w:rPr>
                <w:rFonts w:hint="eastAsia"/>
                <w:color w:val="auto"/>
                <w:highlight w:val="none"/>
              </w:rPr>
              <w:t>污水处理系统</w:t>
            </w: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48</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640" w:type="pct"/>
            <w:vMerge w:val="continue"/>
            <w:tcBorders>
              <w:tl2br w:val="nil"/>
              <w:tr2bl w:val="nil"/>
            </w:tcBorders>
            <w:vAlign w:val="center"/>
          </w:tcPr>
          <w:p>
            <w:pPr>
              <w:pStyle w:val="28"/>
              <w:widowControl w:val="0"/>
              <w:rPr>
                <w:color w:val="auto"/>
                <w:highlight w:val="none"/>
              </w:rPr>
            </w:pP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7</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640" w:type="pct"/>
            <w:vMerge w:val="continue"/>
            <w:tcBorders>
              <w:tl2br w:val="nil"/>
              <w:tr2bl w:val="nil"/>
            </w:tcBorders>
            <w:vAlign w:val="center"/>
          </w:tcPr>
          <w:p>
            <w:pPr>
              <w:pStyle w:val="28"/>
              <w:widowControl w:val="0"/>
              <w:rPr>
                <w:color w:val="auto"/>
                <w:highlight w:val="none"/>
              </w:rPr>
            </w:pP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8.13</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委托有无害化处理资质的单位进行处置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废包装材料、废胶皮手套</w:t>
            </w:r>
          </w:p>
        </w:tc>
        <w:tc>
          <w:tcPr>
            <w:tcW w:w="640" w:type="pct"/>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废试纸、废</w:t>
            </w:r>
            <w:r>
              <w:rPr>
                <w:color w:val="auto"/>
                <w:highlight w:val="none"/>
              </w:rPr>
              <w:t>PCR</w:t>
            </w:r>
            <w:r>
              <w:rPr>
                <w:rFonts w:hint="eastAsia"/>
                <w:color w:val="auto"/>
                <w:highlight w:val="none"/>
              </w:rPr>
              <w:t>试剂盒</w:t>
            </w:r>
          </w:p>
        </w:tc>
        <w:tc>
          <w:tcPr>
            <w:tcW w:w="640" w:type="pct"/>
            <w:tcBorders>
              <w:tl2br w:val="nil"/>
              <w:tr2bl w:val="nil"/>
            </w:tcBorders>
            <w:vAlign w:val="center"/>
          </w:tcPr>
          <w:p>
            <w:pPr>
              <w:pStyle w:val="28"/>
              <w:widowControl w:val="0"/>
              <w:rPr>
                <w:color w:val="auto"/>
                <w:highlight w:val="none"/>
              </w:rPr>
            </w:pPr>
            <w:r>
              <w:rPr>
                <w:rFonts w:hint="eastAsia"/>
                <w:color w:val="auto"/>
                <w:highlight w:val="none"/>
              </w:rPr>
              <w:t>生猪进场</w:t>
            </w: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0.15</w:t>
            </w:r>
          </w:p>
        </w:tc>
        <w:tc>
          <w:tcPr>
            <w:tcW w:w="1532" w:type="pct"/>
            <w:tcBorders>
              <w:tl2br w:val="nil"/>
              <w:tr2bl w:val="nil"/>
            </w:tcBorders>
            <w:vAlign w:val="center"/>
          </w:tcPr>
          <w:p>
            <w:pPr>
              <w:pStyle w:val="28"/>
              <w:widowControl w:val="0"/>
              <w:rPr>
                <w:rFonts w:hint="default"/>
                <w:color w:val="auto"/>
                <w:highlight w:val="none"/>
                <w:lang w:val="en-US"/>
              </w:rPr>
            </w:pPr>
            <w:r>
              <w:rPr>
                <w:rFonts w:hint="eastAsia"/>
                <w:color w:val="auto"/>
                <w:highlight w:val="none"/>
                <w:lang w:val="en-US" w:eastAsia="zh-CN"/>
              </w:rPr>
              <w:t>按照</w:t>
            </w:r>
            <w:r>
              <w:rPr>
                <w:rFonts w:hint="eastAsia"/>
                <w:color w:val="auto"/>
                <w:highlight w:val="none"/>
              </w:rPr>
              <w:t>农业行政管理部门</w:t>
            </w:r>
            <w:r>
              <w:rPr>
                <w:rFonts w:hint="eastAsia"/>
                <w:color w:val="auto"/>
                <w:highlight w:val="none"/>
                <w:lang w:val="en-US" w:eastAsia="zh-CN"/>
              </w:rPr>
              <w:t>的管理要求，交由相应单位处理</w:t>
            </w: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640" w:type="pct"/>
            <w:tcBorders>
              <w:tl2br w:val="nil"/>
              <w:tr2bl w:val="nil"/>
            </w:tcBorders>
            <w:vAlign w:val="center"/>
          </w:tcPr>
          <w:p>
            <w:pPr>
              <w:pStyle w:val="28"/>
              <w:widowControl w:val="0"/>
              <w:rPr>
                <w:color w:val="auto"/>
                <w:highlight w:val="none"/>
              </w:rPr>
            </w:pPr>
            <w:r>
              <w:rPr>
                <w:rFonts w:hint="eastAsia"/>
                <w:color w:val="auto"/>
                <w:highlight w:val="none"/>
              </w:rPr>
              <w:t>员工办公生活</w:t>
            </w:r>
          </w:p>
        </w:tc>
        <w:tc>
          <w:tcPr>
            <w:tcW w:w="642" w:type="pct"/>
            <w:vMerge w:val="restart"/>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11</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餐厨垃圾</w:t>
            </w:r>
          </w:p>
        </w:tc>
        <w:tc>
          <w:tcPr>
            <w:tcW w:w="640" w:type="pct"/>
            <w:tcBorders>
              <w:tl2br w:val="nil"/>
              <w:tr2bl w:val="nil"/>
            </w:tcBorders>
            <w:vAlign w:val="center"/>
          </w:tcPr>
          <w:p>
            <w:pPr>
              <w:pStyle w:val="28"/>
              <w:widowControl w:val="0"/>
              <w:rPr>
                <w:color w:val="auto"/>
                <w:highlight w:val="none"/>
              </w:rPr>
            </w:pPr>
            <w:r>
              <w:rPr>
                <w:rFonts w:hint="eastAsia"/>
                <w:color w:val="auto"/>
                <w:highlight w:val="none"/>
              </w:rPr>
              <w:t>食堂</w:t>
            </w: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0.75</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由经城管部门许可的餐厨垃圾收运单位处置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废润滑油</w:t>
            </w:r>
          </w:p>
        </w:tc>
        <w:tc>
          <w:tcPr>
            <w:tcW w:w="640" w:type="pct"/>
            <w:vMerge w:val="restart"/>
            <w:tcBorders>
              <w:tl2br w:val="nil"/>
              <w:tr2bl w:val="nil"/>
            </w:tcBorders>
            <w:vAlign w:val="center"/>
          </w:tcPr>
          <w:p>
            <w:pPr>
              <w:pStyle w:val="28"/>
              <w:widowControl w:val="0"/>
              <w:rPr>
                <w:color w:val="auto"/>
                <w:highlight w:val="none"/>
              </w:rPr>
            </w:pPr>
            <w:r>
              <w:rPr>
                <w:rFonts w:hint="eastAsia"/>
                <w:color w:val="auto"/>
                <w:highlight w:val="none"/>
              </w:rPr>
              <w:t>设备维护</w:t>
            </w:r>
          </w:p>
        </w:tc>
        <w:tc>
          <w:tcPr>
            <w:tcW w:w="642" w:type="pct"/>
            <w:vMerge w:val="restart"/>
            <w:tcBorders>
              <w:tl2br w:val="nil"/>
              <w:tr2bl w:val="nil"/>
            </w:tcBorders>
            <w:vAlign w:val="center"/>
          </w:tcPr>
          <w:p>
            <w:pPr>
              <w:pStyle w:val="28"/>
              <w:widowControl w:val="0"/>
              <w:rPr>
                <w:color w:val="auto"/>
                <w:highlight w:val="none"/>
              </w:rPr>
            </w:pPr>
            <w:r>
              <w:rPr>
                <w:rFonts w:hint="eastAsia"/>
                <w:color w:val="auto"/>
                <w:highlight w:val="none"/>
              </w:rPr>
              <w:t>危险固废</w:t>
            </w: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1532"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暂存于危废暂存间，定期交由有资质的单位处置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28"/>
              <w:widowControl w:val="0"/>
              <w:rPr>
                <w:color w:val="auto"/>
                <w:highlight w:val="none"/>
              </w:rPr>
            </w:pPr>
            <w:r>
              <w:rPr>
                <w:rFonts w:hint="eastAsia"/>
                <w:color w:val="auto"/>
                <w:highlight w:val="none"/>
              </w:rPr>
              <w:t>13</w:t>
            </w:r>
          </w:p>
        </w:tc>
        <w:tc>
          <w:tcPr>
            <w:tcW w:w="1142" w:type="pct"/>
            <w:tcBorders>
              <w:tl2br w:val="nil"/>
              <w:tr2bl w:val="nil"/>
            </w:tcBorders>
            <w:vAlign w:val="center"/>
          </w:tcPr>
          <w:p>
            <w:pPr>
              <w:pStyle w:val="28"/>
              <w:widowControl w:val="0"/>
              <w:rPr>
                <w:color w:val="auto"/>
                <w:highlight w:val="none"/>
              </w:rPr>
            </w:pPr>
            <w:r>
              <w:rPr>
                <w:rFonts w:hint="eastAsia"/>
                <w:color w:val="auto"/>
                <w:highlight w:val="none"/>
              </w:rPr>
              <w:t>废油桶</w:t>
            </w:r>
          </w:p>
        </w:tc>
        <w:tc>
          <w:tcPr>
            <w:tcW w:w="640" w:type="pct"/>
            <w:vMerge w:val="continue"/>
            <w:tcBorders>
              <w:tl2br w:val="nil"/>
              <w:tr2bl w:val="nil"/>
            </w:tcBorders>
            <w:vAlign w:val="center"/>
          </w:tcPr>
          <w:p>
            <w:pPr>
              <w:pStyle w:val="28"/>
              <w:widowControl w:val="0"/>
              <w:rPr>
                <w:color w:val="auto"/>
                <w:highlight w:val="none"/>
              </w:rPr>
            </w:pPr>
          </w:p>
        </w:tc>
        <w:tc>
          <w:tcPr>
            <w:tcW w:w="642" w:type="pct"/>
            <w:vMerge w:val="continue"/>
            <w:tcBorders>
              <w:tl2br w:val="nil"/>
              <w:tr2bl w:val="nil"/>
            </w:tcBorders>
            <w:vAlign w:val="center"/>
          </w:tcPr>
          <w:p>
            <w:pPr>
              <w:pStyle w:val="28"/>
              <w:widowControl w:val="0"/>
              <w:rPr>
                <w:color w:val="auto"/>
                <w:highlight w:val="none"/>
              </w:rPr>
            </w:pP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153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pct"/>
            <w:gridSpan w:val="4"/>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708" w:type="pct"/>
            <w:tcBorders>
              <w:tl2br w:val="nil"/>
              <w:tr2bl w:val="nil"/>
            </w:tcBorders>
            <w:vAlign w:val="center"/>
          </w:tcPr>
          <w:p>
            <w:pPr>
              <w:pStyle w:val="28"/>
              <w:widowControl w:val="0"/>
              <w:rPr>
                <w:color w:val="auto"/>
                <w:highlight w:val="none"/>
              </w:rPr>
            </w:pPr>
            <w:r>
              <w:rPr>
                <w:rFonts w:hint="eastAsia"/>
                <w:color w:val="auto"/>
                <w:highlight w:val="none"/>
              </w:rPr>
              <w:t>1774.84</w:t>
            </w:r>
          </w:p>
        </w:tc>
        <w:tc>
          <w:tcPr>
            <w:tcW w:w="1532" w:type="pct"/>
            <w:tcBorders>
              <w:tl2br w:val="nil"/>
              <w:tr2bl w:val="nil"/>
            </w:tcBorders>
            <w:vAlign w:val="center"/>
          </w:tcPr>
          <w:p>
            <w:pPr>
              <w:pStyle w:val="28"/>
              <w:widowControl w:val="0"/>
              <w:rPr>
                <w:color w:val="auto"/>
                <w:highlight w:val="none"/>
              </w:rPr>
            </w:pPr>
            <w:r>
              <w:rPr>
                <w:rFonts w:hint="eastAsia"/>
                <w:color w:val="auto"/>
                <w:highlight w:val="none"/>
              </w:rPr>
              <w:t>/</w:t>
            </w:r>
          </w:p>
        </w:tc>
      </w:tr>
    </w:tbl>
    <w:p>
      <w:pPr>
        <w:pStyle w:val="5"/>
        <w:widowControl w:val="0"/>
        <w:ind w:firstLine="120"/>
        <w:rPr>
          <w:color w:val="auto"/>
          <w:highlight w:val="none"/>
        </w:rPr>
      </w:pPr>
      <w:r>
        <w:rPr>
          <w:rFonts w:hint="eastAsia"/>
          <w:color w:val="auto"/>
          <w:highlight w:val="none"/>
        </w:rPr>
        <w:t>项目污染物产排情况汇总</w:t>
      </w:r>
    </w:p>
    <w:p>
      <w:pPr>
        <w:widowControl w:val="0"/>
        <w:ind w:firstLine="480"/>
        <w:rPr>
          <w:color w:val="auto"/>
          <w:highlight w:val="none"/>
        </w:rPr>
      </w:pPr>
      <w:r>
        <w:rPr>
          <w:rFonts w:hint="eastAsia"/>
          <w:color w:val="auto"/>
          <w:highlight w:val="none"/>
        </w:rPr>
        <w:t>综上，本项目污染物产排情况汇总见下表。</w:t>
      </w:r>
    </w:p>
    <w:p>
      <w:pPr>
        <w:widowControl w:val="0"/>
        <w:ind w:firstLine="480"/>
        <w:rPr>
          <w:color w:val="auto"/>
          <w:highlight w:val="none"/>
        </w:rPr>
        <w:sectPr>
          <w:pgSz w:w="12240" w:h="15840"/>
          <w:pgMar w:top="1440" w:right="1474"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27"/>
        <w:widowControl w:val="0"/>
        <w:rPr>
          <w:color w:val="auto"/>
          <w:highlight w:val="none"/>
        </w:rPr>
      </w:pPr>
      <w:r>
        <w:rPr>
          <w:rFonts w:hint="eastAsia"/>
          <w:color w:val="auto"/>
          <w:highlight w:val="none"/>
        </w:rPr>
        <w:t>项目污染物产排情况汇总表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556"/>
        <w:gridCol w:w="838"/>
        <w:gridCol w:w="740"/>
        <w:gridCol w:w="1424"/>
        <w:gridCol w:w="1107"/>
        <w:gridCol w:w="1291"/>
        <w:gridCol w:w="975"/>
        <w:gridCol w:w="4353"/>
        <w:gridCol w:w="1375"/>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5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761" w:type="pct"/>
            <w:gridSpan w:val="3"/>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50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1204"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治理前污染物产生情况</w:t>
            </w:r>
          </w:p>
        </w:tc>
        <w:tc>
          <w:tcPr>
            <w:tcW w:w="155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c>
          <w:tcPr>
            <w:tcW w:w="814"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处理后排放量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b/>
                <w:bCs/>
                <w:color w:val="auto"/>
                <w:highlight w:val="none"/>
              </w:rPr>
            </w:pPr>
          </w:p>
        </w:tc>
        <w:tc>
          <w:tcPr>
            <w:tcW w:w="761" w:type="pct"/>
            <w:gridSpan w:val="3"/>
            <w:vMerge w:val="continue"/>
            <w:tcBorders>
              <w:tl2br w:val="nil"/>
              <w:tr2bl w:val="nil"/>
            </w:tcBorders>
            <w:vAlign w:val="center"/>
          </w:tcPr>
          <w:p>
            <w:pPr>
              <w:pStyle w:val="28"/>
              <w:widowControl w:val="0"/>
              <w:rPr>
                <w:b/>
                <w:bCs/>
                <w:color w:val="auto"/>
                <w:highlight w:val="none"/>
              </w:rPr>
            </w:pPr>
          </w:p>
        </w:tc>
        <w:tc>
          <w:tcPr>
            <w:tcW w:w="508" w:type="pct"/>
            <w:vMerge w:val="continue"/>
            <w:tcBorders>
              <w:tl2br w:val="nil"/>
              <w:tr2bl w:val="nil"/>
            </w:tcBorders>
            <w:vAlign w:val="center"/>
          </w:tcPr>
          <w:p>
            <w:pPr>
              <w:pStyle w:val="28"/>
              <w:widowControl w:val="0"/>
              <w:rPr>
                <w:b/>
                <w:bCs/>
                <w:color w:val="auto"/>
                <w:highlight w:val="none"/>
              </w:rPr>
            </w:pPr>
          </w:p>
        </w:tc>
        <w:tc>
          <w:tcPr>
            <w:tcW w:w="395" w:type="pct"/>
            <w:tcBorders>
              <w:tl2br w:val="nil"/>
              <w:tr2bl w:val="nil"/>
            </w:tcBorders>
            <w:vAlign w:val="center"/>
          </w:tcPr>
          <w:p>
            <w:pPr>
              <w:pStyle w:val="28"/>
              <w:widowControl w:val="0"/>
              <w:rPr>
                <w:b/>
                <w:bCs/>
                <w:color w:val="auto"/>
                <w:highlight w:val="none"/>
              </w:rPr>
            </w:pPr>
            <w:r>
              <w:rPr>
                <w:rFonts w:hint="eastAsia"/>
                <w:b/>
                <w:bCs/>
                <w:color w:val="auto"/>
                <w:highlight w:val="none"/>
              </w:rPr>
              <w:t>污染因子</w:t>
            </w:r>
          </w:p>
        </w:tc>
        <w:tc>
          <w:tcPr>
            <w:tcW w:w="461" w:type="pct"/>
            <w:tcBorders>
              <w:tl2br w:val="nil"/>
              <w:tr2bl w:val="nil"/>
            </w:tcBorders>
            <w:vAlign w:val="center"/>
          </w:tcPr>
          <w:p>
            <w:pPr>
              <w:pStyle w:val="28"/>
              <w:widowControl w:val="0"/>
              <w:rPr>
                <w:b/>
                <w:bCs/>
                <w:color w:val="auto"/>
                <w:highlight w:val="none"/>
              </w:rPr>
            </w:pPr>
            <w:r>
              <w:rPr>
                <w:rFonts w:hint="eastAsia"/>
                <w:b/>
                <w:bCs/>
                <w:color w:val="auto"/>
                <w:highlight w:val="none"/>
              </w:rPr>
              <w:t>浓度</w:t>
            </w:r>
          </w:p>
        </w:tc>
        <w:tc>
          <w:tcPr>
            <w:tcW w:w="347"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553" w:type="pct"/>
            <w:vMerge w:val="continue"/>
            <w:tcBorders>
              <w:tl2br w:val="nil"/>
              <w:tr2bl w:val="nil"/>
            </w:tcBorders>
            <w:vAlign w:val="center"/>
          </w:tcPr>
          <w:p>
            <w:pPr>
              <w:pStyle w:val="28"/>
              <w:widowControl w:val="0"/>
              <w:rPr>
                <w:b/>
                <w:bCs/>
                <w:color w:val="auto"/>
                <w:highlight w:val="none"/>
              </w:rPr>
            </w:pPr>
          </w:p>
        </w:tc>
        <w:tc>
          <w:tcPr>
            <w:tcW w:w="491" w:type="pct"/>
            <w:tcBorders>
              <w:tl2br w:val="nil"/>
              <w:tr2bl w:val="nil"/>
            </w:tcBorders>
            <w:vAlign w:val="center"/>
          </w:tcPr>
          <w:p>
            <w:pPr>
              <w:pStyle w:val="28"/>
              <w:widowControl w:val="0"/>
              <w:rPr>
                <w:b/>
                <w:bCs/>
                <w:color w:val="auto"/>
                <w:highlight w:val="none"/>
              </w:rPr>
            </w:pPr>
            <w:r>
              <w:rPr>
                <w:rFonts w:hint="eastAsia"/>
                <w:b/>
                <w:bCs/>
                <w:color w:val="auto"/>
                <w:highlight w:val="none"/>
              </w:rPr>
              <w:t>浓度</w:t>
            </w:r>
          </w:p>
        </w:tc>
        <w:tc>
          <w:tcPr>
            <w:tcW w:w="323" w:type="pct"/>
            <w:tcBorders>
              <w:tl2br w:val="nil"/>
              <w:tr2bl w:val="nil"/>
            </w:tcBorders>
            <w:vAlign w:val="center"/>
          </w:tcPr>
          <w:p>
            <w:pPr>
              <w:pStyle w:val="28"/>
              <w:widowControl w:val="0"/>
              <w:rPr>
                <w:b/>
                <w:bCs/>
                <w:color w:val="auto"/>
                <w:highlight w:val="none"/>
              </w:rPr>
            </w:pPr>
            <w:r>
              <w:rPr>
                <w:rFonts w:hint="eastAsia"/>
                <w:b/>
                <w:bCs/>
                <w:color w:val="auto"/>
                <w:highlight w:val="none"/>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restart"/>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761"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254.8m</w:t>
            </w:r>
            <w:r>
              <w:rPr>
                <w:rFonts w:hint="eastAsia"/>
                <w:color w:val="auto"/>
                <w:highlight w:val="none"/>
                <w:vertAlign w:val="superscript"/>
              </w:rPr>
              <w:t>3</w:t>
            </w:r>
            <w:r>
              <w:rPr>
                <w:rFonts w:hint="eastAsia"/>
                <w:color w:val="auto"/>
                <w:highlight w:val="none"/>
              </w:rPr>
              <w:t>/d</w:t>
            </w:r>
          </w:p>
          <w:p>
            <w:pPr>
              <w:pStyle w:val="28"/>
              <w:widowControl w:val="0"/>
              <w:rPr>
                <w:color w:val="auto"/>
                <w:highlight w:val="none"/>
              </w:rPr>
            </w:pPr>
            <w:r>
              <w:rPr>
                <w:rFonts w:hint="eastAsia"/>
                <w:color w:val="auto"/>
                <w:highlight w:val="none"/>
              </w:rPr>
              <w:t>（旺季）</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2059mg/L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164.53 </w:t>
            </w:r>
          </w:p>
        </w:tc>
        <w:tc>
          <w:tcPr>
            <w:tcW w:w="1553" w:type="pct"/>
            <w:vMerge w:val="restart"/>
            <w:tcBorders>
              <w:tl2br w:val="nil"/>
              <w:tr2bl w:val="nil"/>
            </w:tcBorders>
            <w:vAlign w:val="center"/>
          </w:tcPr>
          <w:p>
            <w:pPr>
              <w:pStyle w:val="28"/>
              <w:widowControl w:val="0"/>
              <w:rPr>
                <w:color w:val="auto"/>
                <w:highlight w:val="none"/>
              </w:rPr>
            </w:pPr>
            <w:r>
              <w:rPr>
                <w:rFonts w:hint="eastAsia"/>
                <w:color w:val="auto"/>
                <w:highlight w:val="none"/>
              </w:rPr>
              <w:t>经自建污水处理站（处理工艺为格栅池+沉渣池+多功能生物调节池+气浮沉渣池+厌氧池+初沉池+缺氧池1+好氧池1+紫外消毒+清水池）处理后排入元坨社区市政污水管网，通过市政污水管网汇入响滩镇污水处理厂处理</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500mg/L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39.96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947mg/L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75.67 </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300mg/L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23.97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154mg/L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12.31 </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45mg/L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3.60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1136mg/L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90.78 </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400mg/L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31.96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TP</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28mg/L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2.24 </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8mg/L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0.64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142mg/L</w:t>
            </w:r>
          </w:p>
        </w:tc>
        <w:tc>
          <w:tcPr>
            <w:tcW w:w="974" w:type="dxa"/>
            <w:tcBorders>
              <w:tl2br w:val="nil"/>
              <w:tr2bl w:val="nil"/>
            </w:tcBorders>
            <w:vAlign w:val="center"/>
          </w:tcPr>
          <w:p>
            <w:pPr>
              <w:pStyle w:val="28"/>
              <w:widowControl w:val="0"/>
              <w:rPr>
                <w:color w:val="auto"/>
                <w:highlight w:val="none"/>
              </w:rPr>
            </w:pPr>
            <w:r>
              <w:rPr>
                <w:rFonts w:hint="eastAsia"/>
                <w:color w:val="auto"/>
                <w:highlight w:val="none"/>
              </w:rPr>
              <w:t xml:space="preserve">11.35 </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60mg/L</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 xml:space="preserve">4.79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7" w:type="pct"/>
            <w:vMerge w:val="restart"/>
            <w:tcBorders>
              <w:tl2br w:val="nil"/>
              <w:tr2bl w:val="nil"/>
            </w:tcBorders>
            <w:vAlign w:val="center"/>
          </w:tcPr>
          <w:p>
            <w:pPr>
              <w:pStyle w:val="28"/>
              <w:widowControl w:val="0"/>
              <w:rPr>
                <w:color w:val="auto"/>
                <w:highlight w:val="none"/>
              </w:rPr>
            </w:pPr>
            <w:r>
              <w:rPr>
                <w:rFonts w:hint="eastAsia"/>
                <w:color w:val="auto"/>
                <w:highlight w:val="none"/>
              </w:rPr>
              <w:t>废气</w:t>
            </w:r>
          </w:p>
        </w:tc>
        <w:tc>
          <w:tcPr>
            <w:tcW w:w="198" w:type="pct"/>
            <w:vMerge w:val="restart"/>
            <w:tcBorders>
              <w:tl2br w:val="nil"/>
              <w:tr2bl w:val="nil"/>
            </w:tcBorders>
            <w:vAlign w:val="center"/>
          </w:tcPr>
          <w:p>
            <w:pPr>
              <w:pStyle w:val="28"/>
              <w:widowControl w:val="0"/>
              <w:rPr>
                <w:color w:val="auto"/>
                <w:highlight w:val="none"/>
              </w:rPr>
            </w:pPr>
            <w:r>
              <w:rPr>
                <w:rFonts w:hint="eastAsia"/>
                <w:color w:val="auto"/>
                <w:highlight w:val="none"/>
              </w:rPr>
              <w:t>有组织</w:t>
            </w:r>
          </w:p>
        </w:tc>
        <w:tc>
          <w:tcPr>
            <w:tcW w:w="562" w:type="pct"/>
            <w:gridSpan w:val="2"/>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rPr>
              <w:t>待宰圈、</w:t>
            </w:r>
            <w:r>
              <w:rPr>
                <w:rFonts w:hint="eastAsia"/>
                <w:color w:val="auto"/>
                <w:highlight w:val="none"/>
                <w:lang w:val="en-US" w:eastAsia="zh-CN"/>
              </w:rPr>
              <w:t>生猪屠宰车间</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lang w:val="en-US" w:eastAsia="zh-CN"/>
              </w:rPr>
              <w:t>316000</w:t>
            </w:r>
            <w:r>
              <w:rPr>
                <w:color w:val="auto"/>
                <w:highlight w:val="none"/>
              </w:rPr>
              <w:t>m</w:t>
            </w:r>
            <w:r>
              <w:rPr>
                <w:color w:val="auto"/>
                <w:highlight w:val="none"/>
                <w:vertAlign w:val="superscript"/>
              </w:rPr>
              <w:t>3</w:t>
            </w:r>
            <w:r>
              <w:rPr>
                <w:color w:val="auto"/>
                <w:highlight w:val="none"/>
              </w:rPr>
              <w:t>/h</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vertAlign w:val="superscript"/>
              </w:rPr>
            </w:pPr>
            <w:r>
              <w:rPr>
                <w:rFonts w:hint="eastAsia"/>
                <w:color w:val="auto"/>
                <w:highlight w:val="none"/>
                <w:lang w:val="en-US" w:eastAsia="zh-CN"/>
              </w:rPr>
              <w:t>0.145</w:t>
            </w:r>
            <w:r>
              <w:rPr>
                <w:rFonts w:hint="eastAsia"/>
                <w:color w:val="auto"/>
                <w:highlight w:val="none"/>
              </w:rPr>
              <w:t>mg/m</w:t>
            </w:r>
            <w:r>
              <w:rPr>
                <w:rFonts w:hint="eastAsia"/>
                <w:color w:val="auto"/>
                <w:highlight w:val="none"/>
                <w:vertAlign w:val="superscript"/>
              </w:rPr>
              <w:t>3</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3</w:t>
            </w:r>
          </w:p>
        </w:tc>
        <w:tc>
          <w:tcPr>
            <w:tcW w:w="1553" w:type="pct"/>
            <w:vMerge w:val="restart"/>
            <w:tcBorders>
              <w:tl2br w:val="nil"/>
              <w:tr2bl w:val="nil"/>
            </w:tcBorders>
            <w:vAlign w:val="center"/>
          </w:tcPr>
          <w:p>
            <w:pPr>
              <w:pStyle w:val="28"/>
              <w:widowControl w:val="0"/>
              <w:jc w:val="both"/>
              <w:rPr>
                <w:color w:val="auto"/>
                <w:highlight w:val="none"/>
              </w:rPr>
            </w:pPr>
            <w:r>
              <w:rPr>
                <w:rFonts w:hint="eastAsia"/>
                <w:color w:val="auto"/>
                <w:highlight w:val="none"/>
              </w:rPr>
              <w:t>污染控制措施：</w:t>
            </w:r>
          </w:p>
          <w:p>
            <w:pPr>
              <w:pStyle w:val="28"/>
              <w:widowControl w:val="0"/>
              <w:jc w:val="both"/>
              <w:rPr>
                <w:rFonts w:hint="eastAsia" w:eastAsia="宋体"/>
                <w:color w:val="auto"/>
                <w:highlight w:val="none"/>
                <w:lang w:eastAsia="zh-CN"/>
              </w:rPr>
            </w:pPr>
            <w:r>
              <w:rPr>
                <w:rFonts w:hint="eastAsia"/>
                <w:color w:val="auto"/>
                <w:highlight w:val="none"/>
              </w:rPr>
              <w:t>待宰圈</w:t>
            </w:r>
            <w:r>
              <w:rPr>
                <w:color w:val="auto"/>
                <w:highlight w:val="none"/>
              </w:rPr>
              <w:t>全密闭，设置强制通风设施，保持车间负压；喷洒生物除臭剂，猪粪采用水冲式，设水雾喷淋装置，保持</w:t>
            </w:r>
            <w:r>
              <w:rPr>
                <w:rFonts w:hint="eastAsia"/>
                <w:color w:val="auto"/>
                <w:highlight w:val="none"/>
              </w:rPr>
              <w:t>待宰圈</w:t>
            </w:r>
            <w:r>
              <w:rPr>
                <w:color w:val="auto"/>
                <w:highlight w:val="none"/>
              </w:rPr>
              <w:t>清洁；可以减少80%的产生量</w:t>
            </w:r>
            <w:r>
              <w:rPr>
                <w:rFonts w:hint="eastAsia"/>
                <w:color w:val="auto"/>
                <w:highlight w:val="none"/>
              </w:rPr>
              <w:t>；</w:t>
            </w:r>
            <w:r>
              <w:rPr>
                <w:rFonts w:hint="eastAsia"/>
                <w:color w:val="auto"/>
                <w:highlight w:val="none"/>
                <w:lang w:val="en-US" w:eastAsia="zh-CN"/>
              </w:rPr>
              <w:t>生猪</w:t>
            </w:r>
            <w:r>
              <w:rPr>
                <w:color w:val="auto"/>
                <w:highlight w:val="none"/>
              </w:rPr>
              <w:t>屠宰车间为全密闭，设置强制通风设施，车间小时换气</w:t>
            </w:r>
            <w:r>
              <w:rPr>
                <w:rFonts w:hint="eastAsia"/>
                <w:color w:val="auto"/>
                <w:highlight w:val="none"/>
                <w:lang w:val="en-US" w:eastAsia="zh-CN"/>
              </w:rPr>
              <w:t>3</w:t>
            </w:r>
            <w:r>
              <w:rPr>
                <w:color w:val="auto"/>
                <w:highlight w:val="none"/>
              </w:rPr>
              <w:t>次，保持车间负压；车间生产线及时清洗，肠胃内容物和猪毛等污物及时清运，保持屠宰车间清洁；定期对车间进行消毒处理，可以减少80%的产生量</w:t>
            </w:r>
            <w:r>
              <w:rPr>
                <w:rFonts w:hint="eastAsia"/>
                <w:color w:val="auto"/>
                <w:highlight w:val="none"/>
                <w:lang w:eastAsia="zh-CN"/>
              </w:rPr>
              <w:t>。</w:t>
            </w:r>
          </w:p>
          <w:p>
            <w:pPr>
              <w:pStyle w:val="28"/>
              <w:widowControl w:val="0"/>
              <w:jc w:val="both"/>
              <w:rPr>
                <w:color w:val="auto"/>
                <w:highlight w:val="none"/>
              </w:rPr>
            </w:pPr>
            <w:r>
              <w:rPr>
                <w:rFonts w:hint="eastAsia"/>
                <w:color w:val="auto"/>
                <w:highlight w:val="none"/>
              </w:rPr>
              <w:t>污染治理措施：</w:t>
            </w:r>
          </w:p>
          <w:p>
            <w:pPr>
              <w:pStyle w:val="28"/>
              <w:widowControl w:val="0"/>
              <w:jc w:val="both"/>
              <w:rPr>
                <w:color w:val="auto"/>
                <w:highlight w:val="none"/>
              </w:rPr>
            </w:pPr>
            <w:r>
              <w:rPr>
                <w:rFonts w:hint="eastAsia"/>
                <w:color w:val="auto"/>
                <w:highlight w:val="none"/>
              </w:rPr>
              <w:t>臭气收集后采用1套UV光解+生物洗涤塔处理后15m排气筒（P1）排放</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013</w:t>
            </w:r>
            <w:r>
              <w:rPr>
                <w:rFonts w:hint="eastAsia"/>
                <w:color w:val="auto"/>
                <w:highlight w:val="none"/>
              </w:rPr>
              <w:t>mg/m</w:t>
            </w:r>
            <w:r>
              <w:rPr>
                <w:rFonts w:hint="eastAsia"/>
                <w:color w:val="auto"/>
                <w:highlight w:val="none"/>
                <w:vertAlign w:val="superscript"/>
              </w:rPr>
              <w:t>3</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013</w:t>
            </w:r>
            <w:r>
              <w:rPr>
                <w:rFonts w:hint="eastAsia"/>
                <w:color w:val="auto"/>
                <w:highlight w:val="none"/>
              </w:rPr>
              <w:t>mg/m</w:t>
            </w:r>
            <w:r>
              <w:rPr>
                <w:rFonts w:hint="eastAsia"/>
                <w:color w:val="auto"/>
                <w:highlight w:val="none"/>
                <w:vertAlign w:val="superscript"/>
              </w:rPr>
              <w:t>3</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2</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013</w:t>
            </w:r>
            <w:r>
              <w:rPr>
                <w:rFonts w:hint="eastAsia"/>
                <w:color w:val="auto"/>
                <w:highlight w:val="none"/>
              </w:rPr>
              <w:t>mg/m</w:t>
            </w:r>
            <w:r>
              <w:rPr>
                <w:rFonts w:hint="eastAsia"/>
                <w:color w:val="auto"/>
                <w:highlight w:val="none"/>
                <w:vertAlign w:val="superscript"/>
              </w:rPr>
              <w:t>3</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restar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肉牛屠宰车间、污水处理站</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lang w:val="en-US" w:eastAsia="zh-CN"/>
              </w:rPr>
              <w:t>64000</w:t>
            </w:r>
            <w:r>
              <w:rPr>
                <w:color w:val="auto"/>
                <w:highlight w:val="none"/>
              </w:rPr>
              <w:t>m</w:t>
            </w:r>
            <w:r>
              <w:rPr>
                <w:color w:val="auto"/>
                <w:highlight w:val="none"/>
                <w:vertAlign w:val="superscript"/>
              </w:rPr>
              <w:t>3</w:t>
            </w:r>
            <w:r>
              <w:rPr>
                <w:color w:val="auto"/>
                <w:highlight w:val="none"/>
              </w:rPr>
              <w:t>/h</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73</w:t>
            </w:r>
            <w:r>
              <w:rPr>
                <w:rFonts w:hint="eastAsia"/>
                <w:color w:val="auto"/>
                <w:highlight w:val="none"/>
              </w:rPr>
              <w:t>mg/m</w:t>
            </w:r>
            <w:r>
              <w:rPr>
                <w:rFonts w:hint="eastAsia"/>
                <w:color w:val="auto"/>
                <w:highlight w:val="none"/>
                <w:vertAlign w:val="superscript"/>
              </w:rPr>
              <w:t>3</w:t>
            </w:r>
          </w:p>
        </w:tc>
        <w:tc>
          <w:tcPr>
            <w:tcW w:w="347"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0.22</w:t>
            </w:r>
          </w:p>
        </w:tc>
        <w:tc>
          <w:tcPr>
            <w:tcW w:w="1553" w:type="pct"/>
            <w:vMerge w:val="restart"/>
            <w:tcBorders>
              <w:tl2br w:val="nil"/>
              <w:tr2bl w:val="nil"/>
            </w:tcBorders>
            <w:vAlign w:val="center"/>
          </w:tcPr>
          <w:p>
            <w:pPr>
              <w:pStyle w:val="28"/>
              <w:widowControl w:val="0"/>
              <w:jc w:val="both"/>
              <w:rPr>
                <w:color w:val="auto"/>
                <w:highlight w:val="none"/>
              </w:rPr>
            </w:pPr>
            <w:r>
              <w:rPr>
                <w:rFonts w:hint="eastAsia"/>
                <w:color w:val="auto"/>
                <w:highlight w:val="none"/>
              </w:rPr>
              <w:t>污染控制措施：</w:t>
            </w:r>
          </w:p>
          <w:p>
            <w:pPr>
              <w:pStyle w:val="28"/>
              <w:widowControl w:val="0"/>
              <w:jc w:val="both"/>
              <w:rPr>
                <w:color w:val="auto"/>
                <w:highlight w:val="none"/>
              </w:rPr>
            </w:pPr>
            <w:r>
              <w:rPr>
                <w:rFonts w:hint="eastAsia"/>
                <w:color w:val="auto"/>
                <w:highlight w:val="none"/>
                <w:lang w:val="en-US" w:eastAsia="zh-CN"/>
              </w:rPr>
              <w:t>肉牛</w:t>
            </w:r>
            <w:r>
              <w:rPr>
                <w:color w:val="auto"/>
                <w:highlight w:val="none"/>
              </w:rPr>
              <w:t>屠宰车间为全密闭，设置强制通风设施，车间每小时换气</w:t>
            </w:r>
            <w:r>
              <w:rPr>
                <w:rFonts w:hint="eastAsia"/>
                <w:color w:val="auto"/>
                <w:highlight w:val="none"/>
                <w:lang w:val="en-US" w:eastAsia="zh-CN"/>
              </w:rPr>
              <w:t>3</w:t>
            </w:r>
            <w:r>
              <w:rPr>
                <w:color w:val="auto"/>
                <w:highlight w:val="none"/>
              </w:rPr>
              <w:t>次，保持车间负压；车间生产线及时清洗，肠胃内容物和</w:t>
            </w:r>
            <w:r>
              <w:rPr>
                <w:rFonts w:hint="eastAsia"/>
                <w:color w:val="auto"/>
                <w:highlight w:val="none"/>
                <w:lang w:val="en-US" w:eastAsia="zh-CN"/>
              </w:rPr>
              <w:t>牛毛</w:t>
            </w:r>
            <w:r>
              <w:rPr>
                <w:color w:val="auto"/>
                <w:highlight w:val="none"/>
              </w:rPr>
              <w:t>等污物及时清运，保持屠宰车间清洁；定期对车间进行消毒处理，可以减少80%的产生量</w:t>
            </w:r>
            <w:r>
              <w:rPr>
                <w:rFonts w:hint="eastAsia"/>
                <w:color w:val="auto"/>
                <w:highlight w:val="none"/>
                <w:lang w:eastAsia="zh-CN"/>
              </w:rPr>
              <w:t>；</w:t>
            </w:r>
            <w:r>
              <w:rPr>
                <w:rFonts w:hint="eastAsia"/>
                <w:color w:val="auto"/>
                <w:highlight w:val="none"/>
              </w:rPr>
              <w:t>污水处理站采用半地埋式，对整个污水处理单元进行全部密闭，地面加盖，采用微负压抽风系统收集。</w:t>
            </w:r>
          </w:p>
          <w:p>
            <w:pPr>
              <w:pStyle w:val="28"/>
              <w:widowControl w:val="0"/>
              <w:jc w:val="both"/>
              <w:rPr>
                <w:color w:val="auto"/>
                <w:highlight w:val="none"/>
              </w:rPr>
            </w:pPr>
            <w:r>
              <w:rPr>
                <w:rFonts w:hint="eastAsia"/>
                <w:color w:val="auto"/>
                <w:highlight w:val="none"/>
              </w:rPr>
              <w:t>污染治理措施：</w:t>
            </w:r>
          </w:p>
          <w:p>
            <w:pPr>
              <w:pStyle w:val="28"/>
              <w:widowControl w:val="0"/>
              <w:jc w:val="both"/>
              <w:rPr>
                <w:color w:val="auto"/>
                <w:highlight w:val="none"/>
              </w:rPr>
            </w:pPr>
            <w:r>
              <w:rPr>
                <w:rFonts w:hint="eastAsia"/>
                <w:color w:val="auto"/>
                <w:highlight w:val="none"/>
              </w:rPr>
              <w:t>臭气收集后采用1套UV光解+生物洗涤塔处理后15m排气筒（P2）排放</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lang w:val="en-US" w:eastAsia="zh-CN"/>
              </w:rPr>
              <w:t>0.07</w:t>
            </w:r>
            <w:r>
              <w:rPr>
                <w:rFonts w:hint="eastAsia"/>
                <w:color w:val="auto"/>
                <w:highlight w:val="none"/>
              </w:rPr>
              <w:t>mg/m</w:t>
            </w:r>
            <w:r>
              <w:rPr>
                <w:rFonts w:hint="eastAsia"/>
                <w:color w:val="auto"/>
                <w:highlight w:val="none"/>
                <w:vertAlign w:val="superscript"/>
              </w:rPr>
              <w:t>3</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16</w:t>
            </w:r>
            <w:r>
              <w:rPr>
                <w:rFonts w:hint="eastAsia"/>
                <w:color w:val="auto"/>
                <w:highlight w:val="none"/>
              </w:rPr>
              <w:t>mg/m</w:t>
            </w:r>
            <w:r>
              <w:rPr>
                <w:rFonts w:hint="eastAsia"/>
                <w:color w:val="auto"/>
                <w:highlight w:val="none"/>
                <w:vertAlign w:val="superscript"/>
              </w:rPr>
              <w:t>3</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0.02</w:t>
            </w:r>
            <w:r>
              <w:rPr>
                <w:rFonts w:hint="eastAsia"/>
                <w:color w:val="auto"/>
                <w:highlight w:val="none"/>
                <w:lang w:val="en-US" w:eastAsia="zh-CN"/>
              </w:rPr>
              <w:t>4</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0.0</w:t>
            </w:r>
            <w:r>
              <w:rPr>
                <w:rFonts w:hint="eastAsia"/>
                <w:color w:val="auto"/>
                <w:highlight w:val="none"/>
                <w:lang w:val="en-US" w:eastAsia="zh-CN"/>
              </w:rPr>
              <w:t>14</w:t>
            </w:r>
            <w:r>
              <w:rPr>
                <w:rFonts w:hint="eastAsia"/>
                <w:color w:val="auto"/>
                <w:highlight w:val="none"/>
              </w:rPr>
              <w:t>mg/m</w:t>
            </w:r>
            <w:r>
              <w:rPr>
                <w:rFonts w:hint="eastAsia"/>
                <w:color w:val="auto"/>
                <w:highlight w:val="none"/>
                <w:vertAlign w:val="superscript"/>
              </w:rPr>
              <w:t>3</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0.000</w:t>
            </w:r>
            <w:r>
              <w:rPr>
                <w:rFonts w:hint="eastAsia"/>
                <w:color w:val="auto"/>
                <w:highlight w:val="no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tcBorders>
              <w:tl2br w:val="nil"/>
              <w:tr2bl w:val="nil"/>
            </w:tcBorders>
            <w:vAlign w:val="center"/>
          </w:tcPr>
          <w:p>
            <w:pPr>
              <w:pStyle w:val="28"/>
              <w:widowControl w:val="0"/>
              <w:rPr>
                <w:color w:val="auto"/>
                <w:highlight w:val="none"/>
              </w:rPr>
            </w:pPr>
            <w:r>
              <w:rPr>
                <w:rFonts w:hint="eastAsia"/>
                <w:color w:val="auto"/>
                <w:highlight w:val="none"/>
              </w:rPr>
              <w:t>食堂油烟</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200</w:t>
            </w:r>
            <w:r>
              <w:rPr>
                <w:color w:val="auto"/>
                <w:highlight w:val="none"/>
              </w:rPr>
              <w:t>m</w:t>
            </w:r>
            <w:r>
              <w:rPr>
                <w:color w:val="auto"/>
                <w:highlight w:val="none"/>
                <w:vertAlign w:val="superscript"/>
              </w:rPr>
              <w:t>3</w:t>
            </w:r>
            <w:r>
              <w:rPr>
                <w:color w:val="auto"/>
                <w:highlight w:val="none"/>
              </w:rPr>
              <w:t>/h</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餐饮油烟</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0.024</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油烟净化器处理后，屋顶排放</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1.2mg/m</w:t>
            </w:r>
            <w:r>
              <w:rPr>
                <w:rFonts w:hint="eastAsia"/>
                <w:color w:val="auto"/>
                <w:highlight w:val="none"/>
                <w:vertAlign w:val="superscript"/>
              </w:rPr>
              <w:t>3</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天然气燃烧废气</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2000m</w:t>
            </w:r>
            <w:r>
              <w:rPr>
                <w:rFonts w:hint="eastAsia"/>
                <w:color w:val="auto"/>
                <w:highlight w:val="none"/>
                <w:vertAlign w:val="superscript"/>
              </w:rPr>
              <w:t>3</w:t>
            </w:r>
            <w:r>
              <w:rPr>
                <w:rFonts w:hint="eastAsia"/>
                <w:color w:val="auto"/>
                <w:highlight w:val="none"/>
              </w:rPr>
              <w:t>/h</w:t>
            </w:r>
          </w:p>
        </w:tc>
        <w:tc>
          <w:tcPr>
            <w:tcW w:w="395"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46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24</w:t>
            </w:r>
            <w:r>
              <w:rPr>
                <w:rFonts w:hint="eastAsia"/>
                <w:color w:val="auto"/>
                <w:sz w:val="21"/>
                <w:highlight w:val="none"/>
              </w:rPr>
              <w:t>mg/m</w:t>
            </w:r>
            <w:r>
              <w:rPr>
                <w:rFonts w:hint="eastAsia"/>
                <w:color w:val="auto"/>
                <w:sz w:val="21"/>
                <w:highlight w:val="none"/>
                <w:vertAlign w:val="superscript"/>
              </w:rPr>
              <w:t>3</w:t>
            </w:r>
          </w:p>
        </w:tc>
        <w:tc>
          <w:tcPr>
            <w:tcW w:w="3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1553" w:type="pct"/>
            <w:vMerge w:val="restart"/>
            <w:tcBorders>
              <w:tl2br w:val="nil"/>
              <w:tr2bl w:val="nil"/>
            </w:tcBorders>
            <w:vAlign w:val="center"/>
          </w:tcPr>
          <w:p>
            <w:pPr>
              <w:pStyle w:val="28"/>
              <w:widowControl w:val="0"/>
              <w:rPr>
                <w:color w:val="auto"/>
                <w:highlight w:val="none"/>
              </w:rPr>
            </w:pPr>
            <w:r>
              <w:rPr>
                <w:rFonts w:hint="eastAsia"/>
                <w:color w:val="auto"/>
                <w:highlight w:val="none"/>
              </w:rPr>
              <w:t>收集通过楼顶排气筒（P3）排放（h=8m）</w:t>
            </w:r>
          </w:p>
        </w:tc>
        <w:tc>
          <w:tcPr>
            <w:tcW w:w="49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24</w:t>
            </w:r>
            <w:r>
              <w:rPr>
                <w:rFonts w:hint="eastAsia"/>
                <w:color w:val="auto"/>
                <w:sz w:val="21"/>
                <w:highlight w:val="none"/>
              </w:rPr>
              <w:t>mg/m</w:t>
            </w:r>
            <w:r>
              <w:rPr>
                <w:rFonts w:hint="eastAsia"/>
                <w:color w:val="auto"/>
                <w:sz w:val="21"/>
                <w:highlight w:val="none"/>
                <w:vertAlign w:val="superscript"/>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NOx</w:t>
            </w:r>
          </w:p>
        </w:tc>
        <w:tc>
          <w:tcPr>
            <w:tcW w:w="46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106.5</w:t>
            </w:r>
            <w:r>
              <w:rPr>
                <w:rFonts w:hint="eastAsia"/>
                <w:color w:val="auto"/>
                <w:sz w:val="21"/>
                <w:highlight w:val="none"/>
              </w:rPr>
              <w:t>mg/m</w:t>
            </w:r>
            <w:r>
              <w:rPr>
                <w:rFonts w:hint="eastAsia"/>
                <w:color w:val="auto"/>
                <w:sz w:val="21"/>
                <w:highlight w:val="none"/>
                <w:vertAlign w:val="superscript"/>
              </w:rPr>
              <w:t>3</w:t>
            </w:r>
          </w:p>
        </w:tc>
        <w:tc>
          <w:tcPr>
            <w:tcW w:w="3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106.5</w:t>
            </w:r>
            <w:r>
              <w:rPr>
                <w:rFonts w:hint="eastAsia"/>
                <w:color w:val="auto"/>
                <w:sz w:val="21"/>
                <w:highlight w:val="none"/>
              </w:rPr>
              <w:t>mg/m</w:t>
            </w:r>
            <w:r>
              <w:rPr>
                <w:rFonts w:hint="eastAsia"/>
                <w:color w:val="auto"/>
                <w:sz w:val="21"/>
                <w:highlight w:val="none"/>
                <w:vertAlign w:val="superscript"/>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color w:val="auto"/>
                <w:sz w:val="21"/>
                <w:szCs w:val="21"/>
                <w:highlight w:val="none"/>
              </w:rPr>
              <w:t>颗粒物</w:t>
            </w:r>
          </w:p>
        </w:tc>
        <w:tc>
          <w:tcPr>
            <w:tcW w:w="46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14.5</w:t>
            </w:r>
            <w:r>
              <w:rPr>
                <w:rFonts w:hint="eastAsia"/>
                <w:color w:val="auto"/>
                <w:sz w:val="21"/>
                <w:highlight w:val="none"/>
              </w:rPr>
              <w:t>mg/m</w:t>
            </w:r>
            <w:r>
              <w:rPr>
                <w:rFonts w:hint="eastAsia"/>
                <w:color w:val="auto"/>
                <w:sz w:val="21"/>
                <w:highlight w:val="none"/>
                <w:vertAlign w:val="superscript"/>
              </w:rPr>
              <w:t>3</w:t>
            </w:r>
          </w:p>
        </w:tc>
        <w:tc>
          <w:tcPr>
            <w:tcW w:w="347"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14.5</w:t>
            </w:r>
            <w:r>
              <w:rPr>
                <w:rFonts w:hint="eastAsia"/>
                <w:color w:val="auto"/>
                <w:sz w:val="21"/>
                <w:highlight w:val="none"/>
              </w:rPr>
              <w:t>mg/m</w:t>
            </w:r>
            <w:r>
              <w:rPr>
                <w:rFonts w:hint="eastAsia"/>
                <w:color w:val="auto"/>
                <w:sz w:val="21"/>
                <w:highlight w:val="none"/>
                <w:vertAlign w:val="superscript"/>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restart"/>
            <w:tcBorders>
              <w:tl2br w:val="nil"/>
              <w:tr2bl w:val="nil"/>
            </w:tcBorders>
            <w:vAlign w:val="center"/>
          </w:tcPr>
          <w:p>
            <w:pPr>
              <w:pStyle w:val="28"/>
              <w:widowControl w:val="0"/>
              <w:rPr>
                <w:color w:val="auto"/>
                <w:highlight w:val="none"/>
              </w:rPr>
            </w:pPr>
            <w:r>
              <w:rPr>
                <w:rFonts w:hint="eastAsia"/>
                <w:color w:val="auto"/>
                <w:highlight w:val="none"/>
              </w:rPr>
              <w:t>无组织</w:t>
            </w:r>
          </w:p>
        </w:tc>
        <w:tc>
          <w:tcPr>
            <w:tcW w:w="299"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263"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553" w:type="pct"/>
            <w:vMerge w:val="restart"/>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待宰圈采用干清粪工艺，及时进行清洁</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299" w:type="pct"/>
            <w:vMerge w:val="continue"/>
            <w:tcBorders>
              <w:tl2br w:val="nil"/>
              <w:tr2bl w:val="nil"/>
            </w:tcBorders>
            <w:vAlign w:val="center"/>
          </w:tcPr>
          <w:p>
            <w:pPr>
              <w:pStyle w:val="28"/>
              <w:widowControl w:val="0"/>
              <w:rPr>
                <w:color w:val="auto"/>
                <w:highlight w:val="none"/>
              </w:rPr>
            </w:pPr>
          </w:p>
        </w:tc>
        <w:tc>
          <w:tcPr>
            <w:tcW w:w="263" w:type="pct"/>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0.00002</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299" w:type="pct"/>
            <w:vMerge w:val="continue"/>
            <w:tcBorders>
              <w:tl2br w:val="nil"/>
              <w:tr2bl w:val="nil"/>
            </w:tcBorders>
            <w:vAlign w:val="center"/>
          </w:tcPr>
          <w:p>
            <w:pPr>
              <w:pStyle w:val="28"/>
              <w:widowControl w:val="0"/>
              <w:rPr>
                <w:color w:val="auto"/>
                <w:highlight w:val="none"/>
              </w:rPr>
            </w:pPr>
          </w:p>
        </w:tc>
        <w:tc>
          <w:tcPr>
            <w:tcW w:w="263"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7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c>
          <w:tcPr>
            <w:tcW w:w="1553" w:type="pct"/>
            <w:vMerge w:val="restart"/>
            <w:tcBorders>
              <w:tl2br w:val="nil"/>
              <w:tr2bl w:val="nil"/>
            </w:tcBorders>
            <w:vAlign w:val="center"/>
          </w:tcPr>
          <w:p>
            <w:pPr>
              <w:pStyle w:val="28"/>
              <w:widowControl w:val="0"/>
              <w:rPr>
                <w:color w:val="auto"/>
                <w:highlight w:val="none"/>
              </w:rPr>
            </w:pPr>
            <w:r>
              <w:rPr>
                <w:rFonts w:hint="eastAsia"/>
                <w:color w:val="auto"/>
                <w:highlight w:val="none"/>
              </w:rPr>
              <w:t>加强通风，及时进行清洁</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0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299" w:type="pct"/>
            <w:vMerge w:val="continue"/>
            <w:tcBorders>
              <w:tl2br w:val="nil"/>
              <w:tr2bl w:val="nil"/>
            </w:tcBorders>
            <w:vAlign w:val="center"/>
          </w:tcPr>
          <w:p>
            <w:pPr>
              <w:pStyle w:val="28"/>
              <w:widowControl w:val="0"/>
              <w:rPr>
                <w:color w:val="auto"/>
                <w:highlight w:val="none"/>
              </w:rPr>
            </w:pPr>
          </w:p>
        </w:tc>
        <w:tc>
          <w:tcPr>
            <w:tcW w:w="263" w:type="pct"/>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7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0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0.029</w:t>
            </w:r>
          </w:p>
        </w:tc>
        <w:tc>
          <w:tcPr>
            <w:tcW w:w="1553" w:type="pct"/>
            <w:vMerge w:val="restart"/>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待宰圈采用干清粪工艺，及时进行清洁</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0.0017</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508"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553" w:type="pct"/>
            <w:vMerge w:val="restart"/>
            <w:tcBorders>
              <w:tl2br w:val="nil"/>
              <w:tr2bl w:val="nil"/>
            </w:tcBorders>
            <w:vAlign w:val="center"/>
          </w:tcPr>
          <w:p>
            <w:pPr>
              <w:pStyle w:val="28"/>
              <w:widowControl w:val="0"/>
              <w:rPr>
                <w:color w:val="auto"/>
                <w:highlight w:val="none"/>
              </w:rPr>
            </w:pPr>
            <w:r>
              <w:rPr>
                <w:rFonts w:hint="eastAsia" w:ascii="宋体" w:hAnsi="宋体"/>
                <w:color w:val="auto"/>
                <w:sz w:val="22"/>
                <w:highlight w:val="none"/>
              </w:rPr>
              <w:t>污泥及时清运，保持清洁。</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198" w:type="pct"/>
            <w:vMerge w:val="continue"/>
            <w:tcBorders>
              <w:tl2br w:val="nil"/>
              <w:tr2bl w:val="nil"/>
            </w:tcBorders>
            <w:vAlign w:val="center"/>
          </w:tcPr>
          <w:p>
            <w:pPr>
              <w:pStyle w:val="28"/>
              <w:widowControl w:val="0"/>
              <w:rPr>
                <w:color w:val="auto"/>
                <w:highlight w:val="none"/>
              </w:rPr>
            </w:pPr>
          </w:p>
        </w:tc>
        <w:tc>
          <w:tcPr>
            <w:tcW w:w="562" w:type="pct"/>
            <w:gridSpan w:val="2"/>
            <w:vMerge w:val="continue"/>
            <w:tcBorders>
              <w:tl2br w:val="nil"/>
              <w:tr2bl w:val="nil"/>
            </w:tcBorders>
            <w:vAlign w:val="center"/>
          </w:tcPr>
          <w:p>
            <w:pPr>
              <w:pStyle w:val="28"/>
              <w:widowControl w:val="0"/>
              <w:rPr>
                <w:color w:val="auto"/>
                <w:highlight w:val="none"/>
              </w:rPr>
            </w:pPr>
          </w:p>
        </w:tc>
        <w:tc>
          <w:tcPr>
            <w:tcW w:w="508" w:type="pct"/>
            <w:vMerge w:val="continue"/>
            <w:tcBorders>
              <w:tl2br w:val="nil"/>
              <w:tr2bl w:val="nil"/>
            </w:tcBorders>
            <w:vAlign w:val="center"/>
          </w:tcPr>
          <w:p>
            <w:pPr>
              <w:pStyle w:val="28"/>
              <w:widowControl w:val="0"/>
              <w:rPr>
                <w:color w:val="auto"/>
                <w:highlight w:val="none"/>
              </w:rPr>
            </w:pP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905" w:type="dxa"/>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8" w:type="pct"/>
            <w:gridSpan w:val="4"/>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采用低噪设备，减振，建构筑物隔声</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restart"/>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54</w:t>
            </w:r>
          </w:p>
        </w:tc>
        <w:tc>
          <w:tcPr>
            <w:tcW w:w="1553"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暂存于无害化暂存间后交由具有无害化处理资质的单位处置。</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1177</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384</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82</w:t>
            </w:r>
          </w:p>
        </w:tc>
        <w:tc>
          <w:tcPr>
            <w:tcW w:w="1553" w:type="pct"/>
            <w:vMerge w:val="continue"/>
            <w:tcBorders>
              <w:tl2br w:val="nil"/>
              <w:tr2bl w:val="nil"/>
            </w:tcBorders>
            <w:vAlign w:val="center"/>
          </w:tcPr>
          <w:p>
            <w:pPr>
              <w:pStyle w:val="28"/>
              <w:widowControl w:val="0"/>
              <w:rPr>
                <w:color w:val="auto"/>
                <w:highlight w:val="none"/>
              </w:rPr>
            </w:pP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48</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8.13</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委托有资质的单位进行处置</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废包装材料、废胶皮手套</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外售废品收购站</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28"/>
              <w:widowControl w:val="0"/>
              <w:rPr>
                <w:color w:val="auto"/>
                <w:highlight w:val="none"/>
              </w:rPr>
            </w:pPr>
          </w:p>
        </w:tc>
        <w:tc>
          <w:tcPr>
            <w:tcW w:w="761" w:type="pct"/>
            <w:gridSpan w:val="3"/>
            <w:tcBorders>
              <w:tl2br w:val="nil"/>
              <w:tr2bl w:val="nil"/>
            </w:tcBorders>
            <w:vAlign w:val="center"/>
          </w:tcPr>
          <w:p>
            <w:pPr>
              <w:pStyle w:val="28"/>
              <w:widowControl w:val="0"/>
              <w:rPr>
                <w:color w:val="auto"/>
                <w:highlight w:val="none"/>
              </w:rPr>
            </w:pPr>
            <w:r>
              <w:rPr>
                <w:rFonts w:hint="eastAsia"/>
                <w:color w:val="auto"/>
                <w:highlight w:val="none"/>
              </w:rPr>
              <w:t>餐厨垃圾</w:t>
            </w:r>
          </w:p>
        </w:tc>
        <w:tc>
          <w:tcPr>
            <w:tcW w:w="508"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9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46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0.75</w:t>
            </w:r>
          </w:p>
        </w:tc>
        <w:tc>
          <w:tcPr>
            <w:tcW w:w="1553" w:type="pct"/>
            <w:tcBorders>
              <w:tl2br w:val="nil"/>
              <w:tr2bl w:val="nil"/>
            </w:tcBorders>
            <w:vAlign w:val="center"/>
          </w:tcPr>
          <w:p>
            <w:pPr>
              <w:pStyle w:val="28"/>
              <w:widowControl w:val="0"/>
              <w:rPr>
                <w:color w:val="auto"/>
                <w:highlight w:val="none"/>
              </w:rPr>
            </w:pPr>
            <w:r>
              <w:rPr>
                <w:rFonts w:hint="eastAsia"/>
                <w:color w:val="auto"/>
                <w:highlight w:val="none"/>
              </w:rPr>
              <w:t>由经城管部门许可的餐厨垃圾收运单位处置</w:t>
            </w:r>
          </w:p>
        </w:tc>
        <w:tc>
          <w:tcPr>
            <w:tcW w:w="491"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23" w:type="pct"/>
            <w:tcBorders>
              <w:tl2br w:val="nil"/>
              <w:tr2bl w:val="nil"/>
            </w:tcBorders>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28"/>
              <w:widowControl w:val="0"/>
              <w:rPr>
                <w:color w:val="auto"/>
                <w:highlight w:val="none"/>
              </w:rPr>
            </w:pPr>
          </w:p>
        </w:tc>
        <w:tc>
          <w:tcPr>
            <w:tcW w:w="761" w:type="pct"/>
            <w:gridSpan w:val="3"/>
            <w:vAlign w:val="center"/>
          </w:tcPr>
          <w:p>
            <w:pPr>
              <w:pStyle w:val="28"/>
              <w:widowControl w:val="0"/>
              <w:rPr>
                <w:color w:val="auto"/>
                <w:highlight w:val="none"/>
              </w:rPr>
            </w:pPr>
            <w:r>
              <w:rPr>
                <w:rFonts w:hint="eastAsia"/>
                <w:color w:val="auto"/>
                <w:highlight w:val="none"/>
              </w:rPr>
              <w:t>废试纸、废</w:t>
            </w:r>
            <w:r>
              <w:rPr>
                <w:color w:val="auto"/>
                <w:highlight w:val="none"/>
              </w:rPr>
              <w:t>PCR</w:t>
            </w:r>
            <w:r>
              <w:rPr>
                <w:rFonts w:hint="eastAsia"/>
                <w:color w:val="auto"/>
                <w:highlight w:val="none"/>
              </w:rPr>
              <w:t>试剂盒</w:t>
            </w:r>
          </w:p>
        </w:tc>
        <w:tc>
          <w:tcPr>
            <w:tcW w:w="508" w:type="pct"/>
            <w:vAlign w:val="center"/>
          </w:tcPr>
          <w:p>
            <w:pPr>
              <w:pStyle w:val="28"/>
              <w:widowControl w:val="0"/>
              <w:rPr>
                <w:color w:val="auto"/>
                <w:highlight w:val="none"/>
              </w:rPr>
            </w:pPr>
            <w:r>
              <w:rPr>
                <w:rFonts w:hint="eastAsia"/>
                <w:color w:val="auto"/>
                <w:highlight w:val="none"/>
              </w:rPr>
              <w:t>/</w:t>
            </w:r>
          </w:p>
        </w:tc>
        <w:tc>
          <w:tcPr>
            <w:tcW w:w="395" w:type="pct"/>
            <w:vAlign w:val="center"/>
          </w:tcPr>
          <w:p>
            <w:pPr>
              <w:pStyle w:val="28"/>
              <w:widowControl w:val="0"/>
              <w:rPr>
                <w:color w:val="auto"/>
                <w:highlight w:val="none"/>
              </w:rPr>
            </w:pPr>
            <w:r>
              <w:rPr>
                <w:rFonts w:hint="eastAsia"/>
                <w:color w:val="auto"/>
                <w:highlight w:val="none"/>
              </w:rPr>
              <w:t>/</w:t>
            </w:r>
          </w:p>
        </w:tc>
        <w:tc>
          <w:tcPr>
            <w:tcW w:w="461" w:type="pct"/>
            <w:vAlign w:val="center"/>
          </w:tcPr>
          <w:p>
            <w:pPr>
              <w:pStyle w:val="28"/>
              <w:widowControl w:val="0"/>
              <w:rPr>
                <w:color w:val="auto"/>
                <w:highlight w:val="none"/>
              </w:rPr>
            </w:pPr>
            <w:r>
              <w:rPr>
                <w:rFonts w:hint="eastAsia"/>
                <w:color w:val="auto"/>
                <w:highlight w:val="none"/>
              </w:rPr>
              <w:t>/</w:t>
            </w:r>
          </w:p>
        </w:tc>
        <w:tc>
          <w:tcPr>
            <w:tcW w:w="347" w:type="pct"/>
            <w:vAlign w:val="center"/>
          </w:tcPr>
          <w:p>
            <w:pPr>
              <w:pStyle w:val="28"/>
              <w:widowControl w:val="0"/>
              <w:rPr>
                <w:color w:val="auto"/>
                <w:highlight w:val="none"/>
              </w:rPr>
            </w:pPr>
            <w:r>
              <w:rPr>
                <w:rFonts w:hint="eastAsia"/>
                <w:color w:val="auto"/>
                <w:highlight w:val="none"/>
              </w:rPr>
              <w:t>0.15</w:t>
            </w:r>
          </w:p>
        </w:tc>
        <w:tc>
          <w:tcPr>
            <w:tcW w:w="1553" w:type="pct"/>
            <w:vAlign w:val="center"/>
          </w:tcPr>
          <w:p>
            <w:pPr>
              <w:pStyle w:val="28"/>
              <w:widowControl w:val="0"/>
              <w:rPr>
                <w:rFonts w:hint="eastAsia" w:eastAsia="宋体"/>
                <w:color w:val="auto"/>
                <w:highlight w:val="none"/>
                <w:lang w:eastAsia="zh-CN"/>
              </w:rPr>
            </w:pPr>
            <w:r>
              <w:rPr>
                <w:rFonts w:hint="eastAsia"/>
                <w:color w:val="auto"/>
                <w:highlight w:val="none"/>
                <w:lang w:val="en-US" w:eastAsia="zh-CN"/>
              </w:rPr>
              <w:t>按照</w:t>
            </w:r>
            <w:r>
              <w:rPr>
                <w:rFonts w:hint="eastAsia"/>
                <w:color w:val="auto"/>
                <w:highlight w:val="none"/>
              </w:rPr>
              <w:t>农业行政管理部门</w:t>
            </w:r>
            <w:r>
              <w:rPr>
                <w:rFonts w:hint="eastAsia"/>
                <w:color w:val="auto"/>
                <w:highlight w:val="none"/>
                <w:lang w:val="en-US" w:eastAsia="zh-CN"/>
              </w:rPr>
              <w:t>的管理要求，交由相应单位处理</w:t>
            </w:r>
          </w:p>
        </w:tc>
        <w:tc>
          <w:tcPr>
            <w:tcW w:w="491" w:type="pct"/>
            <w:vAlign w:val="center"/>
          </w:tcPr>
          <w:p>
            <w:pPr>
              <w:pStyle w:val="28"/>
              <w:widowControl w:val="0"/>
              <w:rPr>
                <w:color w:val="auto"/>
                <w:highlight w:val="none"/>
              </w:rPr>
            </w:pPr>
            <w:r>
              <w:rPr>
                <w:rFonts w:hint="eastAsia"/>
                <w:color w:val="auto"/>
                <w:highlight w:val="none"/>
              </w:rPr>
              <w:t>/</w:t>
            </w:r>
          </w:p>
        </w:tc>
        <w:tc>
          <w:tcPr>
            <w:tcW w:w="323" w:type="pct"/>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28"/>
              <w:widowControl w:val="0"/>
              <w:rPr>
                <w:color w:val="auto"/>
                <w:highlight w:val="none"/>
              </w:rPr>
            </w:pPr>
          </w:p>
        </w:tc>
        <w:tc>
          <w:tcPr>
            <w:tcW w:w="761" w:type="pct"/>
            <w:gridSpan w:val="3"/>
            <w:vAlign w:val="center"/>
          </w:tcPr>
          <w:p>
            <w:pPr>
              <w:pStyle w:val="28"/>
              <w:widowControl w:val="0"/>
              <w:rPr>
                <w:color w:val="auto"/>
                <w:highlight w:val="none"/>
              </w:rPr>
            </w:pPr>
            <w:r>
              <w:rPr>
                <w:rFonts w:hint="eastAsia"/>
                <w:color w:val="auto"/>
                <w:highlight w:val="none"/>
              </w:rPr>
              <w:t>废润滑油</w:t>
            </w:r>
          </w:p>
        </w:tc>
        <w:tc>
          <w:tcPr>
            <w:tcW w:w="508" w:type="pct"/>
            <w:vAlign w:val="center"/>
          </w:tcPr>
          <w:p>
            <w:pPr>
              <w:pStyle w:val="28"/>
              <w:widowControl w:val="0"/>
              <w:rPr>
                <w:color w:val="auto"/>
                <w:highlight w:val="none"/>
              </w:rPr>
            </w:pPr>
            <w:r>
              <w:rPr>
                <w:rFonts w:hint="eastAsia"/>
                <w:color w:val="auto"/>
                <w:highlight w:val="none"/>
              </w:rPr>
              <w:t>/</w:t>
            </w:r>
          </w:p>
        </w:tc>
        <w:tc>
          <w:tcPr>
            <w:tcW w:w="395" w:type="pct"/>
            <w:vAlign w:val="center"/>
          </w:tcPr>
          <w:p>
            <w:pPr>
              <w:pStyle w:val="28"/>
              <w:widowControl w:val="0"/>
              <w:rPr>
                <w:color w:val="auto"/>
                <w:highlight w:val="none"/>
              </w:rPr>
            </w:pPr>
            <w:r>
              <w:rPr>
                <w:rFonts w:hint="eastAsia"/>
                <w:color w:val="auto"/>
                <w:highlight w:val="none"/>
              </w:rPr>
              <w:t>/</w:t>
            </w:r>
          </w:p>
        </w:tc>
        <w:tc>
          <w:tcPr>
            <w:tcW w:w="461" w:type="pct"/>
            <w:vAlign w:val="center"/>
          </w:tcPr>
          <w:p>
            <w:pPr>
              <w:pStyle w:val="28"/>
              <w:widowControl w:val="0"/>
              <w:rPr>
                <w:color w:val="auto"/>
                <w:highlight w:val="none"/>
              </w:rPr>
            </w:pPr>
            <w:r>
              <w:rPr>
                <w:rFonts w:hint="eastAsia"/>
                <w:color w:val="auto"/>
                <w:highlight w:val="none"/>
              </w:rPr>
              <w:t>/</w:t>
            </w:r>
          </w:p>
        </w:tc>
        <w:tc>
          <w:tcPr>
            <w:tcW w:w="347" w:type="pct"/>
            <w:vAlign w:val="center"/>
          </w:tcPr>
          <w:p>
            <w:pPr>
              <w:pStyle w:val="28"/>
              <w:widowControl w:val="0"/>
              <w:rPr>
                <w:color w:val="auto"/>
                <w:highlight w:val="none"/>
              </w:rPr>
            </w:pPr>
            <w:r>
              <w:rPr>
                <w:rFonts w:hint="eastAsia"/>
                <w:color w:val="auto"/>
                <w:highlight w:val="none"/>
              </w:rPr>
              <w:t>0.1</w:t>
            </w:r>
          </w:p>
        </w:tc>
        <w:tc>
          <w:tcPr>
            <w:tcW w:w="1553" w:type="pct"/>
            <w:vMerge w:val="restart"/>
          </w:tcPr>
          <w:p>
            <w:pPr>
              <w:pStyle w:val="28"/>
              <w:widowControl w:val="0"/>
              <w:rPr>
                <w:color w:val="auto"/>
                <w:highlight w:val="none"/>
              </w:rPr>
            </w:pPr>
            <w:r>
              <w:rPr>
                <w:rFonts w:hint="eastAsia"/>
                <w:color w:val="auto"/>
                <w:highlight w:val="none"/>
              </w:rPr>
              <w:t>暂存于危废暂存间（40m</w:t>
            </w:r>
            <w:r>
              <w:rPr>
                <w:rFonts w:hint="eastAsia"/>
                <w:color w:val="auto"/>
                <w:highlight w:val="none"/>
                <w:vertAlign w:val="superscript"/>
              </w:rPr>
              <w:t>2</w:t>
            </w:r>
            <w:r>
              <w:rPr>
                <w:rFonts w:hint="eastAsia"/>
                <w:color w:val="auto"/>
                <w:highlight w:val="none"/>
              </w:rPr>
              <w:t>），定期交由有资质的单位处置</w:t>
            </w:r>
          </w:p>
        </w:tc>
        <w:tc>
          <w:tcPr>
            <w:tcW w:w="491" w:type="pct"/>
            <w:vAlign w:val="center"/>
          </w:tcPr>
          <w:p>
            <w:pPr>
              <w:pStyle w:val="28"/>
              <w:widowControl w:val="0"/>
              <w:rPr>
                <w:color w:val="auto"/>
                <w:highlight w:val="none"/>
              </w:rPr>
            </w:pPr>
            <w:r>
              <w:rPr>
                <w:rFonts w:hint="eastAsia"/>
                <w:color w:val="auto"/>
                <w:highlight w:val="none"/>
              </w:rPr>
              <w:t>/</w:t>
            </w:r>
          </w:p>
        </w:tc>
        <w:tc>
          <w:tcPr>
            <w:tcW w:w="323" w:type="pct"/>
            <w:vAlign w:val="center"/>
          </w:tcPr>
          <w:p>
            <w:pPr>
              <w:pStyle w:val="28"/>
              <w:widowControl w:val="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28"/>
              <w:widowControl w:val="0"/>
              <w:rPr>
                <w:color w:val="auto"/>
                <w:highlight w:val="none"/>
              </w:rPr>
            </w:pPr>
          </w:p>
        </w:tc>
        <w:tc>
          <w:tcPr>
            <w:tcW w:w="761" w:type="pct"/>
            <w:gridSpan w:val="3"/>
            <w:vAlign w:val="center"/>
          </w:tcPr>
          <w:p>
            <w:pPr>
              <w:pStyle w:val="28"/>
              <w:widowControl w:val="0"/>
              <w:rPr>
                <w:color w:val="auto"/>
                <w:highlight w:val="none"/>
              </w:rPr>
            </w:pPr>
            <w:r>
              <w:rPr>
                <w:rFonts w:hint="eastAsia"/>
                <w:color w:val="auto"/>
                <w:highlight w:val="none"/>
              </w:rPr>
              <w:t>废油桶</w:t>
            </w:r>
          </w:p>
        </w:tc>
        <w:tc>
          <w:tcPr>
            <w:tcW w:w="508" w:type="pct"/>
            <w:vAlign w:val="center"/>
          </w:tcPr>
          <w:p>
            <w:pPr>
              <w:pStyle w:val="28"/>
              <w:widowControl w:val="0"/>
              <w:rPr>
                <w:color w:val="auto"/>
                <w:highlight w:val="none"/>
              </w:rPr>
            </w:pPr>
            <w:r>
              <w:rPr>
                <w:rFonts w:hint="eastAsia"/>
                <w:color w:val="auto"/>
                <w:highlight w:val="none"/>
              </w:rPr>
              <w:t>/</w:t>
            </w:r>
          </w:p>
        </w:tc>
        <w:tc>
          <w:tcPr>
            <w:tcW w:w="395" w:type="pct"/>
            <w:vAlign w:val="center"/>
          </w:tcPr>
          <w:p>
            <w:pPr>
              <w:pStyle w:val="28"/>
              <w:widowControl w:val="0"/>
              <w:rPr>
                <w:color w:val="auto"/>
                <w:highlight w:val="none"/>
              </w:rPr>
            </w:pPr>
            <w:r>
              <w:rPr>
                <w:rFonts w:hint="eastAsia"/>
                <w:color w:val="auto"/>
                <w:highlight w:val="none"/>
              </w:rPr>
              <w:t>/</w:t>
            </w:r>
          </w:p>
        </w:tc>
        <w:tc>
          <w:tcPr>
            <w:tcW w:w="461" w:type="pct"/>
            <w:vAlign w:val="center"/>
          </w:tcPr>
          <w:p>
            <w:pPr>
              <w:pStyle w:val="28"/>
              <w:widowControl w:val="0"/>
              <w:rPr>
                <w:color w:val="auto"/>
                <w:highlight w:val="none"/>
              </w:rPr>
            </w:pPr>
            <w:r>
              <w:rPr>
                <w:rFonts w:hint="eastAsia"/>
                <w:color w:val="auto"/>
                <w:highlight w:val="none"/>
              </w:rPr>
              <w:t>/</w:t>
            </w:r>
          </w:p>
        </w:tc>
        <w:tc>
          <w:tcPr>
            <w:tcW w:w="347" w:type="pct"/>
            <w:vAlign w:val="center"/>
          </w:tcPr>
          <w:p>
            <w:pPr>
              <w:pStyle w:val="28"/>
              <w:widowControl w:val="0"/>
              <w:rPr>
                <w:color w:val="auto"/>
                <w:highlight w:val="none"/>
              </w:rPr>
            </w:pPr>
            <w:r>
              <w:rPr>
                <w:rFonts w:hint="eastAsia"/>
                <w:color w:val="auto"/>
                <w:highlight w:val="none"/>
              </w:rPr>
              <w:t>0.01</w:t>
            </w:r>
          </w:p>
        </w:tc>
        <w:tc>
          <w:tcPr>
            <w:tcW w:w="1553" w:type="pct"/>
            <w:vMerge w:val="continue"/>
          </w:tcPr>
          <w:p>
            <w:pPr>
              <w:pStyle w:val="28"/>
              <w:widowControl w:val="0"/>
              <w:rPr>
                <w:color w:val="auto"/>
                <w:highlight w:val="none"/>
              </w:rPr>
            </w:pPr>
          </w:p>
        </w:tc>
        <w:tc>
          <w:tcPr>
            <w:tcW w:w="491" w:type="pct"/>
            <w:vAlign w:val="center"/>
          </w:tcPr>
          <w:p>
            <w:pPr>
              <w:pStyle w:val="28"/>
              <w:widowControl w:val="0"/>
              <w:rPr>
                <w:color w:val="auto"/>
                <w:highlight w:val="none"/>
              </w:rPr>
            </w:pPr>
            <w:r>
              <w:rPr>
                <w:rFonts w:hint="eastAsia"/>
                <w:color w:val="auto"/>
                <w:highlight w:val="none"/>
              </w:rPr>
              <w:t>/</w:t>
            </w:r>
          </w:p>
        </w:tc>
        <w:tc>
          <w:tcPr>
            <w:tcW w:w="323" w:type="pct"/>
            <w:vAlign w:val="center"/>
          </w:tcPr>
          <w:p>
            <w:pPr>
              <w:pStyle w:val="28"/>
              <w:widowControl w:val="0"/>
              <w:rPr>
                <w:color w:val="auto"/>
                <w:highlight w:val="none"/>
              </w:rPr>
            </w:pPr>
            <w:r>
              <w:rPr>
                <w:rFonts w:hint="eastAsia"/>
                <w:color w:val="auto"/>
                <w:highlight w:val="none"/>
              </w:rPr>
              <w:t>0</w:t>
            </w:r>
          </w:p>
        </w:tc>
      </w:tr>
    </w:tbl>
    <w:p>
      <w:pPr>
        <w:pStyle w:val="4"/>
        <w:widowControl w:val="0"/>
        <w:rPr>
          <w:color w:val="auto"/>
          <w:highlight w:val="none"/>
        </w:rPr>
      </w:pPr>
      <w:bookmarkStart w:id="67" w:name="_Toc27735"/>
      <w:r>
        <w:rPr>
          <w:rFonts w:hint="eastAsia"/>
          <w:color w:val="auto"/>
          <w:highlight w:val="none"/>
        </w:rPr>
        <w:t>屠宰场合并建设工程个三本账</w:t>
      </w:r>
      <w:bookmarkEnd w:id="67"/>
    </w:p>
    <w:p>
      <w:pPr>
        <w:widowControl w:val="0"/>
        <w:ind w:firstLine="480"/>
        <w:rPr>
          <w:color w:val="auto"/>
          <w:highlight w:val="none"/>
        </w:rPr>
      </w:pPr>
      <w:r>
        <w:rPr>
          <w:rFonts w:hint="eastAsia"/>
          <w:color w:val="auto"/>
          <w:highlight w:val="none"/>
        </w:rPr>
        <w:t>屠宰场合并建设前后污染物排放“三本账”一览表如下表所示。</w:t>
      </w:r>
    </w:p>
    <w:p>
      <w:pPr>
        <w:pStyle w:val="27"/>
        <w:widowControl w:val="0"/>
        <w:rPr>
          <w:color w:val="auto"/>
          <w:highlight w:val="none"/>
        </w:rPr>
      </w:pPr>
      <w:r>
        <w:rPr>
          <w:rFonts w:hint="eastAsia"/>
          <w:color w:val="auto"/>
          <w:highlight w:val="none"/>
        </w:rPr>
        <w:t>项目“三本账”一览表   单位：t/a</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50"/>
        <w:gridCol w:w="781"/>
        <w:gridCol w:w="804"/>
        <w:gridCol w:w="1135"/>
        <w:gridCol w:w="2012"/>
        <w:gridCol w:w="1877"/>
        <w:gridCol w:w="1236"/>
        <w:gridCol w:w="1650"/>
        <w:gridCol w:w="1813"/>
        <w:gridCol w:w="18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pct"/>
            <w:gridSpan w:val="4"/>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污染源</w:t>
            </w:r>
          </w:p>
        </w:tc>
        <w:tc>
          <w:tcPr>
            <w:tcW w:w="405"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1388"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现有工程</w:t>
            </w:r>
          </w:p>
        </w:tc>
        <w:tc>
          <w:tcPr>
            <w:tcW w:w="1030"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本项目</w:t>
            </w:r>
          </w:p>
        </w:tc>
        <w:tc>
          <w:tcPr>
            <w:tcW w:w="647" w:type="pct"/>
            <w:vMerge w:val="restart"/>
            <w:tcBorders>
              <w:tl2br w:val="nil"/>
              <w:tr2bl w:val="nil"/>
            </w:tcBorders>
            <w:vAlign w:val="center"/>
          </w:tcPr>
          <w:p>
            <w:pPr>
              <w:pStyle w:val="28"/>
              <w:widowControl w:val="0"/>
              <w:rPr>
                <w:color w:val="auto"/>
                <w:highlight w:val="none"/>
              </w:rPr>
            </w:pPr>
            <w:r>
              <w:rPr>
                <w:rFonts w:hint="eastAsia"/>
                <w:b/>
                <w:bCs/>
                <w:color w:val="auto"/>
                <w:highlight w:val="none"/>
              </w:rPr>
              <w:t>以新带老增减量</w:t>
            </w:r>
          </w:p>
        </w:tc>
        <w:tc>
          <w:tcPr>
            <w:tcW w:w="64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pct"/>
            <w:gridSpan w:val="4"/>
            <w:vMerge w:val="continue"/>
            <w:tcBorders>
              <w:tl2br w:val="nil"/>
              <w:tr2bl w:val="nil"/>
            </w:tcBorders>
            <w:vAlign w:val="center"/>
          </w:tcPr>
          <w:p>
            <w:pPr>
              <w:pStyle w:val="28"/>
              <w:widowControl w:val="0"/>
              <w:rPr>
                <w:b/>
                <w:bCs/>
                <w:color w:val="auto"/>
                <w:highlight w:val="none"/>
              </w:rPr>
            </w:pPr>
          </w:p>
        </w:tc>
        <w:tc>
          <w:tcPr>
            <w:tcW w:w="405" w:type="pct"/>
            <w:vMerge w:val="continue"/>
            <w:tcBorders>
              <w:tl2br w:val="nil"/>
              <w:tr2bl w:val="nil"/>
            </w:tcBorders>
            <w:vAlign w:val="center"/>
          </w:tcPr>
          <w:p>
            <w:pPr>
              <w:pStyle w:val="28"/>
              <w:widowControl w:val="0"/>
              <w:rPr>
                <w:b/>
                <w:bCs/>
                <w:color w:val="auto"/>
                <w:highlight w:val="none"/>
              </w:rPr>
            </w:pPr>
          </w:p>
        </w:tc>
        <w:tc>
          <w:tcPr>
            <w:tcW w:w="718" w:type="pct"/>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669" w:type="pct"/>
            <w:tcBorders>
              <w:tl2br w:val="nil"/>
              <w:tr2bl w:val="nil"/>
            </w:tcBorders>
            <w:vAlign w:val="center"/>
          </w:tcPr>
          <w:p>
            <w:pPr>
              <w:pStyle w:val="28"/>
              <w:widowControl w:val="0"/>
              <w:rPr>
                <w:b/>
                <w:bCs/>
                <w:color w:val="auto"/>
                <w:highlight w:val="none"/>
              </w:rPr>
            </w:pPr>
            <w:r>
              <w:rPr>
                <w:rFonts w:hint="eastAsia"/>
                <w:b/>
                <w:bCs/>
                <w:color w:val="auto"/>
                <w:highlight w:val="none"/>
              </w:rPr>
              <w:t>排放量</w:t>
            </w:r>
          </w:p>
        </w:tc>
        <w:tc>
          <w:tcPr>
            <w:tcW w:w="441" w:type="pct"/>
            <w:tcBorders>
              <w:tl2br w:val="nil"/>
              <w:tr2bl w:val="nil"/>
            </w:tcBorders>
            <w:vAlign w:val="center"/>
          </w:tcPr>
          <w:p>
            <w:pPr>
              <w:pStyle w:val="28"/>
              <w:widowControl w:val="0"/>
              <w:rPr>
                <w:b/>
                <w:bCs/>
                <w:color w:val="auto"/>
                <w:highlight w:val="none"/>
              </w:rPr>
            </w:pPr>
            <w:r>
              <w:rPr>
                <w:rFonts w:hint="eastAsia"/>
                <w:b/>
                <w:bCs/>
                <w:color w:val="auto"/>
                <w:highlight w:val="none"/>
              </w:rPr>
              <w:t>产生量</w:t>
            </w:r>
          </w:p>
        </w:tc>
        <w:tc>
          <w:tcPr>
            <w:tcW w:w="588" w:type="pct"/>
            <w:tcBorders>
              <w:tl2br w:val="nil"/>
              <w:tr2bl w:val="nil"/>
            </w:tcBorders>
            <w:vAlign w:val="center"/>
          </w:tcPr>
          <w:p>
            <w:pPr>
              <w:pStyle w:val="28"/>
              <w:widowControl w:val="0"/>
              <w:rPr>
                <w:b/>
                <w:bCs/>
                <w:color w:val="auto"/>
                <w:highlight w:val="none"/>
              </w:rPr>
            </w:pPr>
            <w:r>
              <w:rPr>
                <w:rFonts w:hint="eastAsia"/>
                <w:b/>
                <w:bCs/>
                <w:color w:val="auto"/>
                <w:highlight w:val="none"/>
              </w:rPr>
              <w:t>排放量</w:t>
            </w:r>
          </w:p>
        </w:tc>
        <w:tc>
          <w:tcPr>
            <w:tcW w:w="647" w:type="pct"/>
            <w:vMerge w:val="continue"/>
            <w:tcBorders>
              <w:tl2br w:val="nil"/>
              <w:tr2bl w:val="nil"/>
            </w:tcBorders>
            <w:vAlign w:val="center"/>
          </w:tcPr>
          <w:p>
            <w:pPr>
              <w:pStyle w:val="28"/>
              <w:widowControl w:val="0"/>
              <w:rPr>
                <w:color w:val="auto"/>
                <w:highlight w:val="none"/>
              </w:rPr>
            </w:pPr>
          </w:p>
        </w:tc>
        <w:tc>
          <w:tcPr>
            <w:tcW w:w="649"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vMerge w:val="restart"/>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726" w:type="pct"/>
            <w:gridSpan w:val="3"/>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水量</w:t>
            </w:r>
          </w:p>
        </w:tc>
        <w:tc>
          <w:tcPr>
            <w:tcW w:w="718"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rPr>
              <w:t>35</w:t>
            </w:r>
            <w:r>
              <w:rPr>
                <w:rFonts w:hint="eastAsia"/>
                <w:color w:val="auto"/>
                <w:highlight w:val="none"/>
                <w:lang w:val="en-US" w:eastAsia="zh-CN"/>
              </w:rPr>
              <w:t>40</w:t>
            </w:r>
          </w:p>
        </w:tc>
        <w:tc>
          <w:tcPr>
            <w:tcW w:w="669"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rPr>
              <w:t>35</w:t>
            </w:r>
            <w:r>
              <w:rPr>
                <w:rFonts w:hint="eastAsia"/>
                <w:color w:val="auto"/>
                <w:highlight w:val="none"/>
                <w:lang w:val="en-US" w:eastAsia="zh-CN"/>
              </w:rPr>
              <w:t>40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79910</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79910</w:t>
            </w:r>
          </w:p>
        </w:tc>
        <w:tc>
          <w:tcPr>
            <w:tcW w:w="647"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+76385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6.8</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0.71</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164.53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39.96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+33.16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3.53</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0.35</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75.67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23.97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+20.44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0.21</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0.09</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12.31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3.60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+3.39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3.53</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0.35</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90.78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31.96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+28.43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TP</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0.03</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2.24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0.64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726" w:type="pct"/>
            <w:gridSpan w:val="3"/>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0.71</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0.21</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 xml:space="preserve">11.35 </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 xml:space="preserve">4.79 </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restart"/>
            <w:tcBorders>
              <w:tl2br w:val="nil"/>
              <w:tr2bl w:val="nil"/>
            </w:tcBorders>
            <w:vAlign w:val="center"/>
          </w:tcPr>
          <w:p>
            <w:pPr>
              <w:pStyle w:val="28"/>
              <w:widowControl w:val="0"/>
              <w:rPr>
                <w:color w:val="auto"/>
                <w:highlight w:val="none"/>
              </w:rPr>
            </w:pPr>
            <w:r>
              <w:rPr>
                <w:rFonts w:hint="eastAsia"/>
                <w:color w:val="auto"/>
                <w:highlight w:val="none"/>
              </w:rPr>
              <w:t>废气</w:t>
            </w:r>
          </w:p>
        </w:tc>
        <w:tc>
          <w:tcPr>
            <w:tcW w:w="161" w:type="pct"/>
            <w:vMerge w:val="restart"/>
            <w:tcBorders>
              <w:tl2br w:val="nil"/>
              <w:tr2bl w:val="nil"/>
            </w:tcBorders>
            <w:vAlign w:val="center"/>
          </w:tcPr>
          <w:p>
            <w:pPr>
              <w:pStyle w:val="28"/>
              <w:widowControl w:val="0"/>
              <w:rPr>
                <w:color w:val="auto"/>
                <w:highlight w:val="none"/>
              </w:rPr>
            </w:pPr>
            <w:r>
              <w:rPr>
                <w:rFonts w:hint="eastAsia"/>
                <w:color w:val="auto"/>
                <w:highlight w:val="none"/>
              </w:rPr>
              <w:t>有组织</w:t>
            </w:r>
          </w:p>
        </w:tc>
        <w:tc>
          <w:tcPr>
            <w:tcW w:w="5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r>
              <w:rPr>
                <w:rFonts w:hint="eastAsia"/>
                <w:color w:val="auto"/>
                <w:highlight w:val="none"/>
                <w:lang w:eastAsia="zh-CN"/>
              </w:rPr>
              <w:t>、</w:t>
            </w:r>
            <w:r>
              <w:rPr>
                <w:rFonts w:hint="eastAsia"/>
                <w:color w:val="auto"/>
                <w:highlight w:val="none"/>
                <w:lang w:val="en-US" w:eastAsia="zh-CN"/>
              </w:rPr>
              <w:t>生猪屠宰</w:t>
            </w: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0.3</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0.027</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rFonts w:hint="eastAsia" w:eastAsia="宋体"/>
                <w:color w:val="auto"/>
                <w:highlight w:val="none"/>
                <w:lang w:eastAsia="zh-CN"/>
              </w:rPr>
            </w:pPr>
            <w:r>
              <w:rPr>
                <w:rFonts w:hint="eastAsia"/>
                <w:color w:val="auto"/>
                <w:highlight w:val="none"/>
                <w:lang w:val="en-US" w:eastAsia="zh-CN"/>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0.0015</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lang w:val="en-US" w:eastAsia="zh-CN"/>
              </w:rPr>
              <w:t>肉牛</w:t>
            </w:r>
            <w:r>
              <w:rPr>
                <w:rFonts w:hint="eastAsia"/>
                <w:color w:val="auto"/>
                <w:highlight w:val="none"/>
              </w:rPr>
              <w:t>屠宰</w:t>
            </w:r>
            <w:r>
              <w:rPr>
                <w:rFonts w:hint="eastAsia"/>
                <w:color w:val="auto"/>
                <w:highlight w:val="none"/>
                <w:lang w:eastAsia="zh-CN"/>
              </w:rPr>
              <w:t>、</w:t>
            </w:r>
            <w:r>
              <w:rPr>
                <w:rFonts w:hint="eastAsia"/>
                <w:color w:val="auto"/>
                <w:highlight w:val="none"/>
                <w:lang w:val="en-US" w:eastAsia="zh-CN"/>
              </w:rPr>
              <w:t>污水处理站</w:t>
            </w: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0.22</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0.024</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0.002</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tcBorders>
              <w:tl2br w:val="nil"/>
              <w:tr2bl w:val="nil"/>
            </w:tcBorders>
            <w:vAlign w:val="center"/>
          </w:tcPr>
          <w:p>
            <w:pPr>
              <w:pStyle w:val="28"/>
              <w:widowControl w:val="0"/>
              <w:rPr>
                <w:color w:val="auto"/>
                <w:highlight w:val="none"/>
              </w:rPr>
            </w:pPr>
            <w:r>
              <w:rPr>
                <w:rFonts w:hint="eastAsia"/>
                <w:color w:val="auto"/>
                <w:highlight w:val="none"/>
              </w:rPr>
              <w:t>食堂油烟</w:t>
            </w:r>
          </w:p>
        </w:tc>
        <w:tc>
          <w:tcPr>
            <w:tcW w:w="405" w:type="pct"/>
            <w:tcBorders>
              <w:tl2br w:val="nil"/>
              <w:tr2bl w:val="nil"/>
            </w:tcBorders>
            <w:vAlign w:val="center"/>
          </w:tcPr>
          <w:p>
            <w:pPr>
              <w:pStyle w:val="28"/>
              <w:widowControl w:val="0"/>
              <w:rPr>
                <w:color w:val="auto"/>
                <w:highlight w:val="none"/>
              </w:rPr>
            </w:pPr>
            <w:r>
              <w:rPr>
                <w:rFonts w:hint="eastAsia"/>
                <w:color w:val="auto"/>
                <w:highlight w:val="none"/>
              </w:rPr>
              <w:t>餐饮油烟</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0.024</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0.0072</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天然气</w:t>
            </w:r>
          </w:p>
        </w:tc>
        <w:tc>
          <w:tcPr>
            <w:tcW w:w="405"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SO</w:t>
            </w:r>
            <w:r>
              <w:rPr>
                <w:color w:val="auto"/>
                <w:sz w:val="21"/>
                <w:szCs w:val="21"/>
                <w:highlight w:val="none"/>
                <w:vertAlign w:val="subscript"/>
              </w:rPr>
              <w:t>2</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58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1813" w:type="dxa"/>
            <w:tcBorders>
              <w:tl2br w:val="nil"/>
              <w:tr2bl w:val="nil"/>
            </w:tcBorders>
            <w:vAlign w:val="center"/>
          </w:tcPr>
          <w:p>
            <w:pPr>
              <w:pStyle w:val="28"/>
              <w:widowControl w:val="0"/>
              <w:rPr>
                <w:color w:val="auto"/>
                <w:szCs w:val="21"/>
                <w:highlight w:val="none"/>
              </w:rPr>
            </w:pPr>
            <w:r>
              <w:rPr>
                <w:rFonts w:hint="eastAsia"/>
                <w:color w:val="auto"/>
                <w:highlight w:val="none"/>
              </w:rPr>
              <w:t>/</w:t>
            </w:r>
          </w:p>
        </w:tc>
        <w:tc>
          <w:tcPr>
            <w:tcW w:w="64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NOx</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58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1813" w:type="dxa"/>
            <w:tcBorders>
              <w:tl2br w:val="nil"/>
              <w:tr2bl w:val="nil"/>
            </w:tcBorders>
            <w:vAlign w:val="center"/>
          </w:tcPr>
          <w:p>
            <w:pPr>
              <w:pStyle w:val="28"/>
              <w:widowControl w:val="0"/>
              <w:rPr>
                <w:color w:val="auto"/>
                <w:szCs w:val="21"/>
                <w:highlight w:val="none"/>
              </w:rPr>
            </w:pPr>
            <w:r>
              <w:rPr>
                <w:rFonts w:hint="eastAsia"/>
                <w:color w:val="auto"/>
                <w:highlight w:val="none"/>
              </w:rPr>
              <w:t>/</w:t>
            </w:r>
          </w:p>
        </w:tc>
        <w:tc>
          <w:tcPr>
            <w:tcW w:w="64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颗粒物</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588"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1813" w:type="dxa"/>
            <w:tcBorders>
              <w:tl2br w:val="nil"/>
              <w:tr2bl w:val="nil"/>
            </w:tcBorders>
            <w:vAlign w:val="center"/>
          </w:tcPr>
          <w:p>
            <w:pPr>
              <w:pStyle w:val="28"/>
              <w:widowControl w:val="0"/>
              <w:rPr>
                <w:color w:val="auto"/>
                <w:szCs w:val="21"/>
                <w:highlight w:val="none"/>
              </w:rPr>
            </w:pPr>
            <w:r>
              <w:rPr>
                <w:rFonts w:hint="eastAsia"/>
                <w:color w:val="auto"/>
                <w:highlight w:val="none"/>
              </w:rPr>
              <w:t>/</w:t>
            </w:r>
          </w:p>
        </w:tc>
        <w:tc>
          <w:tcPr>
            <w:tcW w:w="649" w:type="pct"/>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restart"/>
            <w:tcBorders>
              <w:tl2br w:val="nil"/>
              <w:tr2bl w:val="nil"/>
            </w:tcBorders>
            <w:vAlign w:val="center"/>
          </w:tcPr>
          <w:p>
            <w:pPr>
              <w:pStyle w:val="28"/>
              <w:widowControl w:val="0"/>
              <w:rPr>
                <w:color w:val="auto"/>
                <w:highlight w:val="none"/>
              </w:rPr>
            </w:pPr>
            <w:r>
              <w:rPr>
                <w:rFonts w:hint="eastAsia"/>
                <w:color w:val="auto"/>
                <w:highlight w:val="none"/>
              </w:rPr>
              <w:t>无组织</w:t>
            </w:r>
          </w:p>
        </w:tc>
        <w:tc>
          <w:tcPr>
            <w:tcW w:w="279"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285"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279" w:type="pct"/>
            <w:vMerge w:val="continue"/>
            <w:tcBorders>
              <w:tl2br w:val="nil"/>
              <w:tr2bl w:val="nil"/>
            </w:tcBorders>
            <w:vAlign w:val="center"/>
          </w:tcPr>
          <w:p>
            <w:pPr>
              <w:pStyle w:val="28"/>
              <w:widowControl w:val="0"/>
              <w:rPr>
                <w:color w:val="auto"/>
                <w:highlight w:val="none"/>
              </w:rPr>
            </w:pPr>
          </w:p>
        </w:tc>
        <w:tc>
          <w:tcPr>
            <w:tcW w:w="285" w:type="pct"/>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0.00002</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0.00002</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279" w:type="pct"/>
            <w:vMerge w:val="continue"/>
            <w:tcBorders>
              <w:tl2br w:val="nil"/>
              <w:tr2bl w:val="nil"/>
            </w:tcBorders>
            <w:vAlign w:val="center"/>
          </w:tcPr>
          <w:p>
            <w:pPr>
              <w:pStyle w:val="28"/>
              <w:widowControl w:val="0"/>
              <w:rPr>
                <w:color w:val="auto"/>
                <w:highlight w:val="none"/>
              </w:rPr>
            </w:pPr>
          </w:p>
        </w:tc>
        <w:tc>
          <w:tcPr>
            <w:tcW w:w="285"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279" w:type="pct"/>
            <w:vMerge w:val="continue"/>
            <w:tcBorders>
              <w:tl2br w:val="nil"/>
              <w:tr2bl w:val="nil"/>
            </w:tcBorders>
            <w:vAlign w:val="center"/>
          </w:tcPr>
          <w:p>
            <w:pPr>
              <w:pStyle w:val="28"/>
              <w:widowControl w:val="0"/>
              <w:rPr>
                <w:color w:val="auto"/>
                <w:highlight w:val="none"/>
              </w:rPr>
            </w:pPr>
          </w:p>
        </w:tc>
        <w:tc>
          <w:tcPr>
            <w:tcW w:w="285" w:type="pct"/>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236"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c>
          <w:tcPr>
            <w:tcW w:w="16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8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0.029</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0.029</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0.0017</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0.0017</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NH</w:t>
            </w:r>
            <w:r>
              <w:rPr>
                <w:rFonts w:hint="eastAsia"/>
                <w:color w:val="auto"/>
                <w:highlight w:val="none"/>
                <w:vertAlign w:val="subscript"/>
              </w:rPr>
              <w:t>3</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61" w:type="pct"/>
            <w:vMerge w:val="continue"/>
            <w:tcBorders>
              <w:tl2br w:val="nil"/>
              <w:tr2bl w:val="nil"/>
            </w:tcBorders>
            <w:vAlign w:val="center"/>
          </w:tcPr>
          <w:p>
            <w:pPr>
              <w:pStyle w:val="28"/>
              <w:widowControl w:val="0"/>
              <w:rPr>
                <w:color w:val="auto"/>
                <w:highlight w:val="none"/>
              </w:rPr>
            </w:pPr>
          </w:p>
        </w:tc>
        <w:tc>
          <w:tcPr>
            <w:tcW w:w="565" w:type="pct"/>
            <w:gridSpan w:val="2"/>
            <w:vMerge w:val="continue"/>
            <w:tcBorders>
              <w:tl2br w:val="nil"/>
              <w:tr2bl w:val="nil"/>
            </w:tcBorders>
            <w:vAlign w:val="center"/>
          </w:tcPr>
          <w:p>
            <w:pPr>
              <w:pStyle w:val="28"/>
              <w:widowControl w:val="0"/>
              <w:rPr>
                <w:color w:val="auto"/>
                <w:highlight w:val="none"/>
              </w:rPr>
            </w:pPr>
          </w:p>
        </w:tc>
        <w:tc>
          <w:tcPr>
            <w:tcW w:w="405" w:type="pct"/>
            <w:tcBorders>
              <w:tl2br w:val="nil"/>
              <w:tr2bl w:val="nil"/>
            </w:tcBorders>
            <w:vAlign w:val="center"/>
          </w:tcPr>
          <w:p>
            <w:pPr>
              <w:pStyle w:val="28"/>
              <w:widowControl w:val="0"/>
              <w:rPr>
                <w:color w:val="auto"/>
                <w:szCs w:val="21"/>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少量，未进行统计</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0.0006</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restart"/>
            <w:tcBorders>
              <w:tl2br w:val="nil"/>
              <w:tr2bl w:val="nil"/>
            </w:tcBorders>
            <w:vAlign w:val="center"/>
          </w:tcPr>
          <w:p>
            <w:pPr>
              <w:pStyle w:val="28"/>
              <w:widowControl w:val="0"/>
              <w:rPr>
                <w:color w:val="auto"/>
                <w:highlight w:val="none"/>
              </w:rPr>
            </w:pPr>
            <w:r>
              <w:rPr>
                <w:rFonts w:hint="eastAsia"/>
                <w:color w:val="auto"/>
                <w:highlight w:val="none"/>
              </w:rPr>
              <w:t>固废</w:t>
            </w: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1.8</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54</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40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1177</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+1137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13</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384</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2.8</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82</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+79.2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1.6</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48</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0.65</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14</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+13.35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0.4</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8.13</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+7.73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vAlign w:val="center"/>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废包装材料、废胶皮手套</w:t>
            </w:r>
          </w:p>
        </w:tc>
        <w:tc>
          <w:tcPr>
            <w:tcW w:w="71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718" w:type="pct"/>
            <w:tcBorders>
              <w:tl2br w:val="nil"/>
              <w:tr2bl w:val="nil"/>
            </w:tcBorders>
          </w:tcPr>
          <w:p>
            <w:pPr>
              <w:pStyle w:val="28"/>
              <w:widowControl w:val="0"/>
              <w:rPr>
                <w:color w:val="auto"/>
                <w:highlight w:val="none"/>
              </w:rPr>
            </w:pPr>
            <w:r>
              <w:rPr>
                <w:rFonts w:hint="eastAsia"/>
                <w:color w:val="auto"/>
                <w:highlight w:val="none"/>
              </w:rPr>
              <w:t>2.7</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餐厨垃圾</w:t>
            </w:r>
          </w:p>
        </w:tc>
        <w:tc>
          <w:tcPr>
            <w:tcW w:w="718" w:type="pct"/>
            <w:tcBorders>
              <w:tl2br w:val="nil"/>
              <w:tr2bl w:val="nil"/>
            </w:tcBorders>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0.75</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废试纸、废</w:t>
            </w:r>
            <w:r>
              <w:rPr>
                <w:color w:val="auto"/>
                <w:highlight w:val="none"/>
              </w:rPr>
              <w:t>PCR</w:t>
            </w:r>
            <w:r>
              <w:rPr>
                <w:rFonts w:hint="eastAsia"/>
                <w:color w:val="auto"/>
                <w:highlight w:val="none"/>
              </w:rPr>
              <w:t>试剂盒</w:t>
            </w:r>
          </w:p>
        </w:tc>
        <w:tc>
          <w:tcPr>
            <w:tcW w:w="718" w:type="pct"/>
            <w:tcBorders>
              <w:tl2br w:val="nil"/>
              <w:tr2bl w:val="nil"/>
            </w:tcBorders>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0.15</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废润滑油</w:t>
            </w:r>
          </w:p>
        </w:tc>
        <w:tc>
          <w:tcPr>
            <w:tcW w:w="718" w:type="pct"/>
            <w:tcBorders>
              <w:tl2br w:val="nil"/>
              <w:tr2bl w:val="nil"/>
            </w:tcBorders>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l2br w:val="nil"/>
              <w:tr2bl w:val="nil"/>
            </w:tcBorders>
          </w:tcPr>
          <w:p>
            <w:pPr>
              <w:pStyle w:val="28"/>
              <w:widowControl w:val="0"/>
              <w:rPr>
                <w:color w:val="auto"/>
                <w:highlight w:val="none"/>
              </w:rPr>
            </w:pPr>
          </w:p>
        </w:tc>
        <w:tc>
          <w:tcPr>
            <w:tcW w:w="1131" w:type="pct"/>
            <w:gridSpan w:val="4"/>
            <w:tcBorders>
              <w:tl2br w:val="nil"/>
              <w:tr2bl w:val="nil"/>
            </w:tcBorders>
            <w:vAlign w:val="center"/>
          </w:tcPr>
          <w:p>
            <w:pPr>
              <w:pStyle w:val="28"/>
              <w:widowControl w:val="0"/>
              <w:rPr>
                <w:color w:val="auto"/>
                <w:highlight w:val="none"/>
              </w:rPr>
            </w:pPr>
            <w:r>
              <w:rPr>
                <w:rFonts w:hint="eastAsia"/>
                <w:color w:val="auto"/>
                <w:highlight w:val="none"/>
              </w:rPr>
              <w:t>废油桶</w:t>
            </w:r>
          </w:p>
        </w:tc>
        <w:tc>
          <w:tcPr>
            <w:tcW w:w="718" w:type="pct"/>
            <w:tcBorders>
              <w:tl2br w:val="nil"/>
              <w:tr2bl w:val="nil"/>
            </w:tcBorders>
          </w:tcPr>
          <w:p>
            <w:pPr>
              <w:pStyle w:val="28"/>
              <w:widowControl w:val="0"/>
              <w:rPr>
                <w:color w:val="auto"/>
                <w:highlight w:val="none"/>
              </w:rPr>
            </w:pPr>
            <w:r>
              <w:rPr>
                <w:rFonts w:hint="eastAsia"/>
                <w:color w:val="auto"/>
                <w:highlight w:val="none"/>
              </w:rPr>
              <w:t>0</w:t>
            </w:r>
          </w:p>
        </w:tc>
        <w:tc>
          <w:tcPr>
            <w:tcW w:w="669"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588" w:type="pct"/>
            <w:tcBorders>
              <w:tl2br w:val="nil"/>
              <w:tr2bl w:val="nil"/>
            </w:tcBorders>
            <w:vAlign w:val="center"/>
          </w:tcPr>
          <w:p>
            <w:pPr>
              <w:pStyle w:val="28"/>
              <w:widowControl w:val="0"/>
              <w:rPr>
                <w:color w:val="auto"/>
                <w:highlight w:val="none"/>
              </w:rPr>
            </w:pPr>
            <w:r>
              <w:rPr>
                <w:rFonts w:hint="eastAsia"/>
                <w:color w:val="auto"/>
                <w:highlight w:val="none"/>
              </w:rPr>
              <w:t>0</w:t>
            </w:r>
          </w:p>
        </w:tc>
        <w:tc>
          <w:tcPr>
            <w:tcW w:w="1813"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49" w:type="pct"/>
            <w:tcBorders>
              <w:tl2br w:val="nil"/>
              <w:tr2bl w:val="nil"/>
            </w:tcBorders>
            <w:vAlign w:val="center"/>
          </w:tcPr>
          <w:p>
            <w:pPr>
              <w:pStyle w:val="28"/>
              <w:widowControl w:val="0"/>
              <w:rPr>
                <w:color w:val="auto"/>
                <w:highlight w:val="none"/>
              </w:rPr>
            </w:pPr>
            <w:r>
              <w:rPr>
                <w:rFonts w:hint="eastAsia"/>
                <w:color w:val="auto"/>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1"/>
            <w:tcBorders>
              <w:tl2br w:val="nil"/>
              <w:tr2bl w:val="nil"/>
            </w:tcBorders>
          </w:tcPr>
          <w:p>
            <w:pPr>
              <w:pStyle w:val="28"/>
              <w:widowControl w:val="0"/>
              <w:jc w:val="both"/>
              <w:rPr>
                <w:color w:val="auto"/>
                <w:highlight w:val="none"/>
              </w:rPr>
            </w:pPr>
            <w:r>
              <w:rPr>
                <w:rFonts w:hint="eastAsia"/>
                <w:color w:val="auto"/>
                <w:highlight w:val="none"/>
              </w:rPr>
              <w:t>注：固废增减量已现有项目与本项产生量进行对比</w:t>
            </w:r>
          </w:p>
        </w:tc>
      </w:tr>
    </w:tbl>
    <w:p>
      <w:pPr>
        <w:pStyle w:val="28"/>
        <w:widowControl w:val="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sectPr>
          <w:pgSz w:w="15840" w:h="12240" w:orient="landscape"/>
          <w:pgMar w:top="1134" w:right="1020" w:bottom="1134" w:left="102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pStyle w:val="4"/>
        <w:widowControl w:val="0"/>
        <w:rPr>
          <w:color w:val="auto"/>
          <w:highlight w:val="none"/>
        </w:rPr>
      </w:pPr>
      <w:bookmarkStart w:id="68" w:name="_Toc21953"/>
      <w:r>
        <w:rPr>
          <w:rFonts w:hint="eastAsia"/>
          <w:color w:val="auto"/>
          <w:highlight w:val="none"/>
        </w:rPr>
        <w:t>总量控制</w:t>
      </w:r>
      <w:bookmarkEnd w:id="68"/>
    </w:p>
    <w:p>
      <w:pPr>
        <w:widowControl w:val="0"/>
        <w:ind w:firstLine="480"/>
        <w:rPr>
          <w:color w:val="auto"/>
          <w:highlight w:val="none"/>
        </w:rPr>
      </w:pPr>
      <w:r>
        <w:rPr>
          <w:rFonts w:hint="eastAsia"/>
          <w:color w:val="auto"/>
          <w:highlight w:val="none"/>
        </w:rPr>
        <w:t>本评价在工程分析的基础上，计算出本项目的废水、废气、固体废物年污染物排放总量，提供给环保管理部门，作为制定该公司总量控制指标时的参考。</w:t>
      </w:r>
    </w:p>
    <w:p>
      <w:pPr>
        <w:pStyle w:val="5"/>
        <w:ind w:left="-160" w:firstLineChars="0"/>
        <w:rPr>
          <w:color w:val="auto"/>
          <w:highlight w:val="none"/>
        </w:rPr>
      </w:pPr>
      <w:r>
        <w:rPr>
          <w:rFonts w:hint="eastAsia"/>
          <w:color w:val="auto"/>
          <w:highlight w:val="none"/>
        </w:rPr>
        <w:t>总量控制因子确定</w:t>
      </w:r>
    </w:p>
    <w:p>
      <w:pPr>
        <w:widowControl w:val="0"/>
        <w:ind w:firstLine="480"/>
        <w:rPr>
          <w:color w:val="auto"/>
          <w:highlight w:val="none"/>
        </w:rPr>
      </w:pPr>
      <w:r>
        <w:rPr>
          <w:rFonts w:hint="eastAsia"/>
          <w:color w:val="auto"/>
          <w:highlight w:val="none"/>
        </w:rPr>
        <w:t>根据拟建项目排污特征，对本项目污染物排放总量控制分为两类：</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）国家要求进行总量控制的污染物，提出污染物总量控制建议指标；</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）对于未列入国家污染物总量控制的特征污染物，提出污染物排放总量考核要求，由当地环境保护部门对企业废水、废气污染物排放总量进行考核。</w:t>
      </w:r>
    </w:p>
    <w:p>
      <w:pPr>
        <w:pStyle w:val="5"/>
        <w:ind w:left="-160" w:firstLineChars="0"/>
        <w:rPr>
          <w:color w:val="auto"/>
          <w:highlight w:val="none"/>
        </w:rPr>
      </w:pPr>
      <w:r>
        <w:rPr>
          <w:rFonts w:hint="eastAsia"/>
          <w:color w:val="auto"/>
          <w:highlight w:val="none"/>
        </w:rPr>
        <w:t>总量控制指标</w:t>
      </w:r>
    </w:p>
    <w:p>
      <w:pPr>
        <w:widowControl w:val="0"/>
        <w:ind w:firstLine="480"/>
        <w:rPr>
          <w:color w:val="auto"/>
          <w:highlight w:val="none"/>
        </w:rPr>
      </w:pPr>
      <w:r>
        <w:rPr>
          <w:rFonts w:hint="eastAsia"/>
          <w:color w:val="auto"/>
          <w:highlight w:val="none"/>
        </w:rPr>
        <w:t>根据国家制定的总量控制指标，同时结合本项目的污染物排放特点，特制定以下总量控制指标及特征污染物排放考核指标。</w:t>
      </w:r>
    </w:p>
    <w:p>
      <w:pPr>
        <w:widowControl w:val="0"/>
        <w:ind w:firstLine="482"/>
        <w:rPr>
          <w:b/>
          <w:bCs/>
          <w:color w:val="auto"/>
          <w:highlight w:val="none"/>
        </w:rPr>
      </w:pPr>
      <w:r>
        <w:rPr>
          <w:rFonts w:hint="eastAsia"/>
          <w:b/>
          <w:bCs/>
          <w:color w:val="auto"/>
          <w:highlight w:val="none"/>
        </w:rPr>
        <w:t>（1）水污染物总量控制指标</w:t>
      </w:r>
    </w:p>
    <w:p>
      <w:pPr>
        <w:widowControl w:val="0"/>
        <w:ind w:firstLine="480"/>
        <w:rPr>
          <w:color w:val="auto"/>
          <w:highlight w:val="none"/>
        </w:rPr>
      </w:pPr>
      <w:r>
        <w:rPr>
          <w:rFonts w:hint="eastAsia"/>
          <w:color w:val="auto"/>
          <w:highlight w:val="none"/>
        </w:rPr>
        <w:t>本项目废水日最大排放量254.8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，经自建的污水处理站处理可达到《肉类加工工业水污染物排放标准》（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畜类屠宰三级排放标准后排入元坨社区市政污水管网，通过市政污水管网汇入响滩镇污水处理厂处理，经污水处理厂处理达到《城镇污水处理厂污染物排放标准》一级A标后排放后排入濛溪河。</w:t>
      </w:r>
    </w:p>
    <w:p>
      <w:pPr>
        <w:widowControl w:val="0"/>
        <w:ind w:firstLine="480"/>
        <w:rPr>
          <w:rFonts w:ascii="宋体" w:hAnsi="宋体"/>
          <w:color w:val="auto"/>
          <w:highlight w:val="none"/>
        </w:rPr>
      </w:pPr>
      <w:r>
        <w:rPr>
          <w:rFonts w:hint="eastAsia" w:ascii="宋体" w:hAnsi="宋体"/>
          <w:color w:val="auto"/>
          <w:highlight w:val="none"/>
        </w:rPr>
        <w:t>本项目水污染总量控制指标建议值见下表。</w:t>
      </w:r>
    </w:p>
    <w:p>
      <w:pPr>
        <w:pStyle w:val="27"/>
        <w:widowControl w:val="0"/>
        <w:rPr>
          <w:color w:val="auto"/>
          <w:highlight w:val="none"/>
        </w:rPr>
      </w:pPr>
      <w:r>
        <w:rPr>
          <w:rFonts w:hint="eastAsia"/>
          <w:color w:val="auto"/>
          <w:highlight w:val="none"/>
        </w:rPr>
        <w:t>水污染物总量控制指标建议值     单位：t/a</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1320"/>
        <w:gridCol w:w="188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8"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320" w:type="dxa"/>
            <w:tcBorders>
              <w:tl2br w:val="nil"/>
              <w:tr2bl w:val="nil"/>
            </w:tcBorders>
            <w:vAlign w:val="center"/>
          </w:tcPr>
          <w:p>
            <w:pPr>
              <w:pStyle w:val="28"/>
              <w:widowControl w:val="0"/>
              <w:rPr>
                <w:b/>
                <w:bCs/>
                <w:color w:val="auto"/>
                <w:highlight w:val="none"/>
              </w:rPr>
            </w:pPr>
            <w:r>
              <w:rPr>
                <w:rFonts w:hint="eastAsia"/>
                <w:b/>
                <w:bCs/>
                <w:color w:val="auto"/>
                <w:highlight w:val="none"/>
              </w:rPr>
              <w:t>污染因子</w:t>
            </w:r>
          </w:p>
        </w:tc>
        <w:tc>
          <w:tcPr>
            <w:tcW w:w="1884" w:type="dxa"/>
            <w:tcBorders>
              <w:tl2br w:val="nil"/>
              <w:tr2bl w:val="nil"/>
            </w:tcBorders>
            <w:vAlign w:val="center"/>
          </w:tcPr>
          <w:p>
            <w:pPr>
              <w:pStyle w:val="28"/>
              <w:widowControl w:val="0"/>
              <w:rPr>
                <w:b/>
                <w:bCs/>
                <w:color w:val="auto"/>
                <w:highlight w:val="none"/>
              </w:rPr>
            </w:pPr>
            <w:r>
              <w:rPr>
                <w:rFonts w:hint="eastAsia"/>
                <w:b/>
                <w:bCs/>
                <w:color w:val="auto"/>
                <w:highlight w:val="none"/>
              </w:rPr>
              <w:t>排放浓度</w:t>
            </w:r>
          </w:p>
        </w:tc>
        <w:tc>
          <w:tcPr>
            <w:tcW w:w="1925" w:type="dxa"/>
            <w:tcBorders>
              <w:tl2br w:val="nil"/>
              <w:tr2bl w:val="nil"/>
            </w:tcBorders>
            <w:vAlign w:val="center"/>
          </w:tcPr>
          <w:p>
            <w:pPr>
              <w:pStyle w:val="28"/>
              <w:widowControl w:val="0"/>
              <w:rPr>
                <w:b/>
                <w:bCs/>
                <w:color w:val="auto"/>
                <w:highlight w:val="none"/>
              </w:rPr>
            </w:pPr>
            <w:r>
              <w:rPr>
                <w:rFonts w:hint="eastAsia"/>
                <w:b/>
                <w:bCs/>
                <w:color w:val="auto"/>
                <w:highlight w:val="none"/>
              </w:rPr>
              <w:t>年排放量</w:t>
            </w:r>
          </w:p>
        </w:tc>
        <w:tc>
          <w:tcPr>
            <w:tcW w:w="1925" w:type="dxa"/>
            <w:tcBorders>
              <w:tl2br w:val="nil"/>
              <w:tr2bl w:val="nil"/>
            </w:tcBorders>
            <w:vAlign w:val="center"/>
          </w:tcPr>
          <w:p>
            <w:pPr>
              <w:pStyle w:val="28"/>
              <w:widowControl w:val="0"/>
              <w:rPr>
                <w:b/>
                <w:bCs/>
                <w:color w:val="auto"/>
                <w:highlight w:val="none"/>
              </w:rPr>
            </w:pPr>
            <w:r>
              <w:rPr>
                <w:rFonts w:hint="eastAsia"/>
                <w:b/>
                <w:bCs/>
                <w:color w:val="auto"/>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8" w:type="dxa"/>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p>
            <w:pPr>
              <w:pStyle w:val="28"/>
              <w:widowControl w:val="0"/>
              <w:rPr>
                <w:color w:val="auto"/>
                <w:highlight w:val="none"/>
              </w:rPr>
            </w:pPr>
            <w:r>
              <w:rPr>
                <w:rFonts w:hint="eastAsia"/>
                <w:color w:val="auto"/>
                <w:highlight w:val="none"/>
              </w:rPr>
              <w:t>（企业排口）</w:t>
            </w:r>
          </w:p>
        </w:tc>
        <w:tc>
          <w:tcPr>
            <w:tcW w:w="1320" w:type="dxa"/>
            <w:tcBorders>
              <w:tl2br w:val="nil"/>
              <w:tr2bl w:val="nil"/>
            </w:tcBorders>
            <w:vAlign w:val="center"/>
          </w:tcPr>
          <w:p>
            <w:pPr>
              <w:pStyle w:val="28"/>
              <w:widowControl w:val="0"/>
              <w:rPr>
                <w:color w:val="auto"/>
                <w:highlight w:val="none"/>
              </w:rPr>
            </w:pPr>
            <w:r>
              <w:rPr>
                <w:rFonts w:hint="eastAsia"/>
                <w:color w:val="auto"/>
                <w:highlight w:val="none"/>
              </w:rPr>
              <w:t>COD</w:t>
            </w:r>
          </w:p>
        </w:tc>
        <w:tc>
          <w:tcPr>
            <w:tcW w:w="1884" w:type="dxa"/>
            <w:tcBorders>
              <w:tl2br w:val="nil"/>
              <w:tr2bl w:val="nil"/>
            </w:tcBorders>
            <w:vAlign w:val="center"/>
          </w:tcPr>
          <w:p>
            <w:pPr>
              <w:pStyle w:val="28"/>
              <w:widowControl w:val="0"/>
              <w:rPr>
                <w:color w:val="auto"/>
                <w:highlight w:val="none"/>
              </w:rPr>
            </w:pPr>
            <w:r>
              <w:rPr>
                <w:rFonts w:hint="eastAsia"/>
                <w:color w:val="auto"/>
                <w:highlight w:val="none"/>
              </w:rPr>
              <w:t>≤500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39.96</w:t>
            </w:r>
          </w:p>
        </w:tc>
        <w:tc>
          <w:tcPr>
            <w:tcW w:w="1925" w:type="dxa"/>
            <w:vMerge w:val="restart"/>
            <w:tcBorders>
              <w:tl2br w:val="nil"/>
              <w:tr2bl w:val="nil"/>
            </w:tcBorders>
            <w:vAlign w:val="center"/>
          </w:tcPr>
          <w:p>
            <w:pPr>
              <w:pStyle w:val="28"/>
              <w:widowControl w:val="0"/>
              <w:rPr>
                <w:color w:val="auto"/>
                <w:highlight w:val="none"/>
              </w:rPr>
            </w:pPr>
            <w:r>
              <w:rPr>
                <w:rFonts w:hint="eastAsia"/>
                <w:color w:val="auto"/>
                <w:highlight w:val="none"/>
              </w:rPr>
              <w:t>濛溪河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8" w:type="dxa"/>
            <w:vMerge w:val="continue"/>
            <w:tcBorders>
              <w:tl2br w:val="nil"/>
              <w:tr2bl w:val="nil"/>
            </w:tcBorders>
            <w:vAlign w:val="center"/>
          </w:tcPr>
          <w:p>
            <w:pPr>
              <w:pStyle w:val="28"/>
              <w:widowControl w:val="0"/>
              <w:rPr>
                <w:color w:val="auto"/>
                <w:highlight w:val="none"/>
              </w:rPr>
            </w:pPr>
          </w:p>
        </w:tc>
        <w:tc>
          <w:tcPr>
            <w:tcW w:w="1320"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1884"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3.6</w:t>
            </w:r>
          </w:p>
        </w:tc>
        <w:tc>
          <w:tcPr>
            <w:tcW w:w="1925"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8" w:type="dxa"/>
            <w:vMerge w:val="continue"/>
            <w:tcBorders>
              <w:tl2br w:val="nil"/>
              <w:tr2bl w:val="nil"/>
            </w:tcBorders>
            <w:vAlign w:val="center"/>
          </w:tcPr>
          <w:p>
            <w:pPr>
              <w:pStyle w:val="28"/>
              <w:widowControl w:val="0"/>
              <w:rPr>
                <w:color w:val="auto"/>
                <w:highlight w:val="none"/>
              </w:rPr>
            </w:pPr>
          </w:p>
        </w:tc>
        <w:tc>
          <w:tcPr>
            <w:tcW w:w="1320" w:type="dxa"/>
            <w:tcBorders>
              <w:tl2br w:val="nil"/>
              <w:tr2bl w:val="nil"/>
            </w:tcBorders>
            <w:vAlign w:val="center"/>
          </w:tcPr>
          <w:p>
            <w:pPr>
              <w:pStyle w:val="28"/>
              <w:widowControl w:val="0"/>
              <w:rPr>
                <w:color w:val="auto"/>
                <w:highlight w:val="none"/>
              </w:rPr>
            </w:pPr>
            <w:r>
              <w:rPr>
                <w:rFonts w:hint="eastAsia"/>
                <w:color w:val="auto"/>
                <w:highlight w:val="none"/>
              </w:rPr>
              <w:t>TP</w:t>
            </w:r>
          </w:p>
        </w:tc>
        <w:tc>
          <w:tcPr>
            <w:tcW w:w="1884"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0.64</w:t>
            </w:r>
          </w:p>
        </w:tc>
        <w:tc>
          <w:tcPr>
            <w:tcW w:w="1925"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计算：</w:t>
      </w:r>
    </w:p>
    <w:p>
      <w:pPr>
        <w:widowControl w:val="0"/>
        <w:ind w:firstLine="480"/>
        <w:rPr>
          <w:color w:val="auto"/>
          <w:highlight w:val="none"/>
        </w:rPr>
      </w:pPr>
      <w:r>
        <w:rPr>
          <w:rFonts w:hint="eastAsia"/>
          <w:color w:val="auto"/>
          <w:highlight w:val="none"/>
        </w:rPr>
        <w:t>项目污水处理站排口：</w:t>
      </w:r>
    </w:p>
    <w:p>
      <w:pPr>
        <w:widowControl w:val="0"/>
        <w:ind w:firstLine="480"/>
        <w:rPr>
          <w:color w:val="auto"/>
          <w:highlight w:val="none"/>
        </w:rPr>
      </w:pPr>
      <w:r>
        <w:rPr>
          <w:color w:val="auto"/>
          <w:highlight w:val="none"/>
        </w:rPr>
        <w:t>COD：</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500(</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39.96</w:t>
      </w:r>
      <w:r>
        <w:rPr>
          <w:color w:val="auto"/>
          <w:highlight w:val="none"/>
        </w:rPr>
        <w:t>t/a</w:t>
      </w:r>
    </w:p>
    <w:p>
      <w:pPr>
        <w:widowControl w:val="0"/>
        <w:ind w:firstLine="480"/>
        <w:rPr>
          <w:color w:val="auto"/>
          <w:highlight w:val="none"/>
        </w:rPr>
      </w:pPr>
      <w:r>
        <w:rPr>
          <w:color w:val="auto"/>
          <w:highlight w:val="none"/>
        </w:rPr>
        <w:t>NH</w:t>
      </w:r>
      <w:r>
        <w:rPr>
          <w:color w:val="auto"/>
          <w:highlight w:val="none"/>
          <w:vertAlign w:val="subscript"/>
        </w:rPr>
        <w:t>3</w:t>
      </w:r>
      <w:r>
        <w:rPr>
          <w:color w:val="auto"/>
          <w:highlight w:val="none"/>
        </w:rPr>
        <w:t>-N：</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45(</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3.6</w:t>
      </w:r>
      <w:r>
        <w:rPr>
          <w:color w:val="auto"/>
          <w:highlight w:val="none"/>
        </w:rPr>
        <w:t>t/a</w:t>
      </w:r>
    </w:p>
    <w:p>
      <w:pPr>
        <w:widowControl w:val="0"/>
        <w:ind w:firstLine="480"/>
        <w:rPr>
          <w:color w:val="auto"/>
          <w:highlight w:val="none"/>
        </w:rPr>
      </w:pPr>
      <w:r>
        <w:rPr>
          <w:color w:val="auto"/>
          <w:highlight w:val="none"/>
        </w:rPr>
        <w:t>TP：</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8(</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0.64</w:t>
      </w:r>
      <w:r>
        <w:rPr>
          <w:color w:val="auto"/>
          <w:highlight w:val="none"/>
        </w:rPr>
        <w:t>t/a</w:t>
      </w:r>
    </w:p>
    <w:p>
      <w:pPr>
        <w:widowControl w:val="0"/>
        <w:ind w:firstLine="480"/>
        <w:rPr>
          <w:color w:val="auto"/>
          <w:highlight w:val="none"/>
        </w:rPr>
      </w:pPr>
      <w:r>
        <w:rPr>
          <w:rFonts w:hint="eastAsia"/>
          <w:color w:val="auto"/>
          <w:highlight w:val="none"/>
        </w:rPr>
        <w:t>响滩镇污水处理厂排口：</w:t>
      </w:r>
    </w:p>
    <w:p>
      <w:pPr>
        <w:widowControl w:val="0"/>
        <w:ind w:firstLine="480"/>
        <w:rPr>
          <w:color w:val="auto"/>
          <w:highlight w:val="none"/>
        </w:rPr>
      </w:pPr>
      <w:r>
        <w:rPr>
          <w:color w:val="auto"/>
          <w:highlight w:val="none"/>
        </w:rPr>
        <w:t>COD：</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50(</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4.0</w:t>
      </w:r>
      <w:r>
        <w:rPr>
          <w:color w:val="auto"/>
          <w:highlight w:val="none"/>
        </w:rPr>
        <w:t>t/a</w:t>
      </w:r>
    </w:p>
    <w:p>
      <w:pPr>
        <w:widowControl w:val="0"/>
        <w:ind w:firstLine="480"/>
        <w:rPr>
          <w:color w:val="auto"/>
          <w:highlight w:val="none"/>
        </w:rPr>
      </w:pPr>
      <w:r>
        <w:rPr>
          <w:color w:val="auto"/>
          <w:highlight w:val="none"/>
        </w:rPr>
        <w:t>NH</w:t>
      </w:r>
      <w:r>
        <w:rPr>
          <w:color w:val="auto"/>
          <w:highlight w:val="none"/>
          <w:vertAlign w:val="subscript"/>
        </w:rPr>
        <w:t>3</w:t>
      </w:r>
      <w:r>
        <w:rPr>
          <w:color w:val="auto"/>
          <w:highlight w:val="none"/>
        </w:rPr>
        <w:t>-N：</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5(</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0.4</w:t>
      </w:r>
      <w:r>
        <w:rPr>
          <w:color w:val="auto"/>
          <w:highlight w:val="none"/>
        </w:rPr>
        <w:t>t/a</w:t>
      </w:r>
    </w:p>
    <w:p>
      <w:pPr>
        <w:widowControl w:val="0"/>
        <w:ind w:firstLine="480"/>
        <w:rPr>
          <w:color w:val="auto"/>
          <w:highlight w:val="none"/>
        </w:rPr>
      </w:pPr>
      <w:r>
        <w:rPr>
          <w:color w:val="auto"/>
          <w:highlight w:val="none"/>
        </w:rPr>
        <w:t>TP：</w:t>
      </w:r>
      <w:r>
        <w:rPr>
          <w:rFonts w:hint="eastAsia"/>
          <w:color w:val="auto"/>
          <w:highlight w:val="none"/>
        </w:rPr>
        <w:t>79910(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color w:val="auto"/>
          <w:highlight w:val="none"/>
        </w:rPr>
        <w:t>×</w:t>
      </w:r>
      <w:r>
        <w:rPr>
          <w:rFonts w:hint="eastAsia"/>
          <w:color w:val="auto"/>
          <w:highlight w:val="none"/>
        </w:rPr>
        <w:t>0.5(</w:t>
      </w:r>
      <w:r>
        <w:rPr>
          <w:color w:val="auto"/>
          <w:highlight w:val="none"/>
        </w:rPr>
        <w:t>mg/L</w:t>
      </w:r>
      <w:r>
        <w:rPr>
          <w:rFonts w:hint="eastAsia"/>
          <w:color w:val="auto"/>
          <w:highlight w:val="none"/>
        </w:rPr>
        <w:t>)</w:t>
      </w:r>
      <w:r>
        <w:rPr>
          <w:color w:val="auto"/>
          <w:highlight w:val="none"/>
        </w:rPr>
        <w:t>×10</w:t>
      </w:r>
      <w:r>
        <w:rPr>
          <w:color w:val="auto"/>
          <w:highlight w:val="none"/>
          <w:vertAlign w:val="superscript"/>
        </w:rPr>
        <w:t>-6</w:t>
      </w:r>
      <w:r>
        <w:rPr>
          <w:color w:val="auto"/>
          <w:highlight w:val="none"/>
        </w:rPr>
        <w:t>=</w:t>
      </w:r>
      <w:r>
        <w:rPr>
          <w:rFonts w:hint="eastAsia"/>
          <w:color w:val="auto"/>
          <w:highlight w:val="none"/>
        </w:rPr>
        <w:t>0.04</w:t>
      </w:r>
      <w:r>
        <w:rPr>
          <w:color w:val="auto"/>
          <w:highlight w:val="none"/>
        </w:rPr>
        <w:t>t/a</w:t>
      </w:r>
    </w:p>
    <w:p>
      <w:pPr>
        <w:widowControl w:val="0"/>
        <w:ind w:firstLine="482"/>
        <w:rPr>
          <w:b/>
          <w:bCs/>
          <w:color w:val="auto"/>
          <w:highlight w:val="none"/>
        </w:rPr>
      </w:pPr>
      <w:r>
        <w:rPr>
          <w:rFonts w:hint="eastAsia"/>
          <w:b/>
          <w:bCs/>
          <w:color w:val="auto"/>
          <w:highlight w:val="none"/>
        </w:rPr>
        <w:t>（2）大气污染物总量控制指标</w:t>
      </w:r>
    </w:p>
    <w:p>
      <w:pPr>
        <w:widowControl w:val="0"/>
        <w:ind w:firstLine="480"/>
        <w:rPr>
          <w:color w:val="auto"/>
          <w:highlight w:val="none"/>
        </w:rPr>
      </w:pPr>
      <w:r>
        <w:rPr>
          <w:rFonts w:hint="eastAsia"/>
          <w:color w:val="auto"/>
          <w:highlight w:val="none"/>
        </w:rPr>
        <w:t>本项目大气污染物主要为恶臭因子</w:t>
      </w: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r>
        <w:rPr>
          <w:rFonts w:hint="eastAsia"/>
          <w:color w:val="auto"/>
          <w:highlight w:val="none"/>
        </w:rPr>
        <w:t>和天然气燃烧废气SO</w:t>
      </w:r>
      <w:r>
        <w:rPr>
          <w:rFonts w:hint="eastAsia"/>
          <w:color w:val="auto"/>
          <w:highlight w:val="none"/>
          <w:vertAlign w:val="subscript"/>
        </w:rPr>
        <w:t>2</w:t>
      </w:r>
      <w:r>
        <w:rPr>
          <w:rFonts w:hint="eastAsia"/>
          <w:color w:val="auto"/>
          <w:highlight w:val="none"/>
        </w:rPr>
        <w:t>、NOx、颗粒物，</w:t>
      </w:r>
      <w:r>
        <w:rPr>
          <w:rFonts w:hint="eastAsia"/>
          <w:color w:val="auto"/>
          <w:highlight w:val="none"/>
          <w:lang w:val="en-US" w:eastAsia="zh-CN"/>
        </w:rPr>
        <w:t>因</w:t>
      </w:r>
      <w:r>
        <w:rPr>
          <w:color w:val="auto"/>
          <w:highlight w:val="none"/>
        </w:rPr>
        <w:t>NH</w:t>
      </w:r>
      <w:r>
        <w:rPr>
          <w:color w:val="auto"/>
          <w:highlight w:val="none"/>
          <w:vertAlign w:val="subscript"/>
        </w:rPr>
        <w:t>3</w:t>
      </w:r>
      <w:r>
        <w:rPr>
          <w:rFonts w:hint="eastAsia"/>
          <w:color w:val="auto"/>
          <w:highlight w:val="none"/>
        </w:rPr>
        <w:t>、</w:t>
      </w:r>
      <w:r>
        <w:rPr>
          <w:color w:val="auto"/>
          <w:highlight w:val="none"/>
        </w:rPr>
        <w:t>H</w:t>
      </w:r>
      <w:r>
        <w:rPr>
          <w:color w:val="auto"/>
          <w:highlight w:val="none"/>
          <w:vertAlign w:val="subscript"/>
        </w:rPr>
        <w:t>2</w:t>
      </w:r>
      <w:r>
        <w:rPr>
          <w:color w:val="auto"/>
          <w:highlight w:val="none"/>
        </w:rPr>
        <w:t>S未纳入十四五总量管理</w:t>
      </w:r>
      <w:r>
        <w:rPr>
          <w:rFonts w:hint="eastAsia"/>
          <w:color w:val="auto"/>
          <w:highlight w:val="none"/>
          <w:lang w:eastAsia="zh-CN"/>
        </w:rPr>
        <w:t>，</w:t>
      </w:r>
      <w:r>
        <w:rPr>
          <w:rFonts w:hint="eastAsia"/>
          <w:color w:val="auto"/>
          <w:highlight w:val="none"/>
          <w:lang w:val="en-US" w:eastAsia="zh-CN"/>
        </w:rPr>
        <w:t>所以本项目</w:t>
      </w:r>
      <w:r>
        <w:rPr>
          <w:rFonts w:hint="eastAsia"/>
          <w:color w:val="auto"/>
          <w:highlight w:val="none"/>
        </w:rPr>
        <w:t>总量控制指标建议值见下表。</w:t>
      </w:r>
    </w:p>
    <w:p>
      <w:pPr>
        <w:pStyle w:val="27"/>
        <w:widowControl w:val="0"/>
        <w:rPr>
          <w:color w:val="auto"/>
          <w:highlight w:val="none"/>
        </w:rPr>
      </w:pPr>
      <w:r>
        <w:rPr>
          <w:rFonts w:hint="eastAsia"/>
          <w:color w:val="auto"/>
          <w:highlight w:val="none"/>
        </w:rPr>
        <w:t>大气污染物总量控制指标建议值   单位：</w:t>
      </w:r>
      <w:r>
        <w:rPr>
          <w:color w:val="auto"/>
          <w:highlight w:val="none"/>
        </w:rPr>
        <w:t>t/a</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115"/>
        <w:gridCol w:w="2595"/>
        <w:gridCol w:w="3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4710"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污染因子</w:t>
            </w:r>
          </w:p>
        </w:tc>
        <w:tc>
          <w:tcPr>
            <w:tcW w:w="3364" w:type="dxa"/>
            <w:tcBorders>
              <w:tl2br w:val="nil"/>
              <w:tr2bl w:val="nil"/>
            </w:tcBorders>
            <w:vAlign w:val="center"/>
          </w:tcPr>
          <w:p>
            <w:pPr>
              <w:pStyle w:val="28"/>
              <w:widowControl w:val="0"/>
              <w:rPr>
                <w:b/>
                <w:bCs/>
                <w:color w:val="auto"/>
                <w:highlight w:val="none"/>
              </w:rPr>
            </w:pPr>
            <w:r>
              <w:rPr>
                <w:rFonts w:hint="eastAsia"/>
                <w:b/>
                <w:bCs/>
                <w:color w:val="auto"/>
                <w:highlight w:val="none"/>
              </w:rPr>
              <w:t>年排放量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restart"/>
            <w:tcBorders>
              <w:tl2br w:val="nil"/>
              <w:tr2bl w:val="nil"/>
            </w:tcBorders>
            <w:vAlign w:val="center"/>
          </w:tcPr>
          <w:p>
            <w:pPr>
              <w:pStyle w:val="28"/>
              <w:widowControl w:val="0"/>
              <w:rPr>
                <w:color w:val="auto"/>
                <w:highlight w:val="none"/>
              </w:rPr>
            </w:pPr>
            <w:r>
              <w:rPr>
                <w:rFonts w:hint="eastAsia"/>
                <w:color w:val="auto"/>
                <w:highlight w:val="none"/>
              </w:rPr>
              <w:t>天然气燃烧废气</w:t>
            </w:r>
          </w:p>
        </w:tc>
        <w:tc>
          <w:tcPr>
            <w:tcW w:w="2115" w:type="dxa"/>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SO</w:t>
            </w:r>
            <w:r>
              <w:rPr>
                <w:color w:val="auto"/>
                <w:sz w:val="21"/>
                <w:szCs w:val="21"/>
                <w:highlight w:val="none"/>
                <w:vertAlign w:val="subscript"/>
              </w:rPr>
              <w:t>2</w:t>
            </w:r>
          </w:p>
        </w:tc>
        <w:tc>
          <w:tcPr>
            <w:tcW w:w="2595" w:type="dxa"/>
            <w:tcBorders>
              <w:tl2br w:val="nil"/>
              <w:tr2bl w:val="nil"/>
            </w:tcBorders>
            <w:vAlign w:val="center"/>
          </w:tcPr>
          <w:p>
            <w:pPr>
              <w:pStyle w:val="28"/>
              <w:widowControl w:val="0"/>
              <w:rPr>
                <w:color w:val="auto"/>
                <w:highlight w:val="none"/>
              </w:rPr>
            </w:pPr>
            <w:r>
              <w:rPr>
                <w:rFonts w:hint="eastAsia"/>
                <w:color w:val="auto"/>
                <w:highlight w:val="none"/>
              </w:rPr>
              <w:t>有组织</w:t>
            </w:r>
          </w:p>
        </w:tc>
        <w:tc>
          <w:tcPr>
            <w:tcW w:w="3364" w:type="dxa"/>
            <w:tcBorders>
              <w:tl2br w:val="nil"/>
              <w:tr2bl w:val="nil"/>
            </w:tcBorders>
            <w:vAlign w:val="center"/>
          </w:tcPr>
          <w:p>
            <w:pPr>
              <w:pStyle w:val="28"/>
              <w:widowControl w:val="0"/>
              <w:rPr>
                <w:color w:val="auto"/>
                <w:highlight w:val="none"/>
              </w:rPr>
            </w:pPr>
            <w:r>
              <w:rPr>
                <w:rFonts w:hint="eastAsia"/>
                <w:color w:val="auto"/>
                <w:highlight w:val="none"/>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28"/>
              <w:widowControl w:val="0"/>
              <w:rPr>
                <w:color w:val="auto"/>
                <w:highlight w:val="none"/>
              </w:rPr>
            </w:pPr>
          </w:p>
        </w:tc>
        <w:tc>
          <w:tcPr>
            <w:tcW w:w="2115" w:type="dxa"/>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NOx</w:t>
            </w:r>
          </w:p>
        </w:tc>
        <w:tc>
          <w:tcPr>
            <w:tcW w:w="2595" w:type="dxa"/>
            <w:tcBorders>
              <w:tl2br w:val="nil"/>
              <w:tr2bl w:val="nil"/>
            </w:tcBorders>
            <w:vAlign w:val="center"/>
          </w:tcPr>
          <w:p>
            <w:pPr>
              <w:pStyle w:val="28"/>
              <w:widowControl w:val="0"/>
              <w:rPr>
                <w:color w:val="auto"/>
                <w:highlight w:val="none"/>
              </w:rPr>
            </w:pPr>
            <w:r>
              <w:rPr>
                <w:rFonts w:hint="eastAsia"/>
                <w:color w:val="auto"/>
                <w:highlight w:val="none"/>
              </w:rPr>
              <w:t>有组织</w:t>
            </w:r>
          </w:p>
        </w:tc>
        <w:tc>
          <w:tcPr>
            <w:tcW w:w="3364" w:type="dxa"/>
            <w:tcBorders>
              <w:tl2br w:val="nil"/>
              <w:tr2bl w:val="nil"/>
            </w:tcBorders>
            <w:vAlign w:val="center"/>
          </w:tcPr>
          <w:p>
            <w:pPr>
              <w:pStyle w:val="28"/>
              <w:widowControl w:val="0"/>
              <w:rPr>
                <w:color w:val="auto"/>
                <w:highlight w:val="none"/>
              </w:rPr>
            </w:pPr>
            <w:r>
              <w:rPr>
                <w:rFonts w:hint="eastAsia"/>
                <w:color w:val="auto"/>
                <w:highlight w:val="none"/>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28"/>
              <w:widowControl w:val="0"/>
              <w:rPr>
                <w:color w:val="auto"/>
                <w:highlight w:val="none"/>
              </w:rPr>
            </w:pPr>
          </w:p>
        </w:tc>
        <w:tc>
          <w:tcPr>
            <w:tcW w:w="2115" w:type="dxa"/>
            <w:tcBorders>
              <w:tl2br w:val="nil"/>
              <w:tr2bl w:val="nil"/>
            </w:tcBorders>
            <w:vAlign w:val="center"/>
          </w:tcPr>
          <w:p>
            <w:pPr>
              <w:widowControl w:val="0"/>
              <w:adjustRightInd w:val="0"/>
              <w:snapToGrid w:val="0"/>
              <w:spacing w:line="240" w:lineRule="auto"/>
              <w:ind w:firstLine="0" w:firstLineChars="0"/>
              <w:jc w:val="center"/>
              <w:rPr>
                <w:color w:val="auto"/>
                <w:highlight w:val="none"/>
              </w:rPr>
            </w:pPr>
            <w:r>
              <w:rPr>
                <w:color w:val="auto"/>
                <w:sz w:val="21"/>
                <w:szCs w:val="21"/>
                <w:highlight w:val="none"/>
              </w:rPr>
              <w:t>颗粒物</w:t>
            </w:r>
          </w:p>
        </w:tc>
        <w:tc>
          <w:tcPr>
            <w:tcW w:w="2595" w:type="dxa"/>
            <w:tcBorders>
              <w:tl2br w:val="nil"/>
              <w:tr2bl w:val="nil"/>
            </w:tcBorders>
            <w:vAlign w:val="center"/>
          </w:tcPr>
          <w:p>
            <w:pPr>
              <w:pStyle w:val="28"/>
              <w:widowControl w:val="0"/>
              <w:rPr>
                <w:color w:val="auto"/>
                <w:highlight w:val="none"/>
              </w:rPr>
            </w:pPr>
            <w:r>
              <w:rPr>
                <w:rFonts w:hint="eastAsia"/>
                <w:color w:val="auto"/>
                <w:highlight w:val="none"/>
              </w:rPr>
              <w:t>有组织</w:t>
            </w:r>
          </w:p>
        </w:tc>
        <w:tc>
          <w:tcPr>
            <w:tcW w:w="3364" w:type="dxa"/>
            <w:tcBorders>
              <w:tl2br w:val="nil"/>
              <w:tr2bl w:val="nil"/>
            </w:tcBorders>
            <w:vAlign w:val="center"/>
          </w:tcPr>
          <w:p>
            <w:pPr>
              <w:pStyle w:val="28"/>
              <w:widowControl w:val="0"/>
              <w:rPr>
                <w:color w:val="auto"/>
                <w:highlight w:val="none"/>
              </w:rPr>
            </w:pPr>
            <w:r>
              <w:rPr>
                <w:rFonts w:hint="eastAsia"/>
                <w:color w:val="auto"/>
                <w:highlight w:val="none"/>
              </w:rPr>
              <w:t>0.029</w:t>
            </w:r>
          </w:p>
        </w:tc>
      </w:tr>
    </w:tbl>
    <w:p>
      <w:pPr>
        <w:pStyle w:val="28"/>
        <w:widowControl w:val="0"/>
        <w:rPr>
          <w:color w:val="auto"/>
          <w:highlight w:val="none"/>
        </w:rPr>
      </w:pPr>
    </w:p>
    <w:p>
      <w:pPr>
        <w:widowControl w:val="0"/>
        <w:ind w:firstLine="480"/>
        <w:rPr>
          <w:rFonts w:ascii="宋体" w:hAnsi="宋体"/>
          <w:color w:val="auto"/>
          <w:highlight w:val="none"/>
        </w:rPr>
      </w:pPr>
      <w:r>
        <w:rPr>
          <w:rFonts w:hint="eastAsia" w:ascii="宋体" w:hAnsi="宋体"/>
          <w:color w:val="auto"/>
          <w:highlight w:val="none"/>
        </w:rPr>
        <w:br w:type="page"/>
      </w:r>
    </w:p>
    <w:p>
      <w:pPr>
        <w:pStyle w:val="3"/>
        <w:widowControl w:val="0"/>
        <w:ind w:firstLine="643"/>
        <w:rPr>
          <w:color w:val="auto"/>
          <w:highlight w:val="none"/>
        </w:rPr>
      </w:pPr>
      <w:bookmarkStart w:id="69" w:name="_Toc1794"/>
      <w:r>
        <w:rPr>
          <w:rFonts w:hint="eastAsia"/>
          <w:color w:val="auto"/>
          <w:highlight w:val="none"/>
        </w:rPr>
        <w:t>环境现状调查与评价</w:t>
      </w:r>
      <w:bookmarkEnd w:id="69"/>
    </w:p>
    <w:p>
      <w:pPr>
        <w:pStyle w:val="4"/>
        <w:widowControl w:val="0"/>
        <w:rPr>
          <w:color w:val="auto"/>
          <w:highlight w:val="none"/>
        </w:rPr>
      </w:pPr>
      <w:bookmarkStart w:id="70" w:name="_Toc28335"/>
      <w:r>
        <w:rPr>
          <w:rFonts w:hint="eastAsia"/>
          <w:color w:val="auto"/>
          <w:highlight w:val="none"/>
        </w:rPr>
        <w:t>自然环境概况</w:t>
      </w:r>
      <w:bookmarkEnd w:id="70"/>
    </w:p>
    <w:p>
      <w:pPr>
        <w:pStyle w:val="5"/>
        <w:widowControl w:val="0"/>
        <w:ind w:firstLine="120"/>
        <w:rPr>
          <w:color w:val="auto"/>
          <w:highlight w:val="none"/>
        </w:rPr>
      </w:pPr>
      <w:r>
        <w:rPr>
          <w:rFonts w:hint="eastAsia"/>
          <w:color w:val="auto"/>
          <w:highlight w:val="none"/>
        </w:rPr>
        <w:t>地理位置</w:t>
      </w:r>
    </w:p>
    <w:p>
      <w:pPr>
        <w:widowControl w:val="0"/>
        <w:ind w:firstLine="480"/>
        <w:rPr>
          <w:color w:val="auto"/>
          <w:highlight w:val="none"/>
        </w:rPr>
      </w:pPr>
      <w:r>
        <w:rPr>
          <w:rFonts w:hint="eastAsia"/>
          <w:color w:val="auto"/>
          <w:highlight w:val="none"/>
        </w:rPr>
        <w:t>本项目位于四川省巴中市平昌县响滩镇石泉村，隶属四川省巴中市，平昌县位于四川省东北部，米仓山南麓，北纬</w:t>
      </w:r>
      <w:r>
        <w:rPr>
          <w:color w:val="auto"/>
          <w:highlight w:val="none"/>
        </w:rPr>
        <w:t>31°16′~31°52′</w:t>
      </w:r>
      <w:r>
        <w:rPr>
          <w:rFonts w:hint="eastAsia"/>
          <w:color w:val="auto"/>
          <w:highlight w:val="none"/>
        </w:rPr>
        <w:t>，东经</w:t>
      </w:r>
      <w:r>
        <w:rPr>
          <w:color w:val="auto"/>
          <w:highlight w:val="none"/>
        </w:rPr>
        <w:t>106°15′~107°34′</w:t>
      </w:r>
      <w:r>
        <w:rPr>
          <w:rFonts w:hint="eastAsia"/>
          <w:color w:val="auto"/>
          <w:highlight w:val="none"/>
        </w:rPr>
        <w:t>。平昌县自古以来就是达县通往通江、南江、巴州三区县的咽喉，地处两江之口的江口镇，素有“川北重镇”之称。平昌县东接达州市万源市、宣汉县，南抵达州市达川区、渠县，西邻南充市仪陇县、营山县，北连通江县、巴州区，与达州火车站相距100km，与达州河市机场相距110km。</w:t>
      </w:r>
    </w:p>
    <w:p>
      <w:pPr>
        <w:widowControl w:val="0"/>
        <w:ind w:firstLine="480"/>
        <w:rPr>
          <w:color w:val="auto"/>
          <w:highlight w:val="none"/>
        </w:rPr>
      </w:pPr>
      <w:r>
        <w:rPr>
          <w:rFonts w:hint="eastAsia"/>
          <w:color w:val="auto"/>
          <w:highlight w:val="none"/>
        </w:rPr>
        <w:t>本项目位于四川省巴中市平昌县响滩镇石泉村（东经106.96658134，北纬31.47962323），项目地理位置图见附图1。</w:t>
      </w:r>
    </w:p>
    <w:p>
      <w:pPr>
        <w:pStyle w:val="5"/>
        <w:widowControl w:val="0"/>
        <w:ind w:firstLine="120"/>
        <w:rPr>
          <w:color w:val="auto"/>
          <w:highlight w:val="none"/>
        </w:rPr>
      </w:pPr>
      <w:r>
        <w:rPr>
          <w:rFonts w:hint="eastAsia"/>
          <w:color w:val="auto"/>
          <w:highlight w:val="none"/>
        </w:rPr>
        <w:t>地形地貌及地质</w:t>
      </w:r>
    </w:p>
    <w:p>
      <w:pPr>
        <w:widowControl w:val="0"/>
        <w:ind w:firstLine="480"/>
        <w:rPr>
          <w:color w:val="auto"/>
          <w:highlight w:val="none"/>
        </w:rPr>
      </w:pPr>
      <w:r>
        <w:rPr>
          <w:rFonts w:hint="eastAsia"/>
          <w:color w:val="auto"/>
          <w:highlight w:val="none"/>
        </w:rPr>
        <w:t>巴中属典型的盆周山区，地势北高南低，由北向南倾斜。北部为深切割中山，中切割中山，中部为中切割低山、浅切割低山；南部为丘陵，沿河两岸及台状山顶有平坝。丘陵、平坝面积约为1243km</w:t>
      </w:r>
      <w:r>
        <w:rPr>
          <w:rFonts w:hint="eastAsia"/>
          <w:color w:val="auto"/>
          <w:highlight w:val="none"/>
          <w:vertAlign w:val="superscript"/>
        </w:rPr>
        <w:t>2</w:t>
      </w:r>
      <w:r>
        <w:rPr>
          <w:rFonts w:hint="eastAsia"/>
          <w:color w:val="auto"/>
          <w:highlight w:val="none"/>
        </w:rPr>
        <w:t>，占幅员面积的10%，山地占90%。最高海拔在北西部的南江县光雾山，为2507.0m，最低海拔在南部的平昌县黄梅溪，为268.3m，高差2238.7m。中北部山地，低、中山界线明显。中切割中山一般700~900m，多窄谷；深切割中山切割高达1200m以上，多峡谷，中切割低山切割一般600m，多“V”形谷、平底谷，称山区平坝。三级阶梯状构造，从北到南逐渐降低。北部深切割中山海拔1500~2000m，中切割中山海拔1300~1500m，中部中切割低山海拔800~1000m。中部低山，大多海拔400~800m，南部丘陵分布在海拔350~600m之间，平坝分布在海拔268.3~400m之间。另外，境内还有流水侵蚀、沉积、扇形地貌和重力堆积、残积地貌及喀斯特地貌。境内地质构造跨及米仓山台穹、大巴山弧形、川北台（坳）陷及川东新华夏四个二级构造单元。构造形迹以褶皱为主，断裂不发育，褶皱曲线呈弧形，岩层倾角变化频繁且有扭曲现象。境内西北为龙门山北东向褶皱带，北部是米仓山东西向褶皱带，东北与大巴山西向褶皱带相连，东南部邻华盏山北东向褶皱带，南西是川中北西西向褶皱带。由于地处上述结构之中，并受其控制和影响，故越近中心，构造力愈微弱，褶皱呈环状排列，形成莲花状。褶皱由北向南形成30多个向（背）斜褶皱带。</w:t>
      </w:r>
    </w:p>
    <w:p>
      <w:pPr>
        <w:widowControl w:val="0"/>
        <w:ind w:firstLine="480"/>
        <w:rPr>
          <w:color w:val="auto"/>
          <w:highlight w:val="none"/>
        </w:rPr>
      </w:pPr>
      <w:r>
        <w:rPr>
          <w:rFonts w:hint="eastAsia"/>
          <w:color w:val="auto"/>
          <w:highlight w:val="none"/>
        </w:rPr>
        <w:t>平昌县全境地质属四川东部地台区，县境内地质构造介于大巴山弧形构造、川东新华夏系构造和仪陇、巴中、平昌莲花状构造复合交接部位。构造形迹以褶皱为主，断裂不发育，褶皱轴线为弧形，岩层倾角变化频繁且有扭曲现象。</w:t>
      </w:r>
    </w:p>
    <w:p>
      <w:pPr>
        <w:widowControl w:val="0"/>
        <w:ind w:firstLine="480"/>
        <w:rPr>
          <w:color w:val="auto"/>
          <w:highlight w:val="none"/>
        </w:rPr>
      </w:pPr>
      <w:r>
        <w:rPr>
          <w:rFonts w:hint="eastAsia"/>
          <w:color w:val="auto"/>
          <w:highlight w:val="none"/>
        </w:rPr>
        <w:t>县境地貌属四川盆地外围山地区，大巴山山地。山脉呈西北至东南走向，略呈向西南方向凸出的弧形，山顶有平坦顶面，最高海拔1338.8m，最低海拔350m，相对高差500m，大多数山高700~1000m，农耕地一般在海拔700m左右；县境丘陵分布在海拔380~480m之间的白衣、岳家、高峰、金龙、元坨等地，面积30万亩，占总面积的9%。地表形态为高丘地貌长条形。</w:t>
      </w:r>
    </w:p>
    <w:p>
      <w:pPr>
        <w:widowControl w:val="0"/>
        <w:ind w:firstLine="480"/>
        <w:rPr>
          <w:color w:val="auto"/>
          <w:highlight w:val="none"/>
        </w:rPr>
      </w:pPr>
      <w:r>
        <w:rPr>
          <w:rFonts w:hint="eastAsia"/>
          <w:color w:val="auto"/>
          <w:highlight w:val="none"/>
        </w:rPr>
        <w:t>本项目场地内地层主要为第四系全新统人工填土层（Q</w:t>
      </w:r>
      <w:r>
        <w:rPr>
          <w:rFonts w:hint="eastAsia"/>
          <w:color w:val="auto"/>
          <w:highlight w:val="none"/>
          <w:vertAlign w:val="subscript"/>
        </w:rPr>
        <w:t>4</w:t>
      </w:r>
      <w:r>
        <w:rPr>
          <w:rFonts w:hint="eastAsia"/>
          <w:color w:val="auto"/>
          <w:highlight w:val="none"/>
        </w:rPr>
        <w:t>me）、第四系全新统残坡积粉质粘土层（Q</w:t>
      </w:r>
      <w:r>
        <w:rPr>
          <w:rFonts w:hint="eastAsia"/>
          <w:color w:val="auto"/>
          <w:highlight w:val="none"/>
          <w:vertAlign w:val="subscript"/>
        </w:rPr>
        <w:t>4</w:t>
      </w:r>
      <w:r>
        <w:rPr>
          <w:rFonts w:hint="eastAsia"/>
          <w:color w:val="auto"/>
          <w:highlight w:val="none"/>
          <w:vertAlign w:val="superscript"/>
        </w:rPr>
        <w:t>el+d1</w:t>
      </w:r>
      <w:r>
        <w:rPr>
          <w:rFonts w:hint="eastAsia"/>
          <w:color w:val="auto"/>
          <w:highlight w:val="none"/>
        </w:rPr>
        <w:t>）、侏罗系蓬莱组下段（J</w:t>
      </w:r>
      <w:r>
        <w:rPr>
          <w:rFonts w:hint="eastAsia"/>
          <w:color w:val="auto"/>
          <w:highlight w:val="none"/>
          <w:vertAlign w:val="subscript"/>
        </w:rPr>
        <w:t>3</w:t>
      </w:r>
      <w:r>
        <w:rPr>
          <w:rFonts w:hint="eastAsia"/>
          <w:color w:val="auto"/>
          <w:highlight w:val="none"/>
          <w:vertAlign w:val="superscript"/>
        </w:rPr>
        <w:t>p1</w:t>
      </w:r>
      <w:r>
        <w:rPr>
          <w:rFonts w:hint="eastAsia"/>
          <w:color w:val="auto"/>
          <w:highlight w:val="none"/>
        </w:rPr>
        <w:t>）基岩组成。其中：</w:t>
      </w:r>
    </w:p>
    <w:p>
      <w:pPr>
        <w:widowControl w:val="0"/>
        <w:ind w:firstLine="480"/>
        <w:rPr>
          <w:color w:val="auto"/>
          <w:highlight w:val="none"/>
        </w:rPr>
      </w:pPr>
      <w:r>
        <w:rPr>
          <w:rFonts w:hint="eastAsia"/>
          <w:color w:val="auto"/>
          <w:highlight w:val="none"/>
        </w:rPr>
        <w:t>素填土（Q</w:t>
      </w:r>
      <w:r>
        <w:rPr>
          <w:rFonts w:hint="eastAsia"/>
          <w:color w:val="auto"/>
          <w:highlight w:val="none"/>
          <w:vertAlign w:val="subscript"/>
        </w:rPr>
        <w:t>4</w:t>
      </w:r>
      <w:r>
        <w:rPr>
          <w:rFonts w:hint="eastAsia"/>
          <w:color w:val="auto"/>
          <w:highlight w:val="none"/>
          <w:vertAlign w:val="superscript"/>
        </w:rPr>
        <w:t>m1</w:t>
      </w:r>
      <w:r>
        <w:rPr>
          <w:rFonts w:hint="eastAsia"/>
          <w:color w:val="auto"/>
          <w:highlight w:val="none"/>
        </w:rPr>
        <w:t>）：杂色，松散～稍密，稍湿，成分主要为粘性土、风化岩块，混大量泥岩、砂岩碎块及碎石土，主要分布于场地内中部，该层厚度、软硬不均匀，为近期人工填土，层厚0.90~9.40m。</w:t>
      </w:r>
    </w:p>
    <w:p>
      <w:pPr>
        <w:widowControl w:val="0"/>
        <w:ind w:firstLine="480"/>
        <w:rPr>
          <w:color w:val="auto"/>
          <w:highlight w:val="none"/>
        </w:rPr>
      </w:pPr>
      <w:r>
        <w:rPr>
          <w:rFonts w:hint="eastAsia"/>
          <w:color w:val="auto"/>
          <w:highlight w:val="none"/>
        </w:rPr>
        <w:t>粉质粘土（Q</w:t>
      </w:r>
      <w:r>
        <w:rPr>
          <w:rFonts w:hint="eastAsia"/>
          <w:color w:val="auto"/>
          <w:highlight w:val="none"/>
          <w:vertAlign w:val="subscript"/>
        </w:rPr>
        <w:t>4</w:t>
      </w:r>
      <w:r>
        <w:rPr>
          <w:rFonts w:hint="eastAsia"/>
          <w:color w:val="auto"/>
          <w:highlight w:val="none"/>
          <w:vertAlign w:val="superscript"/>
        </w:rPr>
        <w:t>el+dl</w:t>
      </w:r>
      <w:r>
        <w:rPr>
          <w:rFonts w:hint="eastAsia"/>
          <w:color w:val="auto"/>
          <w:highlight w:val="none"/>
        </w:rPr>
        <w:t>）：褐黄色、红褐色，稍湿，可塑状态，切面光滑，韧性中等，干强度较高，无摇震反应，含少量铁锰质氧化物，主要分布于场地内西南侧，层厚1.0~6.10m。</w:t>
      </w:r>
    </w:p>
    <w:p>
      <w:pPr>
        <w:widowControl w:val="0"/>
        <w:ind w:firstLine="480"/>
        <w:rPr>
          <w:color w:val="auto"/>
          <w:highlight w:val="none"/>
        </w:rPr>
      </w:pPr>
      <w:r>
        <w:rPr>
          <w:color w:val="auto"/>
          <w:highlight w:val="none"/>
        </w:rPr>
        <w:t>侏罗系蓬莱组下段（J</w:t>
      </w:r>
      <w:r>
        <w:rPr>
          <w:color w:val="auto"/>
          <w:highlight w:val="none"/>
          <w:vertAlign w:val="subscript"/>
        </w:rPr>
        <w:t>3</w:t>
      </w:r>
      <w:r>
        <w:rPr>
          <w:color w:val="auto"/>
          <w:highlight w:val="none"/>
          <w:vertAlign w:val="superscript"/>
        </w:rPr>
        <w:t>p1</w:t>
      </w:r>
      <w:r>
        <w:rPr>
          <w:color w:val="auto"/>
          <w:highlight w:val="none"/>
        </w:rPr>
        <w:t>）基岩：泥岩</w:t>
      </w:r>
      <w:r>
        <w:rPr>
          <w:rFonts w:hint="eastAsia"/>
          <w:color w:val="auto"/>
          <w:highlight w:val="none"/>
        </w:rPr>
        <w:t>——</w:t>
      </w:r>
      <w:r>
        <w:rPr>
          <w:color w:val="auto"/>
          <w:highlight w:val="none"/>
        </w:rPr>
        <w:t>紫红色，泥质结构，薄厚层状构造，产状平缓，矿物成分以粘土矿物为主，节理裂隙较发育，强风化岩层岩芯破碎，呈薄饼状；中风化岩层较完整</w:t>
      </w:r>
      <w:r>
        <w:rPr>
          <w:rFonts w:hint="eastAsia"/>
          <w:color w:val="auto"/>
          <w:highlight w:val="none"/>
        </w:rPr>
        <w:t>，</w:t>
      </w:r>
      <w:r>
        <w:rPr>
          <w:color w:val="auto"/>
          <w:highlight w:val="none"/>
        </w:rPr>
        <w:t>天然单轴抗压强度介于4.60~7.20Mpa之间，其平均值为5.94Mpa；饱和单轴抗压强度介于2.20~3.50Mpa之间，其平均值为2.81Mpa，属于极软岩，岩石质量指标RQD值（60~75）为较差的，岩体基本质量等级为V类。砂岩</w:t>
      </w:r>
      <w:r>
        <w:rPr>
          <w:rFonts w:hint="eastAsia"/>
          <w:color w:val="auto"/>
          <w:highlight w:val="none"/>
        </w:rPr>
        <w:t>——</w:t>
      </w:r>
      <w:r>
        <w:rPr>
          <w:color w:val="auto"/>
          <w:highlight w:val="none"/>
        </w:rPr>
        <w:t>灰褐色，砂质结构，产状平缓，巨厚层状构造，</w:t>
      </w:r>
      <w:r>
        <w:rPr>
          <w:rFonts w:hint="eastAsia"/>
          <w:color w:val="auto"/>
          <w:highlight w:val="none"/>
        </w:rPr>
        <w:t>主要成分</w:t>
      </w:r>
      <w:r>
        <w:rPr>
          <w:color w:val="auto"/>
          <w:highlight w:val="none"/>
        </w:rPr>
        <w:t>为长石、石英和岩屑等，钙质胶结，结构致密，抗风化能力较强。岩层产状231~240°∠5~8°，强风化厚度小于1.0m；中风化层呈巨厚层状，较完整，根据所取岩样测试成果，中风化砂岩其天然单轴抗压强度介于18.0~26.60Mpa之间，其平均值为22.7Mpa，饱和抗压强度介于13.3~18.7Mpa之间，其平均值为16.3Mpa，为较软岩，岩石质量指标RQD值（65~80）为较差的</w:t>
      </w:r>
      <w:r>
        <w:rPr>
          <w:rFonts w:hint="eastAsia"/>
          <w:color w:val="auto"/>
          <w:highlight w:val="none"/>
        </w:rPr>
        <w:t>～</w:t>
      </w:r>
      <w:r>
        <w:rPr>
          <w:color w:val="auto"/>
          <w:highlight w:val="none"/>
        </w:rPr>
        <w:t>较好的，质量等级为IV类</w:t>
      </w:r>
      <w:r>
        <w:rPr>
          <w:rFonts w:hint="eastAsia"/>
          <w:color w:val="auto"/>
          <w:highlight w:val="none"/>
        </w:rPr>
        <w:t>。</w:t>
      </w:r>
    </w:p>
    <w:p>
      <w:pPr>
        <w:pStyle w:val="5"/>
        <w:widowControl w:val="0"/>
        <w:ind w:firstLine="120"/>
        <w:rPr>
          <w:color w:val="auto"/>
          <w:highlight w:val="none"/>
        </w:rPr>
      </w:pPr>
      <w:r>
        <w:rPr>
          <w:rFonts w:hint="eastAsia"/>
          <w:color w:val="auto"/>
          <w:highlight w:val="none"/>
        </w:rPr>
        <w:t>气候特征与气象统计</w:t>
      </w:r>
    </w:p>
    <w:p>
      <w:pPr>
        <w:widowControl w:val="0"/>
        <w:ind w:firstLine="480"/>
        <w:rPr>
          <w:color w:val="auto"/>
          <w:highlight w:val="none"/>
        </w:rPr>
      </w:pPr>
      <w:r>
        <w:rPr>
          <w:rFonts w:hint="eastAsia"/>
          <w:color w:val="auto"/>
          <w:highlight w:val="none"/>
        </w:rPr>
        <w:t>巴中市全市年平均气温正常偏高（16.9~17.4</w:t>
      </w:r>
      <w:r>
        <w:rPr>
          <w:color w:val="auto"/>
          <w:highlight w:val="none"/>
        </w:rPr>
        <w:t>℃</w:t>
      </w:r>
      <w:r>
        <w:rPr>
          <w:rFonts w:hint="eastAsia"/>
          <w:color w:val="auto"/>
          <w:highlight w:val="none"/>
        </w:rPr>
        <w:t>），比常年偏高0.2~0.5</w:t>
      </w:r>
      <w:r>
        <w:rPr>
          <w:color w:val="auto"/>
          <w:highlight w:val="none"/>
        </w:rPr>
        <w:t>℃</w:t>
      </w:r>
      <w:r>
        <w:rPr>
          <w:rFonts w:hint="eastAsia"/>
          <w:color w:val="auto"/>
          <w:highlight w:val="none"/>
        </w:rPr>
        <w:t>。冬季平均气温6.1~6.8</w:t>
      </w:r>
      <w:r>
        <w:rPr>
          <w:color w:val="auto"/>
          <w:highlight w:val="none"/>
        </w:rPr>
        <w:t>℃</w:t>
      </w:r>
      <w:r>
        <w:rPr>
          <w:rFonts w:hint="eastAsia"/>
          <w:color w:val="auto"/>
          <w:highlight w:val="none"/>
        </w:rPr>
        <w:t>，比常年偏高1.4~1.5</w:t>
      </w:r>
      <w:r>
        <w:rPr>
          <w:color w:val="auto"/>
          <w:highlight w:val="none"/>
        </w:rPr>
        <w:t>℃</w:t>
      </w:r>
      <w:r>
        <w:rPr>
          <w:rFonts w:hint="eastAsia"/>
          <w:color w:val="auto"/>
          <w:highlight w:val="none"/>
        </w:rPr>
        <w:t>；春季平均气温17.0~17.7</w:t>
      </w:r>
      <w:r>
        <w:rPr>
          <w:color w:val="auto"/>
          <w:highlight w:val="none"/>
        </w:rPr>
        <w:t>℃</w:t>
      </w:r>
      <w:r>
        <w:rPr>
          <w:rFonts w:hint="eastAsia"/>
          <w:color w:val="auto"/>
          <w:highlight w:val="none"/>
        </w:rPr>
        <w:t>，比常年偏高0.8℃；夏季平均气温25.4~26.2</w:t>
      </w:r>
      <w:r>
        <w:rPr>
          <w:color w:val="auto"/>
          <w:highlight w:val="none"/>
        </w:rPr>
        <w:t>℃</w:t>
      </w:r>
      <w:r>
        <w:rPr>
          <w:rFonts w:hint="eastAsia"/>
          <w:color w:val="auto"/>
          <w:highlight w:val="none"/>
        </w:rPr>
        <w:t>；秋季平均气温16.1~17.6</w:t>
      </w:r>
      <w:r>
        <w:rPr>
          <w:color w:val="auto"/>
          <w:highlight w:val="none"/>
        </w:rPr>
        <w:t>℃</w:t>
      </w:r>
      <w:r>
        <w:rPr>
          <w:rFonts w:hint="eastAsia"/>
          <w:color w:val="auto"/>
          <w:highlight w:val="none"/>
        </w:rPr>
        <w:t>，属亚热带湿润季风气候，四季分明，雨量充沛，光照适宜，年降水分布不均，旱涝交替，年总雨量正常；日照正常略偏少，春旱、夏旱、伏旱相继出现，暴雨、大风、冰雹时有发生。</w:t>
      </w:r>
    </w:p>
    <w:p>
      <w:pPr>
        <w:widowControl w:val="0"/>
        <w:ind w:firstLine="480"/>
        <w:rPr>
          <w:color w:val="auto"/>
          <w:highlight w:val="none"/>
        </w:rPr>
      </w:pPr>
      <w:r>
        <w:rPr>
          <w:rFonts w:hint="eastAsia"/>
          <w:color w:val="auto"/>
          <w:highlight w:val="none"/>
        </w:rPr>
        <w:t>全市主要气象参数条件：</w:t>
      </w:r>
    </w:p>
    <w:p>
      <w:pPr>
        <w:widowControl w:val="0"/>
        <w:ind w:firstLine="480"/>
        <w:rPr>
          <w:color w:val="auto"/>
          <w:highlight w:val="none"/>
        </w:rPr>
      </w:pPr>
      <w:r>
        <w:rPr>
          <w:rFonts w:hint="eastAsia"/>
          <w:color w:val="auto"/>
          <w:highlight w:val="none"/>
        </w:rPr>
        <w:t>多年平均气温：16.9~17.4</w:t>
      </w:r>
      <w:r>
        <w:rPr>
          <w:color w:val="auto"/>
          <w:highlight w:val="none"/>
        </w:rPr>
        <w:t>℃</w:t>
      </w:r>
    </w:p>
    <w:p>
      <w:pPr>
        <w:widowControl w:val="0"/>
        <w:ind w:firstLine="480"/>
        <w:rPr>
          <w:color w:val="auto"/>
          <w:highlight w:val="none"/>
        </w:rPr>
      </w:pPr>
      <w:r>
        <w:rPr>
          <w:rFonts w:hint="eastAsia"/>
          <w:color w:val="auto"/>
          <w:highlight w:val="none"/>
        </w:rPr>
        <w:t>多年极端最高气温：40.3</w:t>
      </w:r>
      <w:r>
        <w:rPr>
          <w:color w:val="auto"/>
          <w:highlight w:val="none"/>
        </w:rPr>
        <w:t>℃</w:t>
      </w:r>
    </w:p>
    <w:p>
      <w:pPr>
        <w:widowControl w:val="0"/>
        <w:ind w:firstLine="480"/>
        <w:rPr>
          <w:color w:val="auto"/>
          <w:highlight w:val="none"/>
        </w:rPr>
      </w:pPr>
      <w:r>
        <w:rPr>
          <w:rFonts w:hint="eastAsia"/>
          <w:color w:val="auto"/>
          <w:highlight w:val="none"/>
        </w:rPr>
        <w:t>多年极端最低气温：-5.3</w:t>
      </w:r>
      <w:r>
        <w:rPr>
          <w:color w:val="auto"/>
          <w:highlight w:val="none"/>
        </w:rPr>
        <w:t>℃</w:t>
      </w:r>
    </w:p>
    <w:p>
      <w:pPr>
        <w:widowControl w:val="0"/>
        <w:ind w:firstLine="480"/>
        <w:rPr>
          <w:color w:val="auto"/>
          <w:highlight w:val="none"/>
        </w:rPr>
      </w:pPr>
      <w:r>
        <w:rPr>
          <w:rFonts w:hint="eastAsia"/>
          <w:color w:val="auto"/>
          <w:highlight w:val="none"/>
        </w:rPr>
        <w:t>平均降水量为：1104mm</w:t>
      </w:r>
    </w:p>
    <w:p>
      <w:pPr>
        <w:widowControl w:val="0"/>
        <w:ind w:firstLine="480"/>
        <w:rPr>
          <w:color w:val="auto"/>
          <w:highlight w:val="none"/>
        </w:rPr>
      </w:pPr>
      <w:r>
        <w:rPr>
          <w:rFonts w:hint="eastAsia"/>
          <w:color w:val="auto"/>
          <w:highlight w:val="none"/>
        </w:rPr>
        <w:t>降雨日数（年平均）：139天无霜期：281天。</w:t>
      </w:r>
    </w:p>
    <w:p>
      <w:pPr>
        <w:widowControl w:val="0"/>
        <w:ind w:firstLine="480"/>
        <w:rPr>
          <w:color w:val="auto"/>
          <w:highlight w:val="none"/>
        </w:rPr>
      </w:pPr>
      <w:r>
        <w:rPr>
          <w:rFonts w:hint="eastAsia"/>
          <w:color w:val="auto"/>
          <w:highlight w:val="none"/>
        </w:rPr>
        <w:t>年均雷暴日：56</w:t>
      </w:r>
    </w:p>
    <w:p>
      <w:pPr>
        <w:widowControl w:val="0"/>
        <w:ind w:firstLine="480"/>
        <w:rPr>
          <w:color w:val="auto"/>
          <w:highlight w:val="none"/>
        </w:rPr>
      </w:pPr>
      <w:r>
        <w:rPr>
          <w:rFonts w:hint="eastAsia"/>
          <w:color w:val="auto"/>
          <w:highlight w:val="none"/>
        </w:rPr>
        <w:t>天陆地蒸发量：77.284.7mm</w:t>
      </w:r>
    </w:p>
    <w:p>
      <w:pPr>
        <w:widowControl w:val="0"/>
        <w:ind w:firstLine="480"/>
        <w:rPr>
          <w:color w:val="auto"/>
          <w:highlight w:val="none"/>
        </w:rPr>
      </w:pPr>
      <w:r>
        <w:rPr>
          <w:rFonts w:hint="eastAsia"/>
          <w:color w:val="auto"/>
          <w:highlight w:val="none"/>
        </w:rPr>
        <w:t>日平均相对湿度：80%</w:t>
      </w:r>
    </w:p>
    <w:p>
      <w:pPr>
        <w:widowControl w:val="0"/>
        <w:ind w:firstLine="480"/>
        <w:rPr>
          <w:color w:val="auto"/>
          <w:highlight w:val="none"/>
        </w:rPr>
      </w:pPr>
      <w:r>
        <w:rPr>
          <w:rFonts w:hint="eastAsia"/>
          <w:color w:val="auto"/>
          <w:highlight w:val="none"/>
        </w:rPr>
        <w:t>全年平均相对湿度：77%</w:t>
      </w:r>
    </w:p>
    <w:p>
      <w:pPr>
        <w:widowControl w:val="0"/>
        <w:ind w:firstLine="480"/>
        <w:rPr>
          <w:color w:val="auto"/>
          <w:highlight w:val="none"/>
        </w:rPr>
      </w:pPr>
      <w:r>
        <w:rPr>
          <w:rFonts w:hint="eastAsia"/>
          <w:color w:val="auto"/>
          <w:highlight w:val="none"/>
        </w:rPr>
        <w:t>主导风向：常年冬季西北风常年夏季西北、东南风春秋季风向不定，但阵风偏西北风，亦有南风，年平均风速1.27m/s。</w:t>
      </w:r>
    </w:p>
    <w:p>
      <w:pPr>
        <w:pStyle w:val="5"/>
        <w:widowControl w:val="0"/>
        <w:ind w:firstLine="120"/>
        <w:rPr>
          <w:color w:val="auto"/>
          <w:highlight w:val="none"/>
        </w:rPr>
      </w:pPr>
      <w:r>
        <w:rPr>
          <w:rFonts w:hint="eastAsia"/>
          <w:color w:val="auto"/>
          <w:highlight w:val="none"/>
        </w:rPr>
        <w:t>水文地质条件</w:t>
      </w:r>
    </w:p>
    <w:p>
      <w:pPr>
        <w:widowControl w:val="0"/>
        <w:ind w:firstLine="480"/>
        <w:rPr>
          <w:color w:val="auto"/>
          <w:highlight w:val="none"/>
        </w:rPr>
      </w:pPr>
      <w:r>
        <w:rPr>
          <w:rFonts w:hint="eastAsia"/>
          <w:color w:val="auto"/>
          <w:highlight w:val="none"/>
        </w:rPr>
        <w:t>（1）地表水</w:t>
      </w:r>
    </w:p>
    <w:p>
      <w:pPr>
        <w:widowControl w:val="0"/>
        <w:ind w:firstLine="480"/>
        <w:rPr>
          <w:color w:val="auto"/>
          <w:highlight w:val="none"/>
        </w:rPr>
      </w:pPr>
      <w:r>
        <w:rPr>
          <w:color w:val="auto"/>
          <w:highlight w:val="none"/>
        </w:rPr>
        <w:t>巴中市大小河流共有1100多条，流域面积在1000km</w:t>
      </w:r>
      <w:r>
        <w:rPr>
          <w:color w:val="auto"/>
          <w:highlight w:val="none"/>
          <w:vertAlign w:val="superscript"/>
        </w:rPr>
        <w:t>2</w:t>
      </w:r>
      <w:r>
        <w:rPr>
          <w:color w:val="auto"/>
          <w:highlight w:val="none"/>
        </w:rPr>
        <w:t>以上的主要河流有巴河、南江河、恩阳河和通江河等7条，100km</w:t>
      </w:r>
      <w:r>
        <w:rPr>
          <w:color w:val="auto"/>
          <w:highlight w:val="none"/>
          <w:vertAlign w:val="superscript"/>
        </w:rPr>
        <w:t>2</w:t>
      </w:r>
      <w:r>
        <w:rPr>
          <w:color w:val="auto"/>
          <w:highlight w:val="none"/>
        </w:rPr>
        <w:t>以上的有45条，50km</w:t>
      </w:r>
      <w:r>
        <w:rPr>
          <w:color w:val="auto"/>
          <w:highlight w:val="none"/>
          <w:vertAlign w:val="superscript"/>
        </w:rPr>
        <w:t>2</w:t>
      </w:r>
      <w:r>
        <w:rPr>
          <w:color w:val="auto"/>
          <w:highlight w:val="none"/>
        </w:rPr>
        <w:t>以上的有138条，河流总长4342km，河网密度达0.33km/km</w:t>
      </w:r>
      <w:r>
        <w:rPr>
          <w:color w:val="auto"/>
          <w:highlight w:val="none"/>
          <w:vertAlign w:val="superscript"/>
        </w:rPr>
        <w:t>2</w:t>
      </w:r>
      <w:r>
        <w:rPr>
          <w:color w:val="auto"/>
          <w:highlight w:val="none"/>
        </w:rPr>
        <w:t>。河流均呈南北流向，树枝状分布，水位洪枯变幅大，部分溪河在枯水期有断流的现象。除南江县北部的焦家河属嘉陵江一级支流外，其余均属渠江水系巴河流域。巴河流域属山溪性河流，调蓄能力较小，暴雨洪水特征明显，流程短，汇流快，易形成大洪水或特大洪水，峰高量大，陡涨陡落。水位流量关系比较稳定，水位变幅大部份都在10~23m，一次洪水历时一般6~24h，峰顶历时0.1~1.5h。</w:t>
      </w:r>
    </w:p>
    <w:p>
      <w:pPr>
        <w:widowControl w:val="0"/>
        <w:ind w:firstLine="480"/>
        <w:rPr>
          <w:color w:val="auto"/>
          <w:highlight w:val="none"/>
        </w:rPr>
      </w:pPr>
      <w:r>
        <w:rPr>
          <w:color w:val="auto"/>
          <w:highlight w:val="none"/>
        </w:rPr>
        <w:t>巴中市河流主要属渠江水系，呈树枝状分布。主要有：①南江，发源于铁船山，纵贯南江县中部接纳神潭河，南至巴州区接纳恩阳河后改称巴河，折向东南再接双墩子河流入平昌县。②通江，由大通江与小通江汇合后得名，上源有于家河、肖口河等，在澌滩接澌滩河（上源为喜神河），至平昌注入巴河。</w:t>
      </w:r>
    </w:p>
    <w:p>
      <w:pPr>
        <w:widowControl w:val="0"/>
        <w:ind w:firstLine="480"/>
        <w:rPr>
          <w:color w:val="auto"/>
          <w:highlight w:val="none"/>
        </w:rPr>
      </w:pPr>
      <w:r>
        <w:rPr>
          <w:color w:val="auto"/>
          <w:highlight w:val="none"/>
        </w:rPr>
        <w:t>①巴河</w:t>
      </w:r>
    </w:p>
    <w:p>
      <w:pPr>
        <w:widowControl w:val="0"/>
        <w:ind w:firstLine="480"/>
        <w:rPr>
          <w:color w:val="auto"/>
          <w:highlight w:val="none"/>
        </w:rPr>
      </w:pPr>
      <w:r>
        <w:rPr>
          <w:color w:val="auto"/>
          <w:highlight w:val="none"/>
        </w:rPr>
        <w:t>巴河是四川省巴中市、达州市的主要河流之一，流经南江县、巴中市、平昌县、达川区、渠县境，至渠县三汇镇，注入渠江。巴河上游段在巴州区三江以上为南江河，发源于南江县玉泉乡平溪村的铁船山，横切于米仓山至大巴山的中山区海拔高程1800m，在南江县境内由东北向西南流，经玉泉、南江县城、沙河、下两、至元潭出南江县，进入巴州区境内继续南流，经枣林、在大佛寺有巴中水文站控制流域面积2732km</w:t>
      </w:r>
      <w:r>
        <w:rPr>
          <w:color w:val="auto"/>
          <w:highlight w:val="none"/>
          <w:vertAlign w:val="superscript"/>
        </w:rPr>
        <w:t>2</w:t>
      </w:r>
      <w:r>
        <w:rPr>
          <w:color w:val="auto"/>
          <w:highlight w:val="none"/>
        </w:rPr>
        <w:t>，多年平均流量61.1m</w:t>
      </w:r>
      <w:r>
        <w:rPr>
          <w:color w:val="auto"/>
          <w:highlight w:val="none"/>
          <w:vertAlign w:val="superscript"/>
        </w:rPr>
        <w:t>3</w:t>
      </w:r>
      <w:r>
        <w:rPr>
          <w:color w:val="auto"/>
          <w:highlight w:val="none"/>
        </w:rPr>
        <w:t>/s，最大实测洪峰流量10700m</w:t>
      </w:r>
      <w:r>
        <w:rPr>
          <w:color w:val="auto"/>
          <w:highlight w:val="none"/>
          <w:vertAlign w:val="superscript"/>
        </w:rPr>
        <w:t>3</w:t>
      </w:r>
      <w:r>
        <w:rPr>
          <w:color w:val="auto"/>
          <w:highlight w:val="none"/>
        </w:rPr>
        <w:t>/s，折东过巴中市城区北，曲折南至三江口水文站，以上流域面积2880km</w:t>
      </w:r>
      <w:r>
        <w:rPr>
          <w:color w:val="auto"/>
          <w:highlight w:val="none"/>
          <w:vertAlign w:val="superscript"/>
        </w:rPr>
        <w:t>2</w:t>
      </w:r>
      <w:r>
        <w:rPr>
          <w:color w:val="auto"/>
          <w:highlight w:val="none"/>
        </w:rPr>
        <w:t>。巴州镇至三江镇，右纳恩阳河后，南过福星乡，有苏家潭水文站控制流域面积1216km</w:t>
      </w:r>
      <w:r>
        <w:rPr>
          <w:color w:val="auto"/>
          <w:highlight w:val="none"/>
          <w:vertAlign w:val="superscript"/>
        </w:rPr>
        <w:t>2</w:t>
      </w:r>
      <w:r>
        <w:rPr>
          <w:color w:val="auto"/>
          <w:highlight w:val="none"/>
        </w:rPr>
        <w:t>，多年平均流量2701m</w:t>
      </w:r>
      <w:r>
        <w:rPr>
          <w:color w:val="auto"/>
          <w:highlight w:val="none"/>
          <w:vertAlign w:val="superscript"/>
        </w:rPr>
        <w:t>3</w:t>
      </w:r>
      <w:r>
        <w:rPr>
          <w:color w:val="auto"/>
          <w:highlight w:val="none"/>
        </w:rPr>
        <w:t>/s，最大实测洪峰流量6780m</w:t>
      </w:r>
      <w:r>
        <w:rPr>
          <w:color w:val="auto"/>
          <w:highlight w:val="none"/>
          <w:vertAlign w:val="superscript"/>
        </w:rPr>
        <w:t>3</w:t>
      </w:r>
      <w:r>
        <w:rPr>
          <w:color w:val="auto"/>
          <w:highlight w:val="none"/>
        </w:rPr>
        <w:t>/s，河长137km，流域面积3404km</w:t>
      </w:r>
      <w:r>
        <w:rPr>
          <w:color w:val="auto"/>
          <w:highlight w:val="none"/>
          <w:vertAlign w:val="superscript"/>
        </w:rPr>
        <w:t>2</w:t>
      </w:r>
      <w:r>
        <w:rPr>
          <w:color w:val="auto"/>
          <w:highlight w:val="none"/>
        </w:rPr>
        <w:t>。河口流量43.2m</w:t>
      </w:r>
      <w:r>
        <w:rPr>
          <w:color w:val="auto"/>
          <w:highlight w:val="none"/>
          <w:vertAlign w:val="superscript"/>
        </w:rPr>
        <w:t>3</w:t>
      </w:r>
      <w:r>
        <w:rPr>
          <w:color w:val="auto"/>
          <w:highlight w:val="none"/>
        </w:rPr>
        <w:t>/s。曲折东南过石城至三江镇汇入巴河，东南流到梁永，折向北东流，至曾口镇复折向东南流，过金碑乡而入平昌县境，过澌岸乡而至群英。七里沱水文站控制流域面积6382km</w:t>
      </w:r>
      <w:r>
        <w:rPr>
          <w:color w:val="auto"/>
          <w:highlight w:val="none"/>
          <w:vertAlign w:val="superscript"/>
        </w:rPr>
        <w:t>2</w:t>
      </w:r>
      <w:r>
        <w:rPr>
          <w:color w:val="auto"/>
          <w:highlight w:val="none"/>
        </w:rPr>
        <w:t>，多年平均流量108m</w:t>
      </w:r>
      <w:r>
        <w:rPr>
          <w:color w:val="auto"/>
          <w:highlight w:val="none"/>
          <w:vertAlign w:val="superscript"/>
        </w:rPr>
        <w:t>3</w:t>
      </w:r>
      <w:r>
        <w:rPr>
          <w:color w:val="auto"/>
          <w:highlight w:val="none"/>
        </w:rPr>
        <w:t>/s，查得1770年7月洪峰流量19200m</w:t>
      </w:r>
      <w:r>
        <w:rPr>
          <w:color w:val="auto"/>
          <w:highlight w:val="none"/>
          <w:vertAlign w:val="superscript"/>
        </w:rPr>
        <w:t>3</w:t>
      </w:r>
      <w:r>
        <w:rPr>
          <w:color w:val="auto"/>
          <w:highlight w:val="none"/>
        </w:rPr>
        <w:t>/s，过站南偏东流；七里沱水文站多年平均流量为108m</w:t>
      </w:r>
      <w:r>
        <w:rPr>
          <w:color w:val="auto"/>
          <w:highlight w:val="none"/>
          <w:vertAlign w:val="superscript"/>
        </w:rPr>
        <w:t>3</w:t>
      </w:r>
      <w:r>
        <w:rPr>
          <w:color w:val="auto"/>
          <w:highlight w:val="none"/>
        </w:rPr>
        <w:t>/s，径流量34.1亿m</w:t>
      </w:r>
      <w:r>
        <w:rPr>
          <w:color w:val="auto"/>
          <w:highlight w:val="none"/>
          <w:vertAlign w:val="superscript"/>
        </w:rPr>
        <w:t>3</w:t>
      </w:r>
      <w:r>
        <w:rPr>
          <w:color w:val="auto"/>
          <w:highlight w:val="none"/>
        </w:rPr>
        <w:t>，径流深534.3mm；河道平均坡降2.02‰，近十年枯水期平均流量22.4m</w:t>
      </w:r>
      <w:r>
        <w:rPr>
          <w:color w:val="auto"/>
          <w:highlight w:val="none"/>
          <w:vertAlign w:val="superscript"/>
        </w:rPr>
        <w:t>3</w:t>
      </w:r>
      <w:r>
        <w:rPr>
          <w:color w:val="auto"/>
          <w:highlight w:val="none"/>
        </w:rPr>
        <w:t>/s。巴河流域属山溪性河流，调蓄能力较小，暴雨洪水特征明显，流程短，汇流快，易形成大洪水或特大洪水，峰高量大，陡涨陡落。水位流量关系比较稳定，水位变幅大部份都在10～23m，一次洪水历时一般6～24h，峰顶历时0.1～1.5h。</w:t>
      </w:r>
    </w:p>
    <w:p>
      <w:pPr>
        <w:widowControl w:val="0"/>
        <w:ind w:firstLine="480"/>
        <w:rPr>
          <w:rFonts w:ascii="宋体" w:hAnsi="宋体" w:cs="宋体"/>
          <w:color w:val="auto"/>
          <w:szCs w:val="24"/>
          <w:highlight w:val="none"/>
        </w:rPr>
      </w:pPr>
      <w:r>
        <w:rPr>
          <w:rFonts w:ascii="宋体" w:hAnsi="宋体" w:cs="宋体"/>
          <w:color w:val="auto"/>
          <w:szCs w:val="24"/>
          <w:highlight w:val="none"/>
        </w:rPr>
        <w:t>②通河</w:t>
      </w:r>
    </w:p>
    <w:p>
      <w:pPr>
        <w:widowControl w:val="0"/>
        <w:ind w:firstLine="480"/>
        <w:rPr>
          <w:color w:val="auto"/>
          <w:highlight w:val="none"/>
        </w:rPr>
      </w:pPr>
      <w:r>
        <w:rPr>
          <w:color w:val="auto"/>
          <w:highlight w:val="none"/>
        </w:rPr>
        <w:t>通河，源于陕西省汉中市广家店乡长梁，从通江县爱国乡入境，进入澌滩乡，经云台、元山、江口镇等汇入巴河，境内河道长43.8km，流域面积8958km</w:t>
      </w:r>
      <w:r>
        <w:rPr>
          <w:color w:val="auto"/>
          <w:highlight w:val="none"/>
          <w:vertAlign w:val="superscript"/>
        </w:rPr>
        <w:t>2</w:t>
      </w:r>
      <w:r>
        <w:rPr>
          <w:color w:val="auto"/>
          <w:highlight w:val="none"/>
        </w:rPr>
        <w:t>。</w:t>
      </w:r>
    </w:p>
    <w:p>
      <w:pPr>
        <w:widowControl w:val="0"/>
        <w:ind w:firstLine="480"/>
        <w:rPr>
          <w:color w:val="auto"/>
          <w:highlight w:val="none"/>
        </w:rPr>
      </w:pPr>
      <w:r>
        <w:rPr>
          <w:color w:val="auto"/>
          <w:highlight w:val="none"/>
        </w:rPr>
        <w:t>③</w:t>
      </w:r>
      <w:r>
        <w:rPr>
          <w:rFonts w:hint="eastAsia"/>
          <w:color w:val="auto"/>
          <w:highlight w:val="none"/>
        </w:rPr>
        <w:t>濛溪河</w:t>
      </w:r>
    </w:p>
    <w:p>
      <w:pPr>
        <w:widowControl w:val="0"/>
        <w:ind w:firstLine="480"/>
        <w:rPr>
          <w:color w:val="auto"/>
          <w:highlight w:val="none"/>
        </w:rPr>
      </w:pPr>
      <w:r>
        <w:rPr>
          <w:color w:val="auto"/>
          <w:highlight w:val="none"/>
        </w:rPr>
        <w:t>渠江</w:t>
      </w:r>
      <w:r>
        <w:rPr>
          <w:rFonts w:hint="eastAsia"/>
          <w:color w:val="auto"/>
          <w:highlight w:val="none"/>
        </w:rPr>
        <w:t>（</w:t>
      </w:r>
      <w:r>
        <w:rPr>
          <w:color w:val="auto"/>
          <w:highlight w:val="none"/>
        </w:rPr>
        <w:t>巴河</w:t>
      </w:r>
      <w:r>
        <w:rPr>
          <w:rFonts w:hint="eastAsia"/>
          <w:color w:val="auto"/>
          <w:highlight w:val="none"/>
        </w:rPr>
        <w:t>）</w:t>
      </w:r>
      <w:r>
        <w:rPr>
          <w:color w:val="auto"/>
          <w:highlight w:val="none"/>
        </w:rPr>
        <w:t>一级支流，发源于巴中县夙溪乡龙神殿，在巴中县东南角曲折而流，经夙溪乡，于侯家岭花果山出巴中县境入平昌县境继续东南流，至南夙县的玉峰村左纳龙洞沟，至响滩镇右纳板桥河，至高峰主纳岳家寺河，至夙凰村右纳涵水溪，于白衣乡大河咀注入巴河。干流河长68.5km，其中巴中县境内河段长20.9km，被该县水利电力志称为夙溪河，平昌县境内河段长47.6km，被该县水利电力志称为</w:t>
      </w:r>
      <w:r>
        <w:rPr>
          <w:rFonts w:hint="eastAsia"/>
          <w:color w:val="auto"/>
          <w:highlight w:val="none"/>
        </w:rPr>
        <w:t>濛溪河</w:t>
      </w:r>
      <w:r>
        <w:rPr>
          <w:color w:val="auto"/>
          <w:highlight w:val="none"/>
        </w:rPr>
        <w:t>，在《四川省地图集》上标为响滩河。河道平均比降1.2%，全流域面积941km。</w:t>
      </w:r>
    </w:p>
    <w:p>
      <w:pPr>
        <w:widowControl w:val="0"/>
        <w:ind w:firstLine="480"/>
        <w:rPr>
          <w:color w:val="auto"/>
          <w:highlight w:val="none"/>
        </w:rPr>
      </w:pPr>
      <w:r>
        <w:rPr>
          <w:color w:val="auto"/>
          <w:highlight w:val="none"/>
        </w:rPr>
        <w:t>地下水：本项目所在区域地下水类型按储存方式分为基岩裂隙水和松散层孔隙潜水。松散层孔隙潜水主要赋存于上部素填土、残坡积粉质粘土岩层中，其富水性弱，对工程的影响甚微。</w:t>
      </w:r>
    </w:p>
    <w:p>
      <w:pPr>
        <w:widowControl w:val="0"/>
        <w:ind w:firstLine="480"/>
        <w:rPr>
          <w:color w:val="auto"/>
          <w:highlight w:val="none"/>
        </w:rPr>
      </w:pPr>
      <w:r>
        <w:rPr>
          <w:rFonts w:hint="eastAsia"/>
          <w:color w:val="auto"/>
          <w:highlight w:val="none"/>
        </w:rPr>
        <w:t>④</w:t>
      </w:r>
      <w:r>
        <w:rPr>
          <w:color w:val="auto"/>
          <w:highlight w:val="none"/>
        </w:rPr>
        <w:t>平昌河</w:t>
      </w:r>
    </w:p>
    <w:p>
      <w:pPr>
        <w:widowControl w:val="0"/>
        <w:ind w:firstLine="480"/>
        <w:rPr>
          <w:color w:val="auto"/>
          <w:highlight w:val="none"/>
        </w:rPr>
      </w:pPr>
      <w:r>
        <w:rPr>
          <w:color w:val="auto"/>
          <w:highlight w:val="none"/>
        </w:rPr>
        <w:t>平昌河为区内主要河流，纵贯县境中部，发源于玉泉乡九根树，流经关坝、上两、沙滩、桥亭、碾盘、平昌镇、小河、石矿、沙河、赤溪、下两、凉水、元潭等乡入巴河。县内流域面积2347.4km</w:t>
      </w:r>
      <w:r>
        <w:rPr>
          <w:color w:val="auto"/>
          <w:highlight w:val="none"/>
          <w:vertAlign w:val="superscript"/>
        </w:rPr>
        <w:t>2</w:t>
      </w:r>
      <w:r>
        <w:rPr>
          <w:color w:val="auto"/>
          <w:highlight w:val="none"/>
        </w:rPr>
        <w:t>，县内河道长121.7km，在平昌县出口处多。年平均径流量为17.1×10</w:t>
      </w:r>
      <w:r>
        <w:rPr>
          <w:color w:val="auto"/>
          <w:highlight w:val="none"/>
          <w:vertAlign w:val="superscript"/>
        </w:rPr>
        <w:t>8</w:t>
      </w:r>
      <w:r>
        <w:rPr>
          <w:color w:val="auto"/>
          <w:highlight w:val="none"/>
        </w:rPr>
        <w:t>m</w:t>
      </w:r>
      <w:r>
        <w:rPr>
          <w:color w:val="auto"/>
          <w:highlight w:val="none"/>
          <w:vertAlign w:val="superscript"/>
        </w:rPr>
        <w:t>3</w:t>
      </w:r>
      <w:r>
        <w:rPr>
          <w:color w:val="auto"/>
          <w:highlight w:val="none"/>
        </w:rPr>
        <w:t>，天然落差134600m，河道比降11.0‰。平昌河最大支流赶场河（明月江），发源于铁船山南麓木竹垭，经沙坝、西清、新立、旭光、赶场、关路、兴马、大河、石滩、高桥、在下两河口，注入平昌河。正直河（木门河）：正直河位于县境西部，从东凡入县境，经和平、九顶、正直、凤仪流入巴中三汇（三江口）。县内流域面积416.8km</w:t>
      </w:r>
      <w:r>
        <w:rPr>
          <w:color w:val="auto"/>
          <w:highlight w:val="none"/>
          <w:vertAlign w:val="superscript"/>
        </w:rPr>
        <w:t>2</w:t>
      </w:r>
      <w:r>
        <w:rPr>
          <w:color w:val="auto"/>
          <w:highlight w:val="none"/>
        </w:rPr>
        <w:t>，境内河道长38.3km。多年年平均径流量7.2×10</w:t>
      </w:r>
      <w:r>
        <w:rPr>
          <w:color w:val="auto"/>
          <w:highlight w:val="none"/>
          <w:vertAlign w:val="superscript"/>
        </w:rPr>
        <w:t>8</w:t>
      </w:r>
      <w:r>
        <w:rPr>
          <w:color w:val="auto"/>
          <w:highlight w:val="none"/>
        </w:rPr>
        <w:t>m</w:t>
      </w:r>
      <w:r>
        <w:rPr>
          <w:color w:val="auto"/>
          <w:highlight w:val="none"/>
          <w:vertAlign w:val="superscript"/>
        </w:rPr>
        <w:t>3</w:t>
      </w:r>
      <w:r>
        <w:rPr>
          <w:color w:val="auto"/>
          <w:highlight w:val="none"/>
        </w:rPr>
        <w:t>。天然落差47.60m。河道比降1.2‰。焦家河：焦家河位于县境北部，发源子米仓山南的戴家河。由东向西，流经大坝、桃园，在槐树乡出县境。县境内流域面积402.2km</w:t>
      </w:r>
      <w:r>
        <w:rPr>
          <w:color w:val="auto"/>
          <w:highlight w:val="none"/>
          <w:vertAlign w:val="superscript"/>
        </w:rPr>
        <w:t>2</w:t>
      </w:r>
      <w:r>
        <w:rPr>
          <w:color w:val="auto"/>
          <w:highlight w:val="none"/>
        </w:rPr>
        <w:t>，河道长53.2km，多年年平均径流量3.9×10</w:t>
      </w:r>
      <w:r>
        <w:rPr>
          <w:color w:val="auto"/>
          <w:highlight w:val="none"/>
          <w:vertAlign w:val="superscript"/>
        </w:rPr>
        <w:t>8</w:t>
      </w:r>
      <w:r>
        <w:rPr>
          <w:color w:val="auto"/>
          <w:highlight w:val="none"/>
        </w:rPr>
        <w:t>m</w:t>
      </w:r>
      <w:r>
        <w:rPr>
          <w:color w:val="auto"/>
          <w:highlight w:val="none"/>
          <w:vertAlign w:val="superscript"/>
        </w:rPr>
        <w:t>3</w:t>
      </w:r>
      <w:r>
        <w:rPr>
          <w:color w:val="auto"/>
          <w:highlight w:val="none"/>
        </w:rPr>
        <w:t>，天然落差960m，河道比降18.1‰境内河流谷地较狭窄，曲流、沙滩、阶地较发育。河流发育常诱发地质灾害产生，水系活动一方面改造平昌县地形地貌，一方面改变地下水赋存状态，导致斜坡岩土体失稳破坏。县域内沟谷普遍深狭而紧窄，依据流向由北向南或南西向，河谷具有深、窄、陡至浅、宽、缓，河网密度由密至疏，河流岸坡较陡峭，河间地狭长单薄的变化趋势.主干河流沿岸为人口分布相对集中区域，由于沟谷侵蚀、人类工程活动的影响等</w:t>
      </w:r>
      <w:r>
        <w:rPr>
          <w:rFonts w:hint="eastAsia"/>
          <w:color w:val="auto"/>
          <w:highlight w:val="none"/>
        </w:rPr>
        <w:t>因素</w:t>
      </w:r>
      <w:r>
        <w:rPr>
          <w:color w:val="auto"/>
          <w:highlight w:val="none"/>
        </w:rPr>
        <w:t>，是崩塌、滑坡等地质天善的易发区。</w:t>
      </w:r>
    </w:p>
    <w:p>
      <w:pPr>
        <w:widowControl w:val="0"/>
        <w:ind w:firstLine="480"/>
        <w:rPr>
          <w:color w:val="auto"/>
          <w:highlight w:val="none"/>
        </w:rPr>
      </w:pPr>
      <w:r>
        <w:rPr>
          <w:rFonts w:hint="eastAsia"/>
          <w:color w:val="auto"/>
          <w:highlight w:val="none"/>
        </w:rPr>
        <w:t>（2）</w:t>
      </w:r>
      <w:r>
        <w:rPr>
          <w:color w:val="auto"/>
          <w:highlight w:val="none"/>
        </w:rPr>
        <w:t>地下水</w:t>
      </w:r>
    </w:p>
    <w:p>
      <w:pPr>
        <w:widowControl w:val="0"/>
        <w:ind w:firstLine="480"/>
        <w:rPr>
          <w:color w:val="auto"/>
          <w:highlight w:val="none"/>
        </w:rPr>
      </w:pPr>
      <w:r>
        <w:rPr>
          <w:color w:val="auto"/>
          <w:highlight w:val="none"/>
        </w:rPr>
        <w:t>巴中市处于川北红层，构造平缓，岩层倾角大都在5度以下。地貌为低山—丘陵地形。由于大气环流的改变和人为因素的影响，年降雨总量逐渐下降，而蒸发量却在不断地增加。上述种种自然条件，不利于地下水的形成和富集。巴中市分布有松散层孔隙水、碎屑岩孔隙裂隙水（层间水）和基岩裂隙水（包括构造裂隙水和风化网状裂隙水）三大类型，以基岩裂隙水为主。70%的泉点出露在砂岩或泥质粉砂岩的底部或泥岩的顶面，钻孔也多是砂岩顶部（面）发现水位上升或涌水，可见砂岩是主要的含水层。以此为基础，在裂隙较多的低端，地形低洼，有利于降雨渗入补给、汇集时，将促进地下水的进一步富集。</w:t>
      </w:r>
    </w:p>
    <w:p>
      <w:pPr>
        <w:widowControl w:val="0"/>
        <w:ind w:firstLine="480"/>
        <w:rPr>
          <w:color w:val="auto"/>
          <w:highlight w:val="none"/>
        </w:rPr>
      </w:pPr>
      <w:r>
        <w:rPr>
          <w:color w:val="auto"/>
          <w:highlight w:val="none"/>
        </w:rPr>
        <w:t>1）松散层孔隙水（Q）分布在河谷两岸各阶地，由全新统和更新统冲积层组成。岩性由三层组成，自上向下为亚粘土（7~9米）、砂（2~7米）及砂砾卵石层（10~15米）。地下水赋存于砂、砂砾卵石层的孔隙中，水位埋深在中段（转弯处）为4.5~6.9米，两端1~3米。在沟边有泉水出露，以潜水为主。中段水位超过砂层顶板，使局部具有承压性。巴河一级阶地面积更小，冲积层（Q4）厚度薄，为含泥质砂砾石层，地下水赋存条件较差。更新统冲积层一般不具备双层结构，上部粘土和亚粘土透水性很差，影响地下水的补给和赋存。全新统冲积砂砾卵石层（Q4</w:t>
      </w:r>
      <w:r>
        <w:rPr>
          <w:color w:val="auto"/>
          <w:highlight w:val="none"/>
          <w:vertAlign w:val="superscript"/>
        </w:rPr>
        <w:t>al</w:t>
      </w:r>
      <w:r>
        <w:rPr>
          <w:color w:val="auto"/>
          <w:highlight w:val="none"/>
        </w:rPr>
        <w:t>），构成一级阶地及河漫滩，富水量中等，单井涌水量100~500吨/日；在各河流更新世堆积的粘土、亚粘土及砂砾卵石层（Q3</w:t>
      </w:r>
      <w:r>
        <w:rPr>
          <w:color w:val="auto"/>
          <w:highlight w:val="none"/>
          <w:vertAlign w:val="superscript"/>
        </w:rPr>
        <w:t>al</w:t>
      </w:r>
      <w:r>
        <w:rPr>
          <w:color w:val="auto"/>
          <w:highlight w:val="none"/>
        </w:rPr>
        <w:t>），构成二、三级阶地，以及巴河一级阶地全新统砂砾卵石层（Q4</w:t>
      </w:r>
      <w:r>
        <w:rPr>
          <w:color w:val="auto"/>
          <w:highlight w:val="none"/>
          <w:vertAlign w:val="superscript"/>
        </w:rPr>
        <w:t>al</w:t>
      </w:r>
      <w:r>
        <w:rPr>
          <w:color w:val="auto"/>
          <w:highlight w:val="none"/>
        </w:rPr>
        <w:t>）含泥质重，富水性差，只在堆积层底部近基座面上有泉水出露，单井涌水量10~100吨/日。中心城区的巴州城、曾口、恩阳均位于巴河流域两侧，地下水具有松散层孔隙水的特征。</w:t>
      </w:r>
    </w:p>
    <w:p>
      <w:pPr>
        <w:widowControl w:val="0"/>
        <w:ind w:firstLine="480"/>
        <w:rPr>
          <w:color w:val="auto"/>
          <w:highlight w:val="none"/>
        </w:rPr>
      </w:pPr>
      <w:r>
        <w:rPr>
          <w:color w:val="auto"/>
          <w:highlight w:val="none"/>
        </w:rPr>
        <w:t>2）碎屑层孔隙裂隙水（K1b、K1c、J3P</w:t>
      </w:r>
      <w:r>
        <w:rPr>
          <w:color w:val="auto"/>
          <w:highlight w:val="none"/>
          <w:vertAlign w:val="superscript"/>
        </w:rPr>
        <w:t>2</w:t>
      </w:r>
      <w:r>
        <w:rPr>
          <w:color w:val="auto"/>
          <w:highlight w:val="none"/>
        </w:rPr>
        <w:t>、J3P</w:t>
      </w:r>
      <w:r>
        <w:rPr>
          <w:color w:val="auto"/>
          <w:highlight w:val="none"/>
          <w:vertAlign w:val="superscript"/>
        </w:rPr>
        <w:t>1</w:t>
      </w:r>
      <w:r>
        <w:rPr>
          <w:color w:val="auto"/>
          <w:highlight w:val="none"/>
        </w:rPr>
        <w:t>）地下水赋存部位可分为全层储水和层间储水。前者高角度构造裂隙发育，连通性好；后者则主要是平缓的层面裂隙。</w:t>
      </w:r>
    </w:p>
    <w:p>
      <w:pPr>
        <w:widowControl w:val="0"/>
        <w:ind w:firstLine="480"/>
        <w:rPr>
          <w:color w:val="auto"/>
          <w:highlight w:val="none"/>
        </w:rPr>
      </w:pPr>
      <w:r>
        <w:rPr>
          <w:color w:val="auto"/>
          <w:highlight w:val="none"/>
        </w:rPr>
        <w:t>①化成—兴文一带为南阳背斜的南翼及巴中向斜构造区，翼部倾角10~30度，含水层为蓬莱镇组上段（J3P</w:t>
      </w:r>
      <w:r>
        <w:rPr>
          <w:color w:val="auto"/>
          <w:highlight w:val="none"/>
          <w:vertAlign w:val="superscript"/>
        </w:rPr>
        <w:t>2</w:t>
      </w:r>
      <w:r>
        <w:rPr>
          <w:color w:val="auto"/>
          <w:highlight w:val="none"/>
        </w:rPr>
        <w:t>）和苍溪组（K1c）、白龙组（K1b）的砂岩层。砂岩层厚20~40米，裂隙率</w:t>
      </w:r>
      <w:r>
        <w:rPr>
          <w:rFonts w:hint="eastAsia"/>
          <w:color w:val="auto"/>
          <w:highlight w:val="none"/>
        </w:rPr>
        <w:t>1%~5%</w:t>
      </w:r>
      <w:r>
        <w:rPr>
          <w:color w:val="auto"/>
          <w:highlight w:val="none"/>
        </w:rPr>
        <w:t>。地下水赋存于砂岩、泥质粉砂岩中，含水层顶板埋深20~80米，水位埋深1~5米。化成</w:t>
      </w:r>
      <w:r>
        <w:rPr>
          <w:rFonts w:hint="eastAsia"/>
          <w:color w:val="auto"/>
          <w:highlight w:val="none"/>
        </w:rPr>
        <w:t>－</w:t>
      </w:r>
      <w:r>
        <w:rPr>
          <w:color w:val="auto"/>
          <w:highlight w:val="none"/>
        </w:rPr>
        <w:t>梓潼庙一带，此区上层构造裂隙水比较丰富，泉流量大于0.1升/秒，钻孔涌水量186~485吨/天；巴中</w:t>
      </w:r>
      <w:r>
        <w:rPr>
          <w:rFonts w:hint="eastAsia"/>
          <w:color w:val="auto"/>
          <w:highlight w:val="none"/>
        </w:rPr>
        <w:t>－</w:t>
      </w:r>
      <w:r>
        <w:rPr>
          <w:color w:val="auto"/>
          <w:highlight w:val="none"/>
        </w:rPr>
        <w:t>兴文一带，单孔涌水量在10~100吨/日。</w:t>
      </w:r>
    </w:p>
    <w:p>
      <w:pPr>
        <w:widowControl w:val="0"/>
        <w:ind w:firstLine="480"/>
        <w:rPr>
          <w:color w:val="auto"/>
          <w:highlight w:val="none"/>
        </w:rPr>
      </w:pPr>
      <w:r>
        <w:rPr>
          <w:color w:val="auto"/>
          <w:highlight w:val="none"/>
        </w:rPr>
        <w:t>②仪陇—观音井一带受仪陇背斜和恩阳向斜西段控制，倾角2~10度。地层为蓬莱镇组（J3P）和苍溪组（K3c）。砂岩含水厚10~50米，裂隙率0.5~4%。地下水赋存于砂岩、泥质粉砂岩的孔隙裂隙中，含水层顶板埋深5~40米，水位埋深5米以上，个别孔自流。水头高出地面1~3米，承压高度5~40米。在该区带，20~30米以下，常常可以遇到承压水，在50米</w:t>
      </w:r>
      <w:r>
        <w:rPr>
          <w:rFonts w:hint="eastAsia"/>
          <w:color w:val="auto"/>
          <w:highlight w:val="none"/>
        </w:rPr>
        <w:t>～</w:t>
      </w:r>
      <w:r>
        <w:rPr>
          <w:color w:val="auto"/>
          <w:highlight w:val="none"/>
        </w:rPr>
        <w:t>60米以下，几乎具有普遍性，但水量很小。</w:t>
      </w:r>
    </w:p>
    <w:p>
      <w:pPr>
        <w:widowControl w:val="0"/>
        <w:ind w:firstLine="480"/>
        <w:rPr>
          <w:color w:val="auto"/>
          <w:highlight w:val="none"/>
        </w:rPr>
      </w:pPr>
      <w:r>
        <w:rPr>
          <w:color w:val="auto"/>
          <w:highlight w:val="none"/>
        </w:rPr>
        <w:t>3）基岩裂隙水—构造裂隙水（K1q、K1b、K1c、J3P</w:t>
      </w:r>
      <w:r>
        <w:rPr>
          <w:color w:val="auto"/>
          <w:highlight w:val="none"/>
          <w:vertAlign w:val="superscript"/>
        </w:rPr>
        <w:t>2</w:t>
      </w:r>
      <w:r>
        <w:rPr>
          <w:color w:val="auto"/>
          <w:highlight w:val="none"/>
        </w:rPr>
        <w:t>、J3P</w:t>
      </w:r>
      <w:r>
        <w:rPr>
          <w:color w:val="auto"/>
          <w:highlight w:val="none"/>
          <w:vertAlign w:val="superscript"/>
        </w:rPr>
        <w:t>1</w:t>
      </w:r>
      <w:r>
        <w:rPr>
          <w:color w:val="auto"/>
          <w:highlight w:val="none"/>
        </w:rPr>
        <w:t>）</w:t>
      </w:r>
    </w:p>
    <w:p>
      <w:pPr>
        <w:widowControl w:val="0"/>
        <w:ind w:firstLine="480"/>
        <w:rPr>
          <w:color w:val="auto"/>
          <w:highlight w:val="none"/>
        </w:rPr>
      </w:pPr>
      <w:r>
        <w:rPr>
          <w:color w:val="auto"/>
          <w:highlight w:val="none"/>
        </w:rPr>
        <w:t>包括除遂宁组以外的侏罗系和白垩系各个层组。都以砂岩作为主要含水层，砂岩中出露的泉水最多，流量最大；泥岩中的水点只占11~21%，而且大部分水点流量在0.05升/秒以下。</w:t>
      </w:r>
    </w:p>
    <w:p>
      <w:pPr>
        <w:widowControl w:val="0"/>
        <w:ind w:firstLine="480"/>
        <w:rPr>
          <w:color w:val="auto"/>
          <w:highlight w:val="none"/>
        </w:rPr>
      </w:pPr>
      <w:r>
        <w:rPr>
          <w:color w:val="auto"/>
          <w:highlight w:val="none"/>
        </w:rPr>
        <w:t>构造裂隙水属于浅层地下水，依附于砂岩层的分布与埋藏条件。在侵蚀基准面以上的泉水，大都是在各个含水砂岩层的底部出露，一般与上、下砂岩层之间没有水力联系，可把每层砂岩视为一个独立的含水岩体。偶尔当层间泥岩层薄时，上一层砂岩中的水穿过泥岩风化层，在下一层砂岩中出露。故地下水的埋藏深度受各层砂岩的厚度及地形微地貌控制，一般5~15米。谷底水位一般都很浅，潜水水位埋深多在1~5米以内，与附近河水有一定关系。</w:t>
      </w:r>
    </w:p>
    <w:p>
      <w:pPr>
        <w:widowControl w:val="0"/>
        <w:ind w:firstLine="480"/>
        <w:rPr>
          <w:color w:val="auto"/>
          <w:highlight w:val="none"/>
        </w:rPr>
      </w:pPr>
      <w:r>
        <w:rPr>
          <w:rFonts w:hint="eastAsia"/>
          <w:color w:val="auto"/>
          <w:highlight w:val="none"/>
        </w:rPr>
        <w:t>3）</w:t>
      </w:r>
      <w:r>
        <w:rPr>
          <w:color w:val="auto"/>
          <w:highlight w:val="none"/>
        </w:rPr>
        <w:t>基岩裂隙水—风化网状裂隙水（J3P</w:t>
      </w:r>
      <w:r>
        <w:rPr>
          <w:color w:val="auto"/>
          <w:highlight w:val="none"/>
          <w:vertAlign w:val="superscript"/>
        </w:rPr>
        <w:t>2</w:t>
      </w:r>
      <w:r>
        <w:rPr>
          <w:color w:val="auto"/>
          <w:highlight w:val="none"/>
        </w:rPr>
        <w:t>、J3P</w:t>
      </w:r>
      <w:r>
        <w:rPr>
          <w:color w:val="auto"/>
          <w:highlight w:val="none"/>
          <w:vertAlign w:val="superscript"/>
        </w:rPr>
        <w:t>1</w:t>
      </w:r>
      <w:r>
        <w:rPr>
          <w:color w:val="auto"/>
          <w:highlight w:val="none"/>
        </w:rPr>
        <w:t>、J3s）</w:t>
      </w:r>
    </w:p>
    <w:p>
      <w:pPr>
        <w:widowControl w:val="0"/>
        <w:ind w:firstLine="480"/>
        <w:rPr>
          <w:color w:val="auto"/>
          <w:highlight w:val="none"/>
        </w:rPr>
      </w:pPr>
      <w:r>
        <w:rPr>
          <w:color w:val="auto"/>
          <w:highlight w:val="none"/>
        </w:rPr>
        <w:t>主要分布蓬莱镇组上段（J3P</w:t>
      </w:r>
      <w:r>
        <w:rPr>
          <w:color w:val="auto"/>
          <w:highlight w:val="none"/>
          <w:vertAlign w:val="superscript"/>
        </w:rPr>
        <w:t>2</w:t>
      </w:r>
      <w:r>
        <w:rPr>
          <w:color w:val="auto"/>
          <w:highlight w:val="none"/>
        </w:rPr>
        <w:t>）和少部分下段（J3P</w:t>
      </w:r>
      <w:r>
        <w:rPr>
          <w:color w:val="auto"/>
          <w:highlight w:val="none"/>
          <w:vertAlign w:val="superscript"/>
        </w:rPr>
        <w:t>1</w:t>
      </w:r>
      <w:r>
        <w:rPr>
          <w:color w:val="auto"/>
          <w:highlight w:val="none"/>
        </w:rPr>
        <w:t>）及遂宁组（J3s）地层，以泥岩为主，砂岩层次少而薄，总共有14~17层，厚度5~20米，地下水赋存在风化网状裂隙中，风化裂隙均较细小，强风化带厚只有2~3米，一般不超过10米，地下水赋存有限，埋藏很浅，天旱井（泉）干，井深一般2~4米，水深大部分不超过1米。赋存于砂岩中者，水量稍大，在坡麓以下降泉的形式排泄。泥岩中的地下水多分布在沟谷底部，或井或泉。总的来看，风化网状裂隙水分布不连续，主要汇集在谷（沟）底，埋藏浅，地下水动态受气候因素影响很大。总体来说，巴中市处于北川红层，本项目所在区域地下水主要为基岩裂隙水—构造裂隙水。</w:t>
      </w:r>
    </w:p>
    <w:p>
      <w:pPr>
        <w:widowControl w:val="0"/>
        <w:ind w:firstLine="480"/>
        <w:rPr>
          <w:color w:val="auto"/>
          <w:highlight w:val="none"/>
        </w:rPr>
      </w:pPr>
      <w:r>
        <w:rPr>
          <w:rFonts w:hint="eastAsia"/>
          <w:color w:val="auto"/>
          <w:highlight w:val="none"/>
        </w:rPr>
        <w:t>（3）</w:t>
      </w:r>
      <w:r>
        <w:rPr>
          <w:color w:val="auto"/>
          <w:highlight w:val="none"/>
        </w:rPr>
        <w:t>饮用水源</w:t>
      </w:r>
    </w:p>
    <w:p>
      <w:pPr>
        <w:widowControl w:val="0"/>
        <w:ind w:firstLine="480"/>
        <w:rPr>
          <w:color w:val="auto"/>
          <w:highlight w:val="none"/>
        </w:rPr>
      </w:pPr>
      <w:r>
        <w:rPr>
          <w:color w:val="auto"/>
          <w:highlight w:val="none"/>
        </w:rPr>
        <w:t>平昌县是嘉陵江流域渠江重要支流巴河的源头，境内河流水系发育，大小不一的冲沟河流遍布在平昌县内，河道蜿蜒，水系发达。其中规模较大的河流有4条，分别是平昌河、正直河（木门河）、焦家河与赶场河。据统计，县域内河流流域面积1000km</w:t>
      </w:r>
      <w:r>
        <w:rPr>
          <w:color w:val="auto"/>
          <w:highlight w:val="none"/>
          <w:vertAlign w:val="superscript"/>
        </w:rPr>
        <w:t>2</w:t>
      </w:r>
      <w:r>
        <w:rPr>
          <w:color w:val="auto"/>
          <w:highlight w:val="none"/>
        </w:rPr>
        <w:t>以上的河流有3条，100~1000km</w:t>
      </w:r>
      <w:r>
        <w:rPr>
          <w:color w:val="auto"/>
          <w:highlight w:val="none"/>
          <w:vertAlign w:val="superscript"/>
        </w:rPr>
        <w:t>2</w:t>
      </w:r>
      <w:r>
        <w:rPr>
          <w:color w:val="auto"/>
          <w:highlight w:val="none"/>
        </w:rPr>
        <w:t>的河流有10条，50~100km</w:t>
      </w:r>
      <w:r>
        <w:rPr>
          <w:color w:val="auto"/>
          <w:highlight w:val="none"/>
          <w:vertAlign w:val="superscript"/>
        </w:rPr>
        <w:t>2</w:t>
      </w:r>
      <w:r>
        <w:rPr>
          <w:color w:val="auto"/>
          <w:highlight w:val="none"/>
        </w:rPr>
        <w:t>的河流有12条，50km</w:t>
      </w:r>
      <w:r>
        <w:rPr>
          <w:color w:val="auto"/>
          <w:highlight w:val="none"/>
          <w:vertAlign w:val="superscript"/>
        </w:rPr>
        <w:t>2</w:t>
      </w:r>
      <w:r>
        <w:rPr>
          <w:color w:val="auto"/>
          <w:highlight w:val="none"/>
        </w:rPr>
        <w:t>以下的小溪流有89条，河流均以降水补给为主，各河流在县境内多年平均径流总量为23.6亿m</w:t>
      </w:r>
      <w:r>
        <w:rPr>
          <w:color w:val="auto"/>
          <w:highlight w:val="none"/>
          <w:vertAlign w:val="superscript"/>
        </w:rPr>
        <w:t>3</w:t>
      </w:r>
      <w:r>
        <w:rPr>
          <w:color w:val="auto"/>
          <w:highlight w:val="none"/>
        </w:rPr>
        <w:t>，过境河流径流总量6.3亿m</w:t>
      </w:r>
      <w:r>
        <w:rPr>
          <w:color w:val="auto"/>
          <w:highlight w:val="none"/>
          <w:vertAlign w:val="superscript"/>
        </w:rPr>
        <w:t>3</w:t>
      </w:r>
      <w:r>
        <w:rPr>
          <w:color w:val="auto"/>
          <w:highlight w:val="none"/>
        </w:rPr>
        <w:t>，合计29.9亿m</w:t>
      </w:r>
      <w:r>
        <w:rPr>
          <w:color w:val="auto"/>
          <w:highlight w:val="none"/>
          <w:vertAlign w:val="superscript"/>
        </w:rPr>
        <w:t>3</w:t>
      </w:r>
      <w:r>
        <w:rPr>
          <w:color w:val="auto"/>
          <w:highlight w:val="none"/>
        </w:rPr>
        <w:t>。</w:t>
      </w:r>
    </w:p>
    <w:p>
      <w:pPr>
        <w:widowControl w:val="0"/>
        <w:ind w:firstLine="480"/>
        <w:rPr>
          <w:color w:val="auto"/>
          <w:highlight w:val="none"/>
        </w:rPr>
      </w:pPr>
      <w:r>
        <w:rPr>
          <w:color w:val="auto"/>
          <w:highlight w:val="none"/>
        </w:rPr>
        <w:t>因此，本项目不涉及饮用水源保护区。</w:t>
      </w:r>
    </w:p>
    <w:p>
      <w:pPr>
        <w:pStyle w:val="5"/>
        <w:widowControl w:val="0"/>
        <w:ind w:firstLine="120"/>
        <w:rPr>
          <w:color w:val="auto"/>
          <w:highlight w:val="none"/>
        </w:rPr>
      </w:pPr>
      <w:r>
        <w:rPr>
          <w:rFonts w:hint="eastAsia"/>
          <w:color w:val="auto"/>
          <w:highlight w:val="none"/>
        </w:rPr>
        <w:t>自然资源</w:t>
      </w:r>
    </w:p>
    <w:p>
      <w:pPr>
        <w:pStyle w:val="6"/>
        <w:widowControl w:val="0"/>
        <w:ind w:left="-160" w:firstLineChars="0"/>
        <w:rPr>
          <w:color w:val="auto"/>
          <w:highlight w:val="none"/>
        </w:rPr>
      </w:pPr>
      <w:r>
        <w:rPr>
          <w:rFonts w:hint="eastAsia"/>
          <w:color w:val="auto"/>
          <w:highlight w:val="none"/>
        </w:rPr>
        <w:t>动植物资源</w:t>
      </w:r>
    </w:p>
    <w:p>
      <w:pPr>
        <w:widowControl w:val="0"/>
        <w:ind w:firstLine="480"/>
        <w:rPr>
          <w:color w:val="auto"/>
          <w:highlight w:val="none"/>
        </w:rPr>
      </w:pPr>
      <w:r>
        <w:rPr>
          <w:rFonts w:hint="eastAsia"/>
          <w:color w:val="auto"/>
          <w:highlight w:val="none"/>
        </w:rPr>
        <w:t>植物资源：境域植物资源丰富，尤以北部为最，计有乔、灌木308种，草、藤本421种，源于植物的中草药（含家种、野生，根、茎、叶、花、果）1386种。乔、灌木林区多分布在北部山地，中部、南部亦零星分布。中药材资源最多的是通江、南江两县；牧草资源遍及境域。境域中部和南部森林层次结构不明显，林相单纯，林下伴生马桑、黄荆、沙棘藤蔓、杜鹃等植物；北部森林成片的较多，但因砍伐过度，曾使森林面积锐减，后经“停耕还林、还草”等政策的落实，现正处于恢复阶段。</w:t>
      </w:r>
    </w:p>
    <w:p>
      <w:pPr>
        <w:widowControl w:val="0"/>
        <w:ind w:firstLine="480"/>
        <w:rPr>
          <w:color w:val="auto"/>
          <w:highlight w:val="none"/>
        </w:rPr>
      </w:pPr>
      <w:r>
        <w:rPr>
          <w:rFonts w:hint="eastAsia"/>
          <w:color w:val="auto"/>
          <w:highlight w:val="none"/>
        </w:rPr>
        <w:t>森林植被主要为常绿落叶阔叶混交林、针叶林、竹林和灌丛林，植物种类繁多，种子植物近3000种，乔灌木有300多种，其中包括一些珍稀树木，如：银杏、三尖杉、红豆、巴山松、巴山水青杠。</w:t>
      </w:r>
    </w:p>
    <w:p>
      <w:pPr>
        <w:widowControl w:val="0"/>
        <w:ind w:firstLine="480"/>
        <w:rPr>
          <w:color w:val="auto"/>
          <w:highlight w:val="none"/>
        </w:rPr>
      </w:pPr>
      <w:r>
        <w:rPr>
          <w:rFonts w:hint="eastAsia"/>
          <w:color w:val="auto"/>
          <w:highlight w:val="none"/>
        </w:rPr>
        <w:t>动物资源：全市家养动物有生猪、黄牛、水牛、火羊、南江黄羊、各类鸡、各类鸭、鹅、马、驴、蜂、蚕、犬、猫、各类兔等。野生动物多分布在森林密布的北部，中、南部很少。近代，在森林面积逐年减少、猎杀频繁、酷捞滥捕的情况下，境内动物资源遭到破坏。虎、豹濒于绝迹，珍稀动物遗留不多，其它动物逐年减少。经20世纪80年代调查，境内北部共有野生动物670种，其中鱼类4目、11科、44属、47种；两栖类2目、7科、9属、20种；爬行类3目、7科、14属、21种；鸟类16目、41科、120属、176种；兽类7目、21科、52属、67种；昆虫类50科、170种；其它类169种。中南部地区尚存野生动物290余种，其中兽类22种，禽类49种，水族及两栖爬行类43种，昆虫类170余种。稀树灌丛草坡和乔灌木林等次生林及水稻、甘蔗、玉米等经济作物。</w:t>
      </w:r>
    </w:p>
    <w:p>
      <w:pPr>
        <w:widowControl w:val="0"/>
        <w:ind w:firstLine="480"/>
        <w:rPr>
          <w:color w:val="auto"/>
          <w:highlight w:val="none"/>
        </w:rPr>
      </w:pPr>
      <w:r>
        <w:rPr>
          <w:rFonts w:hint="eastAsia"/>
          <w:color w:val="auto"/>
          <w:highlight w:val="none"/>
        </w:rPr>
        <w:t>平昌县属亚热带常绿阔叶、针叶林带，因受人类活动长期影响，原生植被已被人工植被取代。景观生态体系主要由疏幼林生态系统、人工植被生态系统（包括农田植被和人工林），城镇、村庄生态系统，人工灌溉生态系统和河流生态系统组成。主要乔木有柏树、松树、恺木等，区内常见的野生动物以麻雀、家燕、白头鸭、棕背伯劳等居多，次为雏鸡、猫头鹰、野兔、田鼠等，未发现国家保护的珍稀野生动物资源。森林覆盖率49.5%，活立木总蓄积319.74万立方米。盛产川明参、山药等道地药材。</w:t>
      </w:r>
    </w:p>
    <w:p>
      <w:pPr>
        <w:widowControl w:val="0"/>
        <w:ind w:firstLine="482"/>
        <w:rPr>
          <w:b/>
          <w:bCs/>
          <w:color w:val="auto"/>
          <w:highlight w:val="none"/>
        </w:rPr>
      </w:pPr>
      <w:r>
        <w:rPr>
          <w:rFonts w:hint="eastAsia"/>
          <w:b/>
          <w:bCs/>
          <w:color w:val="auto"/>
          <w:highlight w:val="none"/>
        </w:rPr>
        <w:t>经现场踏勘及查阅资料，本项目评价区域内未发现古大珍奇树木分布，无列入国家及地方保护名录的珍稀濒危动植物分布。</w:t>
      </w:r>
    </w:p>
    <w:p>
      <w:pPr>
        <w:pStyle w:val="5"/>
        <w:widowControl w:val="0"/>
        <w:ind w:firstLine="120"/>
        <w:rPr>
          <w:color w:val="auto"/>
          <w:highlight w:val="none"/>
        </w:rPr>
      </w:pPr>
      <w:r>
        <w:rPr>
          <w:rFonts w:hint="eastAsia"/>
          <w:color w:val="auto"/>
          <w:highlight w:val="none"/>
        </w:rPr>
        <w:t>土壤类型</w:t>
      </w:r>
    </w:p>
    <w:p>
      <w:pPr>
        <w:widowControl w:val="0"/>
        <w:ind w:firstLine="480"/>
        <w:rPr>
          <w:color w:val="auto"/>
          <w:highlight w:val="none"/>
        </w:rPr>
      </w:pPr>
      <w:r>
        <w:rPr>
          <w:rFonts w:hint="eastAsia"/>
          <w:color w:val="auto"/>
          <w:highlight w:val="none"/>
        </w:rPr>
        <w:t>巴中市各县土壤普查中共划分和归并出6个土类、10个亚类、22个土属、61个土种。由于山区成土条件复杂，各县土属、土种不尽一致。其中，巴中分4个土类、7个亚类、8个土属、42个土种、66个变种；通江县划分为6个土类、10个亚类、16个土属、38个土种；南江县划分为6个土类、10个亚类、20个土属、61个土种；平昌县划分为4个土类、7个亚类、22个土属、45个土种、68个变种。6个土类面积23.403万公顷，其中水稻土面积13.18万公顷，占总耕地56.32%；紫色土78968公顷，占33.74%；黄壤14914公顷，占6.37%；黄棕壤5561公顷，占2.38%；冲积土995公顷，占0.43%；石灰岩土1795公顷，占0.76%。水稻土、紫色土、黄壤、冲积土，各县均有分布，其中水稻土、紫色土最多的是平昌县，分别为43105公顷、28035公顷，分别占总土壤的18.42%和11.98%；黄壤最多的是南江县，为10920公顷，占总土类的4.67%；黄棕壤最多的是通江县，为5255公顷，占总土类的2.25%；其次是南江；平昌、巴中无黄棕壤。石灰岩土亦分布在通江、南江两县，面积为1496公顷，占总土类的0.77%。</w:t>
      </w:r>
    </w:p>
    <w:p>
      <w:pPr>
        <w:pStyle w:val="4"/>
        <w:widowControl w:val="0"/>
        <w:rPr>
          <w:color w:val="auto"/>
          <w:highlight w:val="none"/>
        </w:rPr>
      </w:pPr>
      <w:bookmarkStart w:id="71" w:name="_Toc14729"/>
      <w:r>
        <w:rPr>
          <w:rFonts w:hint="eastAsia"/>
          <w:color w:val="auto"/>
          <w:highlight w:val="none"/>
        </w:rPr>
        <w:t>环境质量现状监测与评价</w:t>
      </w:r>
      <w:bookmarkEnd w:id="71"/>
    </w:p>
    <w:p>
      <w:pPr>
        <w:pStyle w:val="5"/>
        <w:widowControl w:val="0"/>
        <w:ind w:firstLine="120"/>
        <w:rPr>
          <w:color w:val="auto"/>
          <w:highlight w:val="none"/>
        </w:rPr>
      </w:pPr>
      <w:r>
        <w:rPr>
          <w:rFonts w:hint="eastAsia"/>
          <w:color w:val="auto"/>
          <w:highlight w:val="none"/>
        </w:rPr>
        <w:t>环境空气质量现状监测及评价</w:t>
      </w:r>
    </w:p>
    <w:p>
      <w:pPr>
        <w:widowControl w:val="0"/>
        <w:ind w:firstLine="480"/>
        <w:rPr>
          <w:color w:val="auto"/>
          <w:highlight w:val="none"/>
        </w:rPr>
      </w:pPr>
      <w:r>
        <w:rPr>
          <w:rFonts w:hint="eastAsia"/>
          <w:color w:val="auto"/>
          <w:highlight w:val="none"/>
        </w:rPr>
        <w:t>根据《环境影响评价技术导则大气环境》（HJ2.2-2018）中6.2.11规定：项目所在区域达标判定，优先采用国家或地方生态环境主管部门公开发布的评价基准年环境质量公告或环境质量报告中的数据或结论。</w:t>
      </w:r>
    </w:p>
    <w:p>
      <w:pPr>
        <w:widowControl w:val="0"/>
        <w:ind w:firstLine="480"/>
        <w:rPr>
          <w:color w:val="auto"/>
          <w:highlight w:val="none"/>
        </w:rPr>
      </w:pPr>
      <w:r>
        <w:rPr>
          <w:rFonts w:cs="宋体"/>
          <w:color w:val="auto"/>
          <w:szCs w:val="24"/>
          <w:highlight w:val="none"/>
        </w:rPr>
        <w:t>本次环境空气质量引用本项目引用巴中市平昌生态环境局公布的《平昌县环境质量状况公报（</w:t>
      </w:r>
      <w:r>
        <w:rPr>
          <w:color w:val="auto"/>
          <w:szCs w:val="24"/>
          <w:highlight w:val="none"/>
        </w:rPr>
        <w:t>2020</w:t>
      </w:r>
      <w:r>
        <w:rPr>
          <w:rFonts w:cs="宋体"/>
          <w:color w:val="auto"/>
          <w:szCs w:val="24"/>
          <w:highlight w:val="none"/>
        </w:rPr>
        <w:t>年度）》</w:t>
      </w:r>
      <w:r>
        <w:rPr>
          <w:rFonts w:hint="eastAsia"/>
          <w:color w:val="auto"/>
          <w:highlight w:val="none"/>
        </w:rPr>
        <w:t>。</w:t>
      </w:r>
    </w:p>
    <w:p>
      <w:pPr>
        <w:widowControl w:val="0"/>
        <w:ind w:firstLine="480"/>
        <w:rPr>
          <w:color w:val="auto"/>
          <w:highlight w:val="none"/>
        </w:rPr>
      </w:pPr>
      <w:r>
        <w:rPr>
          <w:rFonts w:cs="宋体"/>
          <w:color w:val="auto"/>
          <w:szCs w:val="24"/>
          <w:highlight w:val="none"/>
        </w:rPr>
        <w:t>根据《平昌县环境质量状况公报（2020年度）》结论，</w:t>
      </w:r>
      <w:r>
        <w:rPr>
          <w:rFonts w:hint="eastAsia" w:cs="宋体"/>
          <w:color w:val="auto"/>
          <w:szCs w:val="24"/>
          <w:highlight w:val="none"/>
        </w:rPr>
        <w:t>“</w:t>
      </w:r>
      <w:r>
        <w:rPr>
          <w:rFonts w:cs="宋体"/>
          <w:color w:val="auto"/>
          <w:szCs w:val="24"/>
          <w:highlight w:val="none"/>
        </w:rPr>
        <w:t>2019年度（共365天），平昌县环境空气有效监测天数为365天，优良天数362天（其中空气质量</w:t>
      </w:r>
      <w:r>
        <w:rPr>
          <w:rFonts w:hint="eastAsia" w:cs="宋体"/>
          <w:color w:val="auto"/>
          <w:szCs w:val="24"/>
          <w:highlight w:val="none"/>
        </w:rPr>
        <w:t>“</w:t>
      </w:r>
      <w:r>
        <w:rPr>
          <w:rFonts w:cs="宋体"/>
          <w:color w:val="auto"/>
          <w:szCs w:val="24"/>
          <w:highlight w:val="none"/>
        </w:rPr>
        <w:t>优</w:t>
      </w:r>
      <w:r>
        <w:rPr>
          <w:rFonts w:hint="eastAsia" w:cs="宋体"/>
          <w:color w:val="auto"/>
          <w:szCs w:val="24"/>
          <w:highlight w:val="none"/>
        </w:rPr>
        <w:t>”</w:t>
      </w:r>
      <w:r>
        <w:rPr>
          <w:rFonts w:cs="宋体"/>
          <w:color w:val="auto"/>
          <w:szCs w:val="24"/>
          <w:highlight w:val="none"/>
        </w:rPr>
        <w:t>223天、</w:t>
      </w:r>
      <w:r>
        <w:rPr>
          <w:rFonts w:hint="eastAsia" w:cs="宋体"/>
          <w:color w:val="auto"/>
          <w:szCs w:val="24"/>
          <w:highlight w:val="none"/>
        </w:rPr>
        <w:t>“</w:t>
      </w:r>
      <w:r>
        <w:rPr>
          <w:rFonts w:cs="宋体"/>
          <w:color w:val="auto"/>
          <w:szCs w:val="24"/>
          <w:highlight w:val="none"/>
        </w:rPr>
        <w:t>良</w:t>
      </w:r>
      <w:r>
        <w:rPr>
          <w:rFonts w:hint="eastAsia" w:cs="宋体"/>
          <w:color w:val="auto"/>
          <w:szCs w:val="24"/>
          <w:highlight w:val="none"/>
        </w:rPr>
        <w:t>”</w:t>
      </w:r>
      <w:r>
        <w:rPr>
          <w:rFonts w:cs="宋体"/>
          <w:color w:val="auto"/>
          <w:szCs w:val="24"/>
          <w:highlight w:val="none"/>
        </w:rPr>
        <w:t>139天），</w:t>
      </w:r>
      <w:r>
        <w:rPr>
          <w:rFonts w:hint="eastAsia" w:cs="宋体"/>
          <w:color w:val="auto"/>
          <w:szCs w:val="24"/>
          <w:highlight w:val="none"/>
        </w:rPr>
        <w:t>“</w:t>
      </w:r>
      <w:r>
        <w:rPr>
          <w:rFonts w:cs="宋体"/>
          <w:color w:val="auto"/>
          <w:szCs w:val="24"/>
          <w:highlight w:val="none"/>
        </w:rPr>
        <w:t>轻度污染</w:t>
      </w:r>
      <w:r>
        <w:rPr>
          <w:rFonts w:hint="eastAsia" w:cs="宋体"/>
          <w:color w:val="auto"/>
          <w:szCs w:val="24"/>
          <w:highlight w:val="none"/>
        </w:rPr>
        <w:t>”</w:t>
      </w:r>
      <w:r>
        <w:rPr>
          <w:rFonts w:cs="宋体"/>
          <w:color w:val="auto"/>
          <w:szCs w:val="24"/>
          <w:highlight w:val="none"/>
        </w:rPr>
        <w:t>4天，优良率为98.9%，同比上升1.1%，其中可吸入颗粒物（PM10）年平均浓度37.9微克/立方米；细颗粒物（PM</w:t>
      </w:r>
      <w:r>
        <w:rPr>
          <w:rFonts w:cs="宋体"/>
          <w:color w:val="auto"/>
          <w:szCs w:val="24"/>
          <w:highlight w:val="none"/>
          <w:vertAlign w:val="subscript"/>
        </w:rPr>
        <w:t>2.5</w:t>
      </w:r>
      <w:r>
        <w:rPr>
          <w:rFonts w:cs="宋体"/>
          <w:color w:val="auto"/>
          <w:szCs w:val="24"/>
          <w:highlight w:val="none"/>
        </w:rPr>
        <w:t>）年平均浓度24.5微克/立方米。</w:t>
      </w:r>
      <w:r>
        <w:rPr>
          <w:rFonts w:hint="eastAsia" w:cs="宋体"/>
          <w:color w:val="auto"/>
          <w:szCs w:val="24"/>
          <w:highlight w:val="none"/>
        </w:rPr>
        <w:t>”</w:t>
      </w:r>
      <w:r>
        <w:rPr>
          <w:rFonts w:cs="宋体"/>
          <w:color w:val="auto"/>
          <w:szCs w:val="24"/>
          <w:highlight w:val="none"/>
        </w:rPr>
        <w:t>故本项目所在区域的环境空气监测项目中SO</w:t>
      </w:r>
      <w:r>
        <w:rPr>
          <w:rFonts w:cs="宋体"/>
          <w:color w:val="auto"/>
          <w:szCs w:val="24"/>
          <w:highlight w:val="none"/>
          <w:vertAlign w:val="subscript"/>
        </w:rPr>
        <w:t>2</w:t>
      </w:r>
      <w:r>
        <w:rPr>
          <w:rFonts w:cs="宋体"/>
          <w:color w:val="auto"/>
          <w:szCs w:val="24"/>
          <w:highlight w:val="none"/>
        </w:rPr>
        <w:t>、NO</w:t>
      </w:r>
      <w:r>
        <w:rPr>
          <w:rFonts w:cs="宋体"/>
          <w:color w:val="auto"/>
          <w:szCs w:val="24"/>
          <w:highlight w:val="none"/>
          <w:vertAlign w:val="subscript"/>
        </w:rPr>
        <w:t>2</w:t>
      </w:r>
      <w:r>
        <w:rPr>
          <w:rFonts w:cs="宋体"/>
          <w:color w:val="auto"/>
          <w:szCs w:val="24"/>
          <w:highlight w:val="none"/>
        </w:rPr>
        <w:t>、PM</w:t>
      </w:r>
      <w:r>
        <w:rPr>
          <w:rFonts w:cs="宋体"/>
          <w:color w:val="auto"/>
          <w:szCs w:val="24"/>
          <w:highlight w:val="none"/>
          <w:vertAlign w:val="subscript"/>
        </w:rPr>
        <w:t>10</w:t>
      </w:r>
      <w:r>
        <w:rPr>
          <w:rFonts w:cs="宋体"/>
          <w:color w:val="auto"/>
          <w:szCs w:val="24"/>
          <w:highlight w:val="none"/>
        </w:rPr>
        <w:t>、PM</w:t>
      </w:r>
      <w:r>
        <w:rPr>
          <w:rFonts w:cs="宋体"/>
          <w:color w:val="auto"/>
          <w:szCs w:val="24"/>
          <w:highlight w:val="none"/>
          <w:vertAlign w:val="subscript"/>
        </w:rPr>
        <w:t>2</w:t>
      </w:r>
      <w:r>
        <w:rPr>
          <w:rFonts w:hint="eastAsia" w:cs="宋体"/>
          <w:color w:val="auto"/>
          <w:szCs w:val="24"/>
          <w:highlight w:val="none"/>
        </w:rPr>
        <w:t>.</w:t>
      </w:r>
      <w:r>
        <w:rPr>
          <w:rFonts w:cs="宋体"/>
          <w:color w:val="auto"/>
          <w:szCs w:val="24"/>
          <w:highlight w:val="none"/>
          <w:vertAlign w:val="subscript"/>
        </w:rPr>
        <w:t>5</w:t>
      </w:r>
      <w:r>
        <w:rPr>
          <w:rFonts w:cs="宋体"/>
          <w:color w:val="auto"/>
          <w:szCs w:val="24"/>
          <w:highlight w:val="none"/>
        </w:rPr>
        <w:t>、CO、</w:t>
      </w:r>
      <w:r>
        <w:rPr>
          <w:rFonts w:hint="eastAsia" w:cs="宋体"/>
          <w:color w:val="auto"/>
          <w:szCs w:val="24"/>
          <w:highlight w:val="none"/>
        </w:rPr>
        <w:t>O</w:t>
      </w:r>
      <w:r>
        <w:rPr>
          <w:rFonts w:hint="eastAsia" w:cs="宋体"/>
          <w:color w:val="auto"/>
          <w:szCs w:val="24"/>
          <w:highlight w:val="none"/>
          <w:vertAlign w:val="subscript"/>
        </w:rPr>
        <w:t>3</w:t>
      </w:r>
      <w:r>
        <w:rPr>
          <w:rFonts w:cs="宋体"/>
          <w:color w:val="auto"/>
          <w:szCs w:val="24"/>
          <w:highlight w:val="none"/>
        </w:rPr>
        <w:t>年平均浓度均能达到《环境空气质量标准》（GB3095-2012）及修改清单中的二级标准，项目所在区域环境空气质量达标。综上，根据项目所在地《平昌县环境质量状况公报（2020年度）》结论，平昌县环境空气质量指标SO</w:t>
      </w:r>
      <w:r>
        <w:rPr>
          <w:rFonts w:cs="宋体"/>
          <w:color w:val="auto"/>
          <w:szCs w:val="24"/>
          <w:highlight w:val="none"/>
          <w:vertAlign w:val="subscript"/>
        </w:rPr>
        <w:t>2</w:t>
      </w:r>
      <w:r>
        <w:rPr>
          <w:rFonts w:cs="宋体"/>
          <w:color w:val="auto"/>
          <w:szCs w:val="24"/>
          <w:highlight w:val="none"/>
        </w:rPr>
        <w:t>、NO</w:t>
      </w:r>
      <w:r>
        <w:rPr>
          <w:rFonts w:cs="宋体"/>
          <w:color w:val="auto"/>
          <w:szCs w:val="24"/>
          <w:highlight w:val="none"/>
          <w:vertAlign w:val="subscript"/>
        </w:rPr>
        <w:t>2</w:t>
      </w:r>
      <w:r>
        <w:rPr>
          <w:rFonts w:cs="宋体"/>
          <w:color w:val="auto"/>
          <w:szCs w:val="24"/>
          <w:highlight w:val="none"/>
        </w:rPr>
        <w:t>、PM</w:t>
      </w:r>
      <w:r>
        <w:rPr>
          <w:rFonts w:cs="宋体"/>
          <w:color w:val="auto"/>
          <w:szCs w:val="24"/>
          <w:highlight w:val="none"/>
          <w:vertAlign w:val="subscript"/>
        </w:rPr>
        <w:t>10</w:t>
      </w:r>
      <w:r>
        <w:rPr>
          <w:rFonts w:cs="宋体"/>
          <w:color w:val="auto"/>
          <w:szCs w:val="24"/>
          <w:highlight w:val="none"/>
        </w:rPr>
        <w:t>、PM</w:t>
      </w:r>
      <w:r>
        <w:rPr>
          <w:rFonts w:cs="宋体"/>
          <w:color w:val="auto"/>
          <w:szCs w:val="24"/>
          <w:highlight w:val="none"/>
          <w:vertAlign w:val="subscript"/>
        </w:rPr>
        <w:t>2</w:t>
      </w:r>
      <w:r>
        <w:rPr>
          <w:rFonts w:hint="eastAsia" w:cs="宋体"/>
          <w:color w:val="auto"/>
          <w:szCs w:val="24"/>
          <w:highlight w:val="none"/>
        </w:rPr>
        <w:t>.</w:t>
      </w:r>
      <w:r>
        <w:rPr>
          <w:rFonts w:cs="宋体"/>
          <w:color w:val="auto"/>
          <w:szCs w:val="24"/>
          <w:highlight w:val="none"/>
          <w:vertAlign w:val="subscript"/>
        </w:rPr>
        <w:t>5</w:t>
      </w:r>
      <w:r>
        <w:rPr>
          <w:rFonts w:cs="宋体"/>
          <w:color w:val="auto"/>
          <w:szCs w:val="24"/>
          <w:highlight w:val="none"/>
        </w:rPr>
        <w:t>、CO、</w:t>
      </w:r>
      <w:r>
        <w:rPr>
          <w:rFonts w:hint="eastAsia" w:cs="宋体"/>
          <w:color w:val="auto"/>
          <w:szCs w:val="24"/>
          <w:highlight w:val="none"/>
        </w:rPr>
        <w:t>O</w:t>
      </w:r>
      <w:r>
        <w:rPr>
          <w:rFonts w:hint="eastAsia" w:cs="宋体"/>
          <w:color w:val="auto"/>
          <w:szCs w:val="24"/>
          <w:highlight w:val="none"/>
          <w:vertAlign w:val="subscript"/>
        </w:rPr>
        <w:t>3</w:t>
      </w:r>
      <w:r>
        <w:rPr>
          <w:rFonts w:cs="宋体"/>
          <w:color w:val="auto"/>
          <w:szCs w:val="24"/>
          <w:highlight w:val="none"/>
        </w:rPr>
        <w:t>的年平均浓度均能满足《环境空气质量标准》（GB3095-2012）及修改清单中的二级标准，因此项目所在评价区域为达标区。</w:t>
      </w:r>
    </w:p>
    <w:p>
      <w:pPr>
        <w:pStyle w:val="6"/>
        <w:widowControl w:val="0"/>
        <w:ind w:left="-160" w:firstLineChars="0"/>
        <w:rPr>
          <w:color w:val="auto"/>
          <w:highlight w:val="none"/>
        </w:rPr>
      </w:pPr>
      <w:r>
        <w:rPr>
          <w:rFonts w:hint="eastAsia"/>
          <w:color w:val="auto"/>
          <w:highlight w:val="none"/>
        </w:rPr>
        <w:t>其他污染物环境质量现状</w:t>
      </w:r>
    </w:p>
    <w:p>
      <w:pPr>
        <w:widowControl w:val="0"/>
        <w:ind w:firstLine="480"/>
        <w:rPr>
          <w:color w:val="auto"/>
          <w:highlight w:val="none"/>
        </w:rPr>
      </w:pPr>
      <w:r>
        <w:rPr>
          <w:rFonts w:hint="eastAsia"/>
          <w:color w:val="auto"/>
          <w:highlight w:val="none"/>
        </w:rPr>
        <w:t>为了解本项目所在地区环境空气质量及厂区排放现状，本次评价委托四川锡水金山环保科技有限公司于2021年1月26日～2021年2月1日对项目所在地进行监测。</w:t>
      </w:r>
    </w:p>
    <w:p>
      <w:pPr>
        <w:widowControl w:val="0"/>
        <w:ind w:firstLine="480"/>
        <w:rPr>
          <w:color w:val="auto"/>
          <w:highlight w:val="none"/>
        </w:rPr>
      </w:pPr>
      <w:r>
        <w:rPr>
          <w:rFonts w:hint="eastAsia"/>
          <w:color w:val="auto"/>
          <w:highlight w:val="none"/>
        </w:rPr>
        <w:t>（1）监测内容及频次</w:t>
      </w:r>
    </w:p>
    <w:p>
      <w:pPr>
        <w:pStyle w:val="27"/>
        <w:widowControl w:val="0"/>
        <w:rPr>
          <w:color w:val="auto"/>
          <w:highlight w:val="none"/>
        </w:rPr>
      </w:pPr>
      <w:r>
        <w:rPr>
          <w:rFonts w:hint="eastAsia"/>
          <w:color w:val="auto"/>
          <w:highlight w:val="none"/>
        </w:rPr>
        <w:t>本项目环境空气质量监测内容及频次一览表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655"/>
        <w:gridCol w:w="900"/>
        <w:gridCol w:w="2565"/>
        <w:gridCol w:w="990"/>
        <w:gridCol w:w="1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265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90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点位数</w:t>
            </w:r>
          </w:p>
        </w:tc>
        <w:tc>
          <w:tcPr>
            <w:tcW w:w="256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2013"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vMerge w:val="continue"/>
            <w:tcBorders>
              <w:tl2br w:val="nil"/>
              <w:tr2bl w:val="nil"/>
            </w:tcBorders>
            <w:vAlign w:val="center"/>
          </w:tcPr>
          <w:p>
            <w:pPr>
              <w:pStyle w:val="28"/>
              <w:widowControl w:val="0"/>
              <w:rPr>
                <w:b/>
                <w:bCs/>
                <w:color w:val="auto"/>
                <w:highlight w:val="none"/>
              </w:rPr>
            </w:pPr>
          </w:p>
        </w:tc>
        <w:tc>
          <w:tcPr>
            <w:tcW w:w="2655" w:type="dxa"/>
            <w:vMerge w:val="continue"/>
            <w:tcBorders>
              <w:tl2br w:val="nil"/>
              <w:tr2bl w:val="nil"/>
            </w:tcBorders>
            <w:vAlign w:val="center"/>
          </w:tcPr>
          <w:p>
            <w:pPr>
              <w:pStyle w:val="28"/>
              <w:widowControl w:val="0"/>
              <w:rPr>
                <w:b/>
                <w:bCs/>
                <w:color w:val="auto"/>
                <w:highlight w:val="none"/>
              </w:rPr>
            </w:pPr>
          </w:p>
        </w:tc>
        <w:tc>
          <w:tcPr>
            <w:tcW w:w="900" w:type="dxa"/>
            <w:vMerge w:val="continue"/>
            <w:tcBorders>
              <w:tl2br w:val="nil"/>
              <w:tr2bl w:val="nil"/>
            </w:tcBorders>
            <w:vAlign w:val="center"/>
          </w:tcPr>
          <w:p>
            <w:pPr>
              <w:pStyle w:val="28"/>
              <w:widowControl w:val="0"/>
              <w:rPr>
                <w:b/>
                <w:bCs/>
                <w:color w:val="auto"/>
                <w:highlight w:val="none"/>
              </w:rPr>
            </w:pPr>
          </w:p>
        </w:tc>
        <w:tc>
          <w:tcPr>
            <w:tcW w:w="2565" w:type="dxa"/>
            <w:vMerge w:val="continue"/>
            <w:tcBorders>
              <w:tl2br w:val="nil"/>
              <w:tr2bl w:val="nil"/>
            </w:tcBorders>
            <w:vAlign w:val="center"/>
          </w:tcPr>
          <w:p>
            <w:pPr>
              <w:pStyle w:val="28"/>
              <w:widowControl w:val="0"/>
              <w:rPr>
                <w:b/>
                <w:bCs/>
                <w:color w:val="auto"/>
                <w:highlight w:val="none"/>
              </w:rPr>
            </w:pPr>
          </w:p>
        </w:tc>
        <w:tc>
          <w:tcPr>
            <w:tcW w:w="990" w:type="dxa"/>
            <w:tcBorders>
              <w:tl2br w:val="nil"/>
              <w:tr2bl w:val="nil"/>
            </w:tcBorders>
            <w:vAlign w:val="center"/>
          </w:tcPr>
          <w:p>
            <w:pPr>
              <w:pStyle w:val="28"/>
              <w:widowControl w:val="0"/>
              <w:rPr>
                <w:b/>
                <w:bCs/>
                <w:color w:val="auto"/>
                <w:highlight w:val="none"/>
              </w:rPr>
            </w:pPr>
            <w:r>
              <w:rPr>
                <w:rFonts w:hint="eastAsia"/>
                <w:b/>
                <w:bCs/>
                <w:color w:val="auto"/>
                <w:highlight w:val="none"/>
              </w:rPr>
              <w:t>天</w:t>
            </w:r>
          </w:p>
        </w:tc>
        <w:tc>
          <w:tcPr>
            <w:tcW w:w="1023" w:type="dxa"/>
            <w:tcBorders>
              <w:tl2br w:val="nil"/>
              <w:tr2bl w:val="nil"/>
            </w:tcBorders>
            <w:vAlign w:val="center"/>
          </w:tcPr>
          <w:p>
            <w:pPr>
              <w:pStyle w:val="28"/>
              <w:widowControl w:val="0"/>
              <w:rPr>
                <w:b/>
                <w:bCs/>
                <w:color w:val="auto"/>
                <w:highlight w:val="none"/>
              </w:rPr>
            </w:pPr>
            <w:r>
              <w:rPr>
                <w:rFonts w:hint="eastAsia"/>
                <w:b/>
                <w:bCs/>
                <w:color w:val="auto"/>
                <w:highlight w:val="none"/>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tcBorders>
              <w:tl2br w:val="nil"/>
              <w:tr2bl w:val="nil"/>
            </w:tcBorders>
            <w:vAlign w:val="center"/>
          </w:tcPr>
          <w:p>
            <w:pPr>
              <w:pStyle w:val="28"/>
              <w:widowControl w:val="0"/>
              <w:rPr>
                <w:color w:val="auto"/>
                <w:highlight w:val="none"/>
              </w:rPr>
            </w:pPr>
            <w:r>
              <w:rPr>
                <w:rFonts w:hint="eastAsia"/>
                <w:color w:val="auto"/>
                <w:highlight w:val="none"/>
              </w:rPr>
              <w:t>环境空气</w:t>
            </w:r>
          </w:p>
        </w:tc>
        <w:tc>
          <w:tcPr>
            <w:tcW w:w="2655" w:type="dxa"/>
            <w:tcBorders>
              <w:tl2br w:val="nil"/>
              <w:tr2bl w:val="nil"/>
            </w:tcBorders>
            <w:vAlign w:val="center"/>
          </w:tcPr>
          <w:p>
            <w:pPr>
              <w:pStyle w:val="28"/>
              <w:widowControl w:val="0"/>
              <w:rPr>
                <w:color w:val="auto"/>
                <w:highlight w:val="none"/>
              </w:rPr>
            </w:pPr>
            <w:r>
              <w:rPr>
                <w:rFonts w:hint="eastAsia"/>
                <w:color w:val="auto"/>
                <w:highlight w:val="none"/>
              </w:rPr>
              <w:t>1#项目地外西南侧</w:t>
            </w:r>
          </w:p>
        </w:tc>
        <w:tc>
          <w:tcPr>
            <w:tcW w:w="900"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2565" w:type="dxa"/>
            <w:tcBorders>
              <w:tl2br w:val="nil"/>
              <w:tr2bl w:val="nil"/>
            </w:tcBorders>
            <w:vAlign w:val="center"/>
          </w:tcPr>
          <w:p>
            <w:pPr>
              <w:pStyle w:val="28"/>
              <w:widowControl w:val="0"/>
              <w:rPr>
                <w:color w:val="auto"/>
                <w:highlight w:val="none"/>
              </w:rPr>
            </w:pPr>
            <w:r>
              <w:rPr>
                <w:rFonts w:hint="eastAsia"/>
                <w:color w:val="auto"/>
                <w:highlight w:val="none"/>
              </w:rPr>
              <w:t>氨、硫化氢</w:t>
            </w:r>
          </w:p>
        </w:tc>
        <w:tc>
          <w:tcPr>
            <w:tcW w:w="990"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1023" w:type="dxa"/>
            <w:tcBorders>
              <w:tl2br w:val="nil"/>
              <w:tr2bl w:val="nil"/>
            </w:tcBorders>
            <w:vAlign w:val="center"/>
          </w:tcPr>
          <w:p>
            <w:pPr>
              <w:pStyle w:val="28"/>
              <w:widowControl w:val="0"/>
              <w:rPr>
                <w:color w:val="auto"/>
                <w:highlight w:val="none"/>
              </w:rPr>
            </w:pPr>
            <w:r>
              <w:rPr>
                <w:rFonts w:hint="eastAsia"/>
                <w:color w:val="auto"/>
                <w:highlight w:val="none"/>
              </w:rPr>
              <w:t>4</w:t>
            </w:r>
          </w:p>
        </w:tc>
      </w:tr>
    </w:tbl>
    <w:p>
      <w:pPr>
        <w:widowControl w:val="0"/>
        <w:ind w:firstLine="480"/>
        <w:rPr>
          <w:color w:val="auto"/>
          <w:highlight w:val="none"/>
        </w:rPr>
      </w:pPr>
      <w:r>
        <w:rPr>
          <w:rFonts w:hint="eastAsia"/>
          <w:color w:val="auto"/>
          <w:highlight w:val="none"/>
        </w:rPr>
        <w:t>（2）监测方法及仪器</w:t>
      </w:r>
    </w:p>
    <w:p>
      <w:pPr>
        <w:pStyle w:val="27"/>
        <w:widowControl w:val="0"/>
        <w:rPr>
          <w:color w:val="auto"/>
          <w:highlight w:val="none"/>
        </w:rPr>
      </w:pPr>
      <w:r>
        <w:rPr>
          <w:rFonts w:hint="eastAsia"/>
          <w:color w:val="auto"/>
          <w:highlight w:val="none"/>
        </w:rPr>
        <w:t>本项目环境空气质量监测方法及仪器一览表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25"/>
        <w:gridCol w:w="3396"/>
        <w:gridCol w:w="1770"/>
        <w:gridCol w:w="1350"/>
        <w:gridCol w:w="1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125" w:type="dxa"/>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3396" w:type="dxa"/>
            <w:tcBorders>
              <w:tl2br w:val="nil"/>
              <w:tr2bl w:val="nil"/>
            </w:tcBorders>
            <w:vAlign w:val="center"/>
          </w:tcPr>
          <w:p>
            <w:pPr>
              <w:pStyle w:val="28"/>
              <w:widowControl w:val="0"/>
              <w:rPr>
                <w:b/>
                <w:bCs/>
                <w:color w:val="auto"/>
                <w:highlight w:val="none"/>
              </w:rPr>
            </w:pPr>
            <w:r>
              <w:rPr>
                <w:rFonts w:hint="eastAsia"/>
                <w:b/>
                <w:bCs/>
                <w:color w:val="auto"/>
                <w:highlight w:val="none"/>
              </w:rPr>
              <w:t>监测方法及依据</w:t>
            </w:r>
          </w:p>
        </w:tc>
        <w:tc>
          <w:tcPr>
            <w:tcW w:w="1770" w:type="dxa"/>
            <w:tcBorders>
              <w:tl2br w:val="nil"/>
              <w:tr2bl w:val="nil"/>
            </w:tcBorders>
            <w:vAlign w:val="center"/>
          </w:tcPr>
          <w:p>
            <w:pPr>
              <w:pStyle w:val="28"/>
              <w:widowControl w:val="0"/>
              <w:rPr>
                <w:b/>
                <w:bCs/>
                <w:color w:val="auto"/>
                <w:highlight w:val="none"/>
              </w:rPr>
            </w:pPr>
            <w:r>
              <w:rPr>
                <w:rFonts w:hint="eastAsia"/>
                <w:b/>
                <w:bCs/>
                <w:color w:val="auto"/>
                <w:highlight w:val="none"/>
              </w:rPr>
              <w:t>所用仪器</w:t>
            </w:r>
          </w:p>
        </w:tc>
        <w:tc>
          <w:tcPr>
            <w:tcW w:w="1350" w:type="dxa"/>
            <w:tcBorders>
              <w:tl2br w:val="nil"/>
              <w:tr2bl w:val="nil"/>
            </w:tcBorders>
            <w:vAlign w:val="center"/>
          </w:tcPr>
          <w:p>
            <w:pPr>
              <w:pStyle w:val="28"/>
              <w:widowControl w:val="0"/>
              <w:rPr>
                <w:b/>
                <w:bCs/>
                <w:color w:val="auto"/>
                <w:highlight w:val="none"/>
              </w:rPr>
            </w:pPr>
            <w:r>
              <w:rPr>
                <w:rFonts w:hint="eastAsia"/>
                <w:b/>
                <w:bCs/>
                <w:color w:val="auto"/>
                <w:highlight w:val="none"/>
              </w:rPr>
              <w:t>仪器编号</w:t>
            </w:r>
          </w:p>
        </w:tc>
        <w:tc>
          <w:tcPr>
            <w:tcW w:w="1278" w:type="dxa"/>
            <w:tcBorders>
              <w:tl2br w:val="nil"/>
              <w:tr2bl w:val="nil"/>
            </w:tcBorders>
            <w:vAlign w:val="center"/>
          </w:tcPr>
          <w:p>
            <w:pPr>
              <w:pStyle w:val="28"/>
              <w:widowControl w:val="0"/>
              <w:rPr>
                <w:b/>
                <w:bCs/>
                <w:color w:val="auto"/>
                <w:highlight w:val="none"/>
              </w:rPr>
            </w:pPr>
            <w:r>
              <w:rPr>
                <w:rFonts w:hint="eastAsia"/>
                <w:b/>
                <w:bCs/>
                <w:color w:val="auto"/>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Merge w:val="restart"/>
            <w:tcBorders>
              <w:tl2br w:val="nil"/>
              <w:tr2bl w:val="nil"/>
            </w:tcBorders>
            <w:vAlign w:val="center"/>
          </w:tcPr>
          <w:p>
            <w:pPr>
              <w:pStyle w:val="28"/>
              <w:widowControl w:val="0"/>
              <w:rPr>
                <w:color w:val="auto"/>
                <w:highlight w:val="none"/>
              </w:rPr>
            </w:pPr>
            <w:r>
              <w:rPr>
                <w:rFonts w:hint="eastAsia"/>
                <w:color w:val="auto"/>
                <w:highlight w:val="none"/>
              </w:rPr>
              <w:t>环境空气</w:t>
            </w:r>
          </w:p>
        </w:tc>
        <w:tc>
          <w:tcPr>
            <w:tcW w:w="1125" w:type="dxa"/>
            <w:tcBorders>
              <w:tl2br w:val="nil"/>
              <w:tr2bl w:val="nil"/>
            </w:tcBorders>
            <w:vAlign w:val="center"/>
          </w:tcPr>
          <w:p>
            <w:pPr>
              <w:pStyle w:val="28"/>
              <w:widowControl w:val="0"/>
              <w:rPr>
                <w:color w:val="auto"/>
                <w:highlight w:val="none"/>
              </w:rPr>
            </w:pPr>
            <w:r>
              <w:rPr>
                <w:rFonts w:hint="eastAsia"/>
                <w:color w:val="auto"/>
                <w:highlight w:val="none"/>
              </w:rPr>
              <w:t>氨</w:t>
            </w:r>
          </w:p>
        </w:tc>
        <w:tc>
          <w:tcPr>
            <w:tcW w:w="3396" w:type="dxa"/>
            <w:tcBorders>
              <w:tl2br w:val="nil"/>
              <w:tr2bl w:val="nil"/>
            </w:tcBorders>
            <w:vAlign w:val="center"/>
          </w:tcPr>
          <w:p>
            <w:pPr>
              <w:pStyle w:val="28"/>
              <w:widowControl w:val="0"/>
              <w:rPr>
                <w:color w:val="auto"/>
                <w:highlight w:val="none"/>
              </w:rPr>
            </w:pPr>
            <w:r>
              <w:rPr>
                <w:rFonts w:hint="eastAsia"/>
                <w:color w:val="auto"/>
                <w:highlight w:val="none"/>
              </w:rPr>
              <w:t>环境空气和废气 氨的测定 纳氏试剂 分光光度法 HJ 533-2009</w:t>
            </w:r>
          </w:p>
        </w:tc>
        <w:tc>
          <w:tcPr>
            <w:tcW w:w="1770" w:type="dxa"/>
            <w:vMerge w:val="restart"/>
            <w:tcBorders>
              <w:tl2br w:val="nil"/>
              <w:tr2bl w:val="nil"/>
            </w:tcBorders>
            <w:vAlign w:val="center"/>
          </w:tcPr>
          <w:p>
            <w:pPr>
              <w:pStyle w:val="28"/>
              <w:widowControl w:val="0"/>
              <w:rPr>
                <w:color w:val="auto"/>
                <w:highlight w:val="none"/>
              </w:rPr>
            </w:pPr>
            <w:r>
              <w:rPr>
                <w:rFonts w:hint="eastAsia"/>
                <w:color w:val="auto"/>
                <w:highlight w:val="none"/>
              </w:rPr>
              <w:t>UV-1600型紫外可见分光光度计</w:t>
            </w:r>
          </w:p>
        </w:tc>
        <w:tc>
          <w:tcPr>
            <w:tcW w:w="1350" w:type="dxa"/>
            <w:vMerge w:val="restart"/>
            <w:tcBorders>
              <w:tl2br w:val="nil"/>
              <w:tr2bl w:val="nil"/>
            </w:tcBorders>
            <w:vAlign w:val="center"/>
          </w:tcPr>
          <w:p>
            <w:pPr>
              <w:pStyle w:val="28"/>
              <w:widowControl w:val="0"/>
              <w:rPr>
                <w:color w:val="auto"/>
                <w:highlight w:val="none"/>
              </w:rPr>
            </w:pPr>
            <w:r>
              <w:rPr>
                <w:rFonts w:hint="eastAsia"/>
                <w:color w:val="auto"/>
                <w:highlight w:val="none"/>
              </w:rPr>
              <w:t>XSJS-018-02</w:t>
            </w:r>
          </w:p>
        </w:tc>
        <w:tc>
          <w:tcPr>
            <w:tcW w:w="1278"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0.01mg/m</w:t>
            </w:r>
            <w:r>
              <w:rPr>
                <w:rFonts w:hint="eastAsia"/>
                <w:color w:val="auto"/>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Merge w:val="continue"/>
            <w:tcBorders>
              <w:tl2br w:val="nil"/>
              <w:tr2bl w:val="nil"/>
            </w:tcBorders>
            <w:vAlign w:val="center"/>
          </w:tcPr>
          <w:p>
            <w:pPr>
              <w:pStyle w:val="28"/>
              <w:widowControl w:val="0"/>
              <w:rPr>
                <w:color w:val="auto"/>
                <w:highlight w:val="none"/>
              </w:rPr>
            </w:pPr>
          </w:p>
        </w:tc>
        <w:tc>
          <w:tcPr>
            <w:tcW w:w="1125" w:type="dxa"/>
            <w:tcBorders>
              <w:tl2br w:val="nil"/>
              <w:tr2bl w:val="nil"/>
            </w:tcBorders>
            <w:vAlign w:val="center"/>
          </w:tcPr>
          <w:p>
            <w:pPr>
              <w:pStyle w:val="28"/>
              <w:widowControl w:val="0"/>
              <w:rPr>
                <w:color w:val="auto"/>
                <w:highlight w:val="none"/>
              </w:rPr>
            </w:pPr>
            <w:r>
              <w:rPr>
                <w:rFonts w:hint="eastAsia"/>
                <w:color w:val="auto"/>
                <w:highlight w:val="none"/>
              </w:rPr>
              <w:t>硫化氢</w:t>
            </w:r>
          </w:p>
        </w:tc>
        <w:tc>
          <w:tcPr>
            <w:tcW w:w="3396" w:type="dxa"/>
            <w:tcBorders>
              <w:tl2br w:val="nil"/>
              <w:tr2bl w:val="nil"/>
            </w:tcBorders>
            <w:vAlign w:val="center"/>
          </w:tcPr>
          <w:p>
            <w:pPr>
              <w:pStyle w:val="28"/>
              <w:widowControl w:val="0"/>
              <w:rPr>
                <w:color w:val="auto"/>
                <w:highlight w:val="none"/>
              </w:rPr>
            </w:pPr>
            <w:r>
              <w:rPr>
                <w:rFonts w:hint="eastAsia"/>
                <w:color w:val="auto"/>
                <w:highlight w:val="none"/>
              </w:rPr>
              <w:t>空气质量监测 亚甲基蓝分光光度法《空气和废气监测分析方法》第四版 国家环境保护总局（2003年）</w:t>
            </w:r>
          </w:p>
        </w:tc>
        <w:tc>
          <w:tcPr>
            <w:tcW w:w="1770" w:type="dxa"/>
            <w:vMerge w:val="continue"/>
            <w:tcBorders>
              <w:tl2br w:val="nil"/>
              <w:tr2bl w:val="nil"/>
            </w:tcBorders>
            <w:vAlign w:val="center"/>
          </w:tcPr>
          <w:p>
            <w:pPr>
              <w:pStyle w:val="28"/>
              <w:widowControl w:val="0"/>
              <w:rPr>
                <w:color w:val="auto"/>
                <w:highlight w:val="none"/>
              </w:rPr>
            </w:pPr>
          </w:p>
        </w:tc>
        <w:tc>
          <w:tcPr>
            <w:tcW w:w="1350" w:type="dxa"/>
            <w:vMerge w:val="continue"/>
            <w:tcBorders>
              <w:tl2br w:val="nil"/>
              <w:tr2bl w:val="nil"/>
            </w:tcBorders>
            <w:vAlign w:val="center"/>
          </w:tcPr>
          <w:p>
            <w:pPr>
              <w:pStyle w:val="28"/>
              <w:widowControl w:val="0"/>
              <w:rPr>
                <w:color w:val="auto"/>
                <w:highlight w:val="none"/>
              </w:rPr>
            </w:pPr>
          </w:p>
        </w:tc>
        <w:tc>
          <w:tcPr>
            <w:tcW w:w="1278" w:type="dxa"/>
            <w:tcBorders>
              <w:tl2br w:val="nil"/>
              <w:tr2bl w:val="nil"/>
            </w:tcBorders>
            <w:vAlign w:val="center"/>
          </w:tcPr>
          <w:p>
            <w:pPr>
              <w:pStyle w:val="28"/>
              <w:widowControl w:val="0"/>
              <w:rPr>
                <w:color w:val="auto"/>
                <w:highlight w:val="none"/>
              </w:rPr>
            </w:pPr>
            <w:r>
              <w:rPr>
                <w:rFonts w:hint="eastAsia"/>
                <w:color w:val="auto"/>
                <w:highlight w:val="none"/>
              </w:rPr>
              <w:t>0.001mg/m</w:t>
            </w:r>
            <w:r>
              <w:rPr>
                <w:rFonts w:hint="eastAsia"/>
                <w:color w:val="auto"/>
                <w:highlight w:val="none"/>
                <w:vertAlign w:val="superscript"/>
              </w:rPr>
              <w:t>3</w:t>
            </w:r>
          </w:p>
        </w:tc>
      </w:tr>
    </w:tbl>
    <w:p>
      <w:pPr>
        <w:widowControl w:val="0"/>
        <w:ind w:firstLine="480"/>
        <w:rPr>
          <w:color w:val="auto"/>
          <w:highlight w:val="none"/>
        </w:rPr>
      </w:pPr>
      <w:r>
        <w:rPr>
          <w:rFonts w:hint="eastAsia"/>
          <w:color w:val="auto"/>
          <w:highlight w:val="none"/>
        </w:rPr>
        <w:t>（3）环境空气现状评价</w:t>
      </w:r>
    </w:p>
    <w:p>
      <w:pPr>
        <w:pStyle w:val="27"/>
        <w:widowControl w:val="0"/>
        <w:rPr>
          <w:color w:val="auto"/>
          <w:highlight w:val="none"/>
        </w:rPr>
      </w:pPr>
      <w:r>
        <w:rPr>
          <w:rFonts w:hint="eastAsia"/>
          <w:color w:val="auto"/>
          <w:highlight w:val="none"/>
        </w:rPr>
        <w:t>环境空气质量标准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6"/>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b/>
                <w:bCs/>
                <w:color w:val="auto"/>
                <w:highlight w:val="none"/>
              </w:rPr>
            </w:pPr>
            <w:r>
              <w:rPr>
                <w:rFonts w:hint="eastAsia"/>
                <w:b/>
                <w:bCs/>
                <w:color w:val="auto"/>
                <w:highlight w:val="none"/>
              </w:rPr>
              <w:t>标准</w:t>
            </w:r>
          </w:p>
        </w:tc>
        <w:tc>
          <w:tcPr>
            <w:tcW w:w="2405" w:type="dxa"/>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2406" w:type="dxa"/>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c>
          <w:tcPr>
            <w:tcW w:w="2406" w:type="dxa"/>
            <w:tcBorders>
              <w:tl2br w:val="nil"/>
              <w:tr2bl w:val="nil"/>
            </w:tcBorders>
            <w:vAlign w:val="center"/>
          </w:tcPr>
          <w:p>
            <w:pPr>
              <w:pStyle w:val="28"/>
              <w:widowControl w:val="0"/>
              <w:rPr>
                <w:b/>
                <w:bCs/>
                <w:color w:val="auto"/>
                <w:highlight w:val="none"/>
              </w:rPr>
            </w:pPr>
            <w:r>
              <w:rPr>
                <w:rFonts w:hint="eastAsia"/>
                <w:b/>
                <w:bCs/>
                <w:color w:val="auto"/>
                <w:highlight w:val="none"/>
              </w:rPr>
              <w:t>NH</w:t>
            </w:r>
            <w:r>
              <w:rPr>
                <w:rFonts w:hint="eastAsia"/>
                <w:b/>
                <w:bCs/>
                <w:color w:val="auto"/>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28"/>
              <w:widowControl w:val="0"/>
              <w:rPr>
                <w:color w:val="auto"/>
                <w:highlight w:val="none"/>
              </w:rPr>
            </w:pPr>
            <w:r>
              <w:rPr>
                <w:rFonts w:hint="eastAsia"/>
                <w:color w:val="auto"/>
                <w:highlight w:val="none"/>
              </w:rPr>
              <w:t>HJ2.2-2018</w:t>
            </w:r>
          </w:p>
        </w:tc>
        <w:tc>
          <w:tcPr>
            <w:tcW w:w="2405" w:type="dxa"/>
            <w:tcBorders>
              <w:tl2br w:val="nil"/>
              <w:tr2bl w:val="nil"/>
            </w:tcBorders>
            <w:vAlign w:val="center"/>
          </w:tcPr>
          <w:p>
            <w:pPr>
              <w:pStyle w:val="28"/>
              <w:widowControl w:val="0"/>
              <w:rPr>
                <w:color w:val="auto"/>
                <w:highlight w:val="none"/>
              </w:rPr>
            </w:pPr>
            <w:r>
              <w:rPr>
                <w:rFonts w:hint="eastAsia"/>
                <w:color w:val="auto"/>
                <w:highlight w:val="none"/>
              </w:rPr>
              <w:t>1h平均</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4"/>
            <w:tcBorders>
              <w:tl2br w:val="nil"/>
              <w:tr2bl w:val="nil"/>
            </w:tcBorders>
            <w:vAlign w:val="center"/>
          </w:tcPr>
          <w:p>
            <w:pPr>
              <w:pStyle w:val="28"/>
              <w:widowControl w:val="0"/>
              <w:rPr>
                <w:color w:val="auto"/>
                <w:highlight w:val="none"/>
              </w:rPr>
            </w:pPr>
            <w:r>
              <w:rPr>
                <w:rFonts w:hint="eastAsia"/>
                <w:color w:val="auto"/>
                <w:highlight w:val="none"/>
              </w:rPr>
              <w:t>《环境影响评价技术导则大气环境》（HJ2.2-2018）中附录D1h平均浓度参考限值</w:t>
            </w:r>
          </w:p>
        </w:tc>
      </w:tr>
    </w:tbl>
    <w:p>
      <w:pPr>
        <w:widowControl w:val="0"/>
        <w:ind w:firstLine="480"/>
        <w:rPr>
          <w:color w:val="auto"/>
          <w:highlight w:val="none"/>
        </w:rPr>
      </w:pPr>
      <w:r>
        <w:rPr>
          <w:rFonts w:hint="eastAsia"/>
          <w:color w:val="auto"/>
          <w:highlight w:val="none"/>
        </w:rPr>
        <w:t>（4）评价方法</w:t>
      </w:r>
    </w:p>
    <w:p>
      <w:pPr>
        <w:widowControl w:val="0"/>
        <w:ind w:firstLine="480"/>
        <w:rPr>
          <w:color w:val="auto"/>
          <w:highlight w:val="none"/>
        </w:rPr>
      </w:pPr>
      <w:r>
        <w:rPr>
          <w:rFonts w:hint="eastAsia"/>
          <w:color w:val="auto"/>
          <w:highlight w:val="none"/>
        </w:rPr>
        <w:t>本次环境空气质量现状评价采用单项标准指数法。依据各污染物占标准限值的百分比来判断该种污染物对环境的污染贡献大小，评价其环境质量好坏程度。单项标准指数Pi计算表达式：</w:t>
      </w:r>
    </w:p>
    <w:p>
      <w:pPr>
        <w:widowControl w:val="0"/>
        <w:ind w:firstLine="0" w:firstLineChars="0"/>
        <w:jc w:val="center"/>
        <w:rPr>
          <w:color w:val="auto"/>
          <w:highlight w:val="none"/>
        </w:rPr>
      </w:pPr>
      <w:r>
        <w:rPr>
          <w:rFonts w:hint="eastAsia"/>
          <w:color w:val="auto"/>
          <w:position w:val="-12"/>
          <w:highlight w:val="none"/>
        </w:rPr>
        <w:object>
          <v:shape id="_x0000_i1027" o:spt="75" type="#_x0000_t75" style="height:17.85pt;width:57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8" r:id="rId32">
            <o:LockedField>false</o:LockedField>
          </o:OLEObject>
        </w:object>
      </w:r>
    </w:p>
    <w:p>
      <w:pPr>
        <w:widowControl w:val="0"/>
        <w:ind w:firstLine="480"/>
        <w:rPr>
          <w:color w:val="auto"/>
          <w:highlight w:val="none"/>
        </w:rPr>
      </w:pPr>
      <w:r>
        <w:rPr>
          <w:rFonts w:hint="eastAsia"/>
          <w:color w:val="auto"/>
          <w:highlight w:val="none"/>
        </w:rPr>
        <w:t>式中：P</w:t>
      </w:r>
      <w:r>
        <w:rPr>
          <w:rFonts w:hint="eastAsia"/>
          <w:color w:val="auto"/>
          <w:highlight w:val="none"/>
          <w:vertAlign w:val="subscript"/>
        </w:rPr>
        <w:t>i</w:t>
      </w:r>
      <w:r>
        <w:rPr>
          <w:rFonts w:hint="eastAsia"/>
          <w:color w:val="auto"/>
          <w:highlight w:val="none"/>
        </w:rPr>
        <w:t>——i中</w:t>
      </w:r>
      <w:r>
        <w:rPr>
          <w:rFonts w:hint="eastAsia" w:ascii="宋体" w:hAnsi="宋体"/>
          <w:color w:val="auto"/>
          <w:highlight w:val="none"/>
        </w:rPr>
        <w:t>种污染物标准数值；</w:t>
      </w:r>
    </w:p>
    <w:p>
      <w:pPr>
        <w:widowControl w:val="0"/>
        <w:ind w:firstLine="1200" w:firstLineChars="500"/>
        <w:rPr>
          <w:color w:val="auto"/>
          <w:highlight w:val="none"/>
        </w:rPr>
      </w:pPr>
      <w:r>
        <w:rPr>
          <w:rFonts w:hint="eastAsia"/>
          <w:color w:val="auto"/>
          <w:highlight w:val="none"/>
        </w:rPr>
        <w:t>C</w:t>
      </w:r>
      <w:r>
        <w:rPr>
          <w:rFonts w:hint="eastAsia"/>
          <w:color w:val="auto"/>
          <w:highlight w:val="none"/>
          <w:vertAlign w:val="subscript"/>
        </w:rPr>
        <w:t>i</w:t>
      </w:r>
      <w:r>
        <w:rPr>
          <w:rFonts w:hint="eastAsia"/>
          <w:color w:val="auto"/>
          <w:highlight w:val="none"/>
        </w:rPr>
        <w:t>——i种污染物实测日均浓度值，mg/m</w:t>
      </w:r>
      <w:r>
        <w:rPr>
          <w:rFonts w:hint="eastAsia"/>
          <w:color w:val="auto"/>
          <w:highlight w:val="none"/>
          <w:vertAlign w:val="superscript"/>
        </w:rPr>
        <w:t>3</w:t>
      </w:r>
      <w:r>
        <w:rPr>
          <w:rFonts w:hint="eastAsia"/>
          <w:color w:val="auto"/>
          <w:highlight w:val="none"/>
        </w:rPr>
        <w:t>；</w:t>
      </w:r>
    </w:p>
    <w:p>
      <w:pPr>
        <w:widowControl w:val="0"/>
        <w:ind w:firstLine="1200" w:firstLineChars="500"/>
        <w:rPr>
          <w:color w:val="auto"/>
          <w:highlight w:val="none"/>
        </w:rPr>
      </w:pPr>
      <w:r>
        <w:rPr>
          <w:rFonts w:hint="eastAsia"/>
          <w:color w:val="auto"/>
          <w:highlight w:val="none"/>
        </w:rPr>
        <w:t>C</w:t>
      </w:r>
      <w:r>
        <w:rPr>
          <w:rFonts w:hint="eastAsia"/>
          <w:color w:val="auto"/>
          <w:highlight w:val="none"/>
          <w:vertAlign w:val="subscript"/>
        </w:rPr>
        <w:t>oi</w:t>
      </w:r>
      <w:r>
        <w:rPr>
          <w:rFonts w:hint="eastAsia"/>
          <w:color w:val="auto"/>
          <w:highlight w:val="none"/>
        </w:rPr>
        <w:t>——i种污染物日均浓度标准值，mg/m</w:t>
      </w:r>
      <w:r>
        <w:rPr>
          <w:rFonts w:hint="eastAsia"/>
          <w:color w:val="auto"/>
          <w:highlight w:val="none"/>
          <w:vertAlign w:val="superscript"/>
        </w:rPr>
        <w:t>3</w:t>
      </w:r>
      <w:r>
        <w:rPr>
          <w:rFonts w:hint="eastAsia"/>
          <w:color w:val="auto"/>
          <w:highlight w:val="none"/>
        </w:rPr>
        <w:t>。</w:t>
      </w:r>
    </w:p>
    <w:p>
      <w:pPr>
        <w:widowControl w:val="0"/>
        <w:ind w:firstLine="480"/>
        <w:rPr>
          <w:color w:val="auto"/>
          <w:highlight w:val="none"/>
        </w:rPr>
      </w:pPr>
      <w:r>
        <w:rPr>
          <w:rFonts w:hint="eastAsia"/>
          <w:color w:val="auto"/>
          <w:highlight w:val="none"/>
        </w:rPr>
        <w:t>Pi值的大小反映污染物的污染程度，质量指数Pi&lt;1说明i污染物不超标，反之超标</w:t>
      </w:r>
      <w:r>
        <w:rPr>
          <w:rFonts w:hint="eastAsia" w:ascii="宋体" w:hAnsi="宋体"/>
          <w:color w:val="auto"/>
          <w:highlight w:val="none"/>
        </w:rPr>
        <w:t>。</w:t>
      </w:r>
    </w:p>
    <w:p>
      <w:pPr>
        <w:widowControl w:val="0"/>
        <w:ind w:firstLine="480"/>
        <w:rPr>
          <w:color w:val="auto"/>
          <w:highlight w:val="none"/>
        </w:rPr>
      </w:pPr>
      <w:r>
        <w:rPr>
          <w:rFonts w:hint="eastAsia"/>
          <w:color w:val="auto"/>
          <w:highlight w:val="none"/>
        </w:rPr>
        <w:t>（5）监测结果</w:t>
      </w:r>
    </w:p>
    <w:p>
      <w:pPr>
        <w:pStyle w:val="27"/>
        <w:widowControl w:val="0"/>
        <w:rPr>
          <w:color w:val="auto"/>
          <w:highlight w:val="none"/>
        </w:rPr>
      </w:pPr>
      <w:r>
        <w:rPr>
          <w:rFonts w:hint="eastAsia"/>
          <w:color w:val="auto"/>
          <w:highlight w:val="none"/>
        </w:rPr>
        <w:t>环境空气监测结果表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170"/>
        <w:gridCol w:w="1110"/>
        <w:gridCol w:w="907"/>
        <w:gridCol w:w="907"/>
        <w:gridCol w:w="907"/>
        <w:gridCol w:w="909"/>
        <w:gridCol w:w="1080"/>
        <w:gridCol w:w="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117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采样日期</w:t>
            </w:r>
          </w:p>
        </w:tc>
        <w:tc>
          <w:tcPr>
            <w:tcW w:w="111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3630" w:type="dxa"/>
            <w:gridSpan w:val="4"/>
            <w:tcBorders>
              <w:tl2br w:val="nil"/>
              <w:tr2bl w:val="nil"/>
            </w:tcBorders>
            <w:vAlign w:val="center"/>
          </w:tcPr>
          <w:p>
            <w:pPr>
              <w:pStyle w:val="28"/>
              <w:widowControl w:val="0"/>
              <w:rPr>
                <w:b/>
                <w:bCs/>
                <w:color w:val="auto"/>
                <w:highlight w:val="none"/>
              </w:rPr>
            </w:pPr>
            <w:r>
              <w:rPr>
                <w:rFonts w:hint="eastAsia"/>
                <w:b/>
                <w:bCs/>
                <w:color w:val="auto"/>
                <w:highlight w:val="none"/>
              </w:rPr>
              <w:t>检测结果（mg/m</w:t>
            </w:r>
            <w:r>
              <w:rPr>
                <w:rFonts w:hint="eastAsia"/>
                <w:b/>
                <w:bCs/>
                <w:color w:val="auto"/>
                <w:highlight w:val="none"/>
                <w:vertAlign w:val="superscript"/>
              </w:rPr>
              <w:t>3</w:t>
            </w:r>
            <w:r>
              <w:rPr>
                <w:rFonts w:hint="eastAsia"/>
                <w:b/>
                <w:bCs/>
                <w:color w:val="auto"/>
                <w:highlight w:val="none"/>
              </w:rPr>
              <w:t>）</w:t>
            </w:r>
          </w:p>
        </w:tc>
        <w:tc>
          <w:tcPr>
            <w:tcW w:w="108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标准限值</w:t>
            </w:r>
          </w:p>
          <w:p>
            <w:pPr>
              <w:pStyle w:val="28"/>
              <w:widowControl w:val="0"/>
              <w:rPr>
                <w:b/>
                <w:bCs/>
                <w:color w:val="auto"/>
                <w:highlight w:val="none"/>
              </w:rPr>
            </w:pPr>
            <w:r>
              <w:rPr>
                <w:rFonts w:hint="eastAsia"/>
                <w:b/>
                <w:bCs/>
                <w:color w:val="auto"/>
                <w:highlight w:val="none"/>
              </w:rPr>
              <w:t>（</w:t>
            </w:r>
            <w:r>
              <w:rPr>
                <w:b/>
                <w:bCs/>
                <w:color w:val="auto"/>
                <w:highlight w:val="none"/>
              </w:rPr>
              <w:t>μg/m</w:t>
            </w:r>
            <w:r>
              <w:rPr>
                <w:b/>
                <w:bCs/>
                <w:color w:val="auto"/>
                <w:highlight w:val="none"/>
                <w:vertAlign w:val="superscript"/>
              </w:rPr>
              <w:t>3</w:t>
            </w:r>
            <w:r>
              <w:rPr>
                <w:rFonts w:hint="eastAsia"/>
                <w:b/>
                <w:bCs/>
                <w:color w:val="auto"/>
                <w:highlight w:val="none"/>
              </w:rPr>
              <w:t>）</w:t>
            </w:r>
          </w:p>
        </w:tc>
        <w:tc>
          <w:tcPr>
            <w:tcW w:w="69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vMerge w:val="continue"/>
            <w:tcBorders>
              <w:tl2br w:val="nil"/>
              <w:tr2bl w:val="nil"/>
            </w:tcBorders>
            <w:vAlign w:val="center"/>
          </w:tcPr>
          <w:p>
            <w:pPr>
              <w:pStyle w:val="28"/>
              <w:widowControl w:val="0"/>
              <w:rPr>
                <w:color w:val="auto"/>
                <w:highlight w:val="none"/>
              </w:rPr>
            </w:pP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b/>
                <w:bCs/>
                <w:color w:val="auto"/>
                <w:highlight w:val="none"/>
              </w:rPr>
            </w:pPr>
            <w:r>
              <w:rPr>
                <w:rFonts w:hint="eastAsia"/>
                <w:b/>
                <w:bCs/>
                <w:color w:val="auto"/>
                <w:highlight w:val="none"/>
              </w:rPr>
              <w:t>第一次</w:t>
            </w:r>
          </w:p>
        </w:tc>
        <w:tc>
          <w:tcPr>
            <w:tcW w:w="907" w:type="dxa"/>
            <w:tcBorders>
              <w:tl2br w:val="nil"/>
              <w:tr2bl w:val="nil"/>
            </w:tcBorders>
            <w:vAlign w:val="center"/>
          </w:tcPr>
          <w:p>
            <w:pPr>
              <w:pStyle w:val="28"/>
              <w:widowControl w:val="0"/>
              <w:rPr>
                <w:b/>
                <w:bCs/>
                <w:color w:val="auto"/>
                <w:highlight w:val="none"/>
              </w:rPr>
            </w:pPr>
            <w:r>
              <w:rPr>
                <w:rFonts w:hint="eastAsia"/>
                <w:b/>
                <w:bCs/>
                <w:color w:val="auto"/>
                <w:highlight w:val="none"/>
              </w:rPr>
              <w:t>第二次</w:t>
            </w:r>
          </w:p>
        </w:tc>
        <w:tc>
          <w:tcPr>
            <w:tcW w:w="907" w:type="dxa"/>
            <w:tcBorders>
              <w:tl2br w:val="nil"/>
              <w:tr2bl w:val="nil"/>
            </w:tcBorders>
            <w:vAlign w:val="center"/>
          </w:tcPr>
          <w:p>
            <w:pPr>
              <w:pStyle w:val="28"/>
              <w:widowControl w:val="0"/>
              <w:rPr>
                <w:b/>
                <w:bCs/>
                <w:color w:val="auto"/>
                <w:highlight w:val="none"/>
              </w:rPr>
            </w:pPr>
            <w:r>
              <w:rPr>
                <w:rFonts w:hint="eastAsia"/>
                <w:b/>
                <w:bCs/>
                <w:color w:val="auto"/>
                <w:highlight w:val="none"/>
              </w:rPr>
              <w:t>第三次</w:t>
            </w:r>
          </w:p>
        </w:tc>
        <w:tc>
          <w:tcPr>
            <w:tcW w:w="909" w:type="dxa"/>
            <w:tcBorders>
              <w:tl2br w:val="nil"/>
              <w:tr2bl w:val="nil"/>
            </w:tcBorders>
            <w:vAlign w:val="center"/>
          </w:tcPr>
          <w:p>
            <w:pPr>
              <w:pStyle w:val="28"/>
              <w:widowControl w:val="0"/>
              <w:rPr>
                <w:b/>
                <w:bCs/>
                <w:color w:val="auto"/>
                <w:highlight w:val="none"/>
              </w:rPr>
            </w:pPr>
            <w:r>
              <w:rPr>
                <w:rFonts w:hint="eastAsia"/>
                <w:b/>
                <w:bCs/>
                <w:color w:val="auto"/>
                <w:highlight w:val="none"/>
              </w:rPr>
              <w:t>第四次</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28"/>
              <w:widowControl w:val="0"/>
              <w:rPr>
                <w:color w:val="auto"/>
                <w:highlight w:val="none"/>
              </w:rPr>
            </w:pPr>
            <w:r>
              <w:rPr>
                <w:rFonts w:hint="eastAsia"/>
                <w:color w:val="auto"/>
                <w:highlight w:val="none"/>
              </w:rPr>
              <w:t>1#项目地外西南侧</w:t>
            </w: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1月26日</w:t>
            </w:r>
          </w:p>
        </w:tc>
        <w:tc>
          <w:tcPr>
            <w:tcW w:w="1110" w:type="dxa"/>
            <w:vMerge w:val="restart"/>
            <w:tcBorders>
              <w:tl2br w:val="nil"/>
              <w:tr2bl w:val="nil"/>
            </w:tcBorders>
            <w:vAlign w:val="center"/>
          </w:tcPr>
          <w:p>
            <w:pPr>
              <w:pStyle w:val="28"/>
              <w:widowControl w:val="0"/>
              <w:rPr>
                <w:color w:val="auto"/>
                <w:highlight w:val="none"/>
              </w:rPr>
            </w:pPr>
            <w:r>
              <w:rPr>
                <w:rFonts w:hint="eastAsia"/>
                <w:color w:val="auto"/>
                <w:highlight w:val="none"/>
              </w:rPr>
              <w:t>氨</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0.03</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080" w:type="dxa"/>
            <w:vMerge w:val="restart"/>
            <w:tcBorders>
              <w:tl2br w:val="nil"/>
              <w:tr2bl w:val="nil"/>
            </w:tcBorders>
            <w:vAlign w:val="center"/>
          </w:tcPr>
          <w:p>
            <w:pPr>
              <w:pStyle w:val="28"/>
              <w:widowControl w:val="0"/>
              <w:rPr>
                <w:color w:val="auto"/>
                <w:highlight w:val="none"/>
              </w:rPr>
            </w:pPr>
            <w:r>
              <w:rPr>
                <w:rFonts w:hint="eastAsia"/>
                <w:color w:val="auto"/>
                <w:highlight w:val="none"/>
              </w:rPr>
              <w:t>200</w:t>
            </w:r>
          </w:p>
        </w:tc>
        <w:tc>
          <w:tcPr>
            <w:tcW w:w="690" w:type="dxa"/>
            <w:vMerge w:val="restart"/>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1月27日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0.04</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0.04</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0.05</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1月28日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0.04</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1月29日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0.03</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0.05</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1月30日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0.04</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1月31日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0.03</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0.03</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0.05</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2月1日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0.05</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28"/>
              <w:widowControl w:val="0"/>
              <w:rPr>
                <w:color w:val="auto"/>
                <w:highlight w:val="none"/>
              </w:rPr>
            </w:pPr>
            <w:r>
              <w:rPr>
                <w:rFonts w:hint="eastAsia"/>
                <w:color w:val="auto"/>
                <w:highlight w:val="none"/>
              </w:rPr>
              <w:t>1#项目地外西南侧</w:t>
            </w: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1月26日</w:t>
            </w:r>
          </w:p>
        </w:tc>
        <w:tc>
          <w:tcPr>
            <w:tcW w:w="1110" w:type="dxa"/>
            <w:vMerge w:val="restart"/>
            <w:tcBorders>
              <w:tl2br w:val="nil"/>
              <w:tr2bl w:val="nil"/>
            </w:tcBorders>
            <w:vAlign w:val="center"/>
          </w:tcPr>
          <w:p>
            <w:pPr>
              <w:pStyle w:val="28"/>
              <w:widowControl w:val="0"/>
              <w:rPr>
                <w:color w:val="auto"/>
                <w:highlight w:val="none"/>
              </w:rPr>
            </w:pPr>
            <w:r>
              <w:rPr>
                <w:rFonts w:hint="eastAsia"/>
                <w:color w:val="auto"/>
                <w:highlight w:val="none"/>
              </w:rPr>
              <w:t>硫化氢</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1080" w:type="dxa"/>
            <w:vMerge w:val="restart"/>
            <w:tcBorders>
              <w:tl2br w:val="nil"/>
              <w:tr2bl w:val="nil"/>
            </w:tcBorders>
            <w:vAlign w:val="center"/>
          </w:tcPr>
          <w:p>
            <w:pPr>
              <w:pStyle w:val="28"/>
              <w:widowControl w:val="0"/>
              <w:rPr>
                <w:color w:val="auto"/>
                <w:highlight w:val="none"/>
              </w:rPr>
            </w:pPr>
            <w:r>
              <w:rPr>
                <w:rFonts w:hint="eastAsia"/>
                <w:color w:val="auto"/>
                <w:highlight w:val="none"/>
              </w:rPr>
              <w:t>10</w:t>
            </w:r>
          </w:p>
        </w:tc>
        <w:tc>
          <w:tcPr>
            <w:tcW w:w="690" w:type="dxa"/>
            <w:vMerge w:val="restart"/>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1月27日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1月28日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1月29日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1月30日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1月31日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28"/>
              <w:widowControl w:val="0"/>
              <w:rPr>
                <w:color w:val="auto"/>
                <w:highlight w:val="none"/>
              </w:rPr>
            </w:pPr>
          </w:p>
        </w:tc>
        <w:tc>
          <w:tcPr>
            <w:tcW w:w="1170" w:type="dxa"/>
            <w:tcBorders>
              <w:tl2br w:val="nil"/>
              <w:tr2bl w:val="nil"/>
            </w:tcBorders>
            <w:vAlign w:val="center"/>
          </w:tcPr>
          <w:p>
            <w:pPr>
              <w:pStyle w:val="28"/>
              <w:widowControl w:val="0"/>
              <w:rPr>
                <w:color w:val="auto"/>
                <w:highlight w:val="none"/>
              </w:rPr>
            </w:pPr>
            <w:r>
              <w:rPr>
                <w:rFonts w:hint="eastAsia"/>
                <w:color w:val="auto"/>
                <w:highlight w:val="none"/>
              </w:rPr>
              <w:t>2月1日</w:t>
            </w:r>
          </w:p>
        </w:tc>
        <w:tc>
          <w:tcPr>
            <w:tcW w:w="1110" w:type="dxa"/>
            <w:vMerge w:val="continue"/>
            <w:tcBorders>
              <w:tl2br w:val="nil"/>
              <w:tr2bl w:val="nil"/>
            </w:tcBorders>
            <w:vAlign w:val="center"/>
          </w:tcPr>
          <w:p>
            <w:pPr>
              <w:pStyle w:val="28"/>
              <w:widowControl w:val="0"/>
              <w:rPr>
                <w:color w:val="auto"/>
                <w:highlight w:val="none"/>
              </w:rPr>
            </w:pP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909" w:type="dxa"/>
            <w:tcBorders>
              <w:tl2br w:val="nil"/>
              <w:tr2bl w:val="nil"/>
            </w:tcBorders>
            <w:vAlign w:val="center"/>
          </w:tcPr>
          <w:p>
            <w:pPr>
              <w:pStyle w:val="28"/>
              <w:widowControl w:val="0"/>
              <w:rPr>
                <w:color w:val="auto"/>
                <w:highlight w:val="none"/>
              </w:rPr>
            </w:pPr>
            <w:r>
              <w:rPr>
                <w:rFonts w:hint="eastAsia"/>
                <w:color w:val="auto"/>
                <w:highlight w:val="none"/>
              </w:rPr>
              <w:t>0.001</w:t>
            </w:r>
          </w:p>
        </w:tc>
        <w:tc>
          <w:tcPr>
            <w:tcW w:w="1080" w:type="dxa"/>
            <w:vMerge w:val="continue"/>
            <w:tcBorders>
              <w:tl2br w:val="nil"/>
              <w:tr2bl w:val="nil"/>
            </w:tcBorders>
            <w:vAlign w:val="center"/>
          </w:tcPr>
          <w:p>
            <w:pPr>
              <w:pStyle w:val="28"/>
              <w:widowControl w:val="0"/>
              <w:rPr>
                <w:color w:val="auto"/>
                <w:highlight w:val="none"/>
              </w:rPr>
            </w:pPr>
          </w:p>
        </w:tc>
        <w:tc>
          <w:tcPr>
            <w:tcW w:w="690"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（6）评价结果</w:t>
      </w:r>
    </w:p>
    <w:p>
      <w:pPr>
        <w:widowControl w:val="0"/>
        <w:ind w:firstLine="480"/>
        <w:rPr>
          <w:color w:val="auto"/>
          <w:highlight w:val="none"/>
        </w:rPr>
      </w:pPr>
      <w:r>
        <w:rPr>
          <w:rFonts w:hint="eastAsia"/>
          <w:color w:val="auto"/>
          <w:highlight w:val="none"/>
        </w:rPr>
        <w:t>由上表可见，项目所在区域硫化氢、氨监测值均无超标现象，满足《环境影响评价技术导则大气环境》（HJ2.2—2018）附录D中标准要求，项目评价区域内空气环境质量良好。</w:t>
      </w:r>
    </w:p>
    <w:p>
      <w:pPr>
        <w:pStyle w:val="5"/>
        <w:widowControl w:val="0"/>
        <w:ind w:firstLine="120"/>
        <w:rPr>
          <w:color w:val="auto"/>
          <w:highlight w:val="none"/>
        </w:rPr>
      </w:pPr>
      <w:r>
        <w:rPr>
          <w:rFonts w:hint="eastAsia"/>
          <w:color w:val="auto"/>
          <w:highlight w:val="none"/>
        </w:rPr>
        <w:t>地表水环境质量现状监测及评价</w:t>
      </w:r>
    </w:p>
    <w:p>
      <w:pPr>
        <w:pStyle w:val="6"/>
        <w:widowControl w:val="0"/>
        <w:ind w:left="-160" w:firstLineChars="0"/>
        <w:rPr>
          <w:color w:val="auto"/>
          <w:highlight w:val="none"/>
        </w:rPr>
      </w:pPr>
      <w:r>
        <w:rPr>
          <w:rFonts w:hint="eastAsia"/>
          <w:color w:val="auto"/>
          <w:highlight w:val="none"/>
        </w:rPr>
        <w:t>根据</w:t>
      </w:r>
      <w:r>
        <w:rPr>
          <w:color w:val="auto"/>
          <w:highlight w:val="none"/>
        </w:rPr>
        <w:t>平昌县环境质量状况公报</w:t>
      </w:r>
      <w:r>
        <w:rPr>
          <w:rFonts w:hint="eastAsia"/>
          <w:color w:val="auto"/>
          <w:highlight w:val="none"/>
        </w:rPr>
        <w:t>分析</w:t>
      </w:r>
    </w:p>
    <w:p>
      <w:pPr>
        <w:widowControl w:val="0"/>
        <w:ind w:firstLine="480"/>
        <w:rPr>
          <w:color w:val="auto"/>
          <w:highlight w:val="none"/>
        </w:rPr>
      </w:pPr>
      <w:r>
        <w:rPr>
          <w:rFonts w:hint="eastAsia"/>
          <w:color w:val="auto"/>
          <w:highlight w:val="none"/>
        </w:rPr>
        <w:t>本项目位于平昌县响滩镇石泉村，附近地表水体是濛溪河，项目营运期产生的生产废水经厂内自建污水处理站处理后排入元坨社区市政污水管网，通过市政污水管网汇入响滩镇污水处理厂处理。</w:t>
      </w:r>
      <w:r>
        <w:rPr>
          <w:color w:val="auto"/>
          <w:highlight w:val="none"/>
        </w:rPr>
        <w:t>根据《建设项目环境影响报告表编制技术指南（污染影响类）（试行）》中有关地</w:t>
      </w:r>
      <w:r>
        <w:rPr>
          <w:rFonts w:hint="eastAsia"/>
          <w:color w:val="auto"/>
          <w:highlight w:val="none"/>
        </w:rPr>
        <w:t>表</w:t>
      </w:r>
      <w:r>
        <w:rPr>
          <w:color w:val="auto"/>
          <w:highlight w:val="none"/>
        </w:rPr>
        <w:t>水质量现状调查的规定，应引用与建设项目距离近的有效数据，包括近3年的规划环境影响评价的监测数据，所在流域控制单元内国家、地方控制断面监测数据，生态环境主管部门发布的水环境质量数据或地表水达标情况的结论。因此，本次评价选用巴中市平昌生态环境局公布的《平昌县环境质量状况公报（2020年度）》结论进行评价。</w:t>
      </w:r>
    </w:p>
    <w:p>
      <w:pPr>
        <w:widowControl w:val="0"/>
        <w:ind w:firstLine="480"/>
        <w:rPr>
          <w:color w:val="auto"/>
          <w:highlight w:val="none"/>
        </w:rPr>
      </w:pPr>
      <w:r>
        <w:rPr>
          <w:color w:val="auto"/>
          <w:highlight w:val="none"/>
        </w:rPr>
        <w:t>根据《平昌县环境质量状况公报（2020年度）》，平昌县域5个地表水断面水质总体评价均为Ⅱ类，达标率100%；全县布设的25条（河长制）重要河流监测断面水质除四季度曾家沟水质为Ⅴ类、洗脚溪桥水质为Ⅳ类，其余断面各季度水质均达到或优于Ⅲ类标准；9个重要水功能区断面中除鸭子滩二季度水质为Ⅲ类（水质目标为Ⅱ类）外，其余功能区各季度水质均达到相应水质目标。因此，平昌县区域地表水环境质量状况较好。</w:t>
      </w:r>
    </w:p>
    <w:p>
      <w:pPr>
        <w:pStyle w:val="6"/>
        <w:widowControl w:val="0"/>
        <w:ind w:left="-160" w:firstLineChars="0"/>
        <w:rPr>
          <w:color w:val="auto"/>
          <w:highlight w:val="none"/>
        </w:rPr>
      </w:pPr>
      <w:r>
        <w:rPr>
          <w:rFonts w:hint="eastAsia"/>
          <w:color w:val="auto"/>
          <w:highlight w:val="none"/>
        </w:rPr>
        <w:t>现状监测分析</w:t>
      </w:r>
    </w:p>
    <w:p>
      <w:pPr>
        <w:widowControl w:val="0"/>
        <w:ind w:firstLine="480"/>
        <w:rPr>
          <w:color w:val="auto"/>
          <w:highlight w:val="none"/>
        </w:rPr>
      </w:pPr>
      <w:r>
        <w:rPr>
          <w:rFonts w:hint="eastAsia"/>
          <w:color w:val="auto"/>
          <w:highlight w:val="none"/>
        </w:rPr>
        <w:t>本项目位于平昌县响滩镇石泉村，附近地表水体是濛溪河，项目营运期产生的生产废水与生活污水经内自建污水处理站处理后排入元坨社区市政污水管网，通过市政污水管网汇入响滩镇污水处理厂处理。本次评价委托四川锡水金山环保科技有限公司于2021年10月20日-10月22日对本项目评价区内的地表水环境质量现状进行了监测。</w:t>
      </w:r>
    </w:p>
    <w:p>
      <w:pPr>
        <w:widowControl w:val="0"/>
        <w:ind w:firstLine="480"/>
        <w:rPr>
          <w:color w:val="auto"/>
          <w:highlight w:val="none"/>
        </w:rPr>
      </w:pPr>
      <w:r>
        <w:rPr>
          <w:rFonts w:hint="eastAsia"/>
          <w:color w:val="auto"/>
          <w:highlight w:val="none"/>
        </w:rPr>
        <w:t>（1）监测内容及频次</w:t>
      </w:r>
    </w:p>
    <w:p>
      <w:pPr>
        <w:pStyle w:val="27"/>
        <w:widowControl w:val="0"/>
        <w:rPr>
          <w:color w:val="auto"/>
          <w:highlight w:val="none"/>
        </w:rPr>
      </w:pPr>
      <w:r>
        <w:rPr>
          <w:rFonts w:hint="eastAsia"/>
          <w:color w:val="auto"/>
          <w:highlight w:val="none"/>
        </w:rPr>
        <w:t>地表水监测内容及频次</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684"/>
        <w:gridCol w:w="900"/>
        <w:gridCol w:w="3766"/>
        <w:gridCol w:w="630"/>
        <w:gridCol w:w="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9"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2684"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90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点位数</w:t>
            </w:r>
          </w:p>
        </w:tc>
        <w:tc>
          <w:tcPr>
            <w:tcW w:w="3766"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1413"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9" w:type="dxa"/>
            <w:vMerge w:val="continue"/>
            <w:tcBorders>
              <w:tl2br w:val="nil"/>
              <w:tr2bl w:val="nil"/>
            </w:tcBorders>
            <w:vAlign w:val="center"/>
          </w:tcPr>
          <w:p>
            <w:pPr>
              <w:pStyle w:val="28"/>
              <w:widowControl w:val="0"/>
              <w:rPr>
                <w:b/>
                <w:bCs/>
                <w:color w:val="auto"/>
                <w:highlight w:val="none"/>
              </w:rPr>
            </w:pPr>
          </w:p>
        </w:tc>
        <w:tc>
          <w:tcPr>
            <w:tcW w:w="2684" w:type="dxa"/>
            <w:vMerge w:val="continue"/>
            <w:tcBorders>
              <w:tl2br w:val="nil"/>
              <w:tr2bl w:val="nil"/>
            </w:tcBorders>
            <w:vAlign w:val="center"/>
          </w:tcPr>
          <w:p>
            <w:pPr>
              <w:pStyle w:val="28"/>
              <w:widowControl w:val="0"/>
              <w:rPr>
                <w:b/>
                <w:bCs/>
                <w:color w:val="auto"/>
                <w:highlight w:val="none"/>
              </w:rPr>
            </w:pPr>
          </w:p>
        </w:tc>
        <w:tc>
          <w:tcPr>
            <w:tcW w:w="900" w:type="dxa"/>
            <w:vMerge w:val="continue"/>
            <w:tcBorders>
              <w:tl2br w:val="nil"/>
              <w:tr2bl w:val="nil"/>
            </w:tcBorders>
            <w:vAlign w:val="center"/>
          </w:tcPr>
          <w:p>
            <w:pPr>
              <w:pStyle w:val="28"/>
              <w:widowControl w:val="0"/>
              <w:rPr>
                <w:b/>
                <w:bCs/>
                <w:color w:val="auto"/>
                <w:highlight w:val="none"/>
              </w:rPr>
            </w:pPr>
          </w:p>
        </w:tc>
        <w:tc>
          <w:tcPr>
            <w:tcW w:w="3766" w:type="dxa"/>
            <w:vMerge w:val="continue"/>
            <w:tcBorders>
              <w:tl2br w:val="nil"/>
              <w:tr2bl w:val="nil"/>
            </w:tcBorders>
            <w:vAlign w:val="center"/>
          </w:tcPr>
          <w:p>
            <w:pPr>
              <w:pStyle w:val="28"/>
              <w:widowControl w:val="0"/>
              <w:rPr>
                <w:b/>
                <w:bCs/>
                <w:color w:val="auto"/>
                <w:highlight w:val="none"/>
              </w:rPr>
            </w:pPr>
          </w:p>
        </w:tc>
        <w:tc>
          <w:tcPr>
            <w:tcW w:w="630" w:type="dxa"/>
            <w:tcBorders>
              <w:tl2br w:val="nil"/>
              <w:tr2bl w:val="nil"/>
            </w:tcBorders>
            <w:vAlign w:val="center"/>
          </w:tcPr>
          <w:p>
            <w:pPr>
              <w:pStyle w:val="28"/>
              <w:widowControl w:val="0"/>
              <w:rPr>
                <w:b/>
                <w:bCs/>
                <w:color w:val="auto"/>
                <w:highlight w:val="none"/>
              </w:rPr>
            </w:pPr>
            <w:r>
              <w:rPr>
                <w:rFonts w:hint="eastAsia"/>
                <w:b/>
                <w:bCs/>
                <w:color w:val="auto"/>
                <w:highlight w:val="none"/>
              </w:rPr>
              <w:t>天</w:t>
            </w:r>
          </w:p>
        </w:tc>
        <w:tc>
          <w:tcPr>
            <w:tcW w:w="783" w:type="dxa"/>
            <w:tcBorders>
              <w:tl2br w:val="nil"/>
              <w:tr2bl w:val="nil"/>
            </w:tcBorders>
            <w:vAlign w:val="center"/>
          </w:tcPr>
          <w:p>
            <w:pPr>
              <w:pStyle w:val="28"/>
              <w:widowControl w:val="0"/>
              <w:rPr>
                <w:b/>
                <w:bCs/>
                <w:color w:val="auto"/>
                <w:highlight w:val="none"/>
              </w:rPr>
            </w:pPr>
            <w:r>
              <w:rPr>
                <w:rFonts w:hint="eastAsia"/>
                <w:b/>
                <w:bCs/>
                <w:color w:val="auto"/>
                <w:highlight w:val="none"/>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9" w:type="dxa"/>
            <w:tcBorders>
              <w:tl2br w:val="nil"/>
              <w:tr2bl w:val="nil"/>
            </w:tcBorders>
            <w:vAlign w:val="center"/>
          </w:tcPr>
          <w:p>
            <w:pPr>
              <w:pStyle w:val="28"/>
              <w:widowControl w:val="0"/>
              <w:rPr>
                <w:color w:val="auto"/>
                <w:highlight w:val="none"/>
              </w:rPr>
            </w:pPr>
            <w:r>
              <w:rPr>
                <w:rFonts w:hint="eastAsia"/>
                <w:color w:val="auto"/>
                <w:highlight w:val="none"/>
              </w:rPr>
              <w:t>地表水</w:t>
            </w:r>
          </w:p>
        </w:tc>
        <w:tc>
          <w:tcPr>
            <w:tcW w:w="2684" w:type="dxa"/>
            <w:tcBorders>
              <w:tl2br w:val="nil"/>
              <w:tr2bl w:val="nil"/>
            </w:tcBorders>
            <w:vAlign w:val="center"/>
          </w:tcPr>
          <w:p>
            <w:pPr>
              <w:pStyle w:val="28"/>
              <w:widowControl w:val="0"/>
              <w:rPr>
                <w:color w:val="auto"/>
                <w:highlight w:val="none"/>
              </w:rPr>
            </w:pPr>
            <w:r>
              <w:rPr>
                <w:rFonts w:hint="eastAsia"/>
                <w:color w:val="auto"/>
                <w:highlight w:val="none"/>
              </w:rPr>
              <w:t>1#拟建项目上游500m</w:t>
            </w:r>
          </w:p>
          <w:p>
            <w:pPr>
              <w:pStyle w:val="28"/>
              <w:widowControl w:val="0"/>
              <w:rPr>
                <w:color w:val="auto"/>
                <w:highlight w:val="none"/>
              </w:rPr>
            </w:pPr>
            <w:r>
              <w:rPr>
                <w:rFonts w:hint="eastAsia"/>
                <w:color w:val="auto"/>
                <w:highlight w:val="none"/>
              </w:rPr>
              <w:t>2#拟建项目下游1000m</w:t>
            </w:r>
          </w:p>
          <w:p>
            <w:pPr>
              <w:pStyle w:val="28"/>
              <w:widowControl w:val="0"/>
              <w:rPr>
                <w:color w:val="auto"/>
                <w:highlight w:val="none"/>
              </w:rPr>
            </w:pPr>
            <w:r>
              <w:rPr>
                <w:rFonts w:hint="eastAsia"/>
                <w:color w:val="auto"/>
                <w:highlight w:val="none"/>
              </w:rPr>
              <w:t>3#拟建项目下游3000m</w:t>
            </w:r>
          </w:p>
        </w:tc>
        <w:tc>
          <w:tcPr>
            <w:tcW w:w="900"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3766" w:type="dxa"/>
            <w:tcBorders>
              <w:tl2br w:val="nil"/>
              <w:tr2bl w:val="nil"/>
            </w:tcBorders>
            <w:vAlign w:val="center"/>
          </w:tcPr>
          <w:p>
            <w:pPr>
              <w:pStyle w:val="28"/>
              <w:widowControl w:val="0"/>
              <w:rPr>
                <w:color w:val="auto"/>
                <w:highlight w:val="none"/>
              </w:rPr>
            </w:pPr>
            <w:r>
              <w:rPr>
                <w:color w:val="auto"/>
                <w:highlight w:val="none"/>
              </w:rPr>
              <w:t>pH、水温、溶解氧、悬浮物、化学需氧量、五日生化需氧量、氨氮、总磷、总氮、粪大肠菌群、挥发酚</w:t>
            </w:r>
          </w:p>
        </w:tc>
        <w:tc>
          <w:tcPr>
            <w:tcW w:w="630"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783" w:type="dxa"/>
            <w:tcBorders>
              <w:tl2br w:val="nil"/>
              <w:tr2bl w:val="nil"/>
            </w:tcBorders>
            <w:vAlign w:val="center"/>
          </w:tcPr>
          <w:p>
            <w:pPr>
              <w:pStyle w:val="28"/>
              <w:widowControl w:val="0"/>
              <w:rPr>
                <w:color w:val="auto"/>
                <w:highlight w:val="none"/>
              </w:rPr>
            </w:pPr>
            <w:r>
              <w:rPr>
                <w:rFonts w:hint="eastAsia"/>
                <w:color w:val="auto"/>
                <w:highlight w:val="none"/>
              </w:rPr>
              <w:t>1</w:t>
            </w:r>
          </w:p>
        </w:tc>
      </w:tr>
    </w:tbl>
    <w:p>
      <w:pPr>
        <w:widowControl w:val="0"/>
        <w:ind w:firstLine="480"/>
        <w:rPr>
          <w:color w:val="auto"/>
          <w:highlight w:val="none"/>
        </w:rPr>
      </w:pPr>
      <w:r>
        <w:rPr>
          <w:rFonts w:hint="eastAsia"/>
          <w:color w:val="auto"/>
          <w:highlight w:val="none"/>
        </w:rPr>
        <w:t>（2）采样方法及仪器</w:t>
      </w:r>
    </w:p>
    <w:p>
      <w:pPr>
        <w:pStyle w:val="27"/>
        <w:widowControl w:val="0"/>
        <w:rPr>
          <w:color w:val="auto"/>
          <w:highlight w:val="none"/>
        </w:rPr>
      </w:pPr>
      <w:r>
        <w:rPr>
          <w:rFonts w:hint="eastAsia"/>
          <w:color w:val="auto"/>
          <w:highlight w:val="none"/>
        </w:rPr>
        <w:t>地表水采样方法依据及仪器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440"/>
        <w:gridCol w:w="1857"/>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4440" w:type="dxa"/>
            <w:tcBorders>
              <w:tl2br w:val="nil"/>
              <w:tr2bl w:val="nil"/>
            </w:tcBorders>
            <w:vAlign w:val="center"/>
          </w:tcPr>
          <w:p>
            <w:pPr>
              <w:pStyle w:val="28"/>
              <w:widowControl w:val="0"/>
              <w:rPr>
                <w:b/>
                <w:bCs/>
                <w:color w:val="auto"/>
                <w:highlight w:val="none"/>
              </w:rPr>
            </w:pPr>
            <w:r>
              <w:rPr>
                <w:rFonts w:hint="eastAsia"/>
                <w:b/>
                <w:bCs/>
                <w:color w:val="auto"/>
                <w:highlight w:val="none"/>
              </w:rPr>
              <w:t>采样方法及依据</w:t>
            </w:r>
          </w:p>
        </w:tc>
        <w:tc>
          <w:tcPr>
            <w:tcW w:w="1857" w:type="dxa"/>
            <w:tcBorders>
              <w:tl2br w:val="nil"/>
              <w:tr2bl w:val="nil"/>
            </w:tcBorders>
            <w:vAlign w:val="center"/>
          </w:tcPr>
          <w:p>
            <w:pPr>
              <w:pStyle w:val="28"/>
              <w:widowControl w:val="0"/>
              <w:rPr>
                <w:b/>
                <w:bCs/>
                <w:color w:val="auto"/>
                <w:highlight w:val="none"/>
              </w:rPr>
            </w:pPr>
            <w:r>
              <w:rPr>
                <w:rFonts w:hint="eastAsia"/>
                <w:b/>
                <w:bCs/>
                <w:color w:val="auto"/>
                <w:highlight w:val="none"/>
              </w:rPr>
              <w:t>所用仪器</w:t>
            </w:r>
          </w:p>
        </w:tc>
        <w:tc>
          <w:tcPr>
            <w:tcW w:w="2406" w:type="dxa"/>
            <w:tcBorders>
              <w:tl2br w:val="nil"/>
              <w:tr2bl w:val="nil"/>
            </w:tcBorders>
            <w:vAlign w:val="center"/>
          </w:tcPr>
          <w:p>
            <w:pPr>
              <w:pStyle w:val="28"/>
              <w:widowControl w:val="0"/>
              <w:rPr>
                <w:b/>
                <w:bCs/>
                <w:color w:val="auto"/>
                <w:highlight w:val="none"/>
              </w:rPr>
            </w:pPr>
            <w:r>
              <w:rPr>
                <w:rFonts w:hint="eastAsia"/>
                <w:b/>
                <w:bCs/>
                <w:color w:val="auto"/>
                <w:highlight w:val="none"/>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pPr>
              <w:pStyle w:val="28"/>
              <w:widowControl w:val="0"/>
              <w:rPr>
                <w:color w:val="auto"/>
                <w:highlight w:val="none"/>
              </w:rPr>
            </w:pPr>
            <w:r>
              <w:rPr>
                <w:rFonts w:hint="eastAsia"/>
                <w:color w:val="auto"/>
                <w:highlight w:val="none"/>
              </w:rPr>
              <w:t>地表水</w:t>
            </w:r>
          </w:p>
        </w:tc>
        <w:tc>
          <w:tcPr>
            <w:tcW w:w="4440" w:type="dxa"/>
            <w:tcBorders>
              <w:tl2br w:val="nil"/>
              <w:tr2bl w:val="nil"/>
            </w:tcBorders>
            <w:vAlign w:val="center"/>
          </w:tcPr>
          <w:p>
            <w:pPr>
              <w:pStyle w:val="28"/>
              <w:widowControl w:val="0"/>
              <w:rPr>
                <w:color w:val="auto"/>
                <w:highlight w:val="none"/>
              </w:rPr>
            </w:pPr>
            <w:r>
              <w:rPr>
                <w:rFonts w:hint="eastAsia"/>
                <w:color w:val="auto"/>
                <w:highlight w:val="none"/>
              </w:rPr>
              <w:t>地表水和污水监测技术规范 HJ/T 91-2002</w:t>
            </w:r>
          </w:p>
        </w:tc>
        <w:tc>
          <w:tcPr>
            <w:tcW w:w="1857" w:type="dxa"/>
            <w:tcBorders>
              <w:tl2br w:val="nil"/>
              <w:tr2bl w:val="nil"/>
            </w:tcBorders>
            <w:vAlign w:val="center"/>
          </w:tcPr>
          <w:p>
            <w:pPr>
              <w:pStyle w:val="28"/>
              <w:widowControl w:val="0"/>
              <w:rPr>
                <w:color w:val="auto"/>
                <w:highlight w:val="none"/>
              </w:rPr>
            </w:pPr>
            <w:r>
              <w:rPr>
                <w:rFonts w:hint="eastAsia"/>
                <w:color w:val="auto"/>
                <w:highlight w:val="none"/>
              </w:rPr>
              <w:t>取水器</w:t>
            </w:r>
          </w:p>
        </w:tc>
        <w:tc>
          <w:tcPr>
            <w:tcW w:w="2406"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rPr>
          <w:color w:val="auto"/>
          <w:highlight w:val="none"/>
        </w:rPr>
      </w:pPr>
      <w:r>
        <w:rPr>
          <w:rFonts w:hint="eastAsia"/>
          <w:color w:val="auto"/>
          <w:highlight w:val="none"/>
        </w:rPr>
        <w:t>（3）监测方法及仪器</w:t>
      </w:r>
    </w:p>
    <w:p>
      <w:pPr>
        <w:pStyle w:val="27"/>
        <w:widowControl w:val="0"/>
        <w:rPr>
          <w:color w:val="auto"/>
          <w:highlight w:val="none"/>
        </w:rPr>
      </w:pPr>
      <w:r>
        <w:rPr>
          <w:rFonts w:hint="eastAsia"/>
          <w:color w:val="auto"/>
          <w:highlight w:val="none"/>
        </w:rPr>
        <w:t>监测项目、方法依据、仪器及检测限</w:t>
      </w:r>
    </w:p>
    <w:tbl>
      <w:tblPr>
        <w:tblStyle w:val="22"/>
        <w:tblW w:w="9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970"/>
        <w:gridCol w:w="1199"/>
        <w:gridCol w:w="3810"/>
        <w:gridCol w:w="1275"/>
        <w:gridCol w:w="127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90" w:hRule="atLeast"/>
          <w:tblHeader/>
          <w:jc w:val="center"/>
        </w:trPr>
        <w:tc>
          <w:tcPr>
            <w:tcW w:w="970" w:type="dxa"/>
            <w:vAlign w:val="center"/>
          </w:tcPr>
          <w:p>
            <w:pPr>
              <w:pStyle w:val="28"/>
              <w:widowControl w:val="0"/>
              <w:rPr>
                <w:b/>
                <w:bCs/>
                <w:color w:val="auto"/>
                <w:highlight w:val="none"/>
              </w:rPr>
            </w:pPr>
            <w:r>
              <w:rPr>
                <w:b/>
                <w:bCs/>
                <w:color w:val="auto"/>
                <w:highlight w:val="none"/>
              </w:rPr>
              <w:t>类别</w:t>
            </w:r>
          </w:p>
        </w:tc>
        <w:tc>
          <w:tcPr>
            <w:tcW w:w="1199" w:type="dxa"/>
            <w:vAlign w:val="center"/>
          </w:tcPr>
          <w:p>
            <w:pPr>
              <w:pStyle w:val="28"/>
              <w:widowControl w:val="0"/>
              <w:rPr>
                <w:b/>
                <w:bCs/>
                <w:color w:val="auto"/>
                <w:highlight w:val="none"/>
              </w:rPr>
            </w:pPr>
            <w:r>
              <w:rPr>
                <w:rFonts w:hint="eastAsia"/>
                <w:b/>
                <w:bCs/>
                <w:color w:val="auto"/>
                <w:highlight w:val="none"/>
              </w:rPr>
              <w:t>监测</w:t>
            </w:r>
            <w:r>
              <w:rPr>
                <w:b/>
                <w:bCs/>
                <w:color w:val="auto"/>
                <w:highlight w:val="none"/>
              </w:rPr>
              <w:t>项目</w:t>
            </w:r>
          </w:p>
        </w:tc>
        <w:tc>
          <w:tcPr>
            <w:tcW w:w="3810" w:type="dxa"/>
            <w:vAlign w:val="center"/>
          </w:tcPr>
          <w:p>
            <w:pPr>
              <w:pStyle w:val="28"/>
              <w:widowControl w:val="0"/>
              <w:rPr>
                <w:b/>
                <w:bCs/>
                <w:color w:val="auto"/>
                <w:highlight w:val="none"/>
              </w:rPr>
            </w:pPr>
            <w:r>
              <w:rPr>
                <w:rFonts w:hint="eastAsia"/>
                <w:b/>
                <w:bCs/>
                <w:color w:val="auto"/>
                <w:highlight w:val="none"/>
              </w:rPr>
              <w:t>监测</w:t>
            </w:r>
            <w:r>
              <w:rPr>
                <w:b/>
                <w:bCs/>
                <w:color w:val="auto"/>
                <w:highlight w:val="none"/>
              </w:rPr>
              <w:t>方法及依据</w:t>
            </w:r>
          </w:p>
        </w:tc>
        <w:tc>
          <w:tcPr>
            <w:tcW w:w="1275" w:type="dxa"/>
            <w:vAlign w:val="center"/>
          </w:tcPr>
          <w:p>
            <w:pPr>
              <w:pStyle w:val="28"/>
              <w:widowControl w:val="0"/>
              <w:rPr>
                <w:b/>
                <w:bCs/>
                <w:color w:val="auto"/>
                <w:highlight w:val="none"/>
              </w:rPr>
            </w:pPr>
            <w:r>
              <w:rPr>
                <w:b/>
                <w:bCs/>
                <w:color w:val="auto"/>
                <w:highlight w:val="none"/>
              </w:rPr>
              <w:t>所用仪器</w:t>
            </w:r>
          </w:p>
        </w:tc>
        <w:tc>
          <w:tcPr>
            <w:tcW w:w="1275" w:type="dxa"/>
            <w:vAlign w:val="center"/>
          </w:tcPr>
          <w:p>
            <w:pPr>
              <w:pStyle w:val="28"/>
              <w:widowControl w:val="0"/>
              <w:rPr>
                <w:b/>
                <w:bCs/>
                <w:color w:val="auto"/>
                <w:highlight w:val="none"/>
              </w:rPr>
            </w:pPr>
            <w:r>
              <w:rPr>
                <w:b/>
                <w:bCs/>
                <w:color w:val="auto"/>
                <w:highlight w:val="none"/>
              </w:rPr>
              <w:t>仪器编号</w:t>
            </w:r>
          </w:p>
        </w:tc>
        <w:tc>
          <w:tcPr>
            <w:tcW w:w="1222" w:type="dxa"/>
            <w:vAlign w:val="center"/>
          </w:tcPr>
          <w:p>
            <w:pPr>
              <w:pStyle w:val="28"/>
              <w:widowControl w:val="0"/>
              <w:rPr>
                <w:b/>
                <w:bCs/>
                <w:color w:val="auto"/>
                <w:highlight w:val="none"/>
              </w:rPr>
            </w:pPr>
            <w:r>
              <w:rPr>
                <w:b/>
                <w:bCs/>
                <w:color w:val="auto"/>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restart"/>
            <w:vAlign w:val="center"/>
          </w:tcPr>
          <w:p>
            <w:pPr>
              <w:pStyle w:val="28"/>
              <w:widowControl w:val="0"/>
              <w:rPr>
                <w:color w:val="auto"/>
                <w:highlight w:val="none"/>
              </w:rPr>
            </w:pPr>
            <w:r>
              <w:rPr>
                <w:color w:val="auto"/>
                <w:highlight w:val="none"/>
              </w:rPr>
              <w:t>地表水</w:t>
            </w:r>
            <w:r>
              <w:rPr>
                <w:color w:val="auto"/>
                <w:highlight w:val="none"/>
              </w:rPr>
              <w:br w:type="page"/>
            </w:r>
            <w:r>
              <w:rPr>
                <w:color w:val="auto"/>
                <w:highlight w:val="none"/>
              </w:rPr>
              <w:br w:type="page"/>
            </w:r>
          </w:p>
        </w:tc>
        <w:tc>
          <w:tcPr>
            <w:tcW w:w="1199" w:type="dxa"/>
            <w:vAlign w:val="center"/>
          </w:tcPr>
          <w:p>
            <w:pPr>
              <w:pStyle w:val="28"/>
              <w:widowControl w:val="0"/>
              <w:rPr>
                <w:color w:val="auto"/>
                <w:highlight w:val="none"/>
              </w:rPr>
            </w:pPr>
            <w:r>
              <w:rPr>
                <w:color w:val="auto"/>
                <w:highlight w:val="none"/>
              </w:rPr>
              <w:t>pH</w:t>
            </w:r>
          </w:p>
        </w:tc>
        <w:tc>
          <w:tcPr>
            <w:tcW w:w="3810" w:type="dxa"/>
            <w:vAlign w:val="center"/>
          </w:tcPr>
          <w:p>
            <w:pPr>
              <w:pStyle w:val="28"/>
              <w:widowControl w:val="0"/>
              <w:rPr>
                <w:color w:val="auto"/>
                <w:highlight w:val="none"/>
              </w:rPr>
            </w:pPr>
            <w:r>
              <w:rPr>
                <w:color w:val="auto"/>
                <w:highlight w:val="none"/>
              </w:rPr>
              <w:t>便携式pH计法《水和废水监测分析方法》（第四版）国家环境保护总局（2002年）</w:t>
            </w:r>
          </w:p>
        </w:tc>
        <w:tc>
          <w:tcPr>
            <w:tcW w:w="1275" w:type="dxa"/>
            <w:vMerge w:val="restart"/>
            <w:vAlign w:val="center"/>
          </w:tcPr>
          <w:p>
            <w:pPr>
              <w:pStyle w:val="28"/>
              <w:widowControl w:val="0"/>
              <w:rPr>
                <w:color w:val="auto"/>
                <w:highlight w:val="none"/>
              </w:rPr>
            </w:pPr>
            <w:r>
              <w:rPr>
                <w:color w:val="auto"/>
                <w:highlight w:val="none"/>
              </w:rPr>
              <w:t>86031多参数测试仪</w:t>
            </w:r>
          </w:p>
        </w:tc>
        <w:tc>
          <w:tcPr>
            <w:tcW w:w="1275" w:type="dxa"/>
            <w:vMerge w:val="restart"/>
            <w:vAlign w:val="center"/>
          </w:tcPr>
          <w:p>
            <w:pPr>
              <w:pStyle w:val="28"/>
              <w:widowControl w:val="0"/>
              <w:rPr>
                <w:color w:val="auto"/>
                <w:highlight w:val="none"/>
              </w:rPr>
            </w:pPr>
            <w:r>
              <w:rPr>
                <w:color w:val="auto"/>
                <w:highlight w:val="none"/>
              </w:rPr>
              <w:t>XSJS-100-02</w:t>
            </w:r>
          </w:p>
        </w:tc>
        <w:tc>
          <w:tcPr>
            <w:tcW w:w="1222" w:type="dxa"/>
            <w:vAlign w:val="center"/>
          </w:tcPr>
          <w:p>
            <w:pPr>
              <w:pStyle w:val="28"/>
              <w:widowControl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水温</w:t>
            </w:r>
          </w:p>
        </w:tc>
        <w:tc>
          <w:tcPr>
            <w:tcW w:w="3810" w:type="dxa"/>
            <w:vAlign w:val="center"/>
          </w:tcPr>
          <w:p>
            <w:pPr>
              <w:pStyle w:val="28"/>
              <w:widowControl w:val="0"/>
              <w:rPr>
                <w:color w:val="auto"/>
                <w:highlight w:val="none"/>
              </w:rPr>
            </w:pPr>
            <w:r>
              <w:rPr>
                <w:color w:val="auto"/>
                <w:highlight w:val="none"/>
              </w:rPr>
              <w:t>水质 水温的测定 温度计或颠倒温度计测定法 GB 13195-1991</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溶解氧</w:t>
            </w:r>
          </w:p>
        </w:tc>
        <w:tc>
          <w:tcPr>
            <w:tcW w:w="3810" w:type="dxa"/>
            <w:vAlign w:val="center"/>
          </w:tcPr>
          <w:p>
            <w:pPr>
              <w:pStyle w:val="28"/>
              <w:widowControl w:val="0"/>
              <w:rPr>
                <w:color w:val="auto"/>
                <w:highlight w:val="none"/>
              </w:rPr>
            </w:pPr>
            <w:r>
              <w:rPr>
                <w:color w:val="auto"/>
                <w:highlight w:val="none"/>
              </w:rPr>
              <w:t>水质 溶解氧的测定 电化学探头法 HJ 506-2009</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悬浮物</w:t>
            </w:r>
          </w:p>
        </w:tc>
        <w:tc>
          <w:tcPr>
            <w:tcW w:w="3810" w:type="dxa"/>
            <w:vAlign w:val="center"/>
          </w:tcPr>
          <w:p>
            <w:pPr>
              <w:pStyle w:val="28"/>
              <w:widowControl w:val="0"/>
              <w:rPr>
                <w:color w:val="auto"/>
                <w:highlight w:val="none"/>
              </w:rPr>
            </w:pPr>
            <w:r>
              <w:rPr>
                <w:color w:val="auto"/>
                <w:highlight w:val="none"/>
              </w:rPr>
              <w:t>水质 悬浮物的测定 重量法</w:t>
            </w:r>
          </w:p>
          <w:p>
            <w:pPr>
              <w:pStyle w:val="28"/>
              <w:widowControl w:val="0"/>
              <w:rPr>
                <w:color w:val="auto"/>
                <w:highlight w:val="none"/>
              </w:rPr>
            </w:pPr>
            <w:r>
              <w:rPr>
                <w:color w:val="auto"/>
                <w:highlight w:val="none"/>
              </w:rPr>
              <w:t>GB 11901-89</w:t>
            </w:r>
          </w:p>
        </w:tc>
        <w:tc>
          <w:tcPr>
            <w:tcW w:w="1275" w:type="dxa"/>
            <w:vAlign w:val="center"/>
          </w:tcPr>
          <w:p>
            <w:pPr>
              <w:pStyle w:val="28"/>
              <w:widowControl w:val="0"/>
              <w:rPr>
                <w:color w:val="auto"/>
                <w:highlight w:val="none"/>
              </w:rPr>
            </w:pPr>
            <w:r>
              <w:rPr>
                <w:color w:val="auto"/>
                <w:highlight w:val="none"/>
              </w:rPr>
              <w:t>FA2004N型万分之一天平</w:t>
            </w:r>
          </w:p>
        </w:tc>
        <w:tc>
          <w:tcPr>
            <w:tcW w:w="1275" w:type="dxa"/>
            <w:vAlign w:val="center"/>
          </w:tcPr>
          <w:p>
            <w:pPr>
              <w:pStyle w:val="28"/>
              <w:widowControl w:val="0"/>
              <w:rPr>
                <w:color w:val="auto"/>
                <w:highlight w:val="none"/>
              </w:rPr>
            </w:pPr>
            <w:r>
              <w:rPr>
                <w:color w:val="auto"/>
                <w:highlight w:val="none"/>
              </w:rPr>
              <w:t>XSJS-024</w:t>
            </w:r>
          </w:p>
        </w:tc>
        <w:tc>
          <w:tcPr>
            <w:tcW w:w="1222" w:type="dxa"/>
            <w:vAlign w:val="center"/>
          </w:tcPr>
          <w:p>
            <w:pPr>
              <w:pStyle w:val="28"/>
              <w:widowControl w:val="0"/>
              <w:rPr>
                <w:color w:val="auto"/>
                <w:highlight w:val="none"/>
              </w:rPr>
            </w:pPr>
            <w:r>
              <w:rPr>
                <w:color w:val="auto"/>
                <w:highlight w:val="none"/>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rFonts w:hint="eastAsia"/>
                <w:color w:val="auto"/>
                <w:highlight w:val="none"/>
              </w:rPr>
              <w:t>粪</w:t>
            </w:r>
            <w:r>
              <w:rPr>
                <w:color w:val="auto"/>
                <w:highlight w:val="none"/>
              </w:rPr>
              <w:t>大肠菌群</w:t>
            </w:r>
          </w:p>
        </w:tc>
        <w:tc>
          <w:tcPr>
            <w:tcW w:w="3810" w:type="dxa"/>
            <w:vAlign w:val="center"/>
          </w:tcPr>
          <w:p>
            <w:pPr>
              <w:pStyle w:val="28"/>
              <w:widowControl w:val="0"/>
              <w:rPr>
                <w:color w:val="auto"/>
                <w:highlight w:val="none"/>
              </w:rPr>
            </w:pPr>
            <w:r>
              <w:rPr>
                <w:color w:val="auto"/>
                <w:highlight w:val="none"/>
              </w:rPr>
              <w:t>水质 总大肠菌群和粪大肠菌群的测定 纸片快速法 HJ 755-2015</w:t>
            </w:r>
          </w:p>
        </w:tc>
        <w:tc>
          <w:tcPr>
            <w:tcW w:w="1275" w:type="dxa"/>
            <w:vAlign w:val="center"/>
          </w:tcPr>
          <w:p>
            <w:pPr>
              <w:pStyle w:val="28"/>
              <w:widowControl w:val="0"/>
              <w:rPr>
                <w:color w:val="auto"/>
                <w:highlight w:val="none"/>
              </w:rPr>
            </w:pPr>
            <w:r>
              <w:rPr>
                <w:color w:val="auto"/>
                <w:highlight w:val="none"/>
              </w:rPr>
              <w:t>HPX-9082MBE电热恒温培养箱</w:t>
            </w:r>
          </w:p>
        </w:tc>
        <w:tc>
          <w:tcPr>
            <w:tcW w:w="1275" w:type="dxa"/>
            <w:vAlign w:val="center"/>
          </w:tcPr>
          <w:p>
            <w:pPr>
              <w:pStyle w:val="28"/>
              <w:widowControl w:val="0"/>
              <w:rPr>
                <w:color w:val="auto"/>
                <w:highlight w:val="none"/>
              </w:rPr>
            </w:pPr>
            <w:r>
              <w:rPr>
                <w:color w:val="auto"/>
                <w:highlight w:val="none"/>
              </w:rPr>
              <w:t>XSJS-082-01</w:t>
            </w:r>
          </w:p>
        </w:tc>
        <w:tc>
          <w:tcPr>
            <w:tcW w:w="1222" w:type="dxa"/>
            <w:vAlign w:val="center"/>
          </w:tcPr>
          <w:p>
            <w:pPr>
              <w:pStyle w:val="28"/>
              <w:widowControl w:val="0"/>
              <w:rPr>
                <w:color w:val="auto"/>
                <w:highlight w:val="none"/>
              </w:rPr>
            </w:pPr>
            <w:r>
              <w:rPr>
                <w:color w:val="auto"/>
                <w:highlight w:val="none"/>
              </w:rPr>
              <w:t>20MPN/L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化学需氧量</w:t>
            </w:r>
          </w:p>
        </w:tc>
        <w:tc>
          <w:tcPr>
            <w:tcW w:w="3810" w:type="dxa"/>
            <w:vAlign w:val="center"/>
          </w:tcPr>
          <w:p>
            <w:pPr>
              <w:pStyle w:val="28"/>
              <w:widowControl w:val="0"/>
              <w:rPr>
                <w:color w:val="auto"/>
                <w:highlight w:val="none"/>
              </w:rPr>
            </w:pPr>
            <w:r>
              <w:rPr>
                <w:color w:val="auto"/>
                <w:highlight w:val="none"/>
              </w:rPr>
              <w:t>水质 化学需氧量的测定 重铬酸盐法 HJ 828-2017</w:t>
            </w:r>
          </w:p>
        </w:tc>
        <w:tc>
          <w:tcPr>
            <w:tcW w:w="1275" w:type="dxa"/>
            <w:vAlign w:val="center"/>
          </w:tcPr>
          <w:p>
            <w:pPr>
              <w:pStyle w:val="28"/>
              <w:widowControl w:val="0"/>
              <w:rPr>
                <w:color w:val="auto"/>
                <w:highlight w:val="none"/>
              </w:rPr>
            </w:pPr>
            <w:r>
              <w:rPr>
                <w:color w:val="auto"/>
                <w:highlight w:val="none"/>
              </w:rPr>
              <w:t>/</w:t>
            </w:r>
          </w:p>
        </w:tc>
        <w:tc>
          <w:tcPr>
            <w:tcW w:w="1275" w:type="dxa"/>
            <w:vAlign w:val="center"/>
          </w:tcPr>
          <w:p>
            <w:pPr>
              <w:pStyle w:val="28"/>
              <w:widowControl w:val="0"/>
              <w:rPr>
                <w:color w:val="auto"/>
                <w:highlight w:val="none"/>
              </w:rPr>
            </w:pPr>
            <w:r>
              <w:rPr>
                <w:color w:val="auto"/>
                <w:highlight w:val="none"/>
              </w:rPr>
              <w:t>/</w:t>
            </w:r>
          </w:p>
        </w:tc>
        <w:tc>
          <w:tcPr>
            <w:tcW w:w="1222" w:type="dxa"/>
            <w:vAlign w:val="center"/>
          </w:tcPr>
          <w:p>
            <w:pPr>
              <w:pStyle w:val="28"/>
              <w:widowControl w:val="0"/>
              <w:rPr>
                <w:color w:val="auto"/>
                <w:highlight w:val="none"/>
              </w:rPr>
            </w:pPr>
            <w:r>
              <w:rPr>
                <w:color w:val="auto"/>
                <w:highlight w:val="none"/>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五日生化需氧量</w:t>
            </w:r>
          </w:p>
        </w:tc>
        <w:tc>
          <w:tcPr>
            <w:tcW w:w="3810" w:type="dxa"/>
            <w:vAlign w:val="center"/>
          </w:tcPr>
          <w:p>
            <w:pPr>
              <w:pStyle w:val="28"/>
              <w:widowControl w:val="0"/>
              <w:rPr>
                <w:color w:val="auto"/>
                <w:highlight w:val="none"/>
              </w:rPr>
            </w:pPr>
            <w:r>
              <w:rPr>
                <w:color w:val="auto"/>
                <w:highlight w:val="none"/>
              </w:rPr>
              <w:t>水质 五日生化需氧量（BOD5）的测定 稀释与接种法 HJ 505-2009</w:t>
            </w:r>
          </w:p>
        </w:tc>
        <w:tc>
          <w:tcPr>
            <w:tcW w:w="1275" w:type="dxa"/>
            <w:vAlign w:val="center"/>
          </w:tcPr>
          <w:p>
            <w:pPr>
              <w:pStyle w:val="28"/>
              <w:widowControl w:val="0"/>
              <w:rPr>
                <w:color w:val="auto"/>
                <w:highlight w:val="none"/>
              </w:rPr>
            </w:pPr>
            <w:r>
              <w:rPr>
                <w:color w:val="auto"/>
                <w:highlight w:val="none"/>
              </w:rPr>
              <w:t>SPX-80型生化培养箱</w:t>
            </w:r>
          </w:p>
        </w:tc>
        <w:tc>
          <w:tcPr>
            <w:tcW w:w="1275" w:type="dxa"/>
            <w:vAlign w:val="center"/>
          </w:tcPr>
          <w:p>
            <w:pPr>
              <w:pStyle w:val="28"/>
              <w:widowControl w:val="0"/>
              <w:rPr>
                <w:color w:val="auto"/>
                <w:highlight w:val="none"/>
              </w:rPr>
            </w:pPr>
            <w:r>
              <w:rPr>
                <w:color w:val="auto"/>
                <w:highlight w:val="none"/>
              </w:rPr>
              <w:t>XSJS-062</w:t>
            </w:r>
          </w:p>
        </w:tc>
        <w:tc>
          <w:tcPr>
            <w:tcW w:w="1222" w:type="dxa"/>
            <w:vAlign w:val="center"/>
          </w:tcPr>
          <w:p>
            <w:pPr>
              <w:pStyle w:val="28"/>
              <w:widowControl w:val="0"/>
              <w:rPr>
                <w:color w:val="auto"/>
                <w:highlight w:val="none"/>
              </w:rPr>
            </w:pPr>
            <w:r>
              <w:rPr>
                <w:color w:val="auto"/>
                <w:highlight w:val="none"/>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氨氮</w:t>
            </w:r>
          </w:p>
        </w:tc>
        <w:tc>
          <w:tcPr>
            <w:tcW w:w="3810" w:type="dxa"/>
            <w:vAlign w:val="center"/>
          </w:tcPr>
          <w:p>
            <w:pPr>
              <w:pStyle w:val="28"/>
              <w:widowControl w:val="0"/>
              <w:rPr>
                <w:color w:val="auto"/>
                <w:highlight w:val="none"/>
              </w:rPr>
            </w:pPr>
            <w:r>
              <w:rPr>
                <w:color w:val="auto"/>
                <w:highlight w:val="none"/>
              </w:rPr>
              <w:t>水质 氨氮的测定 纳氏试剂分光光度法 HJ 535-2009</w:t>
            </w:r>
          </w:p>
        </w:tc>
        <w:tc>
          <w:tcPr>
            <w:tcW w:w="1275" w:type="dxa"/>
            <w:vMerge w:val="restart"/>
            <w:vAlign w:val="center"/>
          </w:tcPr>
          <w:p>
            <w:pPr>
              <w:pStyle w:val="28"/>
              <w:widowControl w:val="0"/>
              <w:rPr>
                <w:color w:val="auto"/>
                <w:highlight w:val="none"/>
              </w:rPr>
            </w:pPr>
            <w:r>
              <w:rPr>
                <w:color w:val="auto"/>
                <w:highlight w:val="none"/>
              </w:rPr>
              <w:t>UV-1600型紫外可见分光光度计</w:t>
            </w:r>
          </w:p>
        </w:tc>
        <w:tc>
          <w:tcPr>
            <w:tcW w:w="1275" w:type="dxa"/>
            <w:vMerge w:val="restart"/>
            <w:vAlign w:val="center"/>
          </w:tcPr>
          <w:p>
            <w:pPr>
              <w:pStyle w:val="28"/>
              <w:widowControl w:val="0"/>
              <w:rPr>
                <w:color w:val="auto"/>
                <w:highlight w:val="none"/>
              </w:rPr>
            </w:pPr>
            <w:r>
              <w:rPr>
                <w:color w:val="auto"/>
                <w:highlight w:val="none"/>
              </w:rPr>
              <w:t>XSJS-018-02</w:t>
            </w:r>
          </w:p>
        </w:tc>
        <w:tc>
          <w:tcPr>
            <w:tcW w:w="1222" w:type="dxa"/>
            <w:vAlign w:val="center"/>
          </w:tcPr>
          <w:p>
            <w:pPr>
              <w:pStyle w:val="28"/>
              <w:widowControl w:val="0"/>
              <w:rPr>
                <w:color w:val="auto"/>
                <w:highlight w:val="none"/>
              </w:rPr>
            </w:pPr>
            <w:r>
              <w:rPr>
                <w:color w:val="auto"/>
                <w:highlight w:val="none"/>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总磷</w:t>
            </w:r>
          </w:p>
        </w:tc>
        <w:tc>
          <w:tcPr>
            <w:tcW w:w="3810" w:type="dxa"/>
            <w:vAlign w:val="center"/>
          </w:tcPr>
          <w:p>
            <w:pPr>
              <w:pStyle w:val="28"/>
              <w:widowControl w:val="0"/>
              <w:rPr>
                <w:color w:val="auto"/>
                <w:highlight w:val="none"/>
              </w:rPr>
            </w:pPr>
            <w:r>
              <w:rPr>
                <w:color w:val="auto"/>
                <w:highlight w:val="none"/>
              </w:rPr>
              <w:t>水质 总磷的测定 钼酸铵分光光度法 GB 11893-89</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总氮</w:t>
            </w:r>
          </w:p>
        </w:tc>
        <w:tc>
          <w:tcPr>
            <w:tcW w:w="3810" w:type="dxa"/>
            <w:vAlign w:val="center"/>
          </w:tcPr>
          <w:p>
            <w:pPr>
              <w:pStyle w:val="28"/>
              <w:widowControl w:val="0"/>
              <w:rPr>
                <w:color w:val="auto"/>
                <w:highlight w:val="none"/>
              </w:rPr>
            </w:pPr>
            <w:r>
              <w:rPr>
                <w:color w:val="auto"/>
                <w:highlight w:val="none"/>
              </w:rPr>
              <w:t>水质 总氮的测定 碱性过硫酸钾消解紫外分光光度法HJ 636-2012</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挥发酚</w:t>
            </w:r>
          </w:p>
        </w:tc>
        <w:tc>
          <w:tcPr>
            <w:tcW w:w="3810" w:type="dxa"/>
            <w:vAlign w:val="center"/>
          </w:tcPr>
          <w:p>
            <w:pPr>
              <w:pStyle w:val="28"/>
              <w:widowControl w:val="0"/>
              <w:rPr>
                <w:color w:val="auto"/>
                <w:highlight w:val="none"/>
              </w:rPr>
            </w:pPr>
            <w:r>
              <w:rPr>
                <w:color w:val="auto"/>
                <w:highlight w:val="none"/>
              </w:rPr>
              <w:t>水质 挥发酚的测定 4-氨基安替比林分光光度法HJ 503-2009</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vAlign w:val="center"/>
          </w:tcPr>
          <w:p>
            <w:pPr>
              <w:pStyle w:val="28"/>
              <w:widowControl w:val="0"/>
              <w:rPr>
                <w:color w:val="auto"/>
                <w:highlight w:val="none"/>
              </w:rPr>
            </w:pPr>
          </w:p>
        </w:tc>
        <w:tc>
          <w:tcPr>
            <w:tcW w:w="1199" w:type="dxa"/>
            <w:vAlign w:val="center"/>
          </w:tcPr>
          <w:p>
            <w:pPr>
              <w:pStyle w:val="28"/>
              <w:widowControl w:val="0"/>
              <w:rPr>
                <w:color w:val="auto"/>
                <w:highlight w:val="none"/>
              </w:rPr>
            </w:pPr>
            <w:r>
              <w:rPr>
                <w:color w:val="auto"/>
                <w:highlight w:val="none"/>
              </w:rPr>
              <w:t>石油类</w:t>
            </w:r>
          </w:p>
        </w:tc>
        <w:tc>
          <w:tcPr>
            <w:tcW w:w="3810" w:type="dxa"/>
            <w:vAlign w:val="center"/>
          </w:tcPr>
          <w:p>
            <w:pPr>
              <w:pStyle w:val="28"/>
              <w:widowControl w:val="0"/>
              <w:rPr>
                <w:color w:val="auto"/>
                <w:highlight w:val="none"/>
              </w:rPr>
            </w:pPr>
            <w:r>
              <w:rPr>
                <w:color w:val="auto"/>
                <w:highlight w:val="none"/>
              </w:rPr>
              <w:t>水质 石油类的测定 紫外分光光度法（试行） HJ 970-2018</w:t>
            </w:r>
          </w:p>
        </w:tc>
        <w:tc>
          <w:tcPr>
            <w:tcW w:w="1275" w:type="dxa"/>
            <w:vMerge w:val="continue"/>
            <w:vAlign w:val="center"/>
          </w:tcPr>
          <w:p>
            <w:pPr>
              <w:pStyle w:val="28"/>
              <w:widowControl w:val="0"/>
              <w:rPr>
                <w:color w:val="auto"/>
                <w:highlight w:val="none"/>
              </w:rPr>
            </w:pPr>
          </w:p>
        </w:tc>
        <w:tc>
          <w:tcPr>
            <w:tcW w:w="1275" w:type="dxa"/>
            <w:vMerge w:val="continue"/>
            <w:vAlign w:val="center"/>
          </w:tcPr>
          <w:p>
            <w:pPr>
              <w:pStyle w:val="28"/>
              <w:widowControl w:val="0"/>
              <w:rPr>
                <w:color w:val="auto"/>
                <w:highlight w:val="none"/>
              </w:rPr>
            </w:pPr>
          </w:p>
        </w:tc>
        <w:tc>
          <w:tcPr>
            <w:tcW w:w="1222" w:type="dxa"/>
            <w:vAlign w:val="center"/>
          </w:tcPr>
          <w:p>
            <w:pPr>
              <w:pStyle w:val="28"/>
              <w:widowControl w:val="0"/>
              <w:rPr>
                <w:color w:val="auto"/>
                <w:highlight w:val="none"/>
              </w:rPr>
            </w:pPr>
            <w:r>
              <w:rPr>
                <w:color w:val="auto"/>
                <w:highlight w:val="none"/>
              </w:rPr>
              <w:t>0.01mg/L</w:t>
            </w:r>
          </w:p>
        </w:tc>
      </w:tr>
    </w:tbl>
    <w:p>
      <w:pPr>
        <w:widowControl w:val="0"/>
        <w:ind w:firstLine="480"/>
        <w:rPr>
          <w:color w:val="auto"/>
          <w:highlight w:val="none"/>
        </w:rPr>
      </w:pPr>
      <w:r>
        <w:rPr>
          <w:rFonts w:hint="eastAsia"/>
          <w:color w:val="auto"/>
          <w:highlight w:val="none"/>
        </w:rPr>
        <w:t>（4）监测结果</w:t>
      </w:r>
    </w:p>
    <w:p>
      <w:pPr>
        <w:pStyle w:val="27"/>
        <w:widowControl w:val="0"/>
        <w:rPr>
          <w:color w:val="auto"/>
          <w:highlight w:val="none"/>
        </w:rPr>
      </w:pPr>
      <w:r>
        <w:rPr>
          <w:rFonts w:hint="eastAsia"/>
          <w:color w:val="auto"/>
          <w:highlight w:val="none"/>
        </w:rPr>
        <w:t>地表水监测结果</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45"/>
        <w:gridCol w:w="1567"/>
        <w:gridCol w:w="858"/>
        <w:gridCol w:w="1255"/>
        <w:gridCol w:w="1255"/>
        <w:gridCol w:w="1257"/>
        <w:gridCol w:w="1094"/>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blHeader/>
          <w:jc w:val="center"/>
        </w:trPr>
        <w:tc>
          <w:tcPr>
            <w:tcW w:w="553" w:type="pct"/>
            <w:vMerge w:val="restart"/>
            <w:vAlign w:val="center"/>
          </w:tcPr>
          <w:p>
            <w:pPr>
              <w:pStyle w:val="28"/>
              <w:widowControl w:val="0"/>
              <w:rPr>
                <w:b/>
                <w:bCs/>
                <w:color w:val="auto"/>
                <w:highlight w:val="none"/>
              </w:rPr>
            </w:pPr>
            <w:r>
              <w:rPr>
                <w:b/>
                <w:bCs/>
                <w:color w:val="auto"/>
                <w:highlight w:val="none"/>
              </w:rPr>
              <w:t>检测点位</w:t>
            </w:r>
          </w:p>
        </w:tc>
        <w:tc>
          <w:tcPr>
            <w:tcW w:w="829" w:type="pct"/>
            <w:vMerge w:val="restart"/>
            <w:vAlign w:val="center"/>
          </w:tcPr>
          <w:p>
            <w:pPr>
              <w:pStyle w:val="28"/>
              <w:widowControl w:val="0"/>
              <w:rPr>
                <w:b/>
                <w:bCs/>
                <w:color w:val="auto"/>
                <w:highlight w:val="none"/>
              </w:rPr>
            </w:pPr>
            <w:r>
              <w:rPr>
                <w:b/>
                <w:bCs/>
                <w:color w:val="auto"/>
                <w:highlight w:val="none"/>
              </w:rPr>
              <w:t>检测项目</w:t>
            </w:r>
          </w:p>
        </w:tc>
        <w:tc>
          <w:tcPr>
            <w:tcW w:w="454" w:type="pct"/>
            <w:vMerge w:val="restart"/>
            <w:vAlign w:val="center"/>
          </w:tcPr>
          <w:p>
            <w:pPr>
              <w:pStyle w:val="28"/>
              <w:widowControl w:val="0"/>
              <w:rPr>
                <w:b/>
                <w:bCs/>
                <w:color w:val="auto"/>
                <w:highlight w:val="none"/>
              </w:rPr>
            </w:pPr>
            <w:r>
              <w:rPr>
                <w:b/>
                <w:bCs/>
                <w:color w:val="auto"/>
                <w:highlight w:val="none"/>
              </w:rPr>
              <w:t>单位</w:t>
            </w:r>
          </w:p>
        </w:tc>
        <w:tc>
          <w:tcPr>
            <w:tcW w:w="1993" w:type="pct"/>
            <w:gridSpan w:val="3"/>
            <w:vAlign w:val="center"/>
          </w:tcPr>
          <w:p>
            <w:pPr>
              <w:pStyle w:val="28"/>
              <w:widowControl w:val="0"/>
              <w:rPr>
                <w:b/>
                <w:bCs/>
                <w:color w:val="auto"/>
                <w:highlight w:val="none"/>
              </w:rPr>
            </w:pPr>
            <w:r>
              <w:rPr>
                <w:b/>
                <w:bCs/>
                <w:color w:val="auto"/>
                <w:highlight w:val="none"/>
              </w:rPr>
              <w:t>检测结果</w:t>
            </w:r>
          </w:p>
        </w:tc>
        <w:tc>
          <w:tcPr>
            <w:tcW w:w="579" w:type="pct"/>
            <w:vMerge w:val="restart"/>
            <w:vAlign w:val="center"/>
          </w:tcPr>
          <w:p>
            <w:pPr>
              <w:pStyle w:val="28"/>
              <w:widowControl w:val="0"/>
              <w:rPr>
                <w:b/>
                <w:bCs/>
                <w:color w:val="auto"/>
                <w:highlight w:val="none"/>
              </w:rPr>
            </w:pPr>
            <w:r>
              <w:rPr>
                <w:rFonts w:hint="eastAsia"/>
                <w:b/>
                <w:bCs/>
                <w:color w:val="auto"/>
                <w:highlight w:val="none"/>
              </w:rPr>
              <w:t>标准限值</w:t>
            </w:r>
          </w:p>
        </w:tc>
        <w:tc>
          <w:tcPr>
            <w:tcW w:w="589" w:type="pct"/>
            <w:vMerge w:val="restart"/>
            <w:vAlign w:val="center"/>
          </w:tcPr>
          <w:p>
            <w:pPr>
              <w:pStyle w:val="28"/>
              <w:widowControl w:val="0"/>
              <w:rPr>
                <w:b/>
                <w:bCs/>
                <w:color w:val="auto"/>
                <w:highlight w:val="none"/>
              </w:rPr>
            </w:pPr>
            <w:r>
              <w:rPr>
                <w:rFonts w:hint="eastAsia"/>
                <w:b/>
                <w:bCs/>
                <w:color w:val="auto"/>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blHeader/>
          <w:jc w:val="center"/>
        </w:trPr>
        <w:tc>
          <w:tcPr>
            <w:tcW w:w="553" w:type="pct"/>
            <w:vMerge w:val="continue"/>
            <w:vAlign w:val="center"/>
          </w:tcPr>
          <w:p>
            <w:pPr>
              <w:pStyle w:val="28"/>
              <w:widowControl w:val="0"/>
              <w:rPr>
                <w:color w:val="auto"/>
                <w:highlight w:val="none"/>
              </w:rPr>
            </w:pPr>
          </w:p>
        </w:tc>
        <w:tc>
          <w:tcPr>
            <w:tcW w:w="829" w:type="pct"/>
            <w:vMerge w:val="continue"/>
            <w:vAlign w:val="center"/>
          </w:tcPr>
          <w:p>
            <w:pPr>
              <w:pStyle w:val="28"/>
              <w:widowControl w:val="0"/>
              <w:rPr>
                <w:color w:val="auto"/>
                <w:highlight w:val="none"/>
              </w:rPr>
            </w:pPr>
          </w:p>
        </w:tc>
        <w:tc>
          <w:tcPr>
            <w:tcW w:w="454" w:type="pct"/>
            <w:vMerge w:val="continue"/>
            <w:vAlign w:val="center"/>
          </w:tcPr>
          <w:p>
            <w:pPr>
              <w:pStyle w:val="28"/>
              <w:widowControl w:val="0"/>
              <w:rPr>
                <w:color w:val="auto"/>
                <w:highlight w:val="none"/>
              </w:rPr>
            </w:pPr>
          </w:p>
        </w:tc>
        <w:tc>
          <w:tcPr>
            <w:tcW w:w="664" w:type="pct"/>
            <w:vAlign w:val="center"/>
          </w:tcPr>
          <w:p>
            <w:pPr>
              <w:pStyle w:val="28"/>
              <w:widowControl w:val="0"/>
              <w:rPr>
                <w:b/>
                <w:bCs/>
                <w:color w:val="auto"/>
                <w:highlight w:val="none"/>
              </w:rPr>
            </w:pPr>
            <w:r>
              <w:rPr>
                <w:b/>
                <w:bCs/>
                <w:color w:val="auto"/>
                <w:highlight w:val="none"/>
              </w:rPr>
              <w:t>10月20日</w:t>
            </w:r>
          </w:p>
        </w:tc>
        <w:tc>
          <w:tcPr>
            <w:tcW w:w="664" w:type="pct"/>
            <w:vAlign w:val="center"/>
          </w:tcPr>
          <w:p>
            <w:pPr>
              <w:pStyle w:val="28"/>
              <w:widowControl w:val="0"/>
              <w:rPr>
                <w:b/>
                <w:bCs/>
                <w:color w:val="auto"/>
                <w:highlight w:val="none"/>
              </w:rPr>
            </w:pPr>
            <w:r>
              <w:rPr>
                <w:b/>
                <w:bCs/>
                <w:color w:val="auto"/>
                <w:highlight w:val="none"/>
              </w:rPr>
              <w:t>10月21日</w:t>
            </w:r>
          </w:p>
        </w:tc>
        <w:tc>
          <w:tcPr>
            <w:tcW w:w="664" w:type="pct"/>
            <w:vAlign w:val="center"/>
          </w:tcPr>
          <w:p>
            <w:pPr>
              <w:pStyle w:val="28"/>
              <w:widowControl w:val="0"/>
              <w:rPr>
                <w:b/>
                <w:bCs/>
                <w:color w:val="auto"/>
                <w:highlight w:val="none"/>
              </w:rPr>
            </w:pPr>
            <w:r>
              <w:rPr>
                <w:b/>
                <w:bCs/>
                <w:color w:val="auto"/>
                <w:highlight w:val="none"/>
              </w:rPr>
              <w:t>10月22日</w:t>
            </w:r>
          </w:p>
        </w:tc>
        <w:tc>
          <w:tcPr>
            <w:tcW w:w="579" w:type="pct"/>
            <w:vMerge w:val="continue"/>
            <w:vAlign w:val="center"/>
          </w:tcPr>
          <w:p>
            <w:pPr>
              <w:pStyle w:val="28"/>
              <w:widowControl w:val="0"/>
              <w:rPr>
                <w:color w:val="auto"/>
                <w:highlight w:val="none"/>
              </w:rPr>
            </w:pPr>
          </w:p>
        </w:tc>
        <w:tc>
          <w:tcPr>
            <w:tcW w:w="589" w:type="pct"/>
            <w:vMerge w:val="continue"/>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restart"/>
            <w:vAlign w:val="center"/>
          </w:tcPr>
          <w:p>
            <w:pPr>
              <w:pStyle w:val="28"/>
              <w:widowControl w:val="0"/>
              <w:rPr>
                <w:color w:val="auto"/>
                <w:highlight w:val="none"/>
              </w:rPr>
            </w:pPr>
            <w:r>
              <w:rPr>
                <w:color w:val="auto"/>
                <w:highlight w:val="none"/>
              </w:rPr>
              <w:fldChar w:fldCharType="begin"/>
            </w:r>
            <w:r>
              <w:rPr>
                <w:color w:val="auto"/>
                <w:highlight w:val="none"/>
              </w:rPr>
              <w:instrText xml:space="preserve"> REF 地表水1\h \* MERGEFORMAT</w:instrText>
            </w:r>
            <w:r>
              <w:rPr>
                <w:color w:val="auto"/>
                <w:highlight w:val="none"/>
              </w:rPr>
              <w:fldChar w:fldCharType="separate"/>
            </w:r>
            <w:r>
              <w:rPr>
                <w:color w:val="auto"/>
                <w:highlight w:val="none"/>
              </w:rPr>
              <w:t>1#拟建</w:t>
            </w:r>
            <w:r>
              <w:rPr>
                <w:rFonts w:hint="eastAsia"/>
                <w:color w:val="auto"/>
                <w:highlight w:val="none"/>
              </w:rPr>
              <w:t>项目</w:t>
            </w:r>
            <w:r>
              <w:rPr>
                <w:color w:val="auto"/>
                <w:highlight w:val="none"/>
              </w:rPr>
              <w:t>上游500m</w:t>
            </w:r>
            <w:r>
              <w:rPr>
                <w:color w:val="auto"/>
                <w:highlight w:val="none"/>
              </w:rPr>
              <w:fldChar w:fldCharType="end"/>
            </w:r>
            <w:r>
              <w:rPr>
                <w:color w:val="auto"/>
                <w:highlight w:val="none"/>
              </w:rPr>
              <w:br w:type="page"/>
            </w:r>
          </w:p>
        </w:tc>
        <w:tc>
          <w:tcPr>
            <w:tcW w:w="829" w:type="pct"/>
            <w:vAlign w:val="center"/>
          </w:tcPr>
          <w:p>
            <w:pPr>
              <w:pStyle w:val="28"/>
              <w:widowControl w:val="0"/>
              <w:rPr>
                <w:color w:val="auto"/>
                <w:highlight w:val="none"/>
              </w:rPr>
            </w:pPr>
            <w:r>
              <w:rPr>
                <w:color w:val="auto"/>
                <w:highlight w:val="none"/>
              </w:rPr>
              <w:t>pH</w:t>
            </w:r>
          </w:p>
        </w:tc>
        <w:tc>
          <w:tcPr>
            <w:tcW w:w="454" w:type="pct"/>
            <w:vAlign w:val="center"/>
          </w:tcPr>
          <w:p>
            <w:pPr>
              <w:pStyle w:val="28"/>
              <w:widowControl w:val="0"/>
              <w:rPr>
                <w:color w:val="auto"/>
                <w:highlight w:val="none"/>
              </w:rPr>
            </w:pPr>
            <w:r>
              <w:rPr>
                <w:color w:val="auto"/>
                <w:highlight w:val="none"/>
              </w:rPr>
              <w:t>无量纲</w:t>
            </w:r>
          </w:p>
        </w:tc>
        <w:tc>
          <w:tcPr>
            <w:tcW w:w="664" w:type="pct"/>
            <w:vAlign w:val="center"/>
          </w:tcPr>
          <w:p>
            <w:pPr>
              <w:pStyle w:val="28"/>
              <w:widowControl w:val="0"/>
              <w:rPr>
                <w:color w:val="auto"/>
                <w:highlight w:val="none"/>
              </w:rPr>
            </w:pPr>
            <w:r>
              <w:rPr>
                <w:color w:val="auto"/>
                <w:highlight w:val="none"/>
              </w:rPr>
              <w:t>7.5</w:t>
            </w:r>
          </w:p>
        </w:tc>
        <w:tc>
          <w:tcPr>
            <w:tcW w:w="664" w:type="pct"/>
            <w:vAlign w:val="center"/>
          </w:tcPr>
          <w:p>
            <w:pPr>
              <w:pStyle w:val="28"/>
              <w:widowControl w:val="0"/>
              <w:rPr>
                <w:color w:val="auto"/>
                <w:highlight w:val="none"/>
              </w:rPr>
            </w:pPr>
            <w:r>
              <w:rPr>
                <w:color w:val="auto"/>
                <w:highlight w:val="none"/>
              </w:rPr>
              <w:t>7.7</w:t>
            </w:r>
          </w:p>
        </w:tc>
        <w:tc>
          <w:tcPr>
            <w:tcW w:w="664" w:type="pct"/>
            <w:vAlign w:val="center"/>
          </w:tcPr>
          <w:p>
            <w:pPr>
              <w:pStyle w:val="28"/>
              <w:widowControl w:val="0"/>
              <w:rPr>
                <w:color w:val="auto"/>
                <w:highlight w:val="none"/>
              </w:rPr>
            </w:pPr>
            <w:r>
              <w:rPr>
                <w:color w:val="auto"/>
                <w:highlight w:val="none"/>
              </w:rPr>
              <w:t>7.4</w:t>
            </w:r>
          </w:p>
        </w:tc>
        <w:tc>
          <w:tcPr>
            <w:tcW w:w="579" w:type="pct"/>
            <w:vAlign w:val="center"/>
          </w:tcPr>
          <w:p>
            <w:pPr>
              <w:pStyle w:val="28"/>
              <w:widowControl w:val="0"/>
              <w:rPr>
                <w:color w:val="auto"/>
                <w:highlight w:val="none"/>
              </w:rPr>
            </w:pPr>
            <w:r>
              <w:rPr>
                <w:rFonts w:hint="eastAsia"/>
                <w:color w:val="auto"/>
                <w:highlight w:val="none"/>
              </w:rPr>
              <w:t>6-9</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水温</w:t>
            </w:r>
          </w:p>
        </w:tc>
        <w:tc>
          <w:tcPr>
            <w:tcW w:w="454" w:type="pct"/>
            <w:vAlign w:val="center"/>
          </w:tcPr>
          <w:p>
            <w:pPr>
              <w:pStyle w:val="28"/>
              <w:widowControl w:val="0"/>
              <w:rPr>
                <w:color w:val="auto"/>
                <w:highlight w:val="none"/>
              </w:rPr>
            </w:pPr>
            <w:r>
              <w:rPr>
                <w:color w:val="auto"/>
                <w:highlight w:val="none"/>
              </w:rPr>
              <w:t>℃</w:t>
            </w:r>
          </w:p>
        </w:tc>
        <w:tc>
          <w:tcPr>
            <w:tcW w:w="664" w:type="pct"/>
            <w:vAlign w:val="center"/>
          </w:tcPr>
          <w:p>
            <w:pPr>
              <w:pStyle w:val="28"/>
              <w:widowControl w:val="0"/>
              <w:rPr>
                <w:color w:val="auto"/>
                <w:highlight w:val="none"/>
              </w:rPr>
            </w:pPr>
            <w:r>
              <w:rPr>
                <w:color w:val="auto"/>
                <w:highlight w:val="none"/>
              </w:rPr>
              <w:t>15.7</w:t>
            </w:r>
          </w:p>
        </w:tc>
        <w:tc>
          <w:tcPr>
            <w:tcW w:w="664" w:type="pct"/>
            <w:vAlign w:val="center"/>
          </w:tcPr>
          <w:p>
            <w:pPr>
              <w:pStyle w:val="28"/>
              <w:widowControl w:val="0"/>
              <w:rPr>
                <w:color w:val="auto"/>
                <w:highlight w:val="none"/>
              </w:rPr>
            </w:pPr>
            <w:r>
              <w:rPr>
                <w:color w:val="auto"/>
                <w:highlight w:val="none"/>
              </w:rPr>
              <w:t>15.2</w:t>
            </w:r>
          </w:p>
        </w:tc>
        <w:tc>
          <w:tcPr>
            <w:tcW w:w="664" w:type="pct"/>
            <w:vAlign w:val="center"/>
          </w:tcPr>
          <w:p>
            <w:pPr>
              <w:pStyle w:val="28"/>
              <w:widowControl w:val="0"/>
              <w:rPr>
                <w:color w:val="auto"/>
                <w:highlight w:val="none"/>
              </w:rPr>
            </w:pPr>
            <w:r>
              <w:rPr>
                <w:color w:val="auto"/>
                <w:highlight w:val="none"/>
              </w:rPr>
              <w:t>14.9</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溶解氧</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7.1</w:t>
            </w:r>
          </w:p>
        </w:tc>
        <w:tc>
          <w:tcPr>
            <w:tcW w:w="664" w:type="pct"/>
            <w:vAlign w:val="center"/>
          </w:tcPr>
          <w:p>
            <w:pPr>
              <w:pStyle w:val="28"/>
              <w:widowControl w:val="0"/>
              <w:rPr>
                <w:color w:val="auto"/>
                <w:highlight w:val="none"/>
              </w:rPr>
            </w:pPr>
            <w:r>
              <w:rPr>
                <w:color w:val="auto"/>
                <w:highlight w:val="none"/>
              </w:rPr>
              <w:t>7.2</w:t>
            </w:r>
          </w:p>
        </w:tc>
        <w:tc>
          <w:tcPr>
            <w:tcW w:w="664" w:type="pct"/>
            <w:vAlign w:val="center"/>
          </w:tcPr>
          <w:p>
            <w:pPr>
              <w:pStyle w:val="28"/>
              <w:widowControl w:val="0"/>
              <w:rPr>
                <w:color w:val="auto"/>
                <w:highlight w:val="none"/>
              </w:rPr>
            </w:pPr>
            <w:r>
              <w:rPr>
                <w:color w:val="auto"/>
                <w:highlight w:val="none"/>
              </w:rPr>
              <w:t>7.1</w:t>
            </w:r>
          </w:p>
        </w:tc>
        <w:tc>
          <w:tcPr>
            <w:tcW w:w="579" w:type="pct"/>
            <w:vAlign w:val="center"/>
          </w:tcPr>
          <w:p>
            <w:pPr>
              <w:pStyle w:val="28"/>
              <w:widowControl w:val="0"/>
              <w:rPr>
                <w:color w:val="auto"/>
                <w:highlight w:val="none"/>
              </w:rPr>
            </w:pPr>
            <w:r>
              <w:rPr>
                <w:rFonts w:hint="eastAsia"/>
                <w:color w:val="auto"/>
                <w:highlight w:val="none"/>
              </w:rPr>
              <w:t>≥5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悬浮物</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10</w:t>
            </w:r>
          </w:p>
        </w:tc>
        <w:tc>
          <w:tcPr>
            <w:tcW w:w="664" w:type="pct"/>
            <w:vAlign w:val="center"/>
          </w:tcPr>
          <w:p>
            <w:pPr>
              <w:pStyle w:val="28"/>
              <w:widowControl w:val="0"/>
              <w:rPr>
                <w:color w:val="auto"/>
                <w:highlight w:val="none"/>
              </w:rPr>
            </w:pPr>
            <w:r>
              <w:rPr>
                <w:color w:val="auto"/>
                <w:highlight w:val="none"/>
              </w:rPr>
              <w:t>9</w:t>
            </w:r>
          </w:p>
        </w:tc>
        <w:tc>
          <w:tcPr>
            <w:tcW w:w="664" w:type="pct"/>
            <w:vAlign w:val="center"/>
          </w:tcPr>
          <w:p>
            <w:pPr>
              <w:pStyle w:val="28"/>
              <w:widowControl w:val="0"/>
              <w:rPr>
                <w:color w:val="auto"/>
                <w:highlight w:val="none"/>
              </w:rPr>
            </w:pPr>
            <w:r>
              <w:rPr>
                <w:color w:val="auto"/>
                <w:highlight w:val="none"/>
              </w:rPr>
              <w:t>9</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化学需氧量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10</w:t>
            </w:r>
          </w:p>
        </w:tc>
        <w:tc>
          <w:tcPr>
            <w:tcW w:w="664" w:type="pct"/>
            <w:vAlign w:val="center"/>
          </w:tcPr>
          <w:p>
            <w:pPr>
              <w:pStyle w:val="28"/>
              <w:widowControl w:val="0"/>
              <w:rPr>
                <w:color w:val="auto"/>
                <w:highlight w:val="none"/>
              </w:rPr>
            </w:pPr>
            <w:r>
              <w:rPr>
                <w:color w:val="auto"/>
                <w:highlight w:val="none"/>
              </w:rPr>
              <w:t>9</w:t>
            </w:r>
          </w:p>
        </w:tc>
        <w:tc>
          <w:tcPr>
            <w:tcW w:w="664" w:type="pct"/>
            <w:vAlign w:val="center"/>
          </w:tcPr>
          <w:p>
            <w:pPr>
              <w:pStyle w:val="28"/>
              <w:widowControl w:val="0"/>
              <w:rPr>
                <w:color w:val="auto"/>
                <w:highlight w:val="none"/>
              </w:rPr>
            </w:pPr>
            <w:r>
              <w:rPr>
                <w:color w:val="auto"/>
                <w:highlight w:val="none"/>
              </w:rPr>
              <w:t>10</w:t>
            </w:r>
          </w:p>
        </w:tc>
        <w:tc>
          <w:tcPr>
            <w:tcW w:w="579" w:type="pct"/>
            <w:vAlign w:val="center"/>
          </w:tcPr>
          <w:p>
            <w:pPr>
              <w:pStyle w:val="28"/>
              <w:widowControl w:val="0"/>
              <w:rPr>
                <w:color w:val="auto"/>
                <w:highlight w:val="none"/>
              </w:rPr>
            </w:pPr>
            <w:r>
              <w:rPr>
                <w:rFonts w:hint="eastAsia"/>
                <w:color w:val="auto"/>
                <w:highlight w:val="none"/>
              </w:rPr>
              <w:t>20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五日生化需氧量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2.0</w:t>
            </w:r>
          </w:p>
        </w:tc>
        <w:tc>
          <w:tcPr>
            <w:tcW w:w="664" w:type="pct"/>
            <w:vAlign w:val="center"/>
          </w:tcPr>
          <w:p>
            <w:pPr>
              <w:pStyle w:val="28"/>
              <w:widowControl w:val="0"/>
              <w:rPr>
                <w:color w:val="auto"/>
                <w:highlight w:val="none"/>
              </w:rPr>
            </w:pPr>
            <w:r>
              <w:rPr>
                <w:color w:val="auto"/>
                <w:highlight w:val="none"/>
              </w:rPr>
              <w:t>1.8</w:t>
            </w:r>
          </w:p>
        </w:tc>
        <w:tc>
          <w:tcPr>
            <w:tcW w:w="664" w:type="pct"/>
            <w:vAlign w:val="center"/>
          </w:tcPr>
          <w:p>
            <w:pPr>
              <w:pStyle w:val="28"/>
              <w:widowControl w:val="0"/>
              <w:rPr>
                <w:color w:val="auto"/>
                <w:highlight w:val="none"/>
              </w:rPr>
            </w:pPr>
            <w:r>
              <w:rPr>
                <w:color w:val="auto"/>
                <w:highlight w:val="none"/>
              </w:rPr>
              <w:t>1.8</w:t>
            </w:r>
          </w:p>
        </w:tc>
        <w:tc>
          <w:tcPr>
            <w:tcW w:w="579" w:type="pct"/>
            <w:vAlign w:val="center"/>
          </w:tcPr>
          <w:p>
            <w:pPr>
              <w:pStyle w:val="28"/>
              <w:widowControl w:val="0"/>
              <w:rPr>
                <w:color w:val="auto"/>
                <w:highlight w:val="none"/>
              </w:rPr>
            </w:pPr>
            <w:r>
              <w:rPr>
                <w:rFonts w:hint="eastAsia"/>
                <w:color w:val="auto"/>
                <w:highlight w:val="none"/>
              </w:rPr>
              <w:t>4</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石油类</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0.03</w:t>
            </w:r>
          </w:p>
        </w:tc>
        <w:tc>
          <w:tcPr>
            <w:tcW w:w="664" w:type="pct"/>
            <w:vAlign w:val="center"/>
          </w:tcPr>
          <w:p>
            <w:pPr>
              <w:pStyle w:val="28"/>
              <w:widowControl w:val="0"/>
              <w:rPr>
                <w:color w:val="auto"/>
                <w:highlight w:val="none"/>
              </w:rPr>
            </w:pPr>
            <w:r>
              <w:rPr>
                <w:color w:val="auto"/>
                <w:highlight w:val="none"/>
              </w:rPr>
              <w:t>0.02</w:t>
            </w:r>
          </w:p>
        </w:tc>
        <w:tc>
          <w:tcPr>
            <w:tcW w:w="664" w:type="pct"/>
            <w:vAlign w:val="center"/>
          </w:tcPr>
          <w:p>
            <w:pPr>
              <w:pStyle w:val="28"/>
              <w:widowControl w:val="0"/>
              <w:rPr>
                <w:color w:val="auto"/>
                <w:highlight w:val="none"/>
              </w:rPr>
            </w:pPr>
            <w:r>
              <w:rPr>
                <w:color w:val="auto"/>
                <w:highlight w:val="none"/>
              </w:rPr>
              <w:t>0.02</w:t>
            </w:r>
          </w:p>
        </w:tc>
        <w:tc>
          <w:tcPr>
            <w:tcW w:w="579" w:type="pct"/>
            <w:vAlign w:val="center"/>
          </w:tcPr>
          <w:p>
            <w:pPr>
              <w:pStyle w:val="28"/>
              <w:widowControl w:val="0"/>
              <w:rPr>
                <w:color w:val="auto"/>
                <w:highlight w:val="none"/>
              </w:rPr>
            </w:pPr>
            <w:r>
              <w:rPr>
                <w:rFonts w:hint="eastAsia"/>
                <w:color w:val="auto"/>
                <w:highlight w:val="none"/>
              </w:rPr>
              <w:t>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氨氮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rFonts w:hint="eastAsia"/>
                <w:color w:val="auto"/>
                <w:highlight w:val="none"/>
              </w:rPr>
              <w:t>0.216</w:t>
            </w:r>
          </w:p>
        </w:tc>
        <w:tc>
          <w:tcPr>
            <w:tcW w:w="664" w:type="pct"/>
            <w:vAlign w:val="center"/>
          </w:tcPr>
          <w:p>
            <w:pPr>
              <w:pStyle w:val="28"/>
              <w:widowControl w:val="0"/>
              <w:rPr>
                <w:color w:val="auto"/>
                <w:highlight w:val="none"/>
              </w:rPr>
            </w:pPr>
            <w:r>
              <w:rPr>
                <w:rFonts w:hint="eastAsia"/>
                <w:color w:val="auto"/>
                <w:highlight w:val="none"/>
              </w:rPr>
              <w:t>0.201</w:t>
            </w:r>
          </w:p>
        </w:tc>
        <w:tc>
          <w:tcPr>
            <w:tcW w:w="664" w:type="pct"/>
            <w:vAlign w:val="center"/>
          </w:tcPr>
          <w:p>
            <w:pPr>
              <w:pStyle w:val="28"/>
              <w:widowControl w:val="0"/>
              <w:rPr>
                <w:color w:val="auto"/>
                <w:highlight w:val="none"/>
              </w:rPr>
            </w:pPr>
            <w:r>
              <w:rPr>
                <w:rFonts w:hint="eastAsia"/>
                <w:color w:val="auto"/>
                <w:highlight w:val="none"/>
              </w:rPr>
              <w:t>0.217</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rFonts w:hint="eastAsia"/>
                <w:color w:val="auto"/>
                <w:highlight w:val="none"/>
              </w:rPr>
              <w:t>0.66</w:t>
            </w:r>
          </w:p>
        </w:tc>
        <w:tc>
          <w:tcPr>
            <w:tcW w:w="664" w:type="pct"/>
            <w:vAlign w:val="center"/>
          </w:tcPr>
          <w:p>
            <w:pPr>
              <w:pStyle w:val="28"/>
              <w:widowControl w:val="0"/>
              <w:rPr>
                <w:color w:val="auto"/>
                <w:highlight w:val="none"/>
              </w:rPr>
            </w:pPr>
            <w:r>
              <w:rPr>
                <w:rFonts w:hint="eastAsia"/>
                <w:color w:val="auto"/>
                <w:highlight w:val="none"/>
              </w:rPr>
              <w:t>0.71</w:t>
            </w:r>
          </w:p>
        </w:tc>
        <w:tc>
          <w:tcPr>
            <w:tcW w:w="664" w:type="pct"/>
            <w:vAlign w:val="center"/>
          </w:tcPr>
          <w:p>
            <w:pPr>
              <w:pStyle w:val="28"/>
              <w:widowControl w:val="0"/>
              <w:rPr>
                <w:color w:val="auto"/>
                <w:highlight w:val="none"/>
              </w:rPr>
            </w:pPr>
            <w:r>
              <w:rPr>
                <w:rFonts w:hint="eastAsia"/>
                <w:color w:val="auto"/>
                <w:highlight w:val="none"/>
              </w:rPr>
              <w:t>0.71</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总磷</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0.06</w:t>
            </w:r>
          </w:p>
        </w:tc>
        <w:tc>
          <w:tcPr>
            <w:tcW w:w="664" w:type="pct"/>
            <w:vAlign w:val="center"/>
          </w:tcPr>
          <w:p>
            <w:pPr>
              <w:pStyle w:val="28"/>
              <w:widowControl w:val="0"/>
              <w:rPr>
                <w:color w:val="auto"/>
                <w:highlight w:val="none"/>
              </w:rPr>
            </w:pPr>
            <w:r>
              <w:rPr>
                <w:color w:val="auto"/>
                <w:highlight w:val="none"/>
              </w:rPr>
              <w:t>0.08</w:t>
            </w:r>
          </w:p>
        </w:tc>
        <w:tc>
          <w:tcPr>
            <w:tcW w:w="664" w:type="pct"/>
            <w:vAlign w:val="center"/>
          </w:tcPr>
          <w:p>
            <w:pPr>
              <w:pStyle w:val="28"/>
              <w:widowControl w:val="0"/>
              <w:rPr>
                <w:color w:val="auto"/>
                <w:highlight w:val="none"/>
              </w:rPr>
            </w:pPr>
            <w:r>
              <w:rPr>
                <w:color w:val="auto"/>
                <w:highlight w:val="none"/>
              </w:rPr>
              <w:t>0.08</w:t>
            </w:r>
          </w:p>
        </w:tc>
        <w:tc>
          <w:tcPr>
            <w:tcW w:w="579" w:type="pct"/>
            <w:vAlign w:val="center"/>
          </w:tcPr>
          <w:p>
            <w:pPr>
              <w:pStyle w:val="28"/>
              <w:widowControl w:val="0"/>
              <w:rPr>
                <w:color w:val="auto"/>
                <w:highlight w:val="none"/>
              </w:rPr>
            </w:pPr>
            <w:r>
              <w:rPr>
                <w:rFonts w:hint="eastAsia"/>
                <w:color w:val="auto"/>
                <w:highlight w:val="none"/>
              </w:rPr>
              <w:t>0.2</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挥发酚</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579" w:type="pct"/>
            <w:vAlign w:val="center"/>
          </w:tcPr>
          <w:p>
            <w:pPr>
              <w:pStyle w:val="28"/>
              <w:widowControl w:val="0"/>
              <w:rPr>
                <w:color w:val="auto"/>
                <w:highlight w:val="none"/>
              </w:rPr>
            </w:pPr>
            <w:r>
              <w:rPr>
                <w:rFonts w:hint="eastAsia"/>
                <w:color w:val="auto"/>
                <w:highlight w:val="none"/>
              </w:rPr>
              <w:t>0.005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粪大肠菌群</w:t>
            </w:r>
          </w:p>
        </w:tc>
        <w:tc>
          <w:tcPr>
            <w:tcW w:w="454" w:type="pct"/>
            <w:vAlign w:val="center"/>
          </w:tcPr>
          <w:p>
            <w:pPr>
              <w:pStyle w:val="28"/>
              <w:widowControl w:val="0"/>
              <w:rPr>
                <w:color w:val="auto"/>
                <w:highlight w:val="none"/>
              </w:rPr>
            </w:pPr>
            <w:r>
              <w:rPr>
                <w:color w:val="auto"/>
                <w:highlight w:val="none"/>
              </w:rPr>
              <w:t>MPN/L</w:t>
            </w:r>
          </w:p>
        </w:tc>
        <w:tc>
          <w:tcPr>
            <w:tcW w:w="664" w:type="pct"/>
            <w:vAlign w:val="center"/>
          </w:tcPr>
          <w:p>
            <w:pPr>
              <w:pStyle w:val="28"/>
              <w:widowControl w:val="0"/>
              <w:rPr>
                <w:color w:val="auto"/>
                <w:highlight w:val="none"/>
              </w:rPr>
            </w:pPr>
            <w:r>
              <w:rPr>
                <w:color w:val="auto"/>
                <w:highlight w:val="none"/>
              </w:rPr>
              <w:t>7.0×10</w:t>
            </w:r>
            <w:r>
              <w:rPr>
                <w:color w:val="auto"/>
                <w:highlight w:val="none"/>
                <w:vertAlign w:val="superscript"/>
              </w:rPr>
              <w:t>2</w:t>
            </w:r>
          </w:p>
        </w:tc>
        <w:tc>
          <w:tcPr>
            <w:tcW w:w="664" w:type="pct"/>
            <w:vAlign w:val="center"/>
          </w:tcPr>
          <w:p>
            <w:pPr>
              <w:pStyle w:val="28"/>
              <w:widowControl w:val="0"/>
              <w:rPr>
                <w:color w:val="auto"/>
                <w:highlight w:val="none"/>
              </w:rPr>
            </w:pPr>
            <w:r>
              <w:rPr>
                <w:color w:val="auto"/>
                <w:highlight w:val="none"/>
              </w:rPr>
              <w:t>8.0×10</w:t>
            </w:r>
            <w:r>
              <w:rPr>
                <w:color w:val="auto"/>
                <w:highlight w:val="none"/>
                <w:vertAlign w:val="superscript"/>
              </w:rPr>
              <w:t>2</w:t>
            </w:r>
          </w:p>
        </w:tc>
        <w:tc>
          <w:tcPr>
            <w:tcW w:w="664" w:type="pct"/>
            <w:vAlign w:val="center"/>
          </w:tcPr>
          <w:p>
            <w:pPr>
              <w:pStyle w:val="28"/>
              <w:widowControl w:val="0"/>
              <w:rPr>
                <w:color w:val="auto"/>
                <w:highlight w:val="none"/>
              </w:rPr>
            </w:pPr>
            <w:r>
              <w:rPr>
                <w:color w:val="auto"/>
                <w:highlight w:val="none"/>
              </w:rPr>
              <w:t>7.0×10</w:t>
            </w:r>
            <w:r>
              <w:rPr>
                <w:color w:val="auto"/>
                <w:highlight w:val="none"/>
                <w:vertAlign w:val="superscript"/>
              </w:rPr>
              <w:t>2</w:t>
            </w:r>
          </w:p>
        </w:tc>
        <w:tc>
          <w:tcPr>
            <w:tcW w:w="579" w:type="pct"/>
            <w:vAlign w:val="center"/>
          </w:tcPr>
          <w:p>
            <w:pPr>
              <w:pStyle w:val="28"/>
              <w:widowControl w:val="0"/>
              <w:rPr>
                <w:color w:val="auto"/>
                <w:highlight w:val="none"/>
                <w:vertAlign w:val="superscript"/>
              </w:rPr>
            </w:pPr>
            <w:r>
              <w:rPr>
                <w:rFonts w:hint="eastAsia"/>
                <w:color w:val="auto"/>
                <w:highlight w:val="none"/>
              </w:rPr>
              <w:t>1</w:t>
            </w:r>
            <w:r>
              <w:rPr>
                <w:color w:val="auto"/>
                <w:highlight w:val="none"/>
              </w:rPr>
              <w:t>×10</w:t>
            </w:r>
            <w:r>
              <w:rPr>
                <w:rFonts w:hint="eastAsia"/>
                <w:color w:val="auto"/>
                <w:highlight w:val="none"/>
                <w:vertAlign w:val="superscript"/>
              </w:rPr>
              <w:t>4</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restart"/>
            <w:vAlign w:val="center"/>
          </w:tcPr>
          <w:p>
            <w:pPr>
              <w:pStyle w:val="28"/>
              <w:widowControl w:val="0"/>
              <w:rPr>
                <w:color w:val="auto"/>
                <w:highlight w:val="none"/>
              </w:rPr>
            </w:pPr>
            <w:r>
              <w:rPr>
                <w:color w:val="auto"/>
                <w:highlight w:val="none"/>
              </w:rPr>
              <w:fldChar w:fldCharType="begin"/>
            </w:r>
            <w:r>
              <w:rPr>
                <w:color w:val="auto"/>
                <w:highlight w:val="none"/>
              </w:rPr>
              <w:instrText xml:space="preserve"> REF 地表水2\h \* MERGEFORMAT</w:instrText>
            </w:r>
            <w:r>
              <w:rPr>
                <w:color w:val="auto"/>
                <w:highlight w:val="none"/>
              </w:rPr>
              <w:fldChar w:fldCharType="separate"/>
            </w:r>
            <w:r>
              <w:rPr>
                <w:color w:val="auto"/>
                <w:highlight w:val="none"/>
              </w:rPr>
              <w:t>2#拟建</w:t>
            </w:r>
            <w:r>
              <w:rPr>
                <w:rFonts w:hint="eastAsia"/>
                <w:color w:val="auto"/>
                <w:highlight w:val="none"/>
              </w:rPr>
              <w:t>项目</w:t>
            </w:r>
            <w:r>
              <w:rPr>
                <w:color w:val="auto"/>
                <w:highlight w:val="none"/>
              </w:rPr>
              <w:t>下游1000m</w:t>
            </w:r>
            <w:r>
              <w:rPr>
                <w:color w:val="auto"/>
                <w:highlight w:val="none"/>
              </w:rPr>
              <w:fldChar w:fldCharType="end"/>
            </w:r>
            <w:r>
              <w:rPr>
                <w:color w:val="auto"/>
                <w:highlight w:val="none"/>
              </w:rPr>
              <w:br w:type="page"/>
            </w:r>
          </w:p>
        </w:tc>
        <w:tc>
          <w:tcPr>
            <w:tcW w:w="829" w:type="pct"/>
            <w:vAlign w:val="center"/>
          </w:tcPr>
          <w:p>
            <w:pPr>
              <w:pStyle w:val="28"/>
              <w:widowControl w:val="0"/>
              <w:rPr>
                <w:color w:val="auto"/>
                <w:highlight w:val="none"/>
              </w:rPr>
            </w:pPr>
            <w:r>
              <w:rPr>
                <w:color w:val="auto"/>
                <w:highlight w:val="none"/>
              </w:rPr>
              <w:t>pH</w:t>
            </w:r>
          </w:p>
        </w:tc>
        <w:tc>
          <w:tcPr>
            <w:tcW w:w="454" w:type="pct"/>
            <w:vAlign w:val="center"/>
          </w:tcPr>
          <w:p>
            <w:pPr>
              <w:pStyle w:val="28"/>
              <w:widowControl w:val="0"/>
              <w:rPr>
                <w:color w:val="auto"/>
                <w:highlight w:val="none"/>
              </w:rPr>
            </w:pPr>
            <w:r>
              <w:rPr>
                <w:color w:val="auto"/>
                <w:highlight w:val="none"/>
              </w:rPr>
              <w:t>无量纲</w:t>
            </w:r>
          </w:p>
        </w:tc>
        <w:tc>
          <w:tcPr>
            <w:tcW w:w="664" w:type="pct"/>
            <w:vAlign w:val="center"/>
          </w:tcPr>
          <w:p>
            <w:pPr>
              <w:pStyle w:val="28"/>
              <w:widowControl w:val="0"/>
              <w:rPr>
                <w:color w:val="auto"/>
                <w:highlight w:val="none"/>
              </w:rPr>
            </w:pPr>
            <w:r>
              <w:rPr>
                <w:color w:val="auto"/>
                <w:highlight w:val="none"/>
              </w:rPr>
              <w:t>7.4</w:t>
            </w:r>
          </w:p>
        </w:tc>
        <w:tc>
          <w:tcPr>
            <w:tcW w:w="664" w:type="pct"/>
            <w:vAlign w:val="center"/>
          </w:tcPr>
          <w:p>
            <w:pPr>
              <w:pStyle w:val="28"/>
              <w:widowControl w:val="0"/>
              <w:rPr>
                <w:color w:val="auto"/>
                <w:highlight w:val="none"/>
              </w:rPr>
            </w:pPr>
            <w:r>
              <w:rPr>
                <w:color w:val="auto"/>
                <w:highlight w:val="none"/>
              </w:rPr>
              <w:t>7.5</w:t>
            </w:r>
          </w:p>
        </w:tc>
        <w:tc>
          <w:tcPr>
            <w:tcW w:w="664" w:type="pct"/>
            <w:vAlign w:val="center"/>
          </w:tcPr>
          <w:p>
            <w:pPr>
              <w:pStyle w:val="28"/>
              <w:widowControl w:val="0"/>
              <w:rPr>
                <w:color w:val="auto"/>
                <w:highlight w:val="none"/>
              </w:rPr>
            </w:pPr>
            <w:r>
              <w:rPr>
                <w:color w:val="auto"/>
                <w:highlight w:val="none"/>
              </w:rPr>
              <w:t>7.5</w:t>
            </w:r>
          </w:p>
        </w:tc>
        <w:tc>
          <w:tcPr>
            <w:tcW w:w="579" w:type="pct"/>
            <w:vAlign w:val="center"/>
          </w:tcPr>
          <w:p>
            <w:pPr>
              <w:pStyle w:val="28"/>
              <w:widowControl w:val="0"/>
              <w:rPr>
                <w:color w:val="auto"/>
                <w:highlight w:val="none"/>
              </w:rPr>
            </w:pPr>
            <w:r>
              <w:rPr>
                <w:rFonts w:hint="eastAsia"/>
                <w:color w:val="auto"/>
                <w:highlight w:val="none"/>
              </w:rPr>
              <w:t>6-9</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水温</w:t>
            </w:r>
          </w:p>
        </w:tc>
        <w:tc>
          <w:tcPr>
            <w:tcW w:w="454" w:type="pct"/>
            <w:vAlign w:val="center"/>
          </w:tcPr>
          <w:p>
            <w:pPr>
              <w:pStyle w:val="28"/>
              <w:widowControl w:val="0"/>
              <w:rPr>
                <w:color w:val="auto"/>
                <w:highlight w:val="none"/>
              </w:rPr>
            </w:pPr>
            <w:r>
              <w:rPr>
                <w:color w:val="auto"/>
                <w:highlight w:val="none"/>
              </w:rPr>
              <w:t>℃</w:t>
            </w:r>
          </w:p>
        </w:tc>
        <w:tc>
          <w:tcPr>
            <w:tcW w:w="664" w:type="pct"/>
            <w:vAlign w:val="center"/>
          </w:tcPr>
          <w:p>
            <w:pPr>
              <w:pStyle w:val="28"/>
              <w:widowControl w:val="0"/>
              <w:rPr>
                <w:color w:val="auto"/>
                <w:highlight w:val="none"/>
              </w:rPr>
            </w:pPr>
            <w:r>
              <w:rPr>
                <w:color w:val="auto"/>
                <w:highlight w:val="none"/>
              </w:rPr>
              <w:t>15.9</w:t>
            </w:r>
          </w:p>
        </w:tc>
        <w:tc>
          <w:tcPr>
            <w:tcW w:w="664" w:type="pct"/>
            <w:vAlign w:val="center"/>
          </w:tcPr>
          <w:p>
            <w:pPr>
              <w:pStyle w:val="28"/>
              <w:widowControl w:val="0"/>
              <w:rPr>
                <w:color w:val="auto"/>
                <w:highlight w:val="none"/>
              </w:rPr>
            </w:pPr>
            <w:r>
              <w:rPr>
                <w:color w:val="auto"/>
                <w:highlight w:val="none"/>
              </w:rPr>
              <w:t>15.8</w:t>
            </w:r>
          </w:p>
        </w:tc>
        <w:tc>
          <w:tcPr>
            <w:tcW w:w="664" w:type="pct"/>
            <w:vAlign w:val="center"/>
          </w:tcPr>
          <w:p>
            <w:pPr>
              <w:pStyle w:val="28"/>
              <w:widowControl w:val="0"/>
              <w:rPr>
                <w:color w:val="auto"/>
                <w:highlight w:val="none"/>
              </w:rPr>
            </w:pPr>
            <w:r>
              <w:rPr>
                <w:color w:val="auto"/>
                <w:highlight w:val="none"/>
              </w:rPr>
              <w:t>15.3</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溶解氧</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6.9</w:t>
            </w:r>
          </w:p>
        </w:tc>
        <w:tc>
          <w:tcPr>
            <w:tcW w:w="664" w:type="pct"/>
            <w:vAlign w:val="center"/>
          </w:tcPr>
          <w:p>
            <w:pPr>
              <w:pStyle w:val="28"/>
              <w:widowControl w:val="0"/>
              <w:rPr>
                <w:color w:val="auto"/>
                <w:highlight w:val="none"/>
              </w:rPr>
            </w:pPr>
            <w:r>
              <w:rPr>
                <w:color w:val="auto"/>
                <w:highlight w:val="none"/>
              </w:rPr>
              <w:t>7.0</w:t>
            </w:r>
          </w:p>
        </w:tc>
        <w:tc>
          <w:tcPr>
            <w:tcW w:w="664" w:type="pct"/>
            <w:vAlign w:val="center"/>
          </w:tcPr>
          <w:p>
            <w:pPr>
              <w:pStyle w:val="28"/>
              <w:widowControl w:val="0"/>
              <w:rPr>
                <w:color w:val="auto"/>
                <w:highlight w:val="none"/>
              </w:rPr>
            </w:pPr>
            <w:r>
              <w:rPr>
                <w:color w:val="auto"/>
                <w:highlight w:val="none"/>
              </w:rPr>
              <w:t>7.2</w:t>
            </w:r>
          </w:p>
        </w:tc>
        <w:tc>
          <w:tcPr>
            <w:tcW w:w="579" w:type="pct"/>
            <w:vAlign w:val="center"/>
          </w:tcPr>
          <w:p>
            <w:pPr>
              <w:pStyle w:val="28"/>
              <w:widowControl w:val="0"/>
              <w:rPr>
                <w:color w:val="auto"/>
                <w:highlight w:val="none"/>
              </w:rPr>
            </w:pPr>
            <w:r>
              <w:rPr>
                <w:rFonts w:hint="eastAsia"/>
                <w:color w:val="auto"/>
                <w:highlight w:val="none"/>
              </w:rPr>
              <w:t>≥5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悬浮物</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9</w:t>
            </w:r>
          </w:p>
        </w:tc>
        <w:tc>
          <w:tcPr>
            <w:tcW w:w="664" w:type="pct"/>
            <w:vAlign w:val="center"/>
          </w:tcPr>
          <w:p>
            <w:pPr>
              <w:pStyle w:val="28"/>
              <w:widowControl w:val="0"/>
              <w:rPr>
                <w:color w:val="auto"/>
                <w:highlight w:val="none"/>
              </w:rPr>
            </w:pPr>
            <w:r>
              <w:rPr>
                <w:color w:val="auto"/>
                <w:highlight w:val="none"/>
              </w:rPr>
              <w:t>10</w:t>
            </w:r>
          </w:p>
        </w:tc>
        <w:tc>
          <w:tcPr>
            <w:tcW w:w="664" w:type="pct"/>
            <w:vAlign w:val="center"/>
          </w:tcPr>
          <w:p>
            <w:pPr>
              <w:pStyle w:val="28"/>
              <w:widowControl w:val="0"/>
              <w:rPr>
                <w:color w:val="auto"/>
                <w:highlight w:val="none"/>
              </w:rPr>
            </w:pPr>
            <w:r>
              <w:rPr>
                <w:color w:val="auto"/>
                <w:highlight w:val="none"/>
              </w:rPr>
              <w:t>11</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化学需氧量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12</w:t>
            </w:r>
          </w:p>
        </w:tc>
        <w:tc>
          <w:tcPr>
            <w:tcW w:w="664" w:type="pct"/>
            <w:vAlign w:val="center"/>
          </w:tcPr>
          <w:p>
            <w:pPr>
              <w:pStyle w:val="28"/>
              <w:widowControl w:val="0"/>
              <w:rPr>
                <w:color w:val="auto"/>
                <w:highlight w:val="none"/>
              </w:rPr>
            </w:pPr>
            <w:r>
              <w:rPr>
                <w:color w:val="auto"/>
                <w:highlight w:val="none"/>
              </w:rPr>
              <w:t>11</w:t>
            </w:r>
          </w:p>
        </w:tc>
        <w:tc>
          <w:tcPr>
            <w:tcW w:w="664" w:type="pct"/>
            <w:vAlign w:val="center"/>
          </w:tcPr>
          <w:p>
            <w:pPr>
              <w:pStyle w:val="28"/>
              <w:widowControl w:val="0"/>
              <w:rPr>
                <w:color w:val="auto"/>
                <w:highlight w:val="none"/>
              </w:rPr>
            </w:pPr>
            <w:r>
              <w:rPr>
                <w:color w:val="auto"/>
                <w:highlight w:val="none"/>
              </w:rPr>
              <w:t>11</w:t>
            </w:r>
          </w:p>
        </w:tc>
        <w:tc>
          <w:tcPr>
            <w:tcW w:w="579" w:type="pct"/>
            <w:vAlign w:val="center"/>
          </w:tcPr>
          <w:p>
            <w:pPr>
              <w:pStyle w:val="28"/>
              <w:widowControl w:val="0"/>
              <w:rPr>
                <w:color w:val="auto"/>
                <w:highlight w:val="none"/>
              </w:rPr>
            </w:pPr>
            <w:r>
              <w:rPr>
                <w:rFonts w:hint="eastAsia"/>
                <w:color w:val="auto"/>
                <w:highlight w:val="none"/>
              </w:rPr>
              <w:t>20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五日生化需氧量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2.2</w:t>
            </w:r>
          </w:p>
        </w:tc>
        <w:tc>
          <w:tcPr>
            <w:tcW w:w="664" w:type="pct"/>
            <w:vAlign w:val="center"/>
          </w:tcPr>
          <w:p>
            <w:pPr>
              <w:pStyle w:val="28"/>
              <w:widowControl w:val="0"/>
              <w:rPr>
                <w:color w:val="auto"/>
                <w:highlight w:val="none"/>
              </w:rPr>
            </w:pPr>
            <w:r>
              <w:rPr>
                <w:color w:val="auto"/>
                <w:highlight w:val="none"/>
              </w:rPr>
              <w:t>2.1</w:t>
            </w:r>
          </w:p>
        </w:tc>
        <w:tc>
          <w:tcPr>
            <w:tcW w:w="664" w:type="pct"/>
            <w:vAlign w:val="center"/>
          </w:tcPr>
          <w:p>
            <w:pPr>
              <w:pStyle w:val="28"/>
              <w:widowControl w:val="0"/>
              <w:rPr>
                <w:color w:val="auto"/>
                <w:highlight w:val="none"/>
              </w:rPr>
            </w:pPr>
            <w:r>
              <w:rPr>
                <w:color w:val="auto"/>
                <w:highlight w:val="none"/>
              </w:rPr>
              <w:t>2.0</w:t>
            </w:r>
          </w:p>
        </w:tc>
        <w:tc>
          <w:tcPr>
            <w:tcW w:w="579" w:type="pct"/>
            <w:vAlign w:val="center"/>
          </w:tcPr>
          <w:p>
            <w:pPr>
              <w:pStyle w:val="28"/>
              <w:widowControl w:val="0"/>
              <w:rPr>
                <w:color w:val="auto"/>
                <w:highlight w:val="none"/>
              </w:rPr>
            </w:pPr>
            <w:r>
              <w:rPr>
                <w:rFonts w:hint="eastAsia"/>
                <w:color w:val="auto"/>
                <w:highlight w:val="none"/>
              </w:rPr>
              <w:t>4</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石油类</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0.01</w:t>
            </w:r>
          </w:p>
        </w:tc>
        <w:tc>
          <w:tcPr>
            <w:tcW w:w="664" w:type="pct"/>
            <w:vAlign w:val="center"/>
          </w:tcPr>
          <w:p>
            <w:pPr>
              <w:pStyle w:val="28"/>
              <w:widowControl w:val="0"/>
              <w:rPr>
                <w:color w:val="auto"/>
                <w:highlight w:val="none"/>
              </w:rPr>
            </w:pPr>
            <w:r>
              <w:rPr>
                <w:color w:val="auto"/>
                <w:highlight w:val="none"/>
              </w:rPr>
              <w:t>0.02</w:t>
            </w:r>
          </w:p>
        </w:tc>
        <w:tc>
          <w:tcPr>
            <w:tcW w:w="664" w:type="pct"/>
            <w:vAlign w:val="center"/>
          </w:tcPr>
          <w:p>
            <w:pPr>
              <w:pStyle w:val="28"/>
              <w:widowControl w:val="0"/>
              <w:rPr>
                <w:color w:val="auto"/>
                <w:highlight w:val="none"/>
              </w:rPr>
            </w:pPr>
            <w:r>
              <w:rPr>
                <w:color w:val="auto"/>
                <w:highlight w:val="none"/>
              </w:rPr>
              <w:t>0.01</w:t>
            </w:r>
          </w:p>
        </w:tc>
        <w:tc>
          <w:tcPr>
            <w:tcW w:w="579" w:type="pct"/>
            <w:vAlign w:val="center"/>
          </w:tcPr>
          <w:p>
            <w:pPr>
              <w:pStyle w:val="28"/>
              <w:widowControl w:val="0"/>
              <w:rPr>
                <w:color w:val="auto"/>
                <w:highlight w:val="none"/>
              </w:rPr>
            </w:pPr>
            <w:r>
              <w:rPr>
                <w:rFonts w:hint="eastAsia"/>
                <w:color w:val="auto"/>
                <w:highlight w:val="none"/>
              </w:rPr>
              <w:t>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氨氮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rFonts w:hint="eastAsia"/>
                <w:color w:val="auto"/>
                <w:highlight w:val="none"/>
              </w:rPr>
              <w:t>0.474</w:t>
            </w:r>
          </w:p>
        </w:tc>
        <w:tc>
          <w:tcPr>
            <w:tcW w:w="664" w:type="pct"/>
            <w:vAlign w:val="center"/>
          </w:tcPr>
          <w:p>
            <w:pPr>
              <w:pStyle w:val="28"/>
              <w:widowControl w:val="0"/>
              <w:rPr>
                <w:color w:val="auto"/>
                <w:highlight w:val="none"/>
              </w:rPr>
            </w:pPr>
            <w:r>
              <w:rPr>
                <w:rFonts w:hint="eastAsia"/>
                <w:color w:val="auto"/>
                <w:highlight w:val="none"/>
              </w:rPr>
              <w:t>0.465</w:t>
            </w:r>
          </w:p>
        </w:tc>
        <w:tc>
          <w:tcPr>
            <w:tcW w:w="664" w:type="pct"/>
            <w:vAlign w:val="center"/>
          </w:tcPr>
          <w:p>
            <w:pPr>
              <w:pStyle w:val="28"/>
              <w:widowControl w:val="0"/>
              <w:rPr>
                <w:color w:val="auto"/>
                <w:highlight w:val="none"/>
              </w:rPr>
            </w:pPr>
            <w:r>
              <w:rPr>
                <w:rFonts w:hint="eastAsia"/>
                <w:color w:val="auto"/>
                <w:highlight w:val="none"/>
              </w:rPr>
              <w:t>0.460</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rFonts w:hint="eastAsia"/>
                <w:color w:val="auto"/>
                <w:highlight w:val="none"/>
              </w:rPr>
              <w:t>0.95</w:t>
            </w:r>
          </w:p>
        </w:tc>
        <w:tc>
          <w:tcPr>
            <w:tcW w:w="664" w:type="pct"/>
            <w:vAlign w:val="center"/>
          </w:tcPr>
          <w:p>
            <w:pPr>
              <w:pStyle w:val="28"/>
              <w:widowControl w:val="0"/>
              <w:rPr>
                <w:color w:val="auto"/>
                <w:highlight w:val="none"/>
              </w:rPr>
            </w:pPr>
            <w:r>
              <w:rPr>
                <w:rFonts w:hint="eastAsia"/>
                <w:color w:val="auto"/>
                <w:highlight w:val="none"/>
              </w:rPr>
              <w:t>1.02</w:t>
            </w:r>
          </w:p>
        </w:tc>
        <w:tc>
          <w:tcPr>
            <w:tcW w:w="664" w:type="pct"/>
            <w:vAlign w:val="center"/>
          </w:tcPr>
          <w:p>
            <w:pPr>
              <w:pStyle w:val="28"/>
              <w:widowControl w:val="0"/>
              <w:rPr>
                <w:color w:val="auto"/>
                <w:highlight w:val="none"/>
              </w:rPr>
            </w:pPr>
            <w:r>
              <w:rPr>
                <w:rFonts w:hint="eastAsia"/>
                <w:color w:val="auto"/>
                <w:highlight w:val="none"/>
              </w:rPr>
              <w:t>0.99</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总磷</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0.05</w:t>
            </w:r>
          </w:p>
        </w:tc>
        <w:tc>
          <w:tcPr>
            <w:tcW w:w="664" w:type="pct"/>
            <w:vAlign w:val="center"/>
          </w:tcPr>
          <w:p>
            <w:pPr>
              <w:pStyle w:val="28"/>
              <w:widowControl w:val="0"/>
              <w:rPr>
                <w:color w:val="auto"/>
                <w:highlight w:val="none"/>
              </w:rPr>
            </w:pPr>
            <w:r>
              <w:rPr>
                <w:color w:val="auto"/>
                <w:highlight w:val="none"/>
              </w:rPr>
              <w:t>0.04</w:t>
            </w:r>
          </w:p>
        </w:tc>
        <w:tc>
          <w:tcPr>
            <w:tcW w:w="664" w:type="pct"/>
            <w:vAlign w:val="center"/>
          </w:tcPr>
          <w:p>
            <w:pPr>
              <w:pStyle w:val="28"/>
              <w:widowControl w:val="0"/>
              <w:rPr>
                <w:color w:val="auto"/>
                <w:highlight w:val="none"/>
              </w:rPr>
            </w:pPr>
            <w:r>
              <w:rPr>
                <w:color w:val="auto"/>
                <w:highlight w:val="none"/>
              </w:rPr>
              <w:t>0.07</w:t>
            </w:r>
          </w:p>
        </w:tc>
        <w:tc>
          <w:tcPr>
            <w:tcW w:w="579" w:type="pct"/>
            <w:vAlign w:val="center"/>
          </w:tcPr>
          <w:p>
            <w:pPr>
              <w:pStyle w:val="28"/>
              <w:widowControl w:val="0"/>
              <w:rPr>
                <w:color w:val="auto"/>
                <w:highlight w:val="none"/>
              </w:rPr>
            </w:pPr>
            <w:r>
              <w:rPr>
                <w:rFonts w:hint="eastAsia"/>
                <w:color w:val="auto"/>
                <w:highlight w:val="none"/>
              </w:rPr>
              <w:t>0.2</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挥发酚</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579" w:type="pct"/>
            <w:vAlign w:val="center"/>
          </w:tcPr>
          <w:p>
            <w:pPr>
              <w:pStyle w:val="28"/>
              <w:widowControl w:val="0"/>
              <w:rPr>
                <w:color w:val="auto"/>
                <w:highlight w:val="none"/>
              </w:rPr>
            </w:pPr>
            <w:r>
              <w:rPr>
                <w:rFonts w:hint="eastAsia"/>
                <w:color w:val="auto"/>
                <w:highlight w:val="none"/>
              </w:rPr>
              <w:t>0.005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粪大肠菌群</w:t>
            </w:r>
          </w:p>
        </w:tc>
        <w:tc>
          <w:tcPr>
            <w:tcW w:w="454" w:type="pct"/>
            <w:vAlign w:val="center"/>
          </w:tcPr>
          <w:p>
            <w:pPr>
              <w:pStyle w:val="28"/>
              <w:widowControl w:val="0"/>
              <w:rPr>
                <w:color w:val="auto"/>
                <w:highlight w:val="none"/>
              </w:rPr>
            </w:pPr>
            <w:r>
              <w:rPr>
                <w:color w:val="auto"/>
                <w:highlight w:val="none"/>
              </w:rPr>
              <w:t>MPN/L</w:t>
            </w:r>
          </w:p>
        </w:tc>
        <w:tc>
          <w:tcPr>
            <w:tcW w:w="664" w:type="pct"/>
            <w:vAlign w:val="center"/>
          </w:tcPr>
          <w:p>
            <w:pPr>
              <w:pStyle w:val="28"/>
              <w:widowControl w:val="0"/>
              <w:rPr>
                <w:color w:val="auto"/>
                <w:highlight w:val="none"/>
              </w:rPr>
            </w:pPr>
            <w:r>
              <w:rPr>
                <w:color w:val="auto"/>
                <w:highlight w:val="none"/>
              </w:rPr>
              <w:t>1.2×10</w:t>
            </w:r>
            <w:r>
              <w:rPr>
                <w:color w:val="auto"/>
                <w:highlight w:val="none"/>
                <w:vertAlign w:val="superscript"/>
              </w:rPr>
              <w:t>3</w:t>
            </w:r>
          </w:p>
        </w:tc>
        <w:tc>
          <w:tcPr>
            <w:tcW w:w="664" w:type="pct"/>
            <w:vAlign w:val="center"/>
          </w:tcPr>
          <w:p>
            <w:pPr>
              <w:pStyle w:val="28"/>
              <w:widowControl w:val="0"/>
              <w:rPr>
                <w:color w:val="auto"/>
                <w:highlight w:val="none"/>
              </w:rPr>
            </w:pPr>
            <w:r>
              <w:rPr>
                <w:color w:val="auto"/>
                <w:highlight w:val="none"/>
              </w:rPr>
              <w:t>1.4×10</w:t>
            </w:r>
            <w:r>
              <w:rPr>
                <w:color w:val="auto"/>
                <w:highlight w:val="none"/>
                <w:vertAlign w:val="superscript"/>
              </w:rPr>
              <w:t>3</w:t>
            </w:r>
          </w:p>
        </w:tc>
        <w:tc>
          <w:tcPr>
            <w:tcW w:w="664" w:type="pct"/>
            <w:vAlign w:val="center"/>
          </w:tcPr>
          <w:p>
            <w:pPr>
              <w:pStyle w:val="28"/>
              <w:widowControl w:val="0"/>
              <w:rPr>
                <w:color w:val="auto"/>
                <w:highlight w:val="none"/>
              </w:rPr>
            </w:pPr>
            <w:r>
              <w:rPr>
                <w:color w:val="auto"/>
                <w:highlight w:val="none"/>
              </w:rPr>
              <w:t>1.2×10</w:t>
            </w:r>
            <w:r>
              <w:rPr>
                <w:color w:val="auto"/>
                <w:highlight w:val="none"/>
                <w:vertAlign w:val="superscript"/>
              </w:rPr>
              <w:t>3</w:t>
            </w:r>
          </w:p>
        </w:tc>
        <w:tc>
          <w:tcPr>
            <w:tcW w:w="579" w:type="pct"/>
            <w:vAlign w:val="center"/>
          </w:tcPr>
          <w:p>
            <w:pPr>
              <w:pStyle w:val="28"/>
              <w:widowControl w:val="0"/>
              <w:rPr>
                <w:color w:val="auto"/>
                <w:highlight w:val="none"/>
                <w:vertAlign w:val="superscript"/>
              </w:rPr>
            </w:pPr>
            <w:r>
              <w:rPr>
                <w:rFonts w:hint="eastAsia"/>
                <w:color w:val="auto"/>
                <w:highlight w:val="none"/>
              </w:rPr>
              <w:t>1</w:t>
            </w:r>
            <w:r>
              <w:rPr>
                <w:color w:val="auto"/>
                <w:highlight w:val="none"/>
              </w:rPr>
              <w:t>×10</w:t>
            </w:r>
            <w:r>
              <w:rPr>
                <w:rFonts w:hint="eastAsia"/>
                <w:color w:val="auto"/>
                <w:highlight w:val="none"/>
                <w:vertAlign w:val="superscript"/>
              </w:rPr>
              <w:t>4</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restart"/>
            <w:vAlign w:val="center"/>
          </w:tcPr>
          <w:p>
            <w:pPr>
              <w:pStyle w:val="28"/>
              <w:widowControl w:val="0"/>
              <w:rPr>
                <w:color w:val="auto"/>
                <w:highlight w:val="none"/>
              </w:rPr>
            </w:pPr>
            <w:r>
              <w:rPr>
                <w:color w:val="auto"/>
                <w:highlight w:val="none"/>
              </w:rPr>
              <w:fldChar w:fldCharType="begin"/>
            </w:r>
            <w:r>
              <w:rPr>
                <w:color w:val="auto"/>
                <w:highlight w:val="none"/>
              </w:rPr>
              <w:instrText xml:space="preserve"> REF 地表水3\h \* MERGEFORMAT</w:instrText>
            </w:r>
            <w:r>
              <w:rPr>
                <w:color w:val="auto"/>
                <w:highlight w:val="none"/>
              </w:rPr>
              <w:fldChar w:fldCharType="separate"/>
            </w:r>
            <w:r>
              <w:rPr>
                <w:color w:val="auto"/>
                <w:highlight w:val="none"/>
              </w:rPr>
              <w:t>3#拟建</w:t>
            </w:r>
            <w:r>
              <w:rPr>
                <w:rFonts w:hint="eastAsia"/>
                <w:color w:val="auto"/>
                <w:highlight w:val="none"/>
              </w:rPr>
              <w:t>项目</w:t>
            </w:r>
            <w:r>
              <w:rPr>
                <w:color w:val="auto"/>
                <w:highlight w:val="none"/>
              </w:rPr>
              <w:t>下游3000m</w:t>
            </w:r>
            <w:r>
              <w:rPr>
                <w:color w:val="auto"/>
                <w:highlight w:val="none"/>
              </w:rPr>
              <w:fldChar w:fldCharType="end"/>
            </w:r>
          </w:p>
        </w:tc>
        <w:tc>
          <w:tcPr>
            <w:tcW w:w="829" w:type="pct"/>
            <w:vAlign w:val="center"/>
          </w:tcPr>
          <w:p>
            <w:pPr>
              <w:pStyle w:val="28"/>
              <w:widowControl w:val="0"/>
              <w:rPr>
                <w:color w:val="auto"/>
                <w:highlight w:val="none"/>
              </w:rPr>
            </w:pPr>
            <w:r>
              <w:rPr>
                <w:color w:val="auto"/>
                <w:highlight w:val="none"/>
              </w:rPr>
              <w:t>pH</w:t>
            </w:r>
          </w:p>
        </w:tc>
        <w:tc>
          <w:tcPr>
            <w:tcW w:w="454" w:type="pct"/>
            <w:vAlign w:val="center"/>
          </w:tcPr>
          <w:p>
            <w:pPr>
              <w:pStyle w:val="28"/>
              <w:widowControl w:val="0"/>
              <w:rPr>
                <w:color w:val="auto"/>
                <w:highlight w:val="none"/>
              </w:rPr>
            </w:pPr>
            <w:r>
              <w:rPr>
                <w:color w:val="auto"/>
                <w:highlight w:val="none"/>
              </w:rPr>
              <w:t>无量纲</w:t>
            </w:r>
          </w:p>
        </w:tc>
        <w:tc>
          <w:tcPr>
            <w:tcW w:w="664" w:type="pct"/>
            <w:vAlign w:val="center"/>
          </w:tcPr>
          <w:p>
            <w:pPr>
              <w:pStyle w:val="28"/>
              <w:widowControl w:val="0"/>
              <w:rPr>
                <w:color w:val="auto"/>
                <w:highlight w:val="none"/>
              </w:rPr>
            </w:pPr>
            <w:r>
              <w:rPr>
                <w:color w:val="auto"/>
                <w:highlight w:val="none"/>
              </w:rPr>
              <w:t>7.6</w:t>
            </w:r>
          </w:p>
        </w:tc>
        <w:tc>
          <w:tcPr>
            <w:tcW w:w="664" w:type="pct"/>
            <w:vAlign w:val="center"/>
          </w:tcPr>
          <w:p>
            <w:pPr>
              <w:pStyle w:val="28"/>
              <w:widowControl w:val="0"/>
              <w:rPr>
                <w:color w:val="auto"/>
                <w:highlight w:val="none"/>
              </w:rPr>
            </w:pPr>
            <w:r>
              <w:rPr>
                <w:color w:val="auto"/>
                <w:highlight w:val="none"/>
              </w:rPr>
              <w:t>7.8</w:t>
            </w:r>
          </w:p>
        </w:tc>
        <w:tc>
          <w:tcPr>
            <w:tcW w:w="664" w:type="pct"/>
            <w:vAlign w:val="center"/>
          </w:tcPr>
          <w:p>
            <w:pPr>
              <w:pStyle w:val="28"/>
              <w:widowControl w:val="0"/>
              <w:rPr>
                <w:color w:val="auto"/>
                <w:highlight w:val="none"/>
              </w:rPr>
            </w:pPr>
            <w:r>
              <w:rPr>
                <w:color w:val="auto"/>
                <w:highlight w:val="none"/>
              </w:rPr>
              <w:t>7.6</w:t>
            </w:r>
          </w:p>
        </w:tc>
        <w:tc>
          <w:tcPr>
            <w:tcW w:w="579" w:type="pct"/>
            <w:vAlign w:val="center"/>
          </w:tcPr>
          <w:p>
            <w:pPr>
              <w:pStyle w:val="28"/>
              <w:widowControl w:val="0"/>
              <w:rPr>
                <w:color w:val="auto"/>
                <w:highlight w:val="none"/>
              </w:rPr>
            </w:pPr>
            <w:r>
              <w:rPr>
                <w:rFonts w:hint="eastAsia"/>
                <w:color w:val="auto"/>
                <w:highlight w:val="none"/>
              </w:rPr>
              <w:t>6-9</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水温</w:t>
            </w:r>
          </w:p>
        </w:tc>
        <w:tc>
          <w:tcPr>
            <w:tcW w:w="454" w:type="pct"/>
            <w:vAlign w:val="center"/>
          </w:tcPr>
          <w:p>
            <w:pPr>
              <w:pStyle w:val="28"/>
              <w:widowControl w:val="0"/>
              <w:rPr>
                <w:color w:val="auto"/>
                <w:highlight w:val="none"/>
              </w:rPr>
            </w:pPr>
            <w:r>
              <w:rPr>
                <w:color w:val="auto"/>
                <w:highlight w:val="none"/>
              </w:rPr>
              <w:t>℃</w:t>
            </w:r>
          </w:p>
        </w:tc>
        <w:tc>
          <w:tcPr>
            <w:tcW w:w="664" w:type="pct"/>
            <w:vAlign w:val="center"/>
          </w:tcPr>
          <w:p>
            <w:pPr>
              <w:pStyle w:val="28"/>
              <w:widowControl w:val="0"/>
              <w:rPr>
                <w:color w:val="auto"/>
                <w:highlight w:val="none"/>
              </w:rPr>
            </w:pPr>
            <w:r>
              <w:rPr>
                <w:color w:val="auto"/>
                <w:highlight w:val="none"/>
              </w:rPr>
              <w:t>15.4</w:t>
            </w:r>
          </w:p>
        </w:tc>
        <w:tc>
          <w:tcPr>
            <w:tcW w:w="664" w:type="pct"/>
            <w:vAlign w:val="center"/>
          </w:tcPr>
          <w:p>
            <w:pPr>
              <w:pStyle w:val="28"/>
              <w:widowControl w:val="0"/>
              <w:rPr>
                <w:color w:val="auto"/>
                <w:highlight w:val="none"/>
              </w:rPr>
            </w:pPr>
            <w:r>
              <w:rPr>
                <w:color w:val="auto"/>
                <w:highlight w:val="none"/>
              </w:rPr>
              <w:t>16.1</w:t>
            </w:r>
          </w:p>
        </w:tc>
        <w:tc>
          <w:tcPr>
            <w:tcW w:w="664" w:type="pct"/>
            <w:vAlign w:val="center"/>
          </w:tcPr>
          <w:p>
            <w:pPr>
              <w:pStyle w:val="28"/>
              <w:widowControl w:val="0"/>
              <w:rPr>
                <w:color w:val="auto"/>
                <w:highlight w:val="none"/>
              </w:rPr>
            </w:pPr>
            <w:r>
              <w:rPr>
                <w:color w:val="auto"/>
                <w:highlight w:val="none"/>
              </w:rPr>
              <w:t>15.7</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溶解氧</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7.0</w:t>
            </w:r>
          </w:p>
        </w:tc>
        <w:tc>
          <w:tcPr>
            <w:tcW w:w="664" w:type="pct"/>
            <w:vAlign w:val="center"/>
          </w:tcPr>
          <w:p>
            <w:pPr>
              <w:pStyle w:val="28"/>
              <w:widowControl w:val="0"/>
              <w:rPr>
                <w:color w:val="auto"/>
                <w:highlight w:val="none"/>
              </w:rPr>
            </w:pPr>
            <w:r>
              <w:rPr>
                <w:color w:val="auto"/>
                <w:highlight w:val="none"/>
              </w:rPr>
              <w:t>6.8</w:t>
            </w:r>
          </w:p>
        </w:tc>
        <w:tc>
          <w:tcPr>
            <w:tcW w:w="664" w:type="pct"/>
            <w:vAlign w:val="center"/>
          </w:tcPr>
          <w:p>
            <w:pPr>
              <w:pStyle w:val="28"/>
              <w:widowControl w:val="0"/>
              <w:rPr>
                <w:color w:val="auto"/>
                <w:highlight w:val="none"/>
              </w:rPr>
            </w:pPr>
            <w:r>
              <w:rPr>
                <w:color w:val="auto"/>
                <w:highlight w:val="none"/>
              </w:rPr>
              <w:t>7.1</w:t>
            </w:r>
          </w:p>
        </w:tc>
        <w:tc>
          <w:tcPr>
            <w:tcW w:w="579" w:type="pct"/>
            <w:vAlign w:val="center"/>
          </w:tcPr>
          <w:p>
            <w:pPr>
              <w:pStyle w:val="28"/>
              <w:widowControl w:val="0"/>
              <w:rPr>
                <w:color w:val="auto"/>
                <w:highlight w:val="none"/>
              </w:rPr>
            </w:pPr>
            <w:r>
              <w:rPr>
                <w:rFonts w:hint="eastAsia"/>
                <w:color w:val="auto"/>
                <w:highlight w:val="none"/>
              </w:rPr>
              <w:t>≥5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悬浮物</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9</w:t>
            </w:r>
          </w:p>
        </w:tc>
        <w:tc>
          <w:tcPr>
            <w:tcW w:w="664" w:type="pct"/>
            <w:vAlign w:val="center"/>
          </w:tcPr>
          <w:p>
            <w:pPr>
              <w:pStyle w:val="28"/>
              <w:widowControl w:val="0"/>
              <w:rPr>
                <w:color w:val="auto"/>
                <w:highlight w:val="none"/>
              </w:rPr>
            </w:pPr>
            <w:r>
              <w:rPr>
                <w:color w:val="auto"/>
                <w:highlight w:val="none"/>
              </w:rPr>
              <w:t>10</w:t>
            </w:r>
          </w:p>
        </w:tc>
        <w:tc>
          <w:tcPr>
            <w:tcW w:w="664" w:type="pct"/>
            <w:vAlign w:val="center"/>
          </w:tcPr>
          <w:p>
            <w:pPr>
              <w:pStyle w:val="28"/>
              <w:widowControl w:val="0"/>
              <w:rPr>
                <w:color w:val="auto"/>
                <w:highlight w:val="none"/>
              </w:rPr>
            </w:pPr>
            <w:r>
              <w:rPr>
                <w:color w:val="auto"/>
                <w:highlight w:val="none"/>
              </w:rPr>
              <w:t>10</w:t>
            </w:r>
          </w:p>
        </w:tc>
        <w:tc>
          <w:tcPr>
            <w:tcW w:w="579" w:type="pct"/>
            <w:vAlign w:val="center"/>
          </w:tcPr>
          <w:p>
            <w:pPr>
              <w:pStyle w:val="28"/>
              <w:widowControl w:val="0"/>
              <w:rPr>
                <w:color w:val="auto"/>
                <w:highlight w:val="none"/>
              </w:rPr>
            </w:pPr>
            <w:r>
              <w:rPr>
                <w:rFonts w:hint="eastAsia"/>
                <w:color w:val="auto"/>
                <w:highlight w:val="none"/>
              </w:rPr>
              <w:t>/</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化学需氧量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9</w:t>
            </w:r>
          </w:p>
        </w:tc>
        <w:tc>
          <w:tcPr>
            <w:tcW w:w="664" w:type="pct"/>
            <w:vAlign w:val="center"/>
          </w:tcPr>
          <w:p>
            <w:pPr>
              <w:pStyle w:val="28"/>
              <w:widowControl w:val="0"/>
              <w:rPr>
                <w:color w:val="auto"/>
                <w:highlight w:val="none"/>
              </w:rPr>
            </w:pPr>
            <w:r>
              <w:rPr>
                <w:color w:val="auto"/>
                <w:highlight w:val="none"/>
              </w:rPr>
              <w:t>7</w:t>
            </w:r>
          </w:p>
        </w:tc>
        <w:tc>
          <w:tcPr>
            <w:tcW w:w="664" w:type="pct"/>
            <w:vAlign w:val="center"/>
          </w:tcPr>
          <w:p>
            <w:pPr>
              <w:pStyle w:val="28"/>
              <w:widowControl w:val="0"/>
              <w:rPr>
                <w:color w:val="auto"/>
                <w:highlight w:val="none"/>
              </w:rPr>
            </w:pPr>
            <w:r>
              <w:rPr>
                <w:color w:val="auto"/>
                <w:highlight w:val="none"/>
              </w:rPr>
              <w:t>9</w:t>
            </w:r>
          </w:p>
        </w:tc>
        <w:tc>
          <w:tcPr>
            <w:tcW w:w="579" w:type="pct"/>
            <w:vAlign w:val="center"/>
          </w:tcPr>
          <w:p>
            <w:pPr>
              <w:pStyle w:val="28"/>
              <w:widowControl w:val="0"/>
              <w:rPr>
                <w:color w:val="auto"/>
                <w:highlight w:val="none"/>
              </w:rPr>
            </w:pPr>
            <w:r>
              <w:rPr>
                <w:rFonts w:hint="eastAsia"/>
                <w:color w:val="auto"/>
                <w:highlight w:val="none"/>
              </w:rPr>
              <w:t>20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五日生化需氧量</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1.7</w:t>
            </w:r>
          </w:p>
        </w:tc>
        <w:tc>
          <w:tcPr>
            <w:tcW w:w="664" w:type="pct"/>
            <w:vAlign w:val="center"/>
          </w:tcPr>
          <w:p>
            <w:pPr>
              <w:pStyle w:val="28"/>
              <w:widowControl w:val="0"/>
              <w:rPr>
                <w:color w:val="auto"/>
                <w:highlight w:val="none"/>
              </w:rPr>
            </w:pPr>
            <w:r>
              <w:rPr>
                <w:color w:val="auto"/>
                <w:highlight w:val="none"/>
              </w:rPr>
              <w:t>1.7</w:t>
            </w:r>
          </w:p>
        </w:tc>
        <w:tc>
          <w:tcPr>
            <w:tcW w:w="664" w:type="pct"/>
            <w:vAlign w:val="center"/>
          </w:tcPr>
          <w:p>
            <w:pPr>
              <w:pStyle w:val="28"/>
              <w:widowControl w:val="0"/>
              <w:rPr>
                <w:color w:val="auto"/>
                <w:highlight w:val="none"/>
              </w:rPr>
            </w:pPr>
            <w:r>
              <w:rPr>
                <w:color w:val="auto"/>
                <w:highlight w:val="none"/>
              </w:rPr>
              <w:t>1.6</w:t>
            </w:r>
          </w:p>
        </w:tc>
        <w:tc>
          <w:tcPr>
            <w:tcW w:w="579" w:type="pct"/>
            <w:vAlign w:val="center"/>
          </w:tcPr>
          <w:p>
            <w:pPr>
              <w:pStyle w:val="28"/>
              <w:widowControl w:val="0"/>
              <w:rPr>
                <w:color w:val="auto"/>
                <w:highlight w:val="none"/>
              </w:rPr>
            </w:pPr>
            <w:r>
              <w:rPr>
                <w:rFonts w:hint="eastAsia"/>
                <w:color w:val="auto"/>
                <w:highlight w:val="none"/>
              </w:rPr>
              <w:t>4</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石油类</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0.02</w:t>
            </w:r>
          </w:p>
        </w:tc>
        <w:tc>
          <w:tcPr>
            <w:tcW w:w="664" w:type="pct"/>
            <w:vAlign w:val="center"/>
          </w:tcPr>
          <w:p>
            <w:pPr>
              <w:pStyle w:val="28"/>
              <w:widowControl w:val="0"/>
              <w:rPr>
                <w:color w:val="auto"/>
                <w:highlight w:val="none"/>
              </w:rPr>
            </w:pPr>
            <w:r>
              <w:rPr>
                <w:color w:val="auto"/>
                <w:highlight w:val="none"/>
              </w:rPr>
              <w:t>0.02</w:t>
            </w:r>
          </w:p>
        </w:tc>
        <w:tc>
          <w:tcPr>
            <w:tcW w:w="664" w:type="pct"/>
            <w:vAlign w:val="center"/>
          </w:tcPr>
          <w:p>
            <w:pPr>
              <w:pStyle w:val="28"/>
              <w:widowControl w:val="0"/>
              <w:rPr>
                <w:color w:val="auto"/>
                <w:highlight w:val="none"/>
              </w:rPr>
            </w:pPr>
            <w:r>
              <w:rPr>
                <w:color w:val="auto"/>
                <w:highlight w:val="none"/>
              </w:rPr>
              <w:t>0.02</w:t>
            </w:r>
          </w:p>
        </w:tc>
        <w:tc>
          <w:tcPr>
            <w:tcW w:w="579" w:type="pct"/>
            <w:vAlign w:val="center"/>
          </w:tcPr>
          <w:p>
            <w:pPr>
              <w:pStyle w:val="28"/>
              <w:widowControl w:val="0"/>
              <w:rPr>
                <w:color w:val="auto"/>
                <w:highlight w:val="none"/>
              </w:rPr>
            </w:pPr>
            <w:r>
              <w:rPr>
                <w:rFonts w:hint="eastAsia"/>
                <w:color w:val="auto"/>
                <w:highlight w:val="none"/>
              </w:rPr>
              <w:t>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氨氮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0.149</w:t>
            </w:r>
          </w:p>
        </w:tc>
        <w:tc>
          <w:tcPr>
            <w:tcW w:w="664" w:type="pct"/>
            <w:vAlign w:val="center"/>
          </w:tcPr>
          <w:p>
            <w:pPr>
              <w:pStyle w:val="28"/>
              <w:widowControl w:val="0"/>
              <w:rPr>
                <w:color w:val="auto"/>
                <w:highlight w:val="none"/>
              </w:rPr>
            </w:pPr>
            <w:r>
              <w:rPr>
                <w:color w:val="auto"/>
                <w:highlight w:val="none"/>
              </w:rPr>
              <w:t>0.141</w:t>
            </w:r>
          </w:p>
        </w:tc>
        <w:tc>
          <w:tcPr>
            <w:tcW w:w="664" w:type="pct"/>
            <w:vAlign w:val="center"/>
          </w:tcPr>
          <w:p>
            <w:pPr>
              <w:pStyle w:val="28"/>
              <w:widowControl w:val="0"/>
              <w:rPr>
                <w:color w:val="auto"/>
                <w:highlight w:val="none"/>
              </w:rPr>
            </w:pPr>
            <w:r>
              <w:rPr>
                <w:color w:val="auto"/>
                <w:highlight w:val="none"/>
              </w:rPr>
              <w:t>0.144</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总氮</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0.87</w:t>
            </w:r>
          </w:p>
        </w:tc>
        <w:tc>
          <w:tcPr>
            <w:tcW w:w="664" w:type="pct"/>
            <w:vAlign w:val="center"/>
          </w:tcPr>
          <w:p>
            <w:pPr>
              <w:pStyle w:val="28"/>
              <w:widowControl w:val="0"/>
              <w:rPr>
                <w:color w:val="auto"/>
                <w:highlight w:val="none"/>
              </w:rPr>
            </w:pPr>
            <w:r>
              <w:rPr>
                <w:color w:val="auto"/>
                <w:highlight w:val="none"/>
              </w:rPr>
              <w:t>0.84</w:t>
            </w:r>
          </w:p>
        </w:tc>
        <w:tc>
          <w:tcPr>
            <w:tcW w:w="664" w:type="pct"/>
            <w:vAlign w:val="center"/>
          </w:tcPr>
          <w:p>
            <w:pPr>
              <w:pStyle w:val="28"/>
              <w:widowControl w:val="0"/>
              <w:rPr>
                <w:color w:val="auto"/>
                <w:highlight w:val="none"/>
              </w:rPr>
            </w:pPr>
            <w:r>
              <w:rPr>
                <w:color w:val="auto"/>
                <w:highlight w:val="none"/>
              </w:rPr>
              <w:t>0.88</w:t>
            </w:r>
          </w:p>
        </w:tc>
        <w:tc>
          <w:tcPr>
            <w:tcW w:w="579" w:type="pct"/>
            <w:vAlign w:val="center"/>
          </w:tcPr>
          <w:p>
            <w:pPr>
              <w:pStyle w:val="28"/>
              <w:widowControl w:val="0"/>
              <w:rPr>
                <w:color w:val="auto"/>
                <w:highlight w:val="none"/>
              </w:rPr>
            </w:pPr>
            <w:r>
              <w:rPr>
                <w:rFonts w:hint="eastAsia"/>
                <w:color w:val="auto"/>
                <w:highlight w:val="none"/>
              </w:rPr>
              <w:t>1.0</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总磷</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0.05</w:t>
            </w:r>
          </w:p>
        </w:tc>
        <w:tc>
          <w:tcPr>
            <w:tcW w:w="664" w:type="pct"/>
            <w:vAlign w:val="center"/>
          </w:tcPr>
          <w:p>
            <w:pPr>
              <w:pStyle w:val="28"/>
              <w:widowControl w:val="0"/>
              <w:rPr>
                <w:color w:val="auto"/>
                <w:highlight w:val="none"/>
              </w:rPr>
            </w:pPr>
            <w:r>
              <w:rPr>
                <w:color w:val="auto"/>
                <w:highlight w:val="none"/>
              </w:rPr>
              <w:t>0.05</w:t>
            </w:r>
          </w:p>
        </w:tc>
        <w:tc>
          <w:tcPr>
            <w:tcW w:w="664" w:type="pct"/>
            <w:vAlign w:val="center"/>
          </w:tcPr>
          <w:p>
            <w:pPr>
              <w:pStyle w:val="28"/>
              <w:widowControl w:val="0"/>
              <w:rPr>
                <w:color w:val="auto"/>
                <w:highlight w:val="none"/>
              </w:rPr>
            </w:pPr>
            <w:r>
              <w:rPr>
                <w:color w:val="auto"/>
                <w:highlight w:val="none"/>
              </w:rPr>
              <w:t>0.06</w:t>
            </w:r>
          </w:p>
        </w:tc>
        <w:tc>
          <w:tcPr>
            <w:tcW w:w="579" w:type="pct"/>
            <w:vAlign w:val="center"/>
          </w:tcPr>
          <w:p>
            <w:pPr>
              <w:pStyle w:val="28"/>
              <w:widowControl w:val="0"/>
              <w:rPr>
                <w:color w:val="auto"/>
                <w:highlight w:val="none"/>
              </w:rPr>
            </w:pPr>
            <w:r>
              <w:rPr>
                <w:rFonts w:hint="eastAsia"/>
                <w:color w:val="auto"/>
                <w:highlight w:val="none"/>
              </w:rPr>
              <w:t>0.2</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挥发酚</w:t>
            </w:r>
          </w:p>
        </w:tc>
        <w:tc>
          <w:tcPr>
            <w:tcW w:w="454" w:type="pct"/>
            <w:vAlign w:val="center"/>
          </w:tcPr>
          <w:p>
            <w:pPr>
              <w:pStyle w:val="28"/>
              <w:widowControl w:val="0"/>
              <w:rPr>
                <w:color w:val="auto"/>
                <w:highlight w:val="none"/>
              </w:rPr>
            </w:pPr>
            <w:r>
              <w:rPr>
                <w:color w:val="auto"/>
                <w:highlight w:val="none"/>
              </w:rPr>
              <w:t>mg/L</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664" w:type="pct"/>
            <w:vAlign w:val="center"/>
          </w:tcPr>
          <w:p>
            <w:pPr>
              <w:pStyle w:val="28"/>
              <w:widowControl w:val="0"/>
              <w:rPr>
                <w:color w:val="auto"/>
                <w:highlight w:val="none"/>
              </w:rPr>
            </w:pPr>
            <w:r>
              <w:rPr>
                <w:color w:val="auto"/>
                <w:highlight w:val="none"/>
              </w:rPr>
              <w:t>未检出</w:t>
            </w:r>
          </w:p>
        </w:tc>
        <w:tc>
          <w:tcPr>
            <w:tcW w:w="579" w:type="pct"/>
            <w:vAlign w:val="center"/>
          </w:tcPr>
          <w:p>
            <w:pPr>
              <w:pStyle w:val="28"/>
              <w:widowControl w:val="0"/>
              <w:rPr>
                <w:color w:val="auto"/>
                <w:highlight w:val="none"/>
              </w:rPr>
            </w:pPr>
            <w:r>
              <w:rPr>
                <w:rFonts w:hint="eastAsia"/>
                <w:color w:val="auto"/>
                <w:highlight w:val="none"/>
              </w:rPr>
              <w:t>0.005</w:t>
            </w:r>
          </w:p>
        </w:tc>
        <w:tc>
          <w:tcPr>
            <w:tcW w:w="589" w:type="pct"/>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553" w:type="pct"/>
            <w:vMerge w:val="continue"/>
            <w:vAlign w:val="center"/>
          </w:tcPr>
          <w:p>
            <w:pPr>
              <w:pStyle w:val="28"/>
              <w:widowControl w:val="0"/>
              <w:rPr>
                <w:color w:val="auto"/>
                <w:highlight w:val="none"/>
              </w:rPr>
            </w:pPr>
          </w:p>
        </w:tc>
        <w:tc>
          <w:tcPr>
            <w:tcW w:w="829" w:type="pct"/>
            <w:vAlign w:val="center"/>
          </w:tcPr>
          <w:p>
            <w:pPr>
              <w:pStyle w:val="28"/>
              <w:widowControl w:val="0"/>
              <w:rPr>
                <w:color w:val="auto"/>
                <w:highlight w:val="none"/>
              </w:rPr>
            </w:pPr>
            <w:r>
              <w:rPr>
                <w:color w:val="auto"/>
                <w:highlight w:val="none"/>
              </w:rPr>
              <w:t>粪大肠菌群</w:t>
            </w:r>
          </w:p>
        </w:tc>
        <w:tc>
          <w:tcPr>
            <w:tcW w:w="454" w:type="pct"/>
            <w:vAlign w:val="center"/>
          </w:tcPr>
          <w:p>
            <w:pPr>
              <w:pStyle w:val="28"/>
              <w:widowControl w:val="0"/>
              <w:rPr>
                <w:color w:val="auto"/>
                <w:highlight w:val="none"/>
              </w:rPr>
            </w:pPr>
            <w:r>
              <w:rPr>
                <w:color w:val="auto"/>
                <w:highlight w:val="none"/>
              </w:rPr>
              <w:t>MPN/L</w:t>
            </w:r>
          </w:p>
        </w:tc>
        <w:tc>
          <w:tcPr>
            <w:tcW w:w="664" w:type="pct"/>
            <w:vAlign w:val="center"/>
          </w:tcPr>
          <w:p>
            <w:pPr>
              <w:pStyle w:val="28"/>
              <w:widowControl w:val="0"/>
              <w:rPr>
                <w:color w:val="auto"/>
                <w:highlight w:val="none"/>
              </w:rPr>
            </w:pPr>
            <w:r>
              <w:rPr>
                <w:color w:val="auto"/>
                <w:highlight w:val="none"/>
              </w:rPr>
              <w:t>1.4×103</w:t>
            </w:r>
          </w:p>
        </w:tc>
        <w:tc>
          <w:tcPr>
            <w:tcW w:w="664" w:type="pct"/>
            <w:vAlign w:val="center"/>
          </w:tcPr>
          <w:p>
            <w:pPr>
              <w:pStyle w:val="28"/>
              <w:widowControl w:val="0"/>
              <w:rPr>
                <w:color w:val="auto"/>
                <w:highlight w:val="none"/>
              </w:rPr>
            </w:pPr>
            <w:r>
              <w:rPr>
                <w:color w:val="auto"/>
                <w:highlight w:val="none"/>
              </w:rPr>
              <w:t>1.7×103</w:t>
            </w:r>
          </w:p>
        </w:tc>
        <w:tc>
          <w:tcPr>
            <w:tcW w:w="664" w:type="pct"/>
            <w:vAlign w:val="center"/>
          </w:tcPr>
          <w:p>
            <w:pPr>
              <w:pStyle w:val="28"/>
              <w:widowControl w:val="0"/>
              <w:rPr>
                <w:color w:val="auto"/>
                <w:highlight w:val="none"/>
              </w:rPr>
            </w:pPr>
            <w:r>
              <w:rPr>
                <w:color w:val="auto"/>
                <w:highlight w:val="none"/>
              </w:rPr>
              <w:t>1.4×103</w:t>
            </w:r>
          </w:p>
        </w:tc>
        <w:tc>
          <w:tcPr>
            <w:tcW w:w="579" w:type="pct"/>
            <w:vAlign w:val="center"/>
          </w:tcPr>
          <w:p>
            <w:pPr>
              <w:pStyle w:val="28"/>
              <w:widowControl w:val="0"/>
              <w:rPr>
                <w:color w:val="auto"/>
                <w:highlight w:val="none"/>
                <w:vertAlign w:val="superscript"/>
              </w:rPr>
            </w:pPr>
            <w:r>
              <w:rPr>
                <w:rFonts w:hint="eastAsia"/>
                <w:color w:val="auto"/>
                <w:highlight w:val="none"/>
              </w:rPr>
              <w:t>1</w:t>
            </w:r>
            <w:r>
              <w:rPr>
                <w:color w:val="auto"/>
                <w:highlight w:val="none"/>
              </w:rPr>
              <w:t>×10</w:t>
            </w:r>
            <w:r>
              <w:rPr>
                <w:rFonts w:hint="eastAsia"/>
                <w:color w:val="auto"/>
                <w:highlight w:val="none"/>
                <w:vertAlign w:val="superscript"/>
              </w:rPr>
              <w:t>4</w:t>
            </w:r>
          </w:p>
        </w:tc>
        <w:tc>
          <w:tcPr>
            <w:tcW w:w="589" w:type="pct"/>
            <w:vAlign w:val="center"/>
          </w:tcPr>
          <w:p>
            <w:pPr>
              <w:pStyle w:val="28"/>
              <w:widowControl w:val="0"/>
              <w:rPr>
                <w:color w:val="auto"/>
                <w:highlight w:val="none"/>
              </w:rPr>
            </w:pPr>
            <w:r>
              <w:rPr>
                <w:rFonts w:hint="eastAsia"/>
                <w:color w:val="auto"/>
                <w:highlight w:val="none"/>
              </w:rPr>
              <w:t>达标</w:t>
            </w:r>
          </w:p>
        </w:tc>
      </w:tr>
    </w:tbl>
    <w:p>
      <w:pPr>
        <w:widowControl w:val="0"/>
        <w:ind w:firstLine="480"/>
        <w:rPr>
          <w:color w:val="auto"/>
          <w:highlight w:val="none"/>
        </w:rPr>
      </w:pPr>
      <w:r>
        <w:rPr>
          <w:rFonts w:hint="eastAsia"/>
          <w:color w:val="auto"/>
          <w:highlight w:val="none"/>
        </w:rPr>
        <w:t>根据上表可知，项目所在区域地表水监测因子浓度均满足《地表水环境质量标准》（GB3838-2002）Ⅲ类标准限值，项目所在区域地表水环境质量现状较好。</w:t>
      </w:r>
    </w:p>
    <w:p>
      <w:pPr>
        <w:pStyle w:val="5"/>
        <w:widowControl w:val="0"/>
        <w:ind w:firstLine="120"/>
        <w:rPr>
          <w:color w:val="auto"/>
          <w:highlight w:val="none"/>
        </w:rPr>
      </w:pPr>
      <w:r>
        <w:rPr>
          <w:rFonts w:hint="eastAsia"/>
          <w:color w:val="auto"/>
          <w:highlight w:val="none"/>
        </w:rPr>
        <w:t>地下水质量现状监测及评价</w:t>
      </w:r>
    </w:p>
    <w:p>
      <w:pPr>
        <w:widowControl w:val="0"/>
        <w:ind w:firstLine="480"/>
        <w:rPr>
          <w:color w:val="auto"/>
          <w:highlight w:val="none"/>
        </w:rPr>
      </w:pPr>
      <w:r>
        <w:rPr>
          <w:rFonts w:hint="eastAsia"/>
          <w:color w:val="auto"/>
          <w:highlight w:val="none"/>
        </w:rPr>
        <w:t>为了解项目地下水质量现状，本次评价委托四川锡水金山环保科技有限公司于2021年1月27日对本项目评价区内的地下水质量现状进行了监测。</w:t>
      </w:r>
    </w:p>
    <w:p>
      <w:pPr>
        <w:widowControl w:val="0"/>
        <w:ind w:firstLine="480"/>
        <w:rPr>
          <w:color w:val="auto"/>
          <w:highlight w:val="none"/>
        </w:rPr>
      </w:pPr>
      <w:r>
        <w:rPr>
          <w:rFonts w:hint="eastAsia"/>
          <w:color w:val="auto"/>
          <w:highlight w:val="none"/>
        </w:rPr>
        <w:t>根据调查，本项目区域西北方地势较高，东南方地势较低，地下水流由项目西北侧向东北流向，由于本项目三面均为河流，因此本项目地下水布设的点位位于项目北侧的上游、中部及下游，地下水水位点数为水质点数的2倍，符合《环境影响评价技术导则 地下水环境》（HJ610-2015）中的布点原则。</w:t>
      </w:r>
    </w:p>
    <w:p>
      <w:pPr>
        <w:widowControl w:val="0"/>
        <w:numPr>
          <w:ilvl w:val="0"/>
          <w:numId w:val="11"/>
        </w:numPr>
        <w:ind w:firstLine="480"/>
        <w:rPr>
          <w:color w:val="auto"/>
          <w:highlight w:val="none"/>
        </w:rPr>
      </w:pPr>
      <w:r>
        <w:rPr>
          <w:rFonts w:hint="eastAsia"/>
          <w:color w:val="auto"/>
          <w:highlight w:val="none"/>
        </w:rPr>
        <w:t>监测内容及频次</w:t>
      </w:r>
    </w:p>
    <w:p>
      <w:pPr>
        <w:pStyle w:val="12"/>
        <w:widowControl w:val="0"/>
        <w:ind w:firstLine="0" w:firstLineChars="0"/>
        <w:rPr>
          <w:color w:val="auto"/>
          <w:highlight w:val="none"/>
        </w:rPr>
      </w:pPr>
    </w:p>
    <w:p>
      <w:pPr>
        <w:widowControl w:val="0"/>
        <w:ind w:firstLine="480"/>
        <w:rPr>
          <w:color w:val="auto"/>
          <w:highlight w:val="none"/>
        </w:rPr>
      </w:pPr>
    </w:p>
    <w:p>
      <w:pPr>
        <w:pStyle w:val="27"/>
        <w:widowControl w:val="0"/>
        <w:rPr>
          <w:color w:val="auto"/>
          <w:highlight w:val="none"/>
        </w:rPr>
      </w:pPr>
      <w:r>
        <w:rPr>
          <w:rFonts w:hint="eastAsia"/>
          <w:color w:val="auto"/>
          <w:highlight w:val="none"/>
        </w:rPr>
        <w:t>本项目地下水质量监测内容及频次一览表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030"/>
        <w:gridCol w:w="917"/>
        <w:gridCol w:w="3478"/>
        <w:gridCol w:w="525"/>
        <w:gridCol w:w="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303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91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点位数</w:t>
            </w:r>
          </w:p>
        </w:tc>
        <w:tc>
          <w:tcPr>
            <w:tcW w:w="3478"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1334"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b/>
                <w:bCs/>
                <w:color w:val="auto"/>
                <w:highlight w:val="none"/>
              </w:rPr>
            </w:pPr>
          </w:p>
        </w:tc>
        <w:tc>
          <w:tcPr>
            <w:tcW w:w="3030" w:type="dxa"/>
            <w:vMerge w:val="continue"/>
            <w:tcBorders>
              <w:tl2br w:val="nil"/>
              <w:tr2bl w:val="nil"/>
            </w:tcBorders>
            <w:vAlign w:val="center"/>
          </w:tcPr>
          <w:p>
            <w:pPr>
              <w:pStyle w:val="28"/>
              <w:widowControl w:val="0"/>
              <w:rPr>
                <w:b/>
                <w:bCs/>
                <w:color w:val="auto"/>
                <w:highlight w:val="none"/>
              </w:rPr>
            </w:pPr>
          </w:p>
        </w:tc>
        <w:tc>
          <w:tcPr>
            <w:tcW w:w="917" w:type="dxa"/>
            <w:vMerge w:val="continue"/>
            <w:tcBorders>
              <w:tl2br w:val="nil"/>
              <w:tr2bl w:val="nil"/>
            </w:tcBorders>
            <w:vAlign w:val="center"/>
          </w:tcPr>
          <w:p>
            <w:pPr>
              <w:pStyle w:val="28"/>
              <w:widowControl w:val="0"/>
              <w:rPr>
                <w:b/>
                <w:bCs/>
                <w:color w:val="auto"/>
                <w:highlight w:val="none"/>
              </w:rPr>
            </w:pPr>
          </w:p>
        </w:tc>
        <w:tc>
          <w:tcPr>
            <w:tcW w:w="3478" w:type="dxa"/>
            <w:vMerge w:val="continue"/>
            <w:tcBorders>
              <w:tl2br w:val="nil"/>
              <w:tr2bl w:val="nil"/>
            </w:tcBorders>
            <w:vAlign w:val="center"/>
          </w:tcPr>
          <w:p>
            <w:pPr>
              <w:pStyle w:val="28"/>
              <w:widowControl w:val="0"/>
              <w:rPr>
                <w:b/>
                <w:bCs/>
                <w:color w:val="auto"/>
                <w:highlight w:val="none"/>
              </w:rPr>
            </w:pPr>
          </w:p>
        </w:tc>
        <w:tc>
          <w:tcPr>
            <w:tcW w:w="525" w:type="dxa"/>
            <w:tcBorders>
              <w:tl2br w:val="nil"/>
              <w:tr2bl w:val="nil"/>
            </w:tcBorders>
            <w:vAlign w:val="center"/>
          </w:tcPr>
          <w:p>
            <w:pPr>
              <w:pStyle w:val="28"/>
              <w:widowControl w:val="0"/>
              <w:rPr>
                <w:b/>
                <w:bCs/>
                <w:color w:val="auto"/>
                <w:highlight w:val="none"/>
              </w:rPr>
            </w:pPr>
            <w:r>
              <w:rPr>
                <w:rFonts w:hint="eastAsia"/>
                <w:b/>
                <w:bCs/>
                <w:color w:val="auto"/>
                <w:highlight w:val="none"/>
              </w:rPr>
              <w:t>天</w:t>
            </w:r>
          </w:p>
        </w:tc>
        <w:tc>
          <w:tcPr>
            <w:tcW w:w="809" w:type="dxa"/>
            <w:tcBorders>
              <w:tl2br w:val="nil"/>
              <w:tr2bl w:val="nil"/>
            </w:tcBorders>
            <w:vAlign w:val="center"/>
          </w:tcPr>
          <w:p>
            <w:pPr>
              <w:pStyle w:val="28"/>
              <w:widowControl w:val="0"/>
              <w:rPr>
                <w:b/>
                <w:bCs/>
                <w:color w:val="auto"/>
                <w:highlight w:val="none"/>
              </w:rPr>
            </w:pPr>
            <w:r>
              <w:rPr>
                <w:rFonts w:hint="eastAsia"/>
                <w:b/>
                <w:bCs/>
                <w:color w:val="auto"/>
                <w:highlight w:val="none"/>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63" w:type="dxa"/>
            <w:vMerge w:val="restart"/>
            <w:tcBorders>
              <w:tl2br w:val="nil"/>
              <w:tr2bl w:val="nil"/>
            </w:tcBorders>
            <w:vAlign w:val="center"/>
          </w:tcPr>
          <w:p>
            <w:pPr>
              <w:pStyle w:val="28"/>
              <w:widowControl w:val="0"/>
              <w:rPr>
                <w:color w:val="auto"/>
                <w:highlight w:val="none"/>
              </w:rPr>
            </w:pPr>
            <w:r>
              <w:rPr>
                <w:rFonts w:hint="eastAsia"/>
                <w:color w:val="auto"/>
                <w:highlight w:val="none"/>
              </w:rPr>
              <w:t>地下水</w:t>
            </w: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1#项目场地外西北侧农户水井</w:t>
            </w:r>
          </w:p>
        </w:tc>
        <w:tc>
          <w:tcPr>
            <w:tcW w:w="917" w:type="dxa"/>
            <w:vMerge w:val="restart"/>
            <w:tcBorders>
              <w:tl2br w:val="nil"/>
              <w:tr2bl w:val="nil"/>
            </w:tcBorders>
            <w:vAlign w:val="center"/>
          </w:tcPr>
          <w:p>
            <w:pPr>
              <w:pStyle w:val="28"/>
              <w:widowControl w:val="0"/>
              <w:rPr>
                <w:color w:val="auto"/>
                <w:highlight w:val="none"/>
              </w:rPr>
            </w:pPr>
            <w:r>
              <w:rPr>
                <w:rFonts w:hint="eastAsia"/>
                <w:color w:val="auto"/>
                <w:highlight w:val="none"/>
              </w:rPr>
              <w:t>3</w:t>
            </w:r>
          </w:p>
        </w:tc>
        <w:tc>
          <w:tcPr>
            <w:tcW w:w="3478" w:type="dxa"/>
            <w:vMerge w:val="restart"/>
            <w:tcBorders>
              <w:tl2br w:val="nil"/>
              <w:tr2bl w:val="nil"/>
            </w:tcBorders>
            <w:vAlign w:val="center"/>
          </w:tcPr>
          <w:p>
            <w:pPr>
              <w:pStyle w:val="28"/>
              <w:widowControl w:val="0"/>
              <w:rPr>
                <w:color w:val="auto"/>
                <w:highlight w:val="none"/>
              </w:rPr>
            </w:pPr>
            <w:r>
              <w:rPr>
                <w:rFonts w:hint="eastAsia"/>
                <w:color w:val="auto"/>
                <w:highlight w:val="none"/>
              </w:rPr>
              <w:t>pH、耗氧量、溶解性总固体、总硬度、碳酸根、重碳酸根、氨氮、铬（六价）、挥发酚、氰化物、氟化物（氟离子）、氯化物（氯离子）、亚硝酸盐氮（亚硝酸根）、硝酸根（硝酸盐氮）、硫酸盐（硫酸根）、钾、钠、钙、镁、铁、锰、铅、镉、汞、砷、总大肠菌群、细菌总数</w:t>
            </w:r>
          </w:p>
        </w:tc>
        <w:tc>
          <w:tcPr>
            <w:tcW w:w="525"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809"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2#项目场地外北侧农户水井</w:t>
            </w:r>
          </w:p>
        </w:tc>
        <w:tc>
          <w:tcPr>
            <w:tcW w:w="917" w:type="dxa"/>
            <w:vMerge w:val="continue"/>
            <w:tcBorders>
              <w:tl2br w:val="nil"/>
              <w:tr2bl w:val="nil"/>
            </w:tcBorders>
            <w:vAlign w:val="center"/>
          </w:tcPr>
          <w:p>
            <w:pPr>
              <w:pStyle w:val="28"/>
              <w:widowControl w:val="0"/>
              <w:rPr>
                <w:color w:val="auto"/>
                <w:highlight w:val="none"/>
              </w:rPr>
            </w:pPr>
          </w:p>
        </w:tc>
        <w:tc>
          <w:tcPr>
            <w:tcW w:w="3478" w:type="dxa"/>
            <w:vMerge w:val="continue"/>
            <w:tcBorders>
              <w:tl2br w:val="nil"/>
              <w:tr2bl w:val="nil"/>
            </w:tcBorders>
            <w:vAlign w:val="center"/>
          </w:tcPr>
          <w:p>
            <w:pPr>
              <w:pStyle w:val="28"/>
              <w:widowControl w:val="0"/>
              <w:rPr>
                <w:color w:val="auto"/>
                <w:highlight w:val="none"/>
              </w:rPr>
            </w:pPr>
          </w:p>
        </w:tc>
        <w:tc>
          <w:tcPr>
            <w:tcW w:w="525" w:type="dxa"/>
            <w:vMerge w:val="continue"/>
            <w:tcBorders>
              <w:tl2br w:val="nil"/>
              <w:tr2bl w:val="nil"/>
            </w:tcBorders>
            <w:vAlign w:val="center"/>
          </w:tcPr>
          <w:p>
            <w:pPr>
              <w:pStyle w:val="28"/>
              <w:widowControl w:val="0"/>
              <w:rPr>
                <w:color w:val="auto"/>
                <w:highlight w:val="none"/>
              </w:rPr>
            </w:pPr>
          </w:p>
        </w:tc>
        <w:tc>
          <w:tcPr>
            <w:tcW w:w="809"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3#项目场地外东北侧农户水井</w:t>
            </w:r>
          </w:p>
        </w:tc>
        <w:tc>
          <w:tcPr>
            <w:tcW w:w="917" w:type="dxa"/>
            <w:vMerge w:val="continue"/>
            <w:tcBorders>
              <w:tl2br w:val="nil"/>
              <w:tr2bl w:val="nil"/>
            </w:tcBorders>
            <w:vAlign w:val="center"/>
          </w:tcPr>
          <w:p>
            <w:pPr>
              <w:pStyle w:val="28"/>
              <w:widowControl w:val="0"/>
              <w:rPr>
                <w:color w:val="auto"/>
                <w:highlight w:val="none"/>
              </w:rPr>
            </w:pPr>
          </w:p>
        </w:tc>
        <w:tc>
          <w:tcPr>
            <w:tcW w:w="3478" w:type="dxa"/>
            <w:vMerge w:val="continue"/>
            <w:tcBorders>
              <w:tl2br w:val="nil"/>
              <w:tr2bl w:val="nil"/>
            </w:tcBorders>
            <w:vAlign w:val="center"/>
          </w:tcPr>
          <w:p>
            <w:pPr>
              <w:pStyle w:val="28"/>
              <w:widowControl w:val="0"/>
              <w:rPr>
                <w:color w:val="auto"/>
                <w:highlight w:val="none"/>
              </w:rPr>
            </w:pPr>
          </w:p>
        </w:tc>
        <w:tc>
          <w:tcPr>
            <w:tcW w:w="525" w:type="dxa"/>
            <w:vMerge w:val="continue"/>
            <w:tcBorders>
              <w:tl2br w:val="nil"/>
              <w:tr2bl w:val="nil"/>
            </w:tcBorders>
            <w:vAlign w:val="center"/>
          </w:tcPr>
          <w:p>
            <w:pPr>
              <w:pStyle w:val="28"/>
              <w:widowControl w:val="0"/>
              <w:rPr>
                <w:color w:val="auto"/>
                <w:highlight w:val="none"/>
              </w:rPr>
            </w:pPr>
          </w:p>
        </w:tc>
        <w:tc>
          <w:tcPr>
            <w:tcW w:w="809"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（2）监测方法及仪器</w:t>
      </w:r>
    </w:p>
    <w:p>
      <w:pPr>
        <w:pStyle w:val="27"/>
        <w:widowControl w:val="0"/>
        <w:rPr>
          <w:color w:val="auto"/>
          <w:highlight w:val="none"/>
        </w:rPr>
      </w:pPr>
      <w:r>
        <w:rPr>
          <w:rFonts w:hint="eastAsia"/>
          <w:color w:val="auto"/>
          <w:highlight w:val="none"/>
        </w:rPr>
        <w:t>本项目地下水质量监测方法及仪器一览表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45"/>
        <w:gridCol w:w="2970"/>
        <w:gridCol w:w="1380"/>
        <w:gridCol w:w="1425"/>
        <w:gridCol w:w="1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745" w:type="dxa"/>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2970" w:type="dxa"/>
            <w:tcBorders>
              <w:tl2br w:val="nil"/>
              <w:tr2bl w:val="nil"/>
            </w:tcBorders>
            <w:vAlign w:val="center"/>
          </w:tcPr>
          <w:p>
            <w:pPr>
              <w:pStyle w:val="28"/>
              <w:widowControl w:val="0"/>
              <w:rPr>
                <w:b/>
                <w:bCs/>
                <w:color w:val="auto"/>
                <w:highlight w:val="none"/>
              </w:rPr>
            </w:pPr>
            <w:r>
              <w:rPr>
                <w:rFonts w:hint="eastAsia"/>
                <w:b/>
                <w:bCs/>
                <w:color w:val="auto"/>
                <w:highlight w:val="none"/>
              </w:rPr>
              <w:t>监测方法及依据</w:t>
            </w:r>
          </w:p>
        </w:tc>
        <w:tc>
          <w:tcPr>
            <w:tcW w:w="1380" w:type="dxa"/>
            <w:tcBorders>
              <w:tl2br w:val="nil"/>
              <w:tr2bl w:val="nil"/>
            </w:tcBorders>
            <w:vAlign w:val="center"/>
          </w:tcPr>
          <w:p>
            <w:pPr>
              <w:pStyle w:val="28"/>
              <w:widowControl w:val="0"/>
              <w:rPr>
                <w:b/>
                <w:bCs/>
                <w:color w:val="auto"/>
                <w:highlight w:val="none"/>
              </w:rPr>
            </w:pPr>
            <w:r>
              <w:rPr>
                <w:rFonts w:hint="eastAsia"/>
                <w:b/>
                <w:bCs/>
                <w:color w:val="auto"/>
                <w:highlight w:val="none"/>
              </w:rPr>
              <w:t>所用仪器</w:t>
            </w:r>
          </w:p>
        </w:tc>
        <w:tc>
          <w:tcPr>
            <w:tcW w:w="1425" w:type="dxa"/>
            <w:tcBorders>
              <w:tl2br w:val="nil"/>
              <w:tr2bl w:val="nil"/>
            </w:tcBorders>
            <w:vAlign w:val="center"/>
          </w:tcPr>
          <w:p>
            <w:pPr>
              <w:pStyle w:val="28"/>
              <w:widowControl w:val="0"/>
              <w:rPr>
                <w:b/>
                <w:bCs/>
                <w:color w:val="auto"/>
                <w:highlight w:val="none"/>
              </w:rPr>
            </w:pPr>
            <w:r>
              <w:rPr>
                <w:rFonts w:hint="eastAsia"/>
                <w:b/>
                <w:bCs/>
                <w:color w:val="auto"/>
                <w:highlight w:val="none"/>
              </w:rPr>
              <w:t>仪器编号</w:t>
            </w:r>
          </w:p>
        </w:tc>
        <w:tc>
          <w:tcPr>
            <w:tcW w:w="1289" w:type="dxa"/>
            <w:tcBorders>
              <w:tl2br w:val="nil"/>
              <w:tr2bl w:val="nil"/>
            </w:tcBorders>
            <w:vAlign w:val="center"/>
          </w:tcPr>
          <w:p>
            <w:pPr>
              <w:pStyle w:val="28"/>
              <w:widowControl w:val="0"/>
              <w:rPr>
                <w:b/>
                <w:bCs/>
                <w:color w:val="auto"/>
                <w:highlight w:val="none"/>
              </w:rPr>
            </w:pPr>
            <w:r>
              <w:rPr>
                <w:rFonts w:hint="eastAsia"/>
                <w:b/>
                <w:bCs/>
                <w:color w:val="auto"/>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3" w:type="dxa"/>
            <w:vMerge w:val="restart"/>
            <w:tcBorders>
              <w:tl2br w:val="nil"/>
              <w:tr2bl w:val="nil"/>
            </w:tcBorders>
            <w:vAlign w:val="center"/>
          </w:tcPr>
          <w:p>
            <w:pPr>
              <w:pStyle w:val="28"/>
              <w:widowControl w:val="0"/>
              <w:rPr>
                <w:color w:val="auto"/>
                <w:highlight w:val="none"/>
              </w:rPr>
            </w:pPr>
            <w:r>
              <w:rPr>
                <w:rFonts w:hint="eastAsia"/>
                <w:color w:val="auto"/>
                <w:highlight w:val="none"/>
              </w:rPr>
              <w:t>地下水</w:t>
            </w:r>
          </w:p>
        </w:tc>
        <w:tc>
          <w:tcPr>
            <w:tcW w:w="1745" w:type="dxa"/>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pH</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便携式pH计法《水和废水监测分析方法》（第四版增补版）国家环境保护总局（2002年）</w:t>
            </w:r>
          </w:p>
        </w:tc>
        <w:tc>
          <w:tcPr>
            <w:tcW w:w="1380" w:type="dxa"/>
            <w:tcBorders>
              <w:tl2br w:val="nil"/>
              <w:tr2bl w:val="nil"/>
            </w:tcBorders>
            <w:vAlign w:val="center"/>
          </w:tcPr>
          <w:p>
            <w:pPr>
              <w:pStyle w:val="28"/>
              <w:widowControl w:val="0"/>
              <w:rPr>
                <w:color w:val="auto"/>
                <w:highlight w:val="none"/>
              </w:rPr>
            </w:pPr>
            <w:r>
              <w:rPr>
                <w:rFonts w:hint="eastAsia"/>
                <w:color w:val="auto"/>
                <w:highlight w:val="none"/>
              </w:rPr>
              <w:t>PHB-4便携式PH测定仪</w:t>
            </w: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XSJS-043-04</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耗氧量</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酸性高锰酸钾滴定法生活饮用水标准检验方法有机物综合指标GB/T 5750.7-2006</w:t>
            </w:r>
          </w:p>
        </w:tc>
        <w:tc>
          <w:tcPr>
            <w:tcW w:w="1380"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溶解性总固体</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称重法生活饮用水标准检验方法感官性状和物理指标GB/T5750.4-2006</w:t>
            </w:r>
          </w:p>
        </w:tc>
        <w:tc>
          <w:tcPr>
            <w:tcW w:w="1380" w:type="dxa"/>
            <w:tcBorders>
              <w:tl2br w:val="nil"/>
              <w:tr2bl w:val="nil"/>
            </w:tcBorders>
            <w:vAlign w:val="center"/>
          </w:tcPr>
          <w:p>
            <w:pPr>
              <w:pStyle w:val="28"/>
              <w:widowControl w:val="0"/>
              <w:rPr>
                <w:color w:val="auto"/>
                <w:highlight w:val="none"/>
              </w:rPr>
            </w:pPr>
            <w:r>
              <w:rPr>
                <w:rFonts w:hint="eastAsia"/>
                <w:color w:val="auto"/>
                <w:highlight w:val="none"/>
              </w:rPr>
              <w:t>FA2004N万分之一天平</w:t>
            </w: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XSJS-024</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总硬度</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水质钙和镁总量的测定EDTA滴定法GB 7477-87</w:t>
            </w:r>
          </w:p>
        </w:tc>
        <w:tc>
          <w:tcPr>
            <w:tcW w:w="1380"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碳酸根</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地下水水质检验方法滴定法测定碳酸根、重碳酸根和氢氧根DZ/T 0064.49-1993</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重碳酸根</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氨氮</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水质氨氮的测定纳氏试剂分光光度法HJ 535-2009</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UV-1600型紫外可见分光光度计</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XSJS-018-02</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0.025m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铬（六价）</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二苯碳酰二肼分光光度法生活饮用水标准检验方法金属指标GB/T 5750.6-2006</w:t>
            </w: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0.004m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挥发酚</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水质挥发酚的测定4－氨基安替比林分光光度法HJ 503-2009</w:t>
            </w: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0.0003m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氰化物</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异烟酸－吡唑酮分光光度法生活饮用水标准检验方法无机非金属指标GB/T 5750.5-2006</w:t>
            </w: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0.002m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氟化物（氟离子）</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水质无机阴离子（F</w:t>
            </w:r>
            <w:r>
              <w:rPr>
                <w:rFonts w:hint="eastAsia"/>
                <w:color w:val="auto"/>
                <w:highlight w:val="none"/>
                <w:vertAlign w:val="superscript"/>
              </w:rPr>
              <w:t>-</w:t>
            </w:r>
            <w:r>
              <w:rPr>
                <w:rFonts w:hint="eastAsia"/>
                <w:color w:val="auto"/>
                <w:highlight w:val="none"/>
              </w:rPr>
              <w:t>、Cl</w:t>
            </w:r>
            <w:r>
              <w:rPr>
                <w:rFonts w:hint="eastAsia"/>
                <w:color w:val="auto"/>
                <w:highlight w:val="none"/>
                <w:vertAlign w:val="superscript"/>
              </w:rPr>
              <w:t>-</w:t>
            </w:r>
            <w:r>
              <w:rPr>
                <w:rFonts w:hint="eastAsia"/>
                <w:color w:val="auto"/>
                <w:highlight w:val="none"/>
              </w:rPr>
              <w:t>、NO</w:t>
            </w:r>
            <w:r>
              <w:rPr>
                <w:rFonts w:hint="eastAsia"/>
                <w:color w:val="auto"/>
                <w:highlight w:val="none"/>
                <w:vertAlign w:val="subscript"/>
              </w:rPr>
              <w:t>2</w:t>
            </w:r>
            <w:r>
              <w:rPr>
                <w:rFonts w:hint="eastAsia"/>
                <w:color w:val="auto"/>
                <w:highlight w:val="none"/>
                <w:vertAlign w:val="superscript"/>
              </w:rPr>
              <w:t>-</w:t>
            </w:r>
            <w:r>
              <w:rPr>
                <w:rFonts w:hint="eastAsia"/>
                <w:color w:val="auto"/>
                <w:highlight w:val="none"/>
              </w:rPr>
              <w:t>、Br</w:t>
            </w:r>
            <w:r>
              <w:rPr>
                <w:rFonts w:hint="eastAsia"/>
                <w:color w:val="auto"/>
                <w:highlight w:val="none"/>
                <w:vertAlign w:val="superscript"/>
              </w:rPr>
              <w:t>-</w:t>
            </w:r>
            <w:r>
              <w:rPr>
                <w:rFonts w:hint="eastAsia"/>
                <w:color w:val="auto"/>
                <w:highlight w:val="none"/>
              </w:rPr>
              <w:t>、NO</w:t>
            </w:r>
            <w:r>
              <w:rPr>
                <w:rFonts w:hint="eastAsia"/>
                <w:color w:val="auto"/>
                <w:highlight w:val="none"/>
                <w:vertAlign w:val="superscript"/>
              </w:rPr>
              <w:t>3-</w:t>
            </w:r>
            <w:r>
              <w:rPr>
                <w:rFonts w:hint="eastAsia"/>
                <w:color w:val="auto"/>
                <w:highlight w:val="none"/>
              </w:rPr>
              <w:t>、PO</w:t>
            </w:r>
            <w:r>
              <w:rPr>
                <w:rFonts w:hint="eastAsia"/>
                <w:color w:val="auto"/>
                <w:highlight w:val="none"/>
                <w:vertAlign w:val="subscript"/>
              </w:rPr>
              <w:t>4</w:t>
            </w:r>
            <w:r>
              <w:rPr>
                <w:rFonts w:hint="eastAsia"/>
                <w:color w:val="auto"/>
                <w:highlight w:val="none"/>
                <w:vertAlign w:val="superscript"/>
              </w:rPr>
              <w:t>3-</w:t>
            </w:r>
            <w:r>
              <w:rPr>
                <w:rFonts w:hint="eastAsia"/>
                <w:color w:val="auto"/>
                <w:highlight w:val="none"/>
              </w:rPr>
              <w:t>、SO</w:t>
            </w:r>
            <w:r>
              <w:rPr>
                <w:rFonts w:hint="eastAsia"/>
                <w:color w:val="auto"/>
                <w:highlight w:val="none"/>
                <w:vertAlign w:val="subscript"/>
              </w:rPr>
              <w:t>3</w:t>
            </w:r>
            <w:r>
              <w:rPr>
                <w:rFonts w:hint="eastAsia"/>
                <w:color w:val="auto"/>
                <w:highlight w:val="none"/>
                <w:vertAlign w:val="superscript"/>
              </w:rPr>
              <w:t>2-</w:t>
            </w:r>
            <w:r>
              <w:rPr>
                <w:rFonts w:hint="eastAsia"/>
                <w:color w:val="auto"/>
                <w:highlight w:val="none"/>
              </w:rPr>
              <w:t>、SO</w:t>
            </w:r>
            <w:r>
              <w:rPr>
                <w:rFonts w:hint="eastAsia"/>
                <w:color w:val="auto"/>
                <w:highlight w:val="none"/>
                <w:vertAlign w:val="subscript"/>
              </w:rPr>
              <w:t>4</w:t>
            </w:r>
            <w:r>
              <w:rPr>
                <w:rFonts w:hint="eastAsia"/>
                <w:color w:val="auto"/>
                <w:highlight w:val="none"/>
                <w:vertAlign w:val="superscript"/>
              </w:rPr>
              <w:t>2-</w:t>
            </w:r>
            <w:r>
              <w:rPr>
                <w:rFonts w:hint="eastAsia"/>
                <w:color w:val="auto"/>
                <w:highlight w:val="none"/>
              </w:rPr>
              <w:t>）的测定离子色谱法HJ 84-2016</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离子色谱仪YC3000</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XSJS-058-01</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0.006m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color w:val="auto"/>
                <w:highlight w:val="none"/>
              </w:rPr>
              <w:t>亚硝酸盐氮</w:t>
            </w:r>
          </w:p>
          <w:p>
            <w:pPr>
              <w:pStyle w:val="28"/>
              <w:widowControl w:val="0"/>
              <w:rPr>
                <w:color w:val="auto"/>
                <w:highlight w:val="none"/>
              </w:rPr>
            </w:pPr>
            <w:r>
              <w:rPr>
                <w:rFonts w:hint="eastAsia"/>
                <w:color w:val="auto"/>
                <w:highlight w:val="none"/>
              </w:rPr>
              <w:t>（亚硝酸根）</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0.016m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color w:val="auto"/>
                <w:highlight w:val="none"/>
              </w:rPr>
            </w:pPr>
            <w:r>
              <w:rPr>
                <w:rFonts w:hint="eastAsia"/>
                <w:color w:val="auto"/>
                <w:highlight w:val="none"/>
              </w:rPr>
              <w:t>硝酸根</w:t>
            </w:r>
          </w:p>
          <w:p>
            <w:pPr>
              <w:pStyle w:val="28"/>
              <w:widowControl w:val="0"/>
              <w:rPr>
                <w:color w:val="auto"/>
                <w:highlight w:val="none"/>
              </w:rPr>
            </w:pPr>
            <w:r>
              <w:rPr>
                <w:rFonts w:hint="eastAsia"/>
                <w:color w:val="auto"/>
                <w:highlight w:val="none"/>
              </w:rPr>
              <w:t>（硝酸盐氮）</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0.016m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氯化物（氯离子）</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0.007m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硫酸盐（硫酸根）</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0.018m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钾</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水质钾和钠的测定火焰原子吸收分光光度法GB 11904-89</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GGX-830石墨炉/火焰原子吸收分光光度计</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XSJS-004</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0.05m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钠</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0.01m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钙</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水质钙和镁的测定原子吸收分光光度法GB 11905-89</w:t>
            </w: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0.02m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镁</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0.002m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铁</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水质铁、锰的测定火焰原子吸收分光光度法GB 11911-89</w:t>
            </w: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0.03m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锰</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0.01m</w:t>
            </w:r>
            <w:r>
              <w:rPr>
                <w:color w:val="auto"/>
                <w:highlight w:val="none"/>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铅</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无火焰原子吸收分光光度法生活饮用水标准检验方法金属指标GB/T 5750.6-2006</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GGX-830石墨炉/火焰原子吸收分光光度计</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XSJS-097</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2.5</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镉</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0.5</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汞</w:t>
            </w:r>
          </w:p>
        </w:tc>
        <w:tc>
          <w:tcPr>
            <w:tcW w:w="2970" w:type="dxa"/>
            <w:vMerge w:val="restart"/>
            <w:tcBorders>
              <w:tl2br w:val="nil"/>
              <w:tr2bl w:val="nil"/>
            </w:tcBorders>
            <w:vAlign w:val="center"/>
          </w:tcPr>
          <w:p>
            <w:pPr>
              <w:pStyle w:val="28"/>
              <w:widowControl w:val="0"/>
              <w:rPr>
                <w:color w:val="auto"/>
                <w:highlight w:val="none"/>
              </w:rPr>
            </w:pPr>
            <w:r>
              <w:rPr>
                <w:rFonts w:hint="eastAsia"/>
                <w:color w:val="auto"/>
                <w:highlight w:val="none"/>
              </w:rPr>
              <w:t>水质汞、砷、硒、铋、锑的测定原子荧光法HJ 694-2014</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AFS-230E原子荧光分光光度计AFS-230E原子荧光分光光度计</w:t>
            </w:r>
          </w:p>
        </w:tc>
        <w:tc>
          <w:tcPr>
            <w:tcW w:w="1425" w:type="dxa"/>
            <w:vMerge w:val="restart"/>
            <w:tcBorders>
              <w:tl2br w:val="nil"/>
              <w:tr2bl w:val="nil"/>
            </w:tcBorders>
            <w:vAlign w:val="center"/>
          </w:tcPr>
          <w:p>
            <w:pPr>
              <w:pStyle w:val="28"/>
              <w:widowControl w:val="0"/>
              <w:bidi w:val="0"/>
              <w:rPr>
                <w:color w:val="auto"/>
                <w:highlight w:val="none"/>
              </w:rPr>
            </w:pPr>
            <w:r>
              <w:rPr>
                <w:rFonts w:hint="eastAsia"/>
                <w:color w:val="auto"/>
                <w:highlight w:val="none"/>
              </w:rPr>
              <w:t>XSJS-001</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0.04</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砷</w:t>
            </w:r>
          </w:p>
        </w:tc>
        <w:tc>
          <w:tcPr>
            <w:tcW w:w="2970" w:type="dxa"/>
            <w:vMerge w:val="continue"/>
            <w:tcBorders>
              <w:tl2br w:val="nil"/>
              <w:tr2bl w:val="nil"/>
            </w:tcBorders>
            <w:vAlign w:val="center"/>
          </w:tcPr>
          <w:p>
            <w:pPr>
              <w:pStyle w:val="28"/>
              <w:widowControl w:val="0"/>
              <w:rPr>
                <w:color w:val="auto"/>
                <w:highlight w:val="none"/>
              </w:rPr>
            </w:pPr>
          </w:p>
        </w:tc>
        <w:tc>
          <w:tcPr>
            <w:tcW w:w="1380" w:type="dxa"/>
            <w:vMerge w:val="continue"/>
            <w:tcBorders>
              <w:tl2br w:val="nil"/>
              <w:tr2bl w:val="nil"/>
            </w:tcBorders>
            <w:vAlign w:val="center"/>
          </w:tcPr>
          <w:p>
            <w:pPr>
              <w:pStyle w:val="28"/>
              <w:widowControl w:val="0"/>
              <w:rPr>
                <w:color w:val="auto"/>
                <w:highlight w:val="none"/>
              </w:rPr>
            </w:pPr>
          </w:p>
        </w:tc>
        <w:tc>
          <w:tcPr>
            <w:tcW w:w="1425" w:type="dxa"/>
            <w:vMerge w:val="continue"/>
            <w:tcBorders>
              <w:tl2br w:val="nil"/>
              <w:tr2bl w:val="nil"/>
            </w:tcBorders>
            <w:vAlign w:val="center"/>
          </w:tcPr>
          <w:p>
            <w:pPr>
              <w:pStyle w:val="28"/>
              <w:widowControl w:val="0"/>
              <w:bidi w:val="0"/>
              <w:rPr>
                <w:color w:val="auto"/>
                <w:highlight w:val="none"/>
              </w:rPr>
            </w:pP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0.3</w:t>
            </w:r>
            <w:r>
              <w:rPr>
                <w:color w:val="auto"/>
                <w:highlight w:val="none"/>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总大肠菌群</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水中总大肠菌群的测定多管发酵法《水和废水监测分析方法》（第四版）国家环境保护总局，2002年</w:t>
            </w:r>
          </w:p>
        </w:tc>
        <w:tc>
          <w:tcPr>
            <w:tcW w:w="1380" w:type="dxa"/>
            <w:vMerge w:val="restart"/>
            <w:tcBorders>
              <w:tl2br w:val="nil"/>
              <w:tr2bl w:val="nil"/>
            </w:tcBorders>
            <w:vAlign w:val="center"/>
          </w:tcPr>
          <w:p>
            <w:pPr>
              <w:pStyle w:val="28"/>
              <w:widowControl w:val="0"/>
              <w:rPr>
                <w:color w:val="auto"/>
                <w:highlight w:val="none"/>
              </w:rPr>
            </w:pPr>
            <w:r>
              <w:rPr>
                <w:rFonts w:hint="eastAsia"/>
                <w:color w:val="auto"/>
                <w:highlight w:val="none"/>
              </w:rPr>
              <w:t>HPX-9083MBE电热恒温培养箱</w:t>
            </w: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XSJS-082-02</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28"/>
              <w:widowControl w:val="0"/>
              <w:rPr>
                <w:color w:val="auto"/>
                <w:highlight w:val="none"/>
              </w:rPr>
            </w:pPr>
          </w:p>
        </w:tc>
        <w:tc>
          <w:tcPr>
            <w:tcW w:w="1745"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细菌总数</w:t>
            </w:r>
          </w:p>
        </w:tc>
        <w:tc>
          <w:tcPr>
            <w:tcW w:w="2970" w:type="dxa"/>
            <w:tcBorders>
              <w:tl2br w:val="nil"/>
              <w:tr2bl w:val="nil"/>
            </w:tcBorders>
            <w:vAlign w:val="center"/>
          </w:tcPr>
          <w:p>
            <w:pPr>
              <w:pStyle w:val="28"/>
              <w:widowControl w:val="0"/>
              <w:rPr>
                <w:color w:val="auto"/>
                <w:highlight w:val="none"/>
              </w:rPr>
            </w:pPr>
            <w:r>
              <w:rPr>
                <w:rFonts w:hint="eastAsia"/>
                <w:color w:val="auto"/>
                <w:highlight w:val="none"/>
              </w:rPr>
              <w:t>水中细菌总数的测定《水和废水监测分析方法》（第四版）国家环境保护总局，2002年</w:t>
            </w:r>
          </w:p>
        </w:tc>
        <w:tc>
          <w:tcPr>
            <w:tcW w:w="1380" w:type="dxa"/>
            <w:vMerge w:val="continue"/>
            <w:tcBorders>
              <w:tl2br w:val="nil"/>
              <w:tr2bl w:val="nil"/>
            </w:tcBorders>
            <w:vAlign w:val="center"/>
          </w:tcPr>
          <w:p>
            <w:pPr>
              <w:pStyle w:val="28"/>
              <w:widowControl w:val="0"/>
              <w:rPr>
                <w:color w:val="auto"/>
                <w:highlight w:val="none"/>
              </w:rPr>
            </w:pPr>
          </w:p>
        </w:tc>
        <w:tc>
          <w:tcPr>
            <w:tcW w:w="1425" w:type="dxa"/>
            <w:tcBorders>
              <w:tl2br w:val="nil"/>
              <w:tr2bl w:val="nil"/>
            </w:tcBorders>
            <w:vAlign w:val="center"/>
          </w:tcPr>
          <w:p>
            <w:pPr>
              <w:pStyle w:val="28"/>
              <w:widowControl w:val="0"/>
              <w:bidi w:val="0"/>
              <w:rPr>
                <w:color w:val="auto"/>
                <w:highlight w:val="none"/>
              </w:rPr>
            </w:pPr>
            <w:r>
              <w:rPr>
                <w:rFonts w:hint="eastAsia"/>
                <w:color w:val="auto"/>
                <w:highlight w:val="none"/>
              </w:rPr>
              <w:t>XSJS-063-08</w:t>
            </w:r>
          </w:p>
        </w:tc>
        <w:tc>
          <w:tcPr>
            <w:tcW w:w="1289"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rPr>
          <w:color w:val="auto"/>
          <w:highlight w:val="none"/>
        </w:rPr>
      </w:pPr>
      <w:r>
        <w:rPr>
          <w:rFonts w:hint="eastAsia"/>
          <w:color w:val="auto"/>
          <w:highlight w:val="none"/>
        </w:rPr>
        <w:t>（3）评价方法</w:t>
      </w:r>
    </w:p>
    <w:p>
      <w:pPr>
        <w:widowControl w:val="0"/>
        <w:ind w:firstLine="480"/>
        <w:rPr>
          <w:color w:val="auto"/>
          <w:highlight w:val="none"/>
        </w:rPr>
      </w:pPr>
      <w:r>
        <w:rPr>
          <w:rFonts w:hint="eastAsia"/>
          <w:color w:val="auto"/>
          <w:highlight w:val="none"/>
        </w:rPr>
        <w:t>采用标准指数法进行评价。标准指数</w:t>
      </w:r>
      <w:r>
        <w:rPr>
          <w:color w:val="auto"/>
          <w:highlight w:val="none"/>
        </w:rPr>
        <w:t>&gt;1</w:t>
      </w:r>
      <w:r>
        <w:rPr>
          <w:rFonts w:hint="eastAsia"/>
          <w:color w:val="auto"/>
          <w:highlight w:val="none"/>
        </w:rPr>
        <w:t>，表明该水质因子已超标，标准指数越大，超标越严重。</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）对于评价标准为定值的水质因子，其公式如下：</w:t>
      </w:r>
    </w:p>
    <w:p>
      <w:pPr>
        <w:widowControl w:val="0"/>
        <w:ind w:firstLine="0" w:firstLineChars="0"/>
        <w:jc w:val="center"/>
        <w:rPr>
          <w:color w:val="auto"/>
          <w:highlight w:val="none"/>
        </w:rPr>
      </w:pPr>
      <w:r>
        <w:rPr>
          <w:rFonts w:hint="eastAsia"/>
          <w:color w:val="auto"/>
          <w:position w:val="-12"/>
          <w:highlight w:val="none"/>
        </w:rPr>
        <w:object>
          <v:shape id="_x0000_i1028" o:spt="75" type="#_x0000_t75" style="height:17.85pt;width:55.85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9" r:id="rId34">
            <o:LockedField>false</o:LockedField>
          </o:OLEObject>
        </w:object>
      </w:r>
    </w:p>
    <w:p>
      <w:pPr>
        <w:widowControl w:val="0"/>
        <w:ind w:firstLine="480"/>
        <w:rPr>
          <w:color w:val="auto"/>
          <w:highlight w:val="none"/>
        </w:rPr>
      </w:pPr>
      <w:r>
        <w:rPr>
          <w:rFonts w:hint="eastAsia"/>
          <w:color w:val="auto"/>
          <w:highlight w:val="none"/>
        </w:rPr>
        <w:t>式中：</w:t>
      </w:r>
    </w:p>
    <w:p>
      <w:pPr>
        <w:widowControl w:val="0"/>
        <w:ind w:firstLine="1200" w:firstLineChars="500"/>
        <w:rPr>
          <w:color w:val="auto"/>
          <w:highlight w:val="none"/>
        </w:rPr>
      </w:pPr>
      <w:r>
        <w:rPr>
          <w:color w:val="auto"/>
          <w:highlight w:val="none"/>
        </w:rPr>
        <w:t>P</w:t>
      </w:r>
      <w:r>
        <w:rPr>
          <w:color w:val="auto"/>
          <w:highlight w:val="none"/>
          <w:vertAlign w:val="subscript"/>
        </w:rPr>
        <w:t>i</w:t>
      </w:r>
      <w:r>
        <w:rPr>
          <w:rFonts w:hint="eastAsia"/>
          <w:color w:val="auto"/>
          <w:highlight w:val="none"/>
        </w:rPr>
        <w:t>——第</w:t>
      </w:r>
      <w:r>
        <w:rPr>
          <w:color w:val="auto"/>
          <w:highlight w:val="none"/>
        </w:rPr>
        <w:t>i</w:t>
      </w:r>
      <w:r>
        <w:rPr>
          <w:rFonts w:hint="eastAsia"/>
          <w:color w:val="auto"/>
          <w:highlight w:val="none"/>
        </w:rPr>
        <w:t>个水质因子的标准指数，无量纲；</w:t>
      </w:r>
    </w:p>
    <w:p>
      <w:pPr>
        <w:widowControl w:val="0"/>
        <w:ind w:firstLine="1200" w:firstLineChars="500"/>
        <w:rPr>
          <w:color w:val="auto"/>
          <w:highlight w:val="none"/>
        </w:rPr>
      </w:pPr>
      <w:r>
        <w:rPr>
          <w:color w:val="auto"/>
          <w:highlight w:val="none"/>
        </w:rPr>
        <w:t>C</w:t>
      </w:r>
      <w:r>
        <w:rPr>
          <w:color w:val="auto"/>
          <w:highlight w:val="none"/>
          <w:vertAlign w:val="subscript"/>
        </w:rPr>
        <w:t>i</w:t>
      </w:r>
      <w:r>
        <w:rPr>
          <w:rFonts w:hint="eastAsia"/>
          <w:color w:val="auto"/>
          <w:highlight w:val="none"/>
        </w:rPr>
        <w:t>——第</w:t>
      </w:r>
      <w:r>
        <w:rPr>
          <w:color w:val="auto"/>
          <w:highlight w:val="none"/>
        </w:rPr>
        <w:t>i</w:t>
      </w:r>
      <w:r>
        <w:rPr>
          <w:rFonts w:hint="eastAsia"/>
          <w:color w:val="auto"/>
          <w:highlight w:val="none"/>
        </w:rPr>
        <w:t>个水质因子的监测浓度值，</w:t>
      </w:r>
      <w:r>
        <w:rPr>
          <w:color w:val="auto"/>
          <w:highlight w:val="none"/>
        </w:rPr>
        <w:t>mg/L</w:t>
      </w:r>
      <w:r>
        <w:rPr>
          <w:rFonts w:hint="eastAsia"/>
          <w:color w:val="auto"/>
          <w:highlight w:val="none"/>
        </w:rPr>
        <w:t>；</w:t>
      </w:r>
    </w:p>
    <w:p>
      <w:pPr>
        <w:widowControl w:val="0"/>
        <w:ind w:firstLine="1200" w:firstLineChars="500"/>
        <w:rPr>
          <w:color w:val="auto"/>
          <w:highlight w:val="none"/>
        </w:rPr>
      </w:pPr>
      <w:r>
        <w:rPr>
          <w:color w:val="auto"/>
          <w:highlight w:val="none"/>
        </w:rPr>
        <w:t>C</w:t>
      </w:r>
      <w:r>
        <w:rPr>
          <w:color w:val="auto"/>
          <w:highlight w:val="none"/>
          <w:vertAlign w:val="subscript"/>
        </w:rPr>
        <w:t>si</w:t>
      </w:r>
      <w:r>
        <w:rPr>
          <w:rFonts w:hint="eastAsia"/>
          <w:color w:val="auto"/>
          <w:highlight w:val="none"/>
        </w:rPr>
        <w:t>——第</w:t>
      </w:r>
      <w:r>
        <w:rPr>
          <w:color w:val="auto"/>
          <w:highlight w:val="none"/>
        </w:rPr>
        <w:t>i</w:t>
      </w:r>
      <w:r>
        <w:rPr>
          <w:rFonts w:hint="eastAsia"/>
          <w:color w:val="auto"/>
          <w:highlight w:val="none"/>
        </w:rPr>
        <w:t>个水质因子的标准浓度值，</w:t>
      </w:r>
      <w:r>
        <w:rPr>
          <w:color w:val="auto"/>
          <w:highlight w:val="none"/>
        </w:rPr>
        <w:t>mg/L</w:t>
      </w:r>
      <w:r>
        <w:rPr>
          <w:rFonts w:hint="eastAsia"/>
          <w:color w:val="auto"/>
          <w:highlight w:val="none"/>
        </w:rPr>
        <w:t>；</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）对于评价标准为区间值的水质因子（如</w:t>
      </w:r>
      <w:r>
        <w:rPr>
          <w:color w:val="auto"/>
          <w:highlight w:val="none"/>
        </w:rPr>
        <w:t>pH</w:t>
      </w:r>
      <w:r>
        <w:rPr>
          <w:rFonts w:hint="eastAsia"/>
          <w:color w:val="auto"/>
          <w:highlight w:val="none"/>
        </w:rPr>
        <w:t>值），其公式如下：</w:t>
      </w:r>
    </w:p>
    <w:p>
      <w:pPr>
        <w:widowControl w:val="0"/>
        <w:ind w:firstLine="0" w:firstLineChars="0"/>
        <w:jc w:val="center"/>
        <w:rPr>
          <w:color w:val="auto"/>
          <w:highlight w:val="none"/>
        </w:rPr>
      </w:pPr>
      <w:r>
        <w:rPr>
          <w:rFonts w:hint="eastAsia"/>
          <w:color w:val="auto"/>
          <w:position w:val="-30"/>
          <w:highlight w:val="none"/>
        </w:rPr>
        <w:object>
          <v:shape id="_x0000_i1029" o:spt="75" type="#_x0000_t75" style="height:34pt;width:85.8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30" r:id="rId36">
            <o:LockedField>false</o:LockedField>
          </o:OLEObject>
        </w:object>
      </w:r>
      <w:r>
        <w:rPr>
          <w:rFonts w:hint="eastAsia"/>
          <w:color w:val="auto"/>
          <w:highlight w:val="none"/>
        </w:rPr>
        <w:t>，当</w:t>
      </w:r>
      <w:r>
        <w:rPr>
          <w:color w:val="auto"/>
          <w:highlight w:val="none"/>
        </w:rPr>
        <w:t>pH</w:t>
      </w:r>
      <w:r>
        <w:rPr>
          <w:rFonts w:hint="eastAsia"/>
          <w:color w:val="auto"/>
          <w:highlight w:val="none"/>
        </w:rPr>
        <w:t>≤7</w:t>
      </w:r>
      <w:r>
        <w:rPr>
          <w:color w:val="auto"/>
          <w:highlight w:val="none"/>
        </w:rPr>
        <w:t>.0</w:t>
      </w:r>
      <w:r>
        <w:rPr>
          <w:rFonts w:hint="eastAsia"/>
          <w:color w:val="auto"/>
          <w:highlight w:val="none"/>
        </w:rPr>
        <w:t>时</w:t>
      </w:r>
    </w:p>
    <w:p>
      <w:pPr>
        <w:widowControl w:val="0"/>
        <w:ind w:firstLine="0" w:firstLineChars="0"/>
        <w:jc w:val="center"/>
        <w:rPr>
          <w:color w:val="auto"/>
          <w:highlight w:val="none"/>
        </w:rPr>
      </w:pPr>
      <w:r>
        <w:rPr>
          <w:rFonts w:hint="eastAsia"/>
          <w:color w:val="auto"/>
          <w:position w:val="-30"/>
          <w:highlight w:val="none"/>
        </w:rPr>
        <w:object>
          <v:shape id="_x0000_i1030" o:spt="75" type="#_x0000_t75" style="height:34pt;width:87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31" r:id="rId38">
            <o:LockedField>false</o:LockedField>
          </o:OLEObject>
        </w:object>
      </w:r>
      <w:r>
        <w:rPr>
          <w:rFonts w:hint="eastAsia"/>
          <w:color w:val="auto"/>
          <w:highlight w:val="none"/>
        </w:rPr>
        <w:t>，当</w:t>
      </w:r>
      <w:r>
        <w:rPr>
          <w:color w:val="auto"/>
          <w:highlight w:val="none"/>
        </w:rPr>
        <w:t>pH</w:t>
      </w:r>
      <w:r>
        <w:rPr>
          <w:rFonts w:hint="eastAsia"/>
          <w:color w:val="auto"/>
          <w:highlight w:val="none"/>
        </w:rPr>
        <w:t>＞</w:t>
      </w:r>
      <w:r>
        <w:rPr>
          <w:color w:val="auto"/>
          <w:highlight w:val="none"/>
        </w:rPr>
        <w:t>7.0</w:t>
      </w:r>
      <w:r>
        <w:rPr>
          <w:rFonts w:hint="eastAsia"/>
          <w:color w:val="auto"/>
          <w:highlight w:val="none"/>
        </w:rPr>
        <w:t>时</w:t>
      </w:r>
    </w:p>
    <w:p>
      <w:pPr>
        <w:widowControl w:val="0"/>
        <w:ind w:firstLine="480"/>
        <w:rPr>
          <w:color w:val="auto"/>
          <w:highlight w:val="none"/>
        </w:rPr>
      </w:pPr>
      <w:r>
        <w:rPr>
          <w:rFonts w:hint="eastAsia"/>
          <w:color w:val="auto"/>
          <w:highlight w:val="none"/>
        </w:rPr>
        <w:t>式中：</w:t>
      </w:r>
    </w:p>
    <w:p>
      <w:pPr>
        <w:widowControl w:val="0"/>
        <w:ind w:firstLine="1200" w:firstLineChars="500"/>
        <w:rPr>
          <w:color w:val="auto"/>
          <w:highlight w:val="none"/>
        </w:rPr>
      </w:pPr>
      <w:r>
        <w:rPr>
          <w:color w:val="auto"/>
          <w:highlight w:val="none"/>
        </w:rPr>
        <w:t>P</w:t>
      </w:r>
      <w:r>
        <w:rPr>
          <w:color w:val="auto"/>
          <w:highlight w:val="none"/>
          <w:vertAlign w:val="subscript"/>
        </w:rPr>
        <w:t>pH</w:t>
      </w:r>
      <w:r>
        <w:rPr>
          <w:rFonts w:hint="eastAsia"/>
          <w:color w:val="auto"/>
          <w:highlight w:val="none"/>
        </w:rPr>
        <w:t>——</w:t>
      </w:r>
      <w:r>
        <w:rPr>
          <w:color w:val="auto"/>
          <w:highlight w:val="none"/>
        </w:rPr>
        <w:t>pH</w:t>
      </w:r>
      <w:r>
        <w:rPr>
          <w:rFonts w:hint="eastAsia"/>
          <w:color w:val="auto"/>
          <w:highlight w:val="none"/>
        </w:rPr>
        <w:t>的标准指数，无量纲；</w:t>
      </w:r>
    </w:p>
    <w:p>
      <w:pPr>
        <w:widowControl w:val="0"/>
        <w:ind w:firstLine="1200" w:firstLineChars="500"/>
        <w:rPr>
          <w:color w:val="auto"/>
          <w:highlight w:val="none"/>
        </w:rPr>
      </w:pPr>
      <w:r>
        <w:rPr>
          <w:color w:val="auto"/>
          <w:highlight w:val="none"/>
        </w:rPr>
        <w:t>pH</w:t>
      </w:r>
      <w:r>
        <w:rPr>
          <w:rFonts w:hint="eastAsia"/>
          <w:color w:val="auto"/>
          <w:highlight w:val="none"/>
        </w:rPr>
        <w:t>——</w:t>
      </w:r>
      <w:r>
        <w:rPr>
          <w:color w:val="auto"/>
          <w:highlight w:val="none"/>
        </w:rPr>
        <w:t>pH</w:t>
      </w:r>
      <w:r>
        <w:rPr>
          <w:rFonts w:hint="eastAsia"/>
          <w:color w:val="auto"/>
          <w:highlight w:val="none"/>
        </w:rPr>
        <w:t>的监测值；</w:t>
      </w:r>
    </w:p>
    <w:p>
      <w:pPr>
        <w:widowControl w:val="0"/>
        <w:ind w:firstLine="1200" w:firstLineChars="500"/>
        <w:rPr>
          <w:color w:val="auto"/>
          <w:highlight w:val="none"/>
        </w:rPr>
      </w:pPr>
      <w:r>
        <w:rPr>
          <w:color w:val="auto"/>
          <w:highlight w:val="none"/>
        </w:rPr>
        <w:t>pH</w:t>
      </w:r>
      <w:r>
        <w:rPr>
          <w:color w:val="auto"/>
          <w:highlight w:val="none"/>
          <w:vertAlign w:val="subscript"/>
        </w:rPr>
        <w:t>sm</w:t>
      </w:r>
      <w:r>
        <w:rPr>
          <w:rFonts w:hint="eastAsia"/>
          <w:color w:val="auto"/>
          <w:highlight w:val="none"/>
        </w:rPr>
        <w:t>——标准中</w:t>
      </w:r>
      <w:r>
        <w:rPr>
          <w:color w:val="auto"/>
          <w:highlight w:val="none"/>
        </w:rPr>
        <w:t>pH</w:t>
      </w:r>
      <w:r>
        <w:rPr>
          <w:rFonts w:hint="eastAsia"/>
          <w:color w:val="auto"/>
          <w:highlight w:val="none"/>
        </w:rPr>
        <w:t>的上限值；</w:t>
      </w:r>
    </w:p>
    <w:p>
      <w:pPr>
        <w:widowControl w:val="0"/>
        <w:ind w:firstLine="1200" w:firstLineChars="500"/>
        <w:rPr>
          <w:color w:val="auto"/>
          <w:highlight w:val="none"/>
        </w:rPr>
      </w:pPr>
      <w:r>
        <w:rPr>
          <w:color w:val="auto"/>
          <w:highlight w:val="none"/>
        </w:rPr>
        <w:t>pH</w:t>
      </w:r>
      <w:r>
        <w:rPr>
          <w:color w:val="auto"/>
          <w:highlight w:val="none"/>
          <w:vertAlign w:val="subscript"/>
        </w:rPr>
        <w:t>sd</w:t>
      </w:r>
      <w:r>
        <w:rPr>
          <w:rFonts w:hint="eastAsia"/>
          <w:color w:val="auto"/>
          <w:highlight w:val="none"/>
        </w:rPr>
        <w:t>——标准中</w:t>
      </w:r>
      <w:r>
        <w:rPr>
          <w:color w:val="auto"/>
          <w:highlight w:val="none"/>
        </w:rPr>
        <w:t>pH</w:t>
      </w:r>
      <w:r>
        <w:rPr>
          <w:rFonts w:hint="eastAsia"/>
          <w:color w:val="auto"/>
          <w:highlight w:val="none"/>
        </w:rPr>
        <w:t>的下限值。</w:t>
      </w:r>
    </w:p>
    <w:p>
      <w:pPr>
        <w:widowControl w:val="0"/>
        <w:ind w:firstLine="480"/>
        <w:rPr>
          <w:color w:val="auto"/>
          <w:highlight w:val="none"/>
        </w:rPr>
      </w:pPr>
      <w:r>
        <w:rPr>
          <w:rFonts w:hint="eastAsia"/>
          <w:color w:val="auto"/>
          <w:highlight w:val="none"/>
        </w:rPr>
        <w:t>（4）监测结果及评价</w:t>
      </w:r>
    </w:p>
    <w:p>
      <w:pPr>
        <w:pStyle w:val="27"/>
        <w:widowControl w:val="0"/>
        <w:rPr>
          <w:color w:val="auto"/>
          <w:highlight w:val="none"/>
        </w:rPr>
      </w:pPr>
      <w:r>
        <w:rPr>
          <w:rFonts w:hint="eastAsia"/>
          <w:color w:val="auto"/>
          <w:highlight w:val="none"/>
        </w:rPr>
        <w:t>本项目地下水质量监测结果表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389"/>
        <w:gridCol w:w="1015"/>
        <w:gridCol w:w="1466"/>
        <w:gridCol w:w="1431"/>
        <w:gridCol w:w="1433"/>
        <w:gridCol w:w="1167"/>
        <w:gridCol w:w="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采样日期</w:t>
            </w:r>
          </w:p>
        </w:tc>
        <w:tc>
          <w:tcPr>
            <w:tcW w:w="1389"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101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4330" w:type="dxa"/>
            <w:gridSpan w:val="3"/>
            <w:tcBorders>
              <w:tl2br w:val="nil"/>
              <w:tr2bl w:val="nil"/>
            </w:tcBorders>
            <w:vAlign w:val="center"/>
          </w:tcPr>
          <w:p>
            <w:pPr>
              <w:pStyle w:val="28"/>
              <w:widowControl w:val="0"/>
              <w:rPr>
                <w:b/>
                <w:bCs/>
                <w:color w:val="auto"/>
                <w:highlight w:val="none"/>
              </w:rPr>
            </w:pPr>
            <w:r>
              <w:rPr>
                <w:rFonts w:hint="eastAsia"/>
                <w:b/>
                <w:bCs/>
                <w:color w:val="auto"/>
                <w:highlight w:val="none"/>
              </w:rPr>
              <w:t>监测结果</w:t>
            </w:r>
          </w:p>
        </w:tc>
        <w:tc>
          <w:tcPr>
            <w:tcW w:w="116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标准限值</w:t>
            </w:r>
          </w:p>
        </w:tc>
        <w:tc>
          <w:tcPr>
            <w:tcW w:w="65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28"/>
              <w:widowControl w:val="0"/>
              <w:rPr>
                <w:color w:val="auto"/>
                <w:highlight w:val="none"/>
              </w:rPr>
            </w:pPr>
          </w:p>
        </w:tc>
        <w:tc>
          <w:tcPr>
            <w:tcW w:w="1389" w:type="dxa"/>
            <w:vMerge w:val="continue"/>
            <w:tcBorders>
              <w:tl2br w:val="nil"/>
              <w:tr2bl w:val="nil"/>
            </w:tcBorders>
            <w:vAlign w:val="center"/>
          </w:tcPr>
          <w:p>
            <w:pPr>
              <w:pStyle w:val="28"/>
              <w:widowControl w:val="0"/>
              <w:rPr>
                <w:color w:val="auto"/>
                <w:highlight w:val="none"/>
              </w:rPr>
            </w:pPr>
          </w:p>
        </w:tc>
        <w:tc>
          <w:tcPr>
            <w:tcW w:w="1015" w:type="dxa"/>
            <w:vMerge w:val="continue"/>
            <w:tcBorders>
              <w:tl2br w:val="nil"/>
              <w:tr2bl w:val="nil"/>
            </w:tcBorders>
            <w:vAlign w:val="center"/>
          </w:tcPr>
          <w:p>
            <w:pPr>
              <w:pStyle w:val="28"/>
              <w:widowControl w:val="0"/>
              <w:rPr>
                <w:color w:val="auto"/>
                <w:highlight w:val="none"/>
              </w:rPr>
            </w:pPr>
          </w:p>
        </w:tc>
        <w:tc>
          <w:tcPr>
            <w:tcW w:w="1466" w:type="dxa"/>
            <w:tcBorders>
              <w:tl2br w:val="nil"/>
              <w:tr2bl w:val="nil"/>
            </w:tcBorders>
            <w:vAlign w:val="center"/>
          </w:tcPr>
          <w:p>
            <w:pPr>
              <w:pStyle w:val="28"/>
              <w:widowControl w:val="0"/>
              <w:rPr>
                <w:b/>
                <w:bCs/>
                <w:color w:val="auto"/>
                <w:highlight w:val="none"/>
              </w:rPr>
            </w:pPr>
            <w:r>
              <w:rPr>
                <w:rFonts w:hint="eastAsia"/>
                <w:b/>
                <w:bCs/>
                <w:color w:val="auto"/>
                <w:highlight w:val="none"/>
              </w:rPr>
              <w:t>1#项目场地外西北侧农户水井</w:t>
            </w:r>
          </w:p>
        </w:tc>
        <w:tc>
          <w:tcPr>
            <w:tcW w:w="1431" w:type="dxa"/>
            <w:tcBorders>
              <w:tl2br w:val="nil"/>
              <w:tr2bl w:val="nil"/>
            </w:tcBorders>
            <w:vAlign w:val="center"/>
          </w:tcPr>
          <w:p>
            <w:pPr>
              <w:pStyle w:val="28"/>
              <w:widowControl w:val="0"/>
              <w:rPr>
                <w:b/>
                <w:bCs/>
                <w:color w:val="auto"/>
                <w:highlight w:val="none"/>
              </w:rPr>
            </w:pPr>
            <w:r>
              <w:rPr>
                <w:rFonts w:hint="eastAsia"/>
                <w:b/>
                <w:bCs/>
                <w:color w:val="auto"/>
                <w:highlight w:val="none"/>
              </w:rPr>
              <w:t>2#项目场地外北侧农户水井</w:t>
            </w:r>
          </w:p>
        </w:tc>
        <w:tc>
          <w:tcPr>
            <w:tcW w:w="1433" w:type="dxa"/>
            <w:tcBorders>
              <w:tl2br w:val="nil"/>
              <w:tr2bl w:val="nil"/>
            </w:tcBorders>
            <w:vAlign w:val="center"/>
          </w:tcPr>
          <w:p>
            <w:pPr>
              <w:pStyle w:val="28"/>
              <w:widowControl w:val="0"/>
              <w:rPr>
                <w:b/>
                <w:bCs/>
                <w:color w:val="auto"/>
                <w:highlight w:val="none"/>
              </w:rPr>
            </w:pPr>
            <w:r>
              <w:rPr>
                <w:rFonts w:hint="eastAsia"/>
                <w:b/>
                <w:bCs/>
                <w:color w:val="auto"/>
                <w:highlight w:val="none"/>
              </w:rPr>
              <w:t>3#项目场地外东北侧农户水井</w:t>
            </w:r>
          </w:p>
        </w:tc>
        <w:tc>
          <w:tcPr>
            <w:tcW w:w="1167" w:type="dxa"/>
            <w:vMerge w:val="continue"/>
            <w:tcBorders>
              <w:tl2br w:val="nil"/>
              <w:tr2bl w:val="nil"/>
            </w:tcBorders>
            <w:vAlign w:val="center"/>
          </w:tcPr>
          <w:p>
            <w:pPr>
              <w:pStyle w:val="28"/>
              <w:widowControl w:val="0"/>
              <w:rPr>
                <w:color w:val="auto"/>
                <w:highlight w:val="none"/>
              </w:rPr>
            </w:pPr>
          </w:p>
        </w:tc>
        <w:tc>
          <w:tcPr>
            <w:tcW w:w="657"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tcBorders>
              <w:tl2br w:val="nil"/>
              <w:tr2bl w:val="nil"/>
            </w:tcBorders>
            <w:vAlign w:val="center"/>
          </w:tcPr>
          <w:p>
            <w:pPr>
              <w:pStyle w:val="28"/>
              <w:widowControl w:val="0"/>
              <w:rPr>
                <w:color w:val="auto"/>
                <w:highlight w:val="none"/>
              </w:rPr>
            </w:pPr>
            <w:r>
              <w:rPr>
                <w:rFonts w:hint="eastAsia"/>
                <w:color w:val="auto"/>
                <w:highlight w:val="none"/>
              </w:rPr>
              <w:t>1月27日</w:t>
            </w:r>
          </w:p>
        </w:tc>
        <w:tc>
          <w:tcPr>
            <w:tcW w:w="1389" w:type="dxa"/>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pH</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无量纲</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7.2</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7.1</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7.4</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6.5~8.5</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tcBorders>
              <w:tl2br w:val="nil"/>
              <w:tr2bl w:val="nil"/>
            </w:tcBorders>
            <w:vAlign w:val="center"/>
          </w:tcPr>
          <w:p>
            <w:pPr>
              <w:pStyle w:val="28"/>
              <w:widowControl w:val="0"/>
              <w:rPr>
                <w:color w:val="auto"/>
                <w:highlight w:val="none"/>
              </w:rPr>
            </w:pPr>
          </w:p>
        </w:tc>
        <w:tc>
          <w:tcPr>
            <w:tcW w:w="1389"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耗氧量</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mg/L</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0.80</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0.83</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1.12</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28"/>
              <w:widowControl w:val="0"/>
              <w:rPr>
                <w:color w:val="auto"/>
                <w:highlight w:val="none"/>
              </w:rPr>
            </w:pPr>
          </w:p>
        </w:tc>
        <w:tc>
          <w:tcPr>
            <w:tcW w:w="1389" w:type="dxa"/>
            <w:tcBorders>
              <w:tl2br w:val="nil"/>
              <w:tr2bl w:val="nil"/>
            </w:tcBorders>
            <w:vAlign w:val="center"/>
          </w:tcPr>
          <w:p>
            <w:pPr>
              <w:pStyle w:val="28"/>
              <w:widowControl w:val="0"/>
              <w:rPr>
                <w:rFonts w:ascii="宋体" w:hAnsi="宋体"/>
                <w:color w:val="auto"/>
                <w:highlight w:val="none"/>
              </w:rPr>
            </w:pPr>
            <w:r>
              <w:rPr>
                <w:rFonts w:hint="eastAsia" w:ascii="宋体" w:hAnsi="宋体"/>
                <w:color w:val="auto"/>
                <w:highlight w:val="none"/>
              </w:rPr>
              <w:t>溶解性总</w:t>
            </w:r>
          </w:p>
          <w:p>
            <w:pPr>
              <w:pStyle w:val="28"/>
              <w:widowControl w:val="0"/>
              <w:rPr>
                <w:color w:val="auto"/>
                <w:highlight w:val="none"/>
              </w:rPr>
            </w:pPr>
            <w:r>
              <w:rPr>
                <w:rFonts w:hint="eastAsia" w:ascii="宋体" w:hAnsi="宋体"/>
                <w:color w:val="auto"/>
                <w:highlight w:val="none"/>
              </w:rPr>
              <w:t>固体</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mg/L</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374</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305</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321</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≤1000</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28"/>
              <w:widowControl w:val="0"/>
              <w:rPr>
                <w:color w:val="auto"/>
                <w:highlight w:val="none"/>
              </w:rPr>
            </w:pPr>
          </w:p>
        </w:tc>
        <w:tc>
          <w:tcPr>
            <w:tcW w:w="1389"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总硬度</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mg/L</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300</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238</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229</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≤450</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28"/>
              <w:widowControl w:val="0"/>
              <w:rPr>
                <w:color w:val="auto"/>
                <w:highlight w:val="none"/>
              </w:rPr>
            </w:pPr>
          </w:p>
        </w:tc>
        <w:tc>
          <w:tcPr>
            <w:tcW w:w="1389"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碳酸根</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mg/L</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未检出</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28"/>
              <w:widowControl w:val="0"/>
              <w:rPr>
                <w:color w:val="auto"/>
                <w:highlight w:val="none"/>
              </w:rPr>
            </w:pPr>
          </w:p>
        </w:tc>
        <w:tc>
          <w:tcPr>
            <w:tcW w:w="1389" w:type="dxa"/>
            <w:tcBorders>
              <w:tl2br w:val="nil"/>
              <w:tr2bl w:val="nil"/>
            </w:tcBorders>
            <w:vAlign w:val="center"/>
          </w:tcPr>
          <w:p>
            <w:pPr>
              <w:pStyle w:val="28"/>
              <w:widowControl w:val="0"/>
              <w:rPr>
                <w:color w:val="auto"/>
                <w:highlight w:val="none"/>
              </w:rPr>
            </w:pPr>
            <w:r>
              <w:rPr>
                <w:rFonts w:hint="eastAsia" w:ascii="宋体" w:hAnsi="宋体"/>
                <w:color w:val="auto"/>
                <w:highlight w:val="none"/>
              </w:rPr>
              <w:t>重碳酸根</w:t>
            </w:r>
          </w:p>
        </w:tc>
        <w:tc>
          <w:tcPr>
            <w:tcW w:w="1015" w:type="dxa"/>
            <w:tcBorders>
              <w:tl2br w:val="nil"/>
              <w:tr2bl w:val="nil"/>
            </w:tcBorders>
            <w:vAlign w:val="center"/>
          </w:tcPr>
          <w:p>
            <w:pPr>
              <w:pStyle w:val="28"/>
              <w:widowControl w:val="0"/>
              <w:rPr>
                <w:color w:val="auto"/>
                <w:highlight w:val="none"/>
              </w:rPr>
            </w:pPr>
            <w:r>
              <w:rPr>
                <w:rFonts w:hint="eastAsia"/>
                <w:color w:val="auto"/>
                <w:highlight w:val="none"/>
              </w:rPr>
              <w:t>mg/L</w:t>
            </w:r>
          </w:p>
        </w:tc>
        <w:tc>
          <w:tcPr>
            <w:tcW w:w="1466" w:type="dxa"/>
            <w:tcBorders>
              <w:tl2br w:val="nil"/>
              <w:tr2bl w:val="nil"/>
            </w:tcBorders>
            <w:vAlign w:val="center"/>
          </w:tcPr>
          <w:p>
            <w:pPr>
              <w:pStyle w:val="28"/>
              <w:widowControl w:val="0"/>
              <w:rPr>
                <w:color w:val="auto"/>
                <w:highlight w:val="none"/>
              </w:rPr>
            </w:pPr>
            <w:r>
              <w:rPr>
                <w:rFonts w:hint="eastAsia"/>
                <w:color w:val="auto"/>
                <w:highlight w:val="none"/>
              </w:rPr>
              <w:t>349</w:t>
            </w:r>
          </w:p>
        </w:tc>
        <w:tc>
          <w:tcPr>
            <w:tcW w:w="1431" w:type="dxa"/>
            <w:tcBorders>
              <w:tl2br w:val="nil"/>
              <w:tr2bl w:val="nil"/>
            </w:tcBorders>
            <w:vAlign w:val="center"/>
          </w:tcPr>
          <w:p>
            <w:pPr>
              <w:pStyle w:val="28"/>
              <w:widowControl w:val="0"/>
              <w:rPr>
                <w:color w:val="auto"/>
                <w:highlight w:val="none"/>
              </w:rPr>
            </w:pPr>
            <w:r>
              <w:rPr>
                <w:rFonts w:hint="eastAsia"/>
                <w:color w:val="auto"/>
                <w:highlight w:val="none"/>
              </w:rPr>
              <w:t>319</w:t>
            </w:r>
          </w:p>
        </w:tc>
        <w:tc>
          <w:tcPr>
            <w:tcW w:w="1433" w:type="dxa"/>
            <w:tcBorders>
              <w:tl2br w:val="nil"/>
              <w:tr2bl w:val="nil"/>
            </w:tcBorders>
            <w:vAlign w:val="center"/>
          </w:tcPr>
          <w:p>
            <w:pPr>
              <w:pStyle w:val="28"/>
              <w:widowControl w:val="0"/>
              <w:rPr>
                <w:color w:val="auto"/>
                <w:highlight w:val="none"/>
              </w:rPr>
            </w:pPr>
            <w:r>
              <w:rPr>
                <w:rFonts w:hint="eastAsia"/>
                <w:color w:val="auto"/>
                <w:highlight w:val="none"/>
              </w:rPr>
              <w:t>321</w:t>
            </w:r>
          </w:p>
        </w:tc>
        <w:tc>
          <w:tcPr>
            <w:tcW w:w="1167" w:type="dxa"/>
            <w:tcBorders>
              <w:tl2br w:val="nil"/>
              <w:tr2bl w:val="nil"/>
            </w:tcBorders>
            <w:vAlign w:val="center"/>
          </w:tcPr>
          <w:p>
            <w:pPr>
              <w:pStyle w:val="28"/>
              <w:widowControl w:val="0"/>
              <w:rPr>
                <w:color w:val="auto"/>
                <w:highlight w:val="none"/>
              </w:rPr>
            </w:pPr>
            <w:r>
              <w:rPr>
                <w:rFonts w:hint="eastAsia"/>
                <w:color w:val="auto"/>
                <w:highlight w:val="none"/>
              </w:rPr>
              <w:t>/</w:t>
            </w:r>
          </w:p>
        </w:tc>
        <w:tc>
          <w:tcPr>
            <w:tcW w:w="657"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color w:val="auto"/>
                <w:highlight w:val="none"/>
              </w:rPr>
            </w:pPr>
            <w:r>
              <w:rPr>
                <w:rFonts w:hint="eastAsia" w:ascii="宋体" w:hAnsi="宋体"/>
                <w:color w:val="auto"/>
                <w:highlight w:val="none"/>
              </w:rPr>
              <w:t>氨氮</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0.198</w:t>
            </w:r>
          </w:p>
        </w:tc>
        <w:tc>
          <w:tcPr>
            <w:tcW w:w="1431" w:type="dxa"/>
            <w:vAlign w:val="center"/>
          </w:tcPr>
          <w:p>
            <w:pPr>
              <w:pStyle w:val="28"/>
              <w:widowControl w:val="0"/>
              <w:rPr>
                <w:color w:val="auto"/>
                <w:highlight w:val="none"/>
              </w:rPr>
            </w:pPr>
            <w:r>
              <w:rPr>
                <w:rFonts w:hint="eastAsia"/>
                <w:color w:val="auto"/>
                <w:highlight w:val="none"/>
              </w:rPr>
              <w:t>0.111</w:t>
            </w:r>
          </w:p>
        </w:tc>
        <w:tc>
          <w:tcPr>
            <w:tcW w:w="1433" w:type="dxa"/>
            <w:vAlign w:val="center"/>
          </w:tcPr>
          <w:p>
            <w:pPr>
              <w:pStyle w:val="28"/>
              <w:widowControl w:val="0"/>
              <w:rPr>
                <w:color w:val="auto"/>
                <w:highlight w:val="none"/>
              </w:rPr>
            </w:pPr>
            <w:r>
              <w:rPr>
                <w:rFonts w:hint="eastAsia"/>
                <w:color w:val="auto"/>
                <w:highlight w:val="none"/>
              </w:rPr>
              <w:t>0.140</w:t>
            </w:r>
          </w:p>
        </w:tc>
        <w:tc>
          <w:tcPr>
            <w:tcW w:w="1167" w:type="dxa"/>
            <w:vAlign w:val="center"/>
          </w:tcPr>
          <w:p>
            <w:pPr>
              <w:pStyle w:val="28"/>
              <w:widowControl w:val="0"/>
              <w:rPr>
                <w:color w:val="auto"/>
                <w:highlight w:val="none"/>
              </w:rPr>
            </w:pPr>
            <w:r>
              <w:rPr>
                <w:rFonts w:hint="eastAsia"/>
                <w:color w:val="auto"/>
                <w:highlight w:val="none"/>
              </w:rPr>
              <w:t>≤0.5</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铬（六价）</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≤0.05</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挥发酚</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≤1.00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氰化物</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≤0.05</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氟化物</w:t>
            </w:r>
          </w:p>
          <w:p>
            <w:pPr>
              <w:pStyle w:val="28"/>
              <w:widowControl w:val="0"/>
              <w:rPr>
                <w:rFonts w:ascii="宋体" w:hAnsi="宋体"/>
                <w:color w:val="auto"/>
                <w:highlight w:val="none"/>
              </w:rPr>
            </w:pPr>
            <w:r>
              <w:rPr>
                <w:rFonts w:hint="eastAsia" w:ascii="宋体" w:hAnsi="宋体"/>
                <w:color w:val="auto"/>
                <w:highlight w:val="none"/>
              </w:rPr>
              <w:t>（氟离子）</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0.376</w:t>
            </w:r>
          </w:p>
        </w:tc>
        <w:tc>
          <w:tcPr>
            <w:tcW w:w="1431" w:type="dxa"/>
            <w:vAlign w:val="center"/>
          </w:tcPr>
          <w:p>
            <w:pPr>
              <w:pStyle w:val="28"/>
              <w:widowControl w:val="0"/>
              <w:rPr>
                <w:color w:val="auto"/>
                <w:highlight w:val="none"/>
              </w:rPr>
            </w:pPr>
            <w:r>
              <w:rPr>
                <w:rFonts w:hint="eastAsia"/>
                <w:color w:val="auto"/>
                <w:highlight w:val="none"/>
              </w:rPr>
              <w:t>0.424</w:t>
            </w:r>
          </w:p>
        </w:tc>
        <w:tc>
          <w:tcPr>
            <w:tcW w:w="1433" w:type="dxa"/>
            <w:vAlign w:val="center"/>
          </w:tcPr>
          <w:p>
            <w:pPr>
              <w:pStyle w:val="28"/>
              <w:widowControl w:val="0"/>
              <w:rPr>
                <w:color w:val="auto"/>
                <w:highlight w:val="none"/>
              </w:rPr>
            </w:pPr>
            <w:r>
              <w:rPr>
                <w:rFonts w:hint="eastAsia"/>
                <w:color w:val="auto"/>
                <w:highlight w:val="none"/>
              </w:rPr>
              <w:t>0.258</w:t>
            </w:r>
          </w:p>
        </w:tc>
        <w:tc>
          <w:tcPr>
            <w:tcW w:w="1167" w:type="dxa"/>
            <w:vAlign w:val="center"/>
          </w:tcPr>
          <w:p>
            <w:pPr>
              <w:pStyle w:val="28"/>
              <w:widowControl w:val="0"/>
              <w:rPr>
                <w:color w:val="auto"/>
                <w:highlight w:val="none"/>
              </w:rPr>
            </w:pPr>
            <w:r>
              <w:rPr>
                <w:rFonts w:hint="eastAsia"/>
                <w:color w:val="auto"/>
                <w:highlight w:val="none"/>
              </w:rPr>
              <w:t>≤1.0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color w:val="auto"/>
                <w:highlight w:val="none"/>
              </w:rPr>
            </w:pPr>
            <w:r>
              <w:rPr>
                <w:rFonts w:hint="eastAsia"/>
                <w:color w:val="auto"/>
                <w:highlight w:val="none"/>
              </w:rPr>
              <w:t>亚硝酸盐氮</w:t>
            </w:r>
          </w:p>
          <w:p>
            <w:pPr>
              <w:pStyle w:val="28"/>
              <w:widowControl w:val="0"/>
              <w:rPr>
                <w:color w:val="auto"/>
                <w:highlight w:val="none"/>
              </w:rPr>
            </w:pPr>
            <w:r>
              <w:rPr>
                <w:rFonts w:hint="eastAsia"/>
                <w:color w:val="auto"/>
                <w:highlight w:val="none"/>
              </w:rPr>
              <w:t>（亚硝酸根）</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≤1.00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color w:val="auto"/>
                <w:highlight w:val="none"/>
              </w:rPr>
            </w:pPr>
            <w:r>
              <w:rPr>
                <w:rFonts w:hint="eastAsia"/>
                <w:color w:val="auto"/>
                <w:highlight w:val="none"/>
              </w:rPr>
              <w:t>硝酸根</w:t>
            </w:r>
          </w:p>
          <w:p>
            <w:pPr>
              <w:pStyle w:val="28"/>
              <w:widowControl w:val="0"/>
              <w:rPr>
                <w:color w:val="auto"/>
                <w:highlight w:val="none"/>
              </w:rPr>
            </w:pPr>
            <w:r>
              <w:rPr>
                <w:rFonts w:hint="eastAsia"/>
                <w:color w:val="auto"/>
                <w:highlight w:val="none"/>
              </w:rPr>
              <w:t>（硝酸盐氮）</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0.567</w:t>
            </w:r>
          </w:p>
        </w:tc>
        <w:tc>
          <w:tcPr>
            <w:tcW w:w="1431" w:type="dxa"/>
            <w:vAlign w:val="center"/>
          </w:tcPr>
          <w:p>
            <w:pPr>
              <w:pStyle w:val="28"/>
              <w:widowControl w:val="0"/>
              <w:rPr>
                <w:color w:val="auto"/>
                <w:highlight w:val="none"/>
              </w:rPr>
            </w:pPr>
            <w:r>
              <w:rPr>
                <w:rFonts w:hint="eastAsia"/>
                <w:color w:val="auto"/>
                <w:highlight w:val="none"/>
              </w:rPr>
              <w:t>0.346</w:t>
            </w:r>
          </w:p>
        </w:tc>
        <w:tc>
          <w:tcPr>
            <w:tcW w:w="1433" w:type="dxa"/>
            <w:vAlign w:val="center"/>
          </w:tcPr>
          <w:p>
            <w:pPr>
              <w:pStyle w:val="28"/>
              <w:widowControl w:val="0"/>
              <w:rPr>
                <w:color w:val="auto"/>
                <w:highlight w:val="none"/>
              </w:rPr>
            </w:pPr>
            <w:r>
              <w:rPr>
                <w:rFonts w:hint="eastAsia"/>
                <w:color w:val="auto"/>
                <w:highlight w:val="none"/>
              </w:rPr>
              <w:t>0.876</w:t>
            </w:r>
          </w:p>
        </w:tc>
        <w:tc>
          <w:tcPr>
            <w:tcW w:w="1167" w:type="dxa"/>
            <w:vAlign w:val="center"/>
          </w:tcPr>
          <w:p>
            <w:pPr>
              <w:pStyle w:val="28"/>
              <w:widowControl w:val="0"/>
              <w:rPr>
                <w:color w:val="auto"/>
                <w:highlight w:val="none"/>
              </w:rPr>
            </w:pPr>
            <w:r>
              <w:rPr>
                <w:rFonts w:hint="eastAsia"/>
                <w:color w:val="auto"/>
                <w:highlight w:val="none"/>
              </w:rPr>
              <w:t>≤20.0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氯化物</w:t>
            </w:r>
          </w:p>
          <w:p>
            <w:pPr>
              <w:pStyle w:val="28"/>
              <w:widowControl w:val="0"/>
              <w:rPr>
                <w:rFonts w:ascii="宋体" w:hAnsi="宋体"/>
                <w:color w:val="auto"/>
                <w:highlight w:val="none"/>
              </w:rPr>
            </w:pPr>
            <w:r>
              <w:rPr>
                <w:rFonts w:hint="eastAsia" w:ascii="宋体" w:hAnsi="宋体"/>
                <w:color w:val="auto"/>
                <w:highlight w:val="none"/>
              </w:rPr>
              <w:t>（氯离子）</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37.4</w:t>
            </w:r>
          </w:p>
        </w:tc>
        <w:tc>
          <w:tcPr>
            <w:tcW w:w="1431" w:type="dxa"/>
            <w:vAlign w:val="center"/>
          </w:tcPr>
          <w:p>
            <w:pPr>
              <w:pStyle w:val="28"/>
              <w:widowControl w:val="0"/>
              <w:rPr>
                <w:color w:val="auto"/>
                <w:highlight w:val="none"/>
              </w:rPr>
            </w:pPr>
            <w:r>
              <w:rPr>
                <w:rFonts w:hint="eastAsia"/>
                <w:color w:val="auto"/>
                <w:highlight w:val="none"/>
              </w:rPr>
              <w:t>6.41</w:t>
            </w:r>
          </w:p>
        </w:tc>
        <w:tc>
          <w:tcPr>
            <w:tcW w:w="1433" w:type="dxa"/>
            <w:vAlign w:val="center"/>
          </w:tcPr>
          <w:p>
            <w:pPr>
              <w:pStyle w:val="28"/>
              <w:widowControl w:val="0"/>
              <w:rPr>
                <w:color w:val="auto"/>
                <w:highlight w:val="none"/>
              </w:rPr>
            </w:pPr>
            <w:r>
              <w:rPr>
                <w:rFonts w:hint="eastAsia"/>
                <w:color w:val="auto"/>
                <w:highlight w:val="none"/>
              </w:rPr>
              <w:t>20.9</w:t>
            </w:r>
          </w:p>
        </w:tc>
        <w:tc>
          <w:tcPr>
            <w:tcW w:w="1167" w:type="dxa"/>
            <w:vAlign w:val="center"/>
          </w:tcPr>
          <w:p>
            <w:pPr>
              <w:pStyle w:val="28"/>
              <w:widowControl w:val="0"/>
              <w:rPr>
                <w:color w:val="auto"/>
                <w:highlight w:val="none"/>
              </w:rPr>
            </w:pPr>
            <w:r>
              <w:rPr>
                <w:rFonts w:hint="eastAsia"/>
                <w:color w:val="auto"/>
                <w:highlight w:val="none"/>
              </w:rPr>
              <w:t>≤250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硫酸盐</w:t>
            </w:r>
          </w:p>
          <w:p>
            <w:pPr>
              <w:pStyle w:val="28"/>
              <w:widowControl w:val="0"/>
              <w:rPr>
                <w:rFonts w:ascii="宋体" w:hAnsi="宋体"/>
                <w:color w:val="auto"/>
                <w:highlight w:val="none"/>
              </w:rPr>
            </w:pPr>
            <w:r>
              <w:rPr>
                <w:rFonts w:hint="eastAsia" w:ascii="宋体" w:hAnsi="宋体"/>
                <w:color w:val="auto"/>
                <w:highlight w:val="none"/>
              </w:rPr>
              <w:t>（硫酸根）</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6.70</w:t>
            </w:r>
          </w:p>
        </w:tc>
        <w:tc>
          <w:tcPr>
            <w:tcW w:w="1431" w:type="dxa"/>
            <w:vAlign w:val="center"/>
          </w:tcPr>
          <w:p>
            <w:pPr>
              <w:pStyle w:val="28"/>
              <w:widowControl w:val="0"/>
              <w:rPr>
                <w:color w:val="auto"/>
                <w:highlight w:val="none"/>
              </w:rPr>
            </w:pPr>
            <w:r>
              <w:rPr>
                <w:rFonts w:hint="eastAsia"/>
                <w:color w:val="auto"/>
                <w:highlight w:val="none"/>
              </w:rPr>
              <w:t>6.05</w:t>
            </w:r>
          </w:p>
        </w:tc>
        <w:tc>
          <w:tcPr>
            <w:tcW w:w="1433" w:type="dxa"/>
            <w:vAlign w:val="center"/>
          </w:tcPr>
          <w:p>
            <w:pPr>
              <w:pStyle w:val="28"/>
              <w:widowControl w:val="0"/>
              <w:rPr>
                <w:color w:val="auto"/>
                <w:highlight w:val="none"/>
              </w:rPr>
            </w:pPr>
            <w:r>
              <w:rPr>
                <w:rFonts w:hint="eastAsia"/>
                <w:color w:val="auto"/>
                <w:highlight w:val="none"/>
              </w:rPr>
              <w:t>6.89</w:t>
            </w:r>
          </w:p>
        </w:tc>
        <w:tc>
          <w:tcPr>
            <w:tcW w:w="1167" w:type="dxa"/>
            <w:vAlign w:val="center"/>
          </w:tcPr>
          <w:p>
            <w:pPr>
              <w:pStyle w:val="28"/>
              <w:widowControl w:val="0"/>
              <w:rPr>
                <w:color w:val="auto"/>
                <w:highlight w:val="none"/>
              </w:rPr>
            </w:pPr>
            <w:r>
              <w:rPr>
                <w:rFonts w:hint="eastAsia"/>
                <w:color w:val="auto"/>
                <w:highlight w:val="none"/>
              </w:rPr>
              <w:t>≤250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钾</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1.96</w:t>
            </w:r>
          </w:p>
        </w:tc>
        <w:tc>
          <w:tcPr>
            <w:tcW w:w="1431" w:type="dxa"/>
            <w:vAlign w:val="center"/>
          </w:tcPr>
          <w:p>
            <w:pPr>
              <w:pStyle w:val="28"/>
              <w:widowControl w:val="0"/>
              <w:rPr>
                <w:color w:val="auto"/>
                <w:highlight w:val="none"/>
              </w:rPr>
            </w:pPr>
            <w:r>
              <w:rPr>
                <w:rFonts w:hint="eastAsia"/>
                <w:color w:val="auto"/>
                <w:highlight w:val="none"/>
              </w:rPr>
              <w:t>1.82</w:t>
            </w:r>
          </w:p>
        </w:tc>
        <w:tc>
          <w:tcPr>
            <w:tcW w:w="1433" w:type="dxa"/>
            <w:vAlign w:val="center"/>
          </w:tcPr>
          <w:p>
            <w:pPr>
              <w:pStyle w:val="28"/>
              <w:widowControl w:val="0"/>
              <w:rPr>
                <w:color w:val="auto"/>
                <w:highlight w:val="none"/>
              </w:rPr>
            </w:pPr>
            <w:r>
              <w:rPr>
                <w:rFonts w:hint="eastAsia"/>
                <w:color w:val="auto"/>
                <w:highlight w:val="none"/>
              </w:rPr>
              <w:t>2.31</w:t>
            </w:r>
          </w:p>
        </w:tc>
        <w:tc>
          <w:tcPr>
            <w:tcW w:w="1167" w:type="dxa"/>
          </w:tcPr>
          <w:p>
            <w:pPr>
              <w:pStyle w:val="28"/>
              <w:widowControl w:val="0"/>
              <w:rPr>
                <w:color w:val="auto"/>
                <w:highlight w:val="none"/>
              </w:rPr>
            </w:pPr>
            <w:r>
              <w:rPr>
                <w:rFonts w:hint="eastAsia"/>
                <w:color w:val="auto"/>
                <w:highlight w:val="none"/>
              </w:rPr>
              <w:t>/</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钠</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17.5</w:t>
            </w:r>
          </w:p>
        </w:tc>
        <w:tc>
          <w:tcPr>
            <w:tcW w:w="1431" w:type="dxa"/>
            <w:vAlign w:val="center"/>
          </w:tcPr>
          <w:p>
            <w:pPr>
              <w:pStyle w:val="28"/>
              <w:widowControl w:val="0"/>
              <w:rPr>
                <w:color w:val="auto"/>
                <w:highlight w:val="none"/>
              </w:rPr>
            </w:pPr>
            <w:r>
              <w:rPr>
                <w:rFonts w:hint="eastAsia"/>
                <w:color w:val="auto"/>
                <w:highlight w:val="none"/>
              </w:rPr>
              <w:t>14.5</w:t>
            </w:r>
          </w:p>
        </w:tc>
        <w:tc>
          <w:tcPr>
            <w:tcW w:w="1433" w:type="dxa"/>
            <w:vAlign w:val="center"/>
          </w:tcPr>
          <w:p>
            <w:pPr>
              <w:pStyle w:val="28"/>
              <w:widowControl w:val="0"/>
              <w:rPr>
                <w:color w:val="auto"/>
                <w:highlight w:val="none"/>
              </w:rPr>
            </w:pPr>
            <w:r>
              <w:rPr>
                <w:rFonts w:hint="eastAsia"/>
                <w:color w:val="auto"/>
                <w:highlight w:val="none"/>
              </w:rPr>
              <w:t>25.6</w:t>
            </w:r>
          </w:p>
        </w:tc>
        <w:tc>
          <w:tcPr>
            <w:tcW w:w="1167" w:type="dxa"/>
            <w:vAlign w:val="center"/>
          </w:tcPr>
          <w:p>
            <w:pPr>
              <w:pStyle w:val="28"/>
              <w:widowControl w:val="0"/>
              <w:rPr>
                <w:color w:val="auto"/>
                <w:highlight w:val="none"/>
              </w:rPr>
            </w:pPr>
            <w:r>
              <w:rPr>
                <w:rFonts w:hint="eastAsia"/>
                <w:color w:val="auto"/>
                <w:highlight w:val="none"/>
              </w:rPr>
              <w:t>≤200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钙</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111</w:t>
            </w:r>
          </w:p>
        </w:tc>
        <w:tc>
          <w:tcPr>
            <w:tcW w:w="1431" w:type="dxa"/>
            <w:vAlign w:val="center"/>
          </w:tcPr>
          <w:p>
            <w:pPr>
              <w:pStyle w:val="28"/>
              <w:widowControl w:val="0"/>
              <w:rPr>
                <w:color w:val="auto"/>
                <w:highlight w:val="none"/>
              </w:rPr>
            </w:pPr>
            <w:r>
              <w:rPr>
                <w:rFonts w:hint="eastAsia"/>
                <w:color w:val="auto"/>
                <w:highlight w:val="none"/>
              </w:rPr>
              <w:t>77.1</w:t>
            </w:r>
          </w:p>
        </w:tc>
        <w:tc>
          <w:tcPr>
            <w:tcW w:w="1433" w:type="dxa"/>
            <w:vAlign w:val="center"/>
          </w:tcPr>
          <w:p>
            <w:pPr>
              <w:pStyle w:val="28"/>
              <w:widowControl w:val="0"/>
              <w:rPr>
                <w:color w:val="auto"/>
                <w:highlight w:val="none"/>
              </w:rPr>
            </w:pPr>
            <w:r>
              <w:rPr>
                <w:rFonts w:hint="eastAsia"/>
                <w:color w:val="auto"/>
                <w:highlight w:val="none"/>
              </w:rPr>
              <w:t>72.0</w:t>
            </w:r>
          </w:p>
        </w:tc>
        <w:tc>
          <w:tcPr>
            <w:tcW w:w="1167" w:type="dxa"/>
            <w:vAlign w:val="center"/>
          </w:tcPr>
          <w:p>
            <w:pPr>
              <w:pStyle w:val="28"/>
              <w:widowControl w:val="0"/>
              <w:rPr>
                <w:color w:val="auto"/>
                <w:highlight w:val="none"/>
              </w:rPr>
            </w:pPr>
            <w:r>
              <w:rPr>
                <w:rFonts w:hint="eastAsia"/>
                <w:color w:val="auto"/>
                <w:highlight w:val="none"/>
              </w:rPr>
              <w:t>/</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镁</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14.6</w:t>
            </w:r>
          </w:p>
        </w:tc>
        <w:tc>
          <w:tcPr>
            <w:tcW w:w="1431" w:type="dxa"/>
            <w:vAlign w:val="center"/>
          </w:tcPr>
          <w:p>
            <w:pPr>
              <w:pStyle w:val="28"/>
              <w:widowControl w:val="0"/>
              <w:rPr>
                <w:color w:val="auto"/>
                <w:highlight w:val="none"/>
              </w:rPr>
            </w:pPr>
            <w:r>
              <w:rPr>
                <w:rFonts w:hint="eastAsia"/>
                <w:color w:val="auto"/>
                <w:highlight w:val="none"/>
              </w:rPr>
              <w:t>14.7</w:t>
            </w:r>
          </w:p>
        </w:tc>
        <w:tc>
          <w:tcPr>
            <w:tcW w:w="1433" w:type="dxa"/>
            <w:vAlign w:val="center"/>
          </w:tcPr>
          <w:p>
            <w:pPr>
              <w:pStyle w:val="28"/>
              <w:widowControl w:val="0"/>
              <w:rPr>
                <w:color w:val="auto"/>
                <w:highlight w:val="none"/>
              </w:rPr>
            </w:pPr>
            <w:r>
              <w:rPr>
                <w:rFonts w:hint="eastAsia"/>
                <w:color w:val="auto"/>
                <w:highlight w:val="none"/>
              </w:rPr>
              <w:t>16.6</w:t>
            </w:r>
          </w:p>
        </w:tc>
        <w:tc>
          <w:tcPr>
            <w:tcW w:w="1167" w:type="dxa"/>
            <w:vAlign w:val="center"/>
          </w:tcPr>
          <w:p>
            <w:pPr>
              <w:pStyle w:val="28"/>
              <w:widowControl w:val="0"/>
              <w:rPr>
                <w:color w:val="auto"/>
                <w:highlight w:val="none"/>
              </w:rPr>
            </w:pPr>
            <w:r>
              <w:rPr>
                <w:rFonts w:hint="eastAsia"/>
                <w:color w:val="auto"/>
                <w:highlight w:val="none"/>
              </w:rPr>
              <w:t>/</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铁</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≤0.3</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锰</w:t>
            </w:r>
          </w:p>
        </w:tc>
        <w:tc>
          <w:tcPr>
            <w:tcW w:w="1015" w:type="dxa"/>
            <w:vAlign w:val="center"/>
          </w:tcPr>
          <w:p>
            <w:pPr>
              <w:pStyle w:val="28"/>
              <w:widowControl w:val="0"/>
              <w:rPr>
                <w:color w:val="auto"/>
                <w:highlight w:val="none"/>
              </w:rPr>
            </w:pPr>
            <w:r>
              <w:rPr>
                <w:rFonts w:hint="eastAsia"/>
                <w:color w:val="auto"/>
                <w:highlight w:val="none"/>
              </w:rPr>
              <w:t>mg/L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≤0.10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铅</w:t>
            </w:r>
          </w:p>
        </w:tc>
        <w:tc>
          <w:tcPr>
            <w:tcW w:w="1015" w:type="dxa"/>
            <w:vAlign w:val="center"/>
          </w:tcPr>
          <w:p>
            <w:pPr>
              <w:pStyle w:val="28"/>
              <w:widowControl w:val="0"/>
              <w:rPr>
                <w:color w:val="auto"/>
                <w:highlight w:val="none"/>
              </w:rPr>
            </w:pPr>
            <w:r>
              <w:rPr>
                <w:color w:val="auto"/>
                <w:highlight w:val="none"/>
              </w:rPr>
              <w:t>μg/L</w:t>
            </w:r>
          </w:p>
        </w:tc>
        <w:tc>
          <w:tcPr>
            <w:tcW w:w="1466" w:type="dxa"/>
            <w:vAlign w:val="center"/>
          </w:tcPr>
          <w:p>
            <w:pPr>
              <w:pStyle w:val="28"/>
              <w:widowControl w:val="0"/>
              <w:rPr>
                <w:color w:val="auto"/>
                <w:highlight w:val="none"/>
              </w:rPr>
            </w:pPr>
            <w:r>
              <w:rPr>
                <w:rFonts w:hint="eastAsia"/>
                <w:color w:val="auto"/>
                <w:highlight w:val="none"/>
              </w:rPr>
              <w:t>6.2</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6.8</w:t>
            </w:r>
          </w:p>
        </w:tc>
        <w:tc>
          <w:tcPr>
            <w:tcW w:w="1167" w:type="dxa"/>
            <w:vAlign w:val="center"/>
          </w:tcPr>
          <w:p>
            <w:pPr>
              <w:pStyle w:val="28"/>
              <w:widowControl w:val="0"/>
              <w:rPr>
                <w:color w:val="auto"/>
                <w:highlight w:val="none"/>
              </w:rPr>
            </w:pPr>
            <w:r>
              <w:rPr>
                <w:rFonts w:hint="eastAsia"/>
                <w:color w:val="auto"/>
                <w:highlight w:val="none"/>
              </w:rPr>
              <w:t>≤0.01</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镉</w:t>
            </w:r>
          </w:p>
        </w:tc>
        <w:tc>
          <w:tcPr>
            <w:tcW w:w="1015" w:type="dxa"/>
            <w:vAlign w:val="center"/>
          </w:tcPr>
          <w:p>
            <w:pPr>
              <w:pStyle w:val="28"/>
              <w:widowControl w:val="0"/>
              <w:rPr>
                <w:color w:val="auto"/>
                <w:highlight w:val="none"/>
              </w:rPr>
            </w:pPr>
            <w:r>
              <w:rPr>
                <w:color w:val="auto"/>
                <w:highlight w:val="none"/>
              </w:rPr>
              <w:t>μg/L</w:t>
            </w:r>
          </w:p>
        </w:tc>
        <w:tc>
          <w:tcPr>
            <w:tcW w:w="1466" w:type="dxa"/>
            <w:vAlign w:val="center"/>
          </w:tcPr>
          <w:p>
            <w:pPr>
              <w:pStyle w:val="28"/>
              <w:widowControl w:val="0"/>
              <w:rPr>
                <w:color w:val="auto"/>
                <w:highlight w:val="none"/>
              </w:rPr>
            </w:pPr>
            <w:r>
              <w:rPr>
                <w:rFonts w:hint="eastAsia"/>
                <w:color w:val="auto"/>
                <w:highlight w:val="none"/>
              </w:rPr>
              <w:t>0.6</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≤0.005</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汞</w:t>
            </w:r>
          </w:p>
        </w:tc>
        <w:tc>
          <w:tcPr>
            <w:tcW w:w="1015" w:type="dxa"/>
            <w:vAlign w:val="center"/>
          </w:tcPr>
          <w:p>
            <w:pPr>
              <w:pStyle w:val="28"/>
              <w:widowControl w:val="0"/>
              <w:rPr>
                <w:color w:val="auto"/>
                <w:highlight w:val="none"/>
              </w:rPr>
            </w:pPr>
            <w:r>
              <w:rPr>
                <w:color w:val="auto"/>
                <w:highlight w:val="none"/>
              </w:rPr>
              <w:t>μg/L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≤0.001</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砷</w:t>
            </w:r>
          </w:p>
        </w:tc>
        <w:tc>
          <w:tcPr>
            <w:tcW w:w="1015" w:type="dxa"/>
            <w:vAlign w:val="center"/>
          </w:tcPr>
          <w:p>
            <w:pPr>
              <w:pStyle w:val="28"/>
              <w:widowControl w:val="0"/>
              <w:rPr>
                <w:color w:val="auto"/>
                <w:highlight w:val="none"/>
              </w:rPr>
            </w:pPr>
            <w:r>
              <w:rPr>
                <w:color w:val="auto"/>
                <w:highlight w:val="none"/>
              </w:rPr>
              <w:t>μg/L</w:t>
            </w:r>
          </w:p>
        </w:tc>
        <w:tc>
          <w:tcPr>
            <w:tcW w:w="1466" w:type="dxa"/>
            <w:vAlign w:val="center"/>
          </w:tcPr>
          <w:p>
            <w:pPr>
              <w:pStyle w:val="28"/>
              <w:widowControl w:val="0"/>
              <w:rPr>
                <w:color w:val="auto"/>
                <w:highlight w:val="none"/>
              </w:rPr>
            </w:pPr>
            <w:r>
              <w:rPr>
                <w:rFonts w:hint="eastAsia"/>
                <w:color w:val="auto"/>
                <w:highlight w:val="none"/>
              </w:rPr>
              <w:t>未检出</w:t>
            </w:r>
          </w:p>
        </w:tc>
        <w:tc>
          <w:tcPr>
            <w:tcW w:w="1431" w:type="dxa"/>
            <w:vAlign w:val="center"/>
          </w:tcPr>
          <w:p>
            <w:pPr>
              <w:pStyle w:val="28"/>
              <w:widowControl w:val="0"/>
              <w:rPr>
                <w:color w:val="auto"/>
                <w:highlight w:val="none"/>
              </w:rPr>
            </w:pPr>
            <w:r>
              <w:rPr>
                <w:rFonts w:hint="eastAsia"/>
                <w:color w:val="auto"/>
                <w:highlight w:val="none"/>
              </w:rPr>
              <w:t>未检出</w:t>
            </w:r>
          </w:p>
        </w:tc>
        <w:tc>
          <w:tcPr>
            <w:tcW w:w="1433" w:type="dxa"/>
            <w:vAlign w:val="center"/>
          </w:tcPr>
          <w:p>
            <w:pPr>
              <w:pStyle w:val="28"/>
              <w:widowControl w:val="0"/>
              <w:rPr>
                <w:color w:val="auto"/>
                <w:highlight w:val="none"/>
              </w:rPr>
            </w:pPr>
            <w:r>
              <w:rPr>
                <w:rFonts w:hint="eastAsia"/>
                <w:color w:val="auto"/>
                <w:highlight w:val="none"/>
              </w:rPr>
              <w:t>未检出</w:t>
            </w:r>
          </w:p>
        </w:tc>
        <w:tc>
          <w:tcPr>
            <w:tcW w:w="1167" w:type="dxa"/>
            <w:vAlign w:val="center"/>
          </w:tcPr>
          <w:p>
            <w:pPr>
              <w:pStyle w:val="28"/>
              <w:widowControl w:val="0"/>
              <w:rPr>
                <w:color w:val="auto"/>
                <w:highlight w:val="none"/>
              </w:rPr>
            </w:pPr>
            <w:r>
              <w:rPr>
                <w:rFonts w:hint="eastAsia"/>
                <w:color w:val="auto"/>
                <w:highlight w:val="none"/>
              </w:rPr>
              <w:t>≤0.01</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总大肠菌群</w:t>
            </w:r>
          </w:p>
        </w:tc>
        <w:tc>
          <w:tcPr>
            <w:tcW w:w="1015" w:type="dxa"/>
            <w:vAlign w:val="center"/>
          </w:tcPr>
          <w:p>
            <w:pPr>
              <w:pStyle w:val="28"/>
              <w:widowControl w:val="0"/>
              <w:rPr>
                <w:color w:val="auto"/>
                <w:highlight w:val="none"/>
              </w:rPr>
            </w:pPr>
            <w:r>
              <w:rPr>
                <w:rFonts w:hint="eastAsia"/>
                <w:color w:val="auto"/>
                <w:highlight w:val="none"/>
              </w:rPr>
              <w:t>MPN/L</w:t>
            </w:r>
          </w:p>
        </w:tc>
        <w:tc>
          <w:tcPr>
            <w:tcW w:w="1466" w:type="dxa"/>
            <w:vAlign w:val="center"/>
          </w:tcPr>
          <w:p>
            <w:pPr>
              <w:pStyle w:val="28"/>
              <w:widowControl w:val="0"/>
              <w:rPr>
                <w:color w:val="auto"/>
                <w:highlight w:val="none"/>
              </w:rPr>
            </w:pPr>
            <w:r>
              <w:rPr>
                <w:rFonts w:hint="eastAsia"/>
                <w:color w:val="auto"/>
                <w:highlight w:val="none"/>
              </w:rPr>
              <w:t>20</w:t>
            </w:r>
          </w:p>
        </w:tc>
        <w:tc>
          <w:tcPr>
            <w:tcW w:w="1431" w:type="dxa"/>
            <w:vAlign w:val="center"/>
          </w:tcPr>
          <w:p>
            <w:pPr>
              <w:pStyle w:val="28"/>
              <w:widowControl w:val="0"/>
              <w:rPr>
                <w:color w:val="auto"/>
                <w:highlight w:val="none"/>
              </w:rPr>
            </w:pPr>
            <w:r>
              <w:rPr>
                <w:rFonts w:hint="eastAsia"/>
                <w:color w:val="auto"/>
                <w:highlight w:val="none"/>
              </w:rPr>
              <w:t>&lt;20</w:t>
            </w:r>
          </w:p>
        </w:tc>
        <w:tc>
          <w:tcPr>
            <w:tcW w:w="1433" w:type="dxa"/>
            <w:vAlign w:val="center"/>
          </w:tcPr>
          <w:p>
            <w:pPr>
              <w:pStyle w:val="28"/>
              <w:widowControl w:val="0"/>
              <w:rPr>
                <w:color w:val="auto"/>
                <w:highlight w:val="none"/>
              </w:rPr>
            </w:pPr>
            <w:r>
              <w:rPr>
                <w:rFonts w:hint="eastAsia"/>
                <w:color w:val="auto"/>
                <w:highlight w:val="none"/>
              </w:rPr>
              <w:t>20</w:t>
            </w:r>
          </w:p>
        </w:tc>
        <w:tc>
          <w:tcPr>
            <w:tcW w:w="1167" w:type="dxa"/>
            <w:vAlign w:val="center"/>
          </w:tcPr>
          <w:p>
            <w:pPr>
              <w:pStyle w:val="28"/>
              <w:widowControl w:val="0"/>
              <w:rPr>
                <w:color w:val="auto"/>
                <w:highlight w:val="none"/>
              </w:rPr>
            </w:pPr>
            <w:r>
              <w:rPr>
                <w:rFonts w:hint="eastAsia"/>
                <w:color w:val="auto"/>
                <w:highlight w:val="none"/>
              </w:rPr>
              <w:t>≤3.0</w:t>
            </w:r>
          </w:p>
        </w:tc>
        <w:tc>
          <w:tcPr>
            <w:tcW w:w="657"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28"/>
              <w:widowControl w:val="0"/>
              <w:rPr>
                <w:color w:val="auto"/>
                <w:highlight w:val="none"/>
              </w:rPr>
            </w:pPr>
          </w:p>
        </w:tc>
        <w:tc>
          <w:tcPr>
            <w:tcW w:w="1389" w:type="dxa"/>
            <w:vAlign w:val="center"/>
          </w:tcPr>
          <w:p>
            <w:pPr>
              <w:pStyle w:val="28"/>
              <w:widowControl w:val="0"/>
              <w:rPr>
                <w:rFonts w:ascii="宋体" w:hAnsi="宋体"/>
                <w:color w:val="auto"/>
                <w:highlight w:val="none"/>
              </w:rPr>
            </w:pPr>
            <w:r>
              <w:rPr>
                <w:rFonts w:hint="eastAsia" w:ascii="宋体" w:hAnsi="宋体"/>
                <w:color w:val="auto"/>
                <w:highlight w:val="none"/>
              </w:rPr>
              <w:t>细菌总数</w:t>
            </w:r>
          </w:p>
        </w:tc>
        <w:tc>
          <w:tcPr>
            <w:tcW w:w="1015" w:type="dxa"/>
            <w:vAlign w:val="center"/>
          </w:tcPr>
          <w:p>
            <w:pPr>
              <w:pStyle w:val="28"/>
              <w:widowControl w:val="0"/>
              <w:rPr>
                <w:color w:val="auto"/>
                <w:highlight w:val="none"/>
              </w:rPr>
            </w:pPr>
            <w:r>
              <w:rPr>
                <w:rFonts w:hint="eastAsia"/>
                <w:color w:val="auto"/>
                <w:highlight w:val="none"/>
              </w:rPr>
              <w:t>CFU/mL</w:t>
            </w:r>
          </w:p>
        </w:tc>
        <w:tc>
          <w:tcPr>
            <w:tcW w:w="1466" w:type="dxa"/>
            <w:vAlign w:val="center"/>
          </w:tcPr>
          <w:p>
            <w:pPr>
              <w:pStyle w:val="28"/>
              <w:widowControl w:val="0"/>
              <w:rPr>
                <w:color w:val="auto"/>
                <w:highlight w:val="none"/>
              </w:rPr>
            </w:pPr>
            <w:r>
              <w:rPr>
                <w:rFonts w:hint="eastAsia"/>
                <w:color w:val="auto"/>
                <w:highlight w:val="none"/>
              </w:rPr>
              <w:t>90</w:t>
            </w:r>
          </w:p>
        </w:tc>
        <w:tc>
          <w:tcPr>
            <w:tcW w:w="1431" w:type="dxa"/>
            <w:vAlign w:val="center"/>
          </w:tcPr>
          <w:p>
            <w:pPr>
              <w:pStyle w:val="28"/>
              <w:widowControl w:val="0"/>
              <w:rPr>
                <w:color w:val="auto"/>
                <w:highlight w:val="none"/>
              </w:rPr>
            </w:pPr>
            <w:r>
              <w:rPr>
                <w:rFonts w:hint="eastAsia"/>
                <w:color w:val="auto"/>
                <w:highlight w:val="none"/>
              </w:rPr>
              <w:t>70</w:t>
            </w:r>
          </w:p>
        </w:tc>
        <w:tc>
          <w:tcPr>
            <w:tcW w:w="1433" w:type="dxa"/>
            <w:vAlign w:val="center"/>
          </w:tcPr>
          <w:p>
            <w:pPr>
              <w:pStyle w:val="28"/>
              <w:widowControl w:val="0"/>
              <w:rPr>
                <w:color w:val="auto"/>
                <w:highlight w:val="none"/>
              </w:rPr>
            </w:pPr>
            <w:r>
              <w:rPr>
                <w:rFonts w:hint="eastAsia"/>
                <w:color w:val="auto"/>
                <w:highlight w:val="none"/>
              </w:rPr>
              <w:t>50</w:t>
            </w:r>
          </w:p>
        </w:tc>
        <w:tc>
          <w:tcPr>
            <w:tcW w:w="1167" w:type="dxa"/>
            <w:vAlign w:val="center"/>
          </w:tcPr>
          <w:p>
            <w:pPr>
              <w:pStyle w:val="28"/>
              <w:widowControl w:val="0"/>
              <w:rPr>
                <w:color w:val="auto"/>
                <w:highlight w:val="none"/>
              </w:rPr>
            </w:pPr>
            <w:r>
              <w:rPr>
                <w:rFonts w:hint="eastAsia"/>
                <w:color w:val="auto"/>
                <w:highlight w:val="none"/>
              </w:rPr>
              <w:t>≤100</w:t>
            </w:r>
          </w:p>
        </w:tc>
        <w:tc>
          <w:tcPr>
            <w:tcW w:w="657" w:type="dxa"/>
            <w:vAlign w:val="center"/>
          </w:tcPr>
          <w:p>
            <w:pPr>
              <w:pStyle w:val="28"/>
              <w:widowControl w:val="0"/>
              <w:rPr>
                <w:color w:val="auto"/>
                <w:highlight w:val="none"/>
              </w:rPr>
            </w:pPr>
            <w:r>
              <w:rPr>
                <w:rFonts w:hint="eastAsia"/>
                <w:color w:val="auto"/>
                <w:highlight w:val="none"/>
              </w:rPr>
              <w:t>达标</w:t>
            </w:r>
          </w:p>
        </w:tc>
      </w:tr>
    </w:tbl>
    <w:p>
      <w:pPr>
        <w:widowControl w:val="0"/>
        <w:ind w:firstLine="480"/>
        <w:rPr>
          <w:color w:val="auto"/>
          <w:highlight w:val="none"/>
        </w:rPr>
      </w:pPr>
      <w:r>
        <w:rPr>
          <w:rFonts w:hint="eastAsia"/>
          <w:color w:val="auto"/>
          <w:highlight w:val="none"/>
        </w:rPr>
        <w:t>根据上表可知，项目所在区域地下水监测因子浓度均低于《地下水质量标准》（</w:t>
      </w:r>
      <w:r>
        <w:rPr>
          <w:color w:val="auto"/>
          <w:highlight w:val="none"/>
        </w:rPr>
        <w:t>GB/T14848-2017</w:t>
      </w:r>
      <w:r>
        <w:rPr>
          <w:rFonts w:hint="eastAsia"/>
          <w:color w:val="auto"/>
          <w:highlight w:val="none"/>
        </w:rPr>
        <w:t>）Ⅲ类标准限值，项目所在区域地下水质量现状较好。</w:t>
      </w:r>
    </w:p>
    <w:p>
      <w:pPr>
        <w:widowControl w:val="0"/>
        <w:ind w:firstLine="480"/>
        <w:rPr>
          <w:color w:val="auto"/>
          <w:highlight w:val="none"/>
        </w:rPr>
      </w:pPr>
      <w:r>
        <w:rPr>
          <w:rFonts w:hint="eastAsia"/>
          <w:color w:val="auto"/>
          <w:highlight w:val="none"/>
        </w:rPr>
        <w:t>（5）地</w:t>
      </w:r>
      <w:r>
        <w:rPr>
          <w:color w:val="auto"/>
          <w:highlight w:val="none"/>
        </w:rPr>
        <w:t>下水水位调查。</w:t>
      </w:r>
    </w:p>
    <w:p>
      <w:pPr>
        <w:widowControl w:val="0"/>
        <w:ind w:firstLine="480"/>
        <w:rPr>
          <w:color w:val="auto"/>
          <w:highlight w:val="none"/>
        </w:rPr>
      </w:pPr>
      <w:r>
        <w:rPr>
          <w:rFonts w:hint="eastAsia"/>
          <w:color w:val="auto"/>
          <w:highlight w:val="none"/>
        </w:rPr>
        <w:t>项目在屠宰场附近设置6个水位调查点，水位调查统计结果见下表。</w:t>
      </w:r>
    </w:p>
    <w:p>
      <w:pPr>
        <w:pStyle w:val="27"/>
        <w:widowControl w:val="0"/>
        <w:rPr>
          <w:color w:val="auto"/>
          <w:highlight w:val="none"/>
        </w:rPr>
      </w:pPr>
      <w:r>
        <w:rPr>
          <w:rFonts w:hint="eastAsia"/>
          <w:color w:val="auto"/>
          <w:highlight w:val="none"/>
        </w:rPr>
        <w:t>地下水水位调查统计结果</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3089"/>
        <w:gridCol w:w="1921"/>
        <w:gridCol w:w="1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b/>
                <w:bCs/>
                <w:color w:val="auto"/>
                <w:highlight w:val="none"/>
              </w:rPr>
            </w:pPr>
            <w:r>
              <w:rPr>
                <w:rFonts w:hint="eastAsia"/>
                <w:b/>
                <w:bCs/>
                <w:color w:val="auto"/>
                <w:highlight w:val="none"/>
              </w:rPr>
              <w:t>点位名称</w:t>
            </w:r>
          </w:p>
        </w:tc>
        <w:tc>
          <w:tcPr>
            <w:tcW w:w="1605" w:type="pct"/>
            <w:tcBorders>
              <w:tl2br w:val="nil"/>
              <w:tr2bl w:val="nil"/>
            </w:tcBorders>
            <w:vAlign w:val="center"/>
          </w:tcPr>
          <w:p>
            <w:pPr>
              <w:pStyle w:val="28"/>
              <w:widowControl w:val="0"/>
              <w:rPr>
                <w:b/>
                <w:bCs/>
                <w:color w:val="auto"/>
                <w:highlight w:val="none"/>
              </w:rPr>
            </w:pPr>
            <w:r>
              <w:rPr>
                <w:rFonts w:hint="eastAsia"/>
                <w:b/>
                <w:bCs/>
                <w:color w:val="auto"/>
                <w:highlight w:val="none"/>
              </w:rPr>
              <w:t>经纬度</w:t>
            </w:r>
          </w:p>
        </w:tc>
        <w:tc>
          <w:tcPr>
            <w:tcW w:w="998" w:type="pct"/>
            <w:tcBorders>
              <w:tl2br w:val="nil"/>
              <w:tr2bl w:val="nil"/>
            </w:tcBorders>
            <w:vAlign w:val="center"/>
          </w:tcPr>
          <w:p>
            <w:pPr>
              <w:pStyle w:val="28"/>
              <w:widowControl w:val="0"/>
              <w:rPr>
                <w:b/>
                <w:bCs/>
                <w:color w:val="auto"/>
                <w:highlight w:val="none"/>
              </w:rPr>
            </w:pPr>
            <w:r>
              <w:rPr>
                <w:rFonts w:hint="eastAsia"/>
                <w:b/>
                <w:bCs/>
                <w:color w:val="auto"/>
                <w:highlight w:val="none"/>
              </w:rPr>
              <w:t>海拔（m）</w:t>
            </w:r>
          </w:p>
        </w:tc>
        <w:tc>
          <w:tcPr>
            <w:tcW w:w="675" w:type="pct"/>
            <w:tcBorders>
              <w:tl2br w:val="nil"/>
              <w:tr2bl w:val="nil"/>
            </w:tcBorders>
            <w:vAlign w:val="center"/>
          </w:tcPr>
          <w:p>
            <w:pPr>
              <w:pStyle w:val="28"/>
              <w:widowControl w:val="0"/>
              <w:rPr>
                <w:b/>
                <w:bCs/>
                <w:color w:val="auto"/>
                <w:highlight w:val="none"/>
              </w:rPr>
            </w:pPr>
            <w:r>
              <w:rPr>
                <w:rFonts w:hint="eastAsia"/>
                <w:b/>
                <w:bCs/>
                <w:color w:val="auto"/>
                <w:highlight w:val="none"/>
              </w:rPr>
              <w:t>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1#项目场地外西北侧农户水井A</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E106.9618，N31.4866</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340</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2#项目场地外北侧农户水井</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E106.9626，N31.4848</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353</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3#项目场地外东北侧农户水井</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E106.9659，N31.4837</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342</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4#项目场地外西侧农户水井</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E106.9557，N31.4862</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356</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5#项目场地外西南侧农户水井</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E106.9566，N31.4845</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366</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28"/>
              <w:widowControl w:val="0"/>
              <w:rPr>
                <w:color w:val="auto"/>
                <w:highlight w:val="none"/>
              </w:rPr>
            </w:pPr>
            <w:r>
              <w:rPr>
                <w:rFonts w:hint="eastAsia"/>
                <w:color w:val="auto"/>
                <w:highlight w:val="none"/>
              </w:rPr>
              <w:t>6#项目场地外西北侧农户水井A</w:t>
            </w:r>
          </w:p>
        </w:tc>
        <w:tc>
          <w:tcPr>
            <w:tcW w:w="1605" w:type="pct"/>
            <w:tcBorders>
              <w:tl2br w:val="nil"/>
              <w:tr2bl w:val="nil"/>
            </w:tcBorders>
            <w:vAlign w:val="center"/>
          </w:tcPr>
          <w:p>
            <w:pPr>
              <w:pStyle w:val="28"/>
              <w:widowControl w:val="0"/>
              <w:rPr>
                <w:color w:val="auto"/>
                <w:highlight w:val="none"/>
              </w:rPr>
            </w:pPr>
            <w:r>
              <w:rPr>
                <w:rFonts w:hint="eastAsia"/>
                <w:color w:val="auto"/>
                <w:highlight w:val="none"/>
              </w:rPr>
              <w:t>E106.9524，N31.4931</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359</w:t>
            </w:r>
          </w:p>
        </w:tc>
        <w:tc>
          <w:tcPr>
            <w:tcW w:w="675" w:type="pct"/>
            <w:tcBorders>
              <w:tl2br w:val="nil"/>
              <w:tr2bl w:val="nil"/>
            </w:tcBorders>
            <w:vAlign w:val="center"/>
          </w:tcPr>
          <w:p>
            <w:pPr>
              <w:pStyle w:val="28"/>
              <w:widowControl w:val="0"/>
              <w:rPr>
                <w:color w:val="auto"/>
                <w:highlight w:val="none"/>
              </w:rPr>
            </w:pPr>
            <w:r>
              <w:rPr>
                <w:rFonts w:hint="eastAsia"/>
                <w:color w:val="auto"/>
                <w:highlight w:val="none"/>
              </w:rPr>
              <w:t>0.2</w:t>
            </w:r>
          </w:p>
        </w:tc>
      </w:tr>
    </w:tbl>
    <w:p>
      <w:pPr>
        <w:pStyle w:val="5"/>
        <w:widowControl w:val="0"/>
        <w:ind w:firstLine="120"/>
        <w:rPr>
          <w:color w:val="auto"/>
          <w:highlight w:val="none"/>
        </w:rPr>
      </w:pPr>
      <w:r>
        <w:rPr>
          <w:rFonts w:hint="eastAsia"/>
          <w:color w:val="auto"/>
          <w:highlight w:val="none"/>
        </w:rPr>
        <w:t>声环境质量现状监测及评价</w:t>
      </w:r>
    </w:p>
    <w:p>
      <w:pPr>
        <w:widowControl w:val="0"/>
        <w:ind w:firstLine="480"/>
        <w:rPr>
          <w:color w:val="auto"/>
          <w:highlight w:val="none"/>
        </w:rPr>
      </w:pPr>
      <w:r>
        <w:rPr>
          <w:rFonts w:hint="eastAsia"/>
          <w:color w:val="auto"/>
          <w:highlight w:val="none"/>
        </w:rPr>
        <w:t>为了解项目声环境质量现状，本次环评单位委托四川锡水金山环保科技有限公司于2021年1月</w:t>
      </w:r>
      <w:r>
        <w:rPr>
          <w:color w:val="auto"/>
          <w:highlight w:val="none"/>
        </w:rPr>
        <w:t>2</w:t>
      </w:r>
      <w:r>
        <w:rPr>
          <w:rFonts w:hint="eastAsia"/>
          <w:color w:val="auto"/>
          <w:highlight w:val="none"/>
        </w:rPr>
        <w:t>8日</w:t>
      </w:r>
      <w:r>
        <w:rPr>
          <w:color w:val="auto"/>
          <w:highlight w:val="none"/>
        </w:rPr>
        <w:t>~</w:t>
      </w:r>
      <w:r>
        <w:rPr>
          <w:rFonts w:hint="eastAsia"/>
          <w:color w:val="auto"/>
          <w:highlight w:val="none"/>
        </w:rPr>
        <w:t>1月29日对本项目评价区内的声环境质量现状进行了监测。</w:t>
      </w:r>
    </w:p>
    <w:p>
      <w:pPr>
        <w:widowControl w:val="0"/>
        <w:numPr>
          <w:ilvl w:val="0"/>
          <w:numId w:val="12"/>
        </w:numPr>
        <w:ind w:firstLine="480"/>
        <w:rPr>
          <w:color w:val="auto"/>
          <w:highlight w:val="none"/>
        </w:rPr>
      </w:pPr>
      <w:r>
        <w:rPr>
          <w:rFonts w:hint="eastAsia"/>
          <w:color w:val="auto"/>
          <w:highlight w:val="none"/>
        </w:rPr>
        <w:t>监测内容及频次</w:t>
      </w:r>
    </w:p>
    <w:p>
      <w:pPr>
        <w:pStyle w:val="12"/>
        <w:widowControl w:val="0"/>
        <w:ind w:firstLine="0" w:firstLineChars="0"/>
        <w:rPr>
          <w:color w:val="auto"/>
          <w:highlight w:val="none"/>
        </w:rPr>
      </w:pPr>
    </w:p>
    <w:p>
      <w:pPr>
        <w:widowControl w:val="0"/>
        <w:ind w:firstLine="480"/>
        <w:rPr>
          <w:color w:val="auto"/>
          <w:highlight w:val="none"/>
        </w:rPr>
      </w:pPr>
    </w:p>
    <w:p>
      <w:pPr>
        <w:pStyle w:val="27"/>
        <w:widowControl w:val="0"/>
        <w:rPr>
          <w:color w:val="auto"/>
          <w:highlight w:val="none"/>
        </w:rPr>
      </w:pPr>
      <w:r>
        <w:rPr>
          <w:rFonts w:hint="eastAsia"/>
          <w:color w:val="auto"/>
          <w:highlight w:val="none"/>
        </w:rPr>
        <w:t>本项目声环境质量监测内容及频次一览表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3030"/>
        <w:gridCol w:w="917"/>
        <w:gridCol w:w="2813"/>
        <w:gridCol w:w="660"/>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303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91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点位数</w:t>
            </w:r>
          </w:p>
        </w:tc>
        <w:tc>
          <w:tcPr>
            <w:tcW w:w="2813"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1999"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b/>
                <w:bCs/>
                <w:color w:val="auto"/>
                <w:highlight w:val="none"/>
              </w:rPr>
            </w:pPr>
          </w:p>
        </w:tc>
        <w:tc>
          <w:tcPr>
            <w:tcW w:w="3030" w:type="dxa"/>
            <w:vMerge w:val="continue"/>
            <w:tcBorders>
              <w:tl2br w:val="nil"/>
              <w:tr2bl w:val="nil"/>
            </w:tcBorders>
            <w:vAlign w:val="center"/>
          </w:tcPr>
          <w:p>
            <w:pPr>
              <w:pStyle w:val="28"/>
              <w:widowControl w:val="0"/>
              <w:rPr>
                <w:b/>
                <w:bCs/>
                <w:color w:val="auto"/>
                <w:highlight w:val="none"/>
              </w:rPr>
            </w:pPr>
          </w:p>
        </w:tc>
        <w:tc>
          <w:tcPr>
            <w:tcW w:w="917" w:type="dxa"/>
            <w:vMerge w:val="continue"/>
            <w:tcBorders>
              <w:tl2br w:val="nil"/>
              <w:tr2bl w:val="nil"/>
            </w:tcBorders>
            <w:vAlign w:val="center"/>
          </w:tcPr>
          <w:p>
            <w:pPr>
              <w:pStyle w:val="28"/>
              <w:widowControl w:val="0"/>
              <w:rPr>
                <w:b/>
                <w:bCs/>
                <w:color w:val="auto"/>
                <w:highlight w:val="none"/>
              </w:rPr>
            </w:pPr>
          </w:p>
        </w:tc>
        <w:tc>
          <w:tcPr>
            <w:tcW w:w="2813" w:type="dxa"/>
            <w:vMerge w:val="continue"/>
            <w:tcBorders>
              <w:tl2br w:val="nil"/>
              <w:tr2bl w:val="nil"/>
            </w:tcBorders>
            <w:vAlign w:val="center"/>
          </w:tcPr>
          <w:p>
            <w:pPr>
              <w:pStyle w:val="28"/>
              <w:widowControl w:val="0"/>
              <w:rPr>
                <w:b/>
                <w:bCs/>
                <w:color w:val="auto"/>
                <w:highlight w:val="none"/>
              </w:rPr>
            </w:pPr>
          </w:p>
        </w:tc>
        <w:tc>
          <w:tcPr>
            <w:tcW w:w="660" w:type="dxa"/>
            <w:tcBorders>
              <w:tl2br w:val="nil"/>
              <w:tr2bl w:val="nil"/>
            </w:tcBorders>
            <w:vAlign w:val="center"/>
          </w:tcPr>
          <w:p>
            <w:pPr>
              <w:pStyle w:val="28"/>
              <w:widowControl w:val="0"/>
              <w:rPr>
                <w:b/>
                <w:bCs/>
                <w:color w:val="auto"/>
                <w:highlight w:val="none"/>
              </w:rPr>
            </w:pPr>
            <w:r>
              <w:rPr>
                <w:rFonts w:hint="eastAsia"/>
                <w:b/>
                <w:bCs/>
                <w:color w:val="auto"/>
                <w:highlight w:val="none"/>
              </w:rPr>
              <w:t>天</w:t>
            </w:r>
          </w:p>
        </w:tc>
        <w:tc>
          <w:tcPr>
            <w:tcW w:w="1339" w:type="dxa"/>
            <w:tcBorders>
              <w:tl2br w:val="nil"/>
              <w:tr2bl w:val="nil"/>
            </w:tcBorders>
            <w:vAlign w:val="center"/>
          </w:tcPr>
          <w:p>
            <w:pPr>
              <w:pStyle w:val="28"/>
              <w:widowControl w:val="0"/>
              <w:rPr>
                <w:b/>
                <w:bCs/>
                <w:color w:val="auto"/>
                <w:highlight w:val="none"/>
              </w:rPr>
            </w:pPr>
            <w:r>
              <w:rPr>
                <w:rFonts w:hint="eastAsia"/>
                <w:b/>
                <w:bCs/>
                <w:color w:val="auto"/>
                <w:highlight w:val="none"/>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1#项目外东侧居民敏感点</w:t>
            </w:r>
          </w:p>
        </w:tc>
        <w:tc>
          <w:tcPr>
            <w:tcW w:w="917" w:type="dxa"/>
            <w:vMerge w:val="restart"/>
            <w:tcBorders>
              <w:tl2br w:val="nil"/>
              <w:tr2bl w:val="nil"/>
            </w:tcBorders>
            <w:vAlign w:val="center"/>
          </w:tcPr>
          <w:p>
            <w:pPr>
              <w:pStyle w:val="28"/>
              <w:widowControl w:val="0"/>
              <w:rPr>
                <w:color w:val="auto"/>
                <w:highlight w:val="none"/>
              </w:rPr>
            </w:pPr>
            <w:r>
              <w:rPr>
                <w:rFonts w:hint="eastAsia"/>
                <w:color w:val="auto"/>
                <w:highlight w:val="none"/>
              </w:rPr>
              <w:t>5</w:t>
            </w:r>
          </w:p>
        </w:tc>
        <w:tc>
          <w:tcPr>
            <w:tcW w:w="2813" w:type="dxa"/>
            <w:vMerge w:val="restart"/>
            <w:tcBorders>
              <w:tl2br w:val="nil"/>
              <w:tr2bl w:val="nil"/>
            </w:tcBorders>
            <w:vAlign w:val="center"/>
          </w:tcPr>
          <w:p>
            <w:pPr>
              <w:pStyle w:val="28"/>
              <w:widowControl w:val="0"/>
              <w:rPr>
                <w:color w:val="auto"/>
                <w:highlight w:val="none"/>
              </w:rPr>
            </w:pPr>
            <w:r>
              <w:rPr>
                <w:rFonts w:hint="eastAsia"/>
                <w:color w:val="auto"/>
                <w:highlight w:val="none"/>
              </w:rPr>
              <w:t>环境噪声</w:t>
            </w:r>
          </w:p>
        </w:tc>
        <w:tc>
          <w:tcPr>
            <w:tcW w:w="660" w:type="dxa"/>
            <w:vMerge w:val="restart"/>
            <w:tcBorders>
              <w:tl2br w:val="nil"/>
              <w:tr2bl w:val="nil"/>
            </w:tcBorders>
            <w:vAlign w:val="center"/>
          </w:tcPr>
          <w:p>
            <w:pPr>
              <w:pStyle w:val="28"/>
              <w:widowControl w:val="0"/>
              <w:rPr>
                <w:color w:val="auto"/>
                <w:highlight w:val="none"/>
              </w:rPr>
            </w:pPr>
            <w:r>
              <w:rPr>
                <w:rFonts w:hint="eastAsia"/>
                <w:color w:val="auto"/>
                <w:highlight w:val="none"/>
              </w:rPr>
              <w:t>2</w:t>
            </w:r>
          </w:p>
        </w:tc>
        <w:tc>
          <w:tcPr>
            <w:tcW w:w="1339" w:type="dxa"/>
            <w:vMerge w:val="restart"/>
            <w:tcBorders>
              <w:tl2br w:val="nil"/>
              <w:tr2bl w:val="nil"/>
            </w:tcBorders>
            <w:vAlign w:val="center"/>
          </w:tcPr>
          <w:p>
            <w:pPr>
              <w:pStyle w:val="28"/>
              <w:widowControl w:val="0"/>
              <w:rPr>
                <w:color w:val="auto"/>
                <w:highlight w:val="none"/>
              </w:rPr>
            </w:pPr>
            <w:r>
              <w:rPr>
                <w:rFonts w:hint="eastAsia"/>
                <w:color w:val="auto"/>
                <w:highlight w:val="none"/>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2#项目场地北侧外</w:t>
            </w:r>
          </w:p>
        </w:tc>
        <w:tc>
          <w:tcPr>
            <w:tcW w:w="917" w:type="dxa"/>
            <w:vMerge w:val="continue"/>
            <w:tcBorders>
              <w:tl2br w:val="nil"/>
              <w:tr2bl w:val="nil"/>
            </w:tcBorders>
            <w:vAlign w:val="center"/>
          </w:tcPr>
          <w:p>
            <w:pPr>
              <w:pStyle w:val="28"/>
              <w:widowControl w:val="0"/>
              <w:rPr>
                <w:color w:val="auto"/>
                <w:highlight w:val="none"/>
              </w:rPr>
            </w:pPr>
          </w:p>
        </w:tc>
        <w:tc>
          <w:tcPr>
            <w:tcW w:w="2813"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339"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3#项目场地西侧外</w:t>
            </w:r>
          </w:p>
        </w:tc>
        <w:tc>
          <w:tcPr>
            <w:tcW w:w="917" w:type="dxa"/>
            <w:vMerge w:val="continue"/>
            <w:tcBorders>
              <w:tl2br w:val="nil"/>
              <w:tr2bl w:val="nil"/>
            </w:tcBorders>
            <w:vAlign w:val="center"/>
          </w:tcPr>
          <w:p>
            <w:pPr>
              <w:pStyle w:val="28"/>
              <w:widowControl w:val="0"/>
              <w:rPr>
                <w:color w:val="auto"/>
                <w:highlight w:val="none"/>
              </w:rPr>
            </w:pPr>
          </w:p>
        </w:tc>
        <w:tc>
          <w:tcPr>
            <w:tcW w:w="2813"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339"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4#项目场地东侧外</w:t>
            </w:r>
          </w:p>
        </w:tc>
        <w:tc>
          <w:tcPr>
            <w:tcW w:w="917" w:type="dxa"/>
            <w:vMerge w:val="continue"/>
            <w:tcBorders>
              <w:tl2br w:val="nil"/>
              <w:tr2bl w:val="nil"/>
            </w:tcBorders>
            <w:vAlign w:val="center"/>
          </w:tcPr>
          <w:p>
            <w:pPr>
              <w:pStyle w:val="28"/>
              <w:widowControl w:val="0"/>
              <w:rPr>
                <w:color w:val="auto"/>
                <w:highlight w:val="none"/>
              </w:rPr>
            </w:pPr>
          </w:p>
        </w:tc>
        <w:tc>
          <w:tcPr>
            <w:tcW w:w="2813"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339"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28"/>
              <w:widowControl w:val="0"/>
              <w:rPr>
                <w:color w:val="auto"/>
                <w:highlight w:val="none"/>
              </w:rPr>
            </w:pPr>
          </w:p>
        </w:tc>
        <w:tc>
          <w:tcPr>
            <w:tcW w:w="3030" w:type="dxa"/>
            <w:tcBorders>
              <w:tl2br w:val="nil"/>
              <w:tr2bl w:val="nil"/>
            </w:tcBorders>
            <w:vAlign w:val="center"/>
          </w:tcPr>
          <w:p>
            <w:pPr>
              <w:pStyle w:val="28"/>
              <w:widowControl w:val="0"/>
              <w:rPr>
                <w:color w:val="auto"/>
                <w:highlight w:val="none"/>
              </w:rPr>
            </w:pPr>
            <w:r>
              <w:rPr>
                <w:rFonts w:hint="eastAsia"/>
                <w:color w:val="auto"/>
                <w:highlight w:val="none"/>
              </w:rPr>
              <w:t>5#项目场地东南侧外</w:t>
            </w:r>
          </w:p>
        </w:tc>
        <w:tc>
          <w:tcPr>
            <w:tcW w:w="917" w:type="dxa"/>
            <w:vMerge w:val="continue"/>
            <w:tcBorders>
              <w:tl2br w:val="nil"/>
              <w:tr2bl w:val="nil"/>
            </w:tcBorders>
            <w:vAlign w:val="center"/>
          </w:tcPr>
          <w:p>
            <w:pPr>
              <w:pStyle w:val="28"/>
              <w:widowControl w:val="0"/>
              <w:rPr>
                <w:color w:val="auto"/>
                <w:highlight w:val="none"/>
              </w:rPr>
            </w:pPr>
          </w:p>
        </w:tc>
        <w:tc>
          <w:tcPr>
            <w:tcW w:w="2813" w:type="dxa"/>
            <w:vMerge w:val="continue"/>
            <w:tcBorders>
              <w:tl2br w:val="nil"/>
              <w:tr2bl w:val="nil"/>
            </w:tcBorders>
            <w:vAlign w:val="center"/>
          </w:tcPr>
          <w:p>
            <w:pPr>
              <w:pStyle w:val="28"/>
              <w:widowControl w:val="0"/>
              <w:rPr>
                <w:color w:val="auto"/>
                <w:highlight w:val="none"/>
              </w:rPr>
            </w:pPr>
          </w:p>
        </w:tc>
        <w:tc>
          <w:tcPr>
            <w:tcW w:w="660" w:type="dxa"/>
            <w:vMerge w:val="continue"/>
            <w:tcBorders>
              <w:tl2br w:val="nil"/>
              <w:tr2bl w:val="nil"/>
            </w:tcBorders>
            <w:vAlign w:val="center"/>
          </w:tcPr>
          <w:p>
            <w:pPr>
              <w:pStyle w:val="28"/>
              <w:widowControl w:val="0"/>
              <w:rPr>
                <w:color w:val="auto"/>
                <w:highlight w:val="none"/>
              </w:rPr>
            </w:pPr>
          </w:p>
        </w:tc>
        <w:tc>
          <w:tcPr>
            <w:tcW w:w="1339" w:type="dxa"/>
            <w:vMerge w:val="continue"/>
            <w:tcBorders>
              <w:tl2br w:val="nil"/>
              <w:tr2bl w:val="nil"/>
            </w:tcBorders>
            <w:vAlign w:val="center"/>
          </w:tcPr>
          <w:p>
            <w:pPr>
              <w:pStyle w:val="28"/>
              <w:widowControl w:val="0"/>
              <w:rPr>
                <w:color w:val="auto"/>
                <w:highlight w:val="none"/>
              </w:rPr>
            </w:pPr>
          </w:p>
        </w:tc>
      </w:tr>
    </w:tbl>
    <w:p>
      <w:pPr>
        <w:widowControl w:val="0"/>
        <w:ind w:firstLine="480"/>
        <w:rPr>
          <w:color w:val="auto"/>
          <w:highlight w:val="none"/>
        </w:rPr>
      </w:pPr>
      <w:r>
        <w:rPr>
          <w:rFonts w:hint="eastAsia"/>
          <w:color w:val="auto"/>
          <w:highlight w:val="none"/>
        </w:rPr>
        <w:t>（2）监测方法及仪器</w:t>
      </w:r>
    </w:p>
    <w:p>
      <w:pPr>
        <w:pStyle w:val="27"/>
        <w:widowControl w:val="0"/>
        <w:rPr>
          <w:color w:val="auto"/>
          <w:highlight w:val="none"/>
        </w:rPr>
      </w:pPr>
      <w:r>
        <w:rPr>
          <w:rFonts w:hint="eastAsia"/>
          <w:color w:val="auto"/>
          <w:highlight w:val="none"/>
        </w:rPr>
        <w:t>本项目声环境质量监测方法及仪器一览表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230"/>
        <w:gridCol w:w="3150"/>
        <w:gridCol w:w="1965"/>
        <w:gridCol w:w="1515"/>
        <w:gridCol w:w="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8" w:type="dxa"/>
            <w:tcBorders>
              <w:tl2br w:val="nil"/>
              <w:tr2bl w:val="nil"/>
            </w:tcBorders>
            <w:vAlign w:val="center"/>
          </w:tcPr>
          <w:p>
            <w:pPr>
              <w:pStyle w:val="28"/>
              <w:widowControl w:val="0"/>
              <w:rPr>
                <w:b/>
                <w:bCs/>
                <w:color w:val="auto"/>
                <w:highlight w:val="none"/>
              </w:rPr>
            </w:pPr>
            <w:r>
              <w:rPr>
                <w:rFonts w:hint="eastAsia"/>
                <w:b/>
                <w:bCs/>
                <w:color w:val="auto"/>
                <w:highlight w:val="none"/>
              </w:rPr>
              <w:t>类别</w:t>
            </w:r>
          </w:p>
        </w:tc>
        <w:tc>
          <w:tcPr>
            <w:tcW w:w="1230" w:type="dxa"/>
            <w:tcBorders>
              <w:tl2br w:val="nil"/>
              <w:tr2bl w:val="nil"/>
            </w:tcBorders>
            <w:vAlign w:val="center"/>
          </w:tcPr>
          <w:p>
            <w:pPr>
              <w:pStyle w:val="28"/>
              <w:widowControl w:val="0"/>
              <w:rPr>
                <w:b/>
                <w:bCs/>
                <w:color w:val="auto"/>
                <w:highlight w:val="none"/>
              </w:rPr>
            </w:pPr>
            <w:r>
              <w:rPr>
                <w:rFonts w:hint="eastAsia"/>
                <w:b/>
                <w:bCs/>
                <w:color w:val="auto"/>
                <w:highlight w:val="none"/>
              </w:rPr>
              <w:t>监测项目</w:t>
            </w:r>
          </w:p>
        </w:tc>
        <w:tc>
          <w:tcPr>
            <w:tcW w:w="3150" w:type="dxa"/>
            <w:tcBorders>
              <w:tl2br w:val="nil"/>
              <w:tr2bl w:val="nil"/>
            </w:tcBorders>
            <w:vAlign w:val="center"/>
          </w:tcPr>
          <w:p>
            <w:pPr>
              <w:pStyle w:val="28"/>
              <w:widowControl w:val="0"/>
              <w:rPr>
                <w:b/>
                <w:bCs/>
                <w:color w:val="auto"/>
                <w:highlight w:val="none"/>
              </w:rPr>
            </w:pPr>
            <w:r>
              <w:rPr>
                <w:rFonts w:hint="eastAsia"/>
                <w:b/>
                <w:bCs/>
                <w:color w:val="auto"/>
                <w:highlight w:val="none"/>
              </w:rPr>
              <w:t>监测方法及依据</w:t>
            </w:r>
          </w:p>
        </w:tc>
        <w:tc>
          <w:tcPr>
            <w:tcW w:w="1965" w:type="dxa"/>
            <w:tcBorders>
              <w:tl2br w:val="nil"/>
              <w:tr2bl w:val="nil"/>
            </w:tcBorders>
            <w:vAlign w:val="center"/>
          </w:tcPr>
          <w:p>
            <w:pPr>
              <w:pStyle w:val="28"/>
              <w:widowControl w:val="0"/>
              <w:rPr>
                <w:b/>
                <w:bCs/>
                <w:color w:val="auto"/>
                <w:highlight w:val="none"/>
              </w:rPr>
            </w:pPr>
            <w:r>
              <w:rPr>
                <w:rFonts w:hint="eastAsia"/>
                <w:b/>
                <w:bCs/>
                <w:color w:val="auto"/>
                <w:highlight w:val="none"/>
              </w:rPr>
              <w:t>所用仪器</w:t>
            </w:r>
          </w:p>
        </w:tc>
        <w:tc>
          <w:tcPr>
            <w:tcW w:w="1515" w:type="dxa"/>
            <w:tcBorders>
              <w:tl2br w:val="nil"/>
              <w:tr2bl w:val="nil"/>
            </w:tcBorders>
            <w:vAlign w:val="center"/>
          </w:tcPr>
          <w:p>
            <w:pPr>
              <w:pStyle w:val="28"/>
              <w:widowControl w:val="0"/>
              <w:rPr>
                <w:b/>
                <w:bCs/>
                <w:color w:val="auto"/>
                <w:highlight w:val="none"/>
              </w:rPr>
            </w:pPr>
            <w:r>
              <w:rPr>
                <w:rFonts w:hint="eastAsia"/>
                <w:b/>
                <w:bCs/>
                <w:color w:val="auto"/>
                <w:highlight w:val="none"/>
              </w:rPr>
              <w:t>仪器编号</w:t>
            </w:r>
          </w:p>
        </w:tc>
        <w:tc>
          <w:tcPr>
            <w:tcW w:w="994" w:type="dxa"/>
            <w:tcBorders>
              <w:tl2br w:val="nil"/>
              <w:tr2bl w:val="nil"/>
            </w:tcBorders>
            <w:vAlign w:val="center"/>
          </w:tcPr>
          <w:p>
            <w:pPr>
              <w:pStyle w:val="28"/>
              <w:widowControl w:val="0"/>
              <w:rPr>
                <w:b/>
                <w:bCs/>
                <w:color w:val="auto"/>
                <w:highlight w:val="none"/>
              </w:rPr>
            </w:pPr>
            <w:r>
              <w:rPr>
                <w:rFonts w:hint="eastAsia"/>
                <w:b/>
                <w:bCs/>
                <w:color w:val="auto"/>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8" w:type="dxa"/>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1230" w:type="dxa"/>
            <w:tcBorders>
              <w:tl2br w:val="nil"/>
              <w:tr2bl w:val="nil"/>
            </w:tcBorders>
            <w:vAlign w:val="center"/>
          </w:tcPr>
          <w:p>
            <w:pPr>
              <w:pStyle w:val="28"/>
              <w:widowControl w:val="0"/>
              <w:rPr>
                <w:color w:val="auto"/>
                <w:highlight w:val="none"/>
              </w:rPr>
            </w:pPr>
            <w:r>
              <w:rPr>
                <w:rFonts w:hint="eastAsia"/>
                <w:color w:val="auto"/>
                <w:highlight w:val="none"/>
              </w:rPr>
              <w:t>环境噪声</w:t>
            </w:r>
          </w:p>
        </w:tc>
        <w:tc>
          <w:tcPr>
            <w:tcW w:w="3150" w:type="dxa"/>
            <w:tcBorders>
              <w:tl2br w:val="nil"/>
              <w:tr2bl w:val="nil"/>
            </w:tcBorders>
            <w:vAlign w:val="center"/>
          </w:tcPr>
          <w:p>
            <w:pPr>
              <w:pStyle w:val="28"/>
              <w:widowControl w:val="0"/>
              <w:rPr>
                <w:color w:val="auto"/>
                <w:highlight w:val="none"/>
              </w:rPr>
            </w:pPr>
            <w:r>
              <w:rPr>
                <w:rFonts w:hint="eastAsia"/>
                <w:color w:val="auto"/>
                <w:highlight w:val="none"/>
              </w:rPr>
              <w:t>声环境质量标准 GB 3096-2008</w:t>
            </w:r>
          </w:p>
        </w:tc>
        <w:tc>
          <w:tcPr>
            <w:tcW w:w="1965" w:type="dxa"/>
            <w:tcBorders>
              <w:tl2br w:val="nil"/>
              <w:tr2bl w:val="nil"/>
            </w:tcBorders>
            <w:vAlign w:val="center"/>
          </w:tcPr>
          <w:p>
            <w:pPr>
              <w:pStyle w:val="28"/>
              <w:widowControl w:val="0"/>
              <w:rPr>
                <w:color w:val="auto"/>
                <w:highlight w:val="none"/>
              </w:rPr>
            </w:pPr>
            <w:r>
              <w:rPr>
                <w:rFonts w:hint="eastAsia"/>
                <w:color w:val="auto"/>
                <w:highlight w:val="none"/>
              </w:rPr>
              <w:t>AWA568  声级计</w:t>
            </w:r>
          </w:p>
        </w:tc>
        <w:tc>
          <w:tcPr>
            <w:tcW w:w="1515" w:type="dxa"/>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XSJS-063-08</w:t>
            </w:r>
          </w:p>
        </w:tc>
        <w:tc>
          <w:tcPr>
            <w:tcW w:w="994"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rPr>
          <w:color w:val="auto"/>
          <w:highlight w:val="none"/>
        </w:rPr>
      </w:pPr>
      <w:r>
        <w:rPr>
          <w:rFonts w:hint="eastAsia"/>
          <w:color w:val="auto"/>
          <w:highlight w:val="none"/>
        </w:rPr>
        <w:t>（3）监测结果及评价</w:t>
      </w:r>
    </w:p>
    <w:p>
      <w:pPr>
        <w:pStyle w:val="27"/>
        <w:widowControl w:val="0"/>
        <w:rPr>
          <w:color w:val="auto"/>
          <w:highlight w:val="none"/>
        </w:rPr>
      </w:pPr>
      <w:r>
        <w:rPr>
          <w:rFonts w:hint="eastAsia"/>
          <w:color w:val="auto"/>
          <w:highlight w:val="none"/>
        </w:rPr>
        <w:t>本项目环境噪声质量监测结果表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193"/>
        <w:gridCol w:w="1870"/>
        <w:gridCol w:w="1662"/>
        <w:gridCol w:w="1905"/>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1193" w:type="dxa"/>
            <w:tcBorders>
              <w:tl2br w:val="nil"/>
              <w:tr2bl w:val="nil"/>
            </w:tcBorders>
            <w:vAlign w:val="center"/>
          </w:tcPr>
          <w:p>
            <w:pPr>
              <w:pStyle w:val="28"/>
              <w:widowControl w:val="0"/>
              <w:rPr>
                <w:b/>
                <w:bCs/>
                <w:color w:val="auto"/>
                <w:highlight w:val="none"/>
              </w:rPr>
            </w:pPr>
            <w:r>
              <w:rPr>
                <w:rFonts w:hint="eastAsia"/>
                <w:b/>
                <w:bCs/>
                <w:color w:val="auto"/>
                <w:highlight w:val="none"/>
              </w:rPr>
              <w:t>监测日期</w:t>
            </w:r>
          </w:p>
        </w:tc>
        <w:tc>
          <w:tcPr>
            <w:tcW w:w="0" w:type="auto"/>
            <w:tcBorders>
              <w:tl2br w:val="nil"/>
              <w:tr2bl w:val="nil"/>
            </w:tcBorders>
            <w:vAlign w:val="center"/>
          </w:tcPr>
          <w:p>
            <w:pPr>
              <w:pStyle w:val="28"/>
              <w:widowControl w:val="0"/>
              <w:rPr>
                <w:b/>
                <w:bCs/>
                <w:color w:val="auto"/>
                <w:highlight w:val="none"/>
              </w:rPr>
            </w:pPr>
            <w:r>
              <w:rPr>
                <w:rFonts w:hint="eastAsia"/>
                <w:b/>
                <w:bCs/>
                <w:color w:val="auto"/>
                <w:highlight w:val="none"/>
              </w:rPr>
              <w:t>监测时间</w:t>
            </w:r>
          </w:p>
        </w:tc>
        <w:tc>
          <w:tcPr>
            <w:tcW w:w="0" w:type="auto"/>
            <w:tcBorders>
              <w:tl2br w:val="nil"/>
              <w:tr2bl w:val="nil"/>
            </w:tcBorders>
            <w:vAlign w:val="center"/>
          </w:tcPr>
          <w:p>
            <w:pPr>
              <w:pStyle w:val="28"/>
              <w:widowControl w:val="0"/>
              <w:rPr>
                <w:b/>
                <w:bCs/>
                <w:color w:val="auto"/>
                <w:highlight w:val="none"/>
              </w:rPr>
            </w:pPr>
            <w:r>
              <w:rPr>
                <w:rFonts w:hint="eastAsia"/>
                <w:b/>
                <w:bCs/>
                <w:color w:val="auto"/>
                <w:highlight w:val="none"/>
              </w:rPr>
              <w:t>监测结果dB（A）</w:t>
            </w:r>
          </w:p>
        </w:tc>
        <w:tc>
          <w:tcPr>
            <w:tcW w:w="1905" w:type="dxa"/>
            <w:tcBorders>
              <w:tl2br w:val="nil"/>
              <w:tr2bl w:val="nil"/>
            </w:tcBorders>
            <w:vAlign w:val="center"/>
          </w:tcPr>
          <w:p>
            <w:pPr>
              <w:pStyle w:val="28"/>
              <w:widowControl w:val="0"/>
              <w:rPr>
                <w:b/>
                <w:bCs/>
                <w:color w:val="auto"/>
                <w:highlight w:val="none"/>
              </w:rPr>
            </w:pPr>
            <w:r>
              <w:rPr>
                <w:rFonts w:hint="eastAsia"/>
                <w:b/>
                <w:bCs/>
                <w:color w:val="auto"/>
                <w:highlight w:val="none"/>
              </w:rPr>
              <w:t>标准限值dB（A）</w:t>
            </w:r>
          </w:p>
        </w:tc>
        <w:tc>
          <w:tcPr>
            <w:tcW w:w="814" w:type="dxa"/>
            <w:tcBorders>
              <w:tl2br w:val="nil"/>
              <w:tr2bl w:val="nil"/>
            </w:tcBorders>
            <w:vAlign w:val="center"/>
          </w:tcPr>
          <w:p>
            <w:pPr>
              <w:pStyle w:val="28"/>
              <w:widowControl w:val="0"/>
              <w:rPr>
                <w:b/>
                <w:bCs/>
                <w:color w:val="auto"/>
                <w:highlight w:val="none"/>
              </w:rPr>
            </w:pPr>
            <w:r>
              <w:rPr>
                <w:rFonts w:hint="eastAsia"/>
                <w:b/>
                <w:bCs/>
                <w:color w:val="auto"/>
                <w:highlight w:val="none"/>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1#</w:t>
            </w:r>
            <w:r>
              <w:rPr>
                <w:rFonts w:hint="eastAsia" w:ascii="宋体" w:hAnsi="宋体"/>
                <w:color w:val="auto"/>
                <w:highlight w:val="none"/>
              </w:rPr>
              <w:t>项目外东侧居民敏感点</w:t>
            </w:r>
          </w:p>
        </w:tc>
        <w:tc>
          <w:tcPr>
            <w:tcW w:w="1193" w:type="dxa"/>
            <w:vMerge w:val="restart"/>
            <w:tcBorders>
              <w:tl2br w:val="nil"/>
              <w:tr2bl w:val="nil"/>
            </w:tcBorders>
            <w:vAlign w:val="center"/>
          </w:tcPr>
          <w:p>
            <w:pPr>
              <w:pStyle w:val="28"/>
              <w:widowControl w:val="0"/>
              <w:rPr>
                <w:color w:val="auto"/>
                <w:highlight w:val="none"/>
              </w:rPr>
            </w:pPr>
            <w:r>
              <w:rPr>
                <w:rFonts w:hint="eastAsia"/>
                <w:color w:val="auto"/>
                <w:highlight w:val="none"/>
              </w:rPr>
              <w:t>1月28日</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09：35-09：45（昼）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52</w:t>
            </w:r>
          </w:p>
        </w:tc>
        <w:tc>
          <w:tcPr>
            <w:tcW w:w="1905" w:type="dxa"/>
            <w:vMerge w:val="restart"/>
            <w:tcBorders>
              <w:tl2br w:val="nil"/>
              <w:tr2bl w:val="nil"/>
            </w:tcBorders>
            <w:vAlign w:val="center"/>
          </w:tcPr>
          <w:p>
            <w:pPr>
              <w:pStyle w:val="28"/>
              <w:widowControl w:val="0"/>
              <w:rPr>
                <w:color w:val="auto"/>
                <w:highlight w:val="none"/>
              </w:rPr>
            </w:pPr>
            <w:r>
              <w:rPr>
                <w:rFonts w:hint="eastAsia"/>
                <w:color w:val="auto"/>
                <w:highlight w:val="none"/>
              </w:rPr>
              <w:t>昼间≤60</w:t>
            </w:r>
          </w:p>
          <w:p>
            <w:pPr>
              <w:pStyle w:val="28"/>
              <w:widowControl w:val="0"/>
              <w:rPr>
                <w:color w:val="auto"/>
                <w:highlight w:val="none"/>
              </w:rPr>
            </w:pPr>
            <w:r>
              <w:rPr>
                <w:rFonts w:hint="eastAsia"/>
                <w:color w:val="auto"/>
                <w:highlight w:val="none"/>
              </w:rPr>
              <w:t>夜间≤50</w:t>
            </w: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22：10-22：20（夜）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43</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2#</w:t>
            </w:r>
            <w:r>
              <w:rPr>
                <w:rFonts w:hint="eastAsia" w:ascii="宋体" w:hAnsi="宋体"/>
                <w:color w:val="auto"/>
                <w:highlight w:val="none"/>
              </w:rPr>
              <w:t>项目场地北侧外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09：51-10：01（昼）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55</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22：24-22：34（夜）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42</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3#</w:t>
            </w:r>
            <w:r>
              <w:rPr>
                <w:rFonts w:hint="eastAsia" w:ascii="宋体" w:hAnsi="宋体"/>
                <w:color w:val="auto"/>
                <w:highlight w:val="none"/>
              </w:rPr>
              <w:t>项目场地西侧外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10：07-10：17（昼）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54</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22：39-22：49（夜）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40</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4#</w:t>
            </w:r>
            <w:r>
              <w:rPr>
                <w:rFonts w:hint="eastAsia" w:ascii="宋体" w:hAnsi="宋体"/>
                <w:color w:val="auto"/>
                <w:highlight w:val="none"/>
              </w:rPr>
              <w:t>项目场地东侧外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10：23-10：33（昼）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55</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22：53-23：03（夜）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41</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5#</w:t>
            </w:r>
            <w:r>
              <w:rPr>
                <w:rFonts w:hint="eastAsia" w:ascii="宋体" w:hAnsi="宋体"/>
                <w:color w:val="auto"/>
                <w:highlight w:val="none"/>
              </w:rPr>
              <w:t>项目场地东南侧外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10：38-10：48（昼）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51</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23：10-23：20（夜）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40</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1#</w:t>
            </w:r>
            <w:r>
              <w:rPr>
                <w:rFonts w:hint="eastAsia" w:ascii="宋体" w:hAnsi="宋体"/>
                <w:color w:val="auto"/>
                <w:highlight w:val="none"/>
              </w:rPr>
              <w:t>项目外东侧居民敏感点</w:t>
            </w:r>
          </w:p>
        </w:tc>
        <w:tc>
          <w:tcPr>
            <w:tcW w:w="1193" w:type="dxa"/>
            <w:vMerge w:val="restart"/>
            <w:tcBorders>
              <w:tl2br w:val="nil"/>
              <w:tr2bl w:val="nil"/>
            </w:tcBorders>
            <w:vAlign w:val="center"/>
          </w:tcPr>
          <w:p>
            <w:pPr>
              <w:pStyle w:val="28"/>
              <w:widowControl w:val="0"/>
              <w:rPr>
                <w:color w:val="auto"/>
                <w:highlight w:val="none"/>
              </w:rPr>
            </w:pPr>
            <w:r>
              <w:rPr>
                <w:rFonts w:hint="eastAsia"/>
                <w:color w:val="auto"/>
                <w:highlight w:val="none"/>
              </w:rPr>
              <w:t>1月29日</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13：49-13：59（昼）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54</w:t>
            </w:r>
          </w:p>
        </w:tc>
        <w:tc>
          <w:tcPr>
            <w:tcW w:w="1905" w:type="dxa"/>
            <w:vMerge w:val="restart"/>
            <w:tcBorders>
              <w:tl2br w:val="nil"/>
              <w:tr2bl w:val="nil"/>
            </w:tcBorders>
            <w:vAlign w:val="center"/>
          </w:tcPr>
          <w:p>
            <w:pPr>
              <w:pStyle w:val="28"/>
              <w:widowControl w:val="0"/>
              <w:rPr>
                <w:color w:val="auto"/>
                <w:highlight w:val="none"/>
              </w:rPr>
            </w:pPr>
            <w:r>
              <w:rPr>
                <w:rFonts w:hint="eastAsia"/>
                <w:color w:val="auto"/>
                <w:highlight w:val="none"/>
              </w:rPr>
              <w:t>昼间≤60</w:t>
            </w:r>
          </w:p>
          <w:p>
            <w:pPr>
              <w:pStyle w:val="28"/>
              <w:widowControl w:val="0"/>
              <w:rPr>
                <w:color w:val="auto"/>
                <w:highlight w:val="none"/>
              </w:rPr>
            </w:pPr>
            <w:r>
              <w:rPr>
                <w:rFonts w:hint="eastAsia"/>
                <w:color w:val="auto"/>
                <w:highlight w:val="none"/>
              </w:rPr>
              <w:t>夜间≤50</w:t>
            </w: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22：11-22：21（夜）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42</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2#</w:t>
            </w:r>
            <w:r>
              <w:rPr>
                <w:rFonts w:hint="eastAsia" w:ascii="宋体" w:hAnsi="宋体"/>
                <w:color w:val="auto"/>
                <w:highlight w:val="none"/>
              </w:rPr>
              <w:t>项目场地北侧外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14：05-14：15（昼）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53</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28"/>
              <w:widowControl w:val="0"/>
              <w:rPr>
                <w:color w:val="auto"/>
                <w:highlight w:val="none"/>
              </w:rPr>
            </w:pP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22：26-22：36（夜）</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39</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28"/>
              <w:widowControl w:val="0"/>
              <w:rPr>
                <w:color w:val="auto"/>
                <w:highlight w:val="none"/>
              </w:rPr>
            </w:pPr>
            <w:r>
              <w:rPr>
                <w:rFonts w:hint="eastAsia" w:ascii="TimesNewRomanPSMT" w:hAnsi="TimesNewRomanPSMT" w:eastAsia="TimesNewRomanPSMT"/>
                <w:color w:val="auto"/>
                <w:highlight w:val="none"/>
              </w:rPr>
              <w:t>3#</w:t>
            </w:r>
            <w:r>
              <w:rPr>
                <w:rFonts w:hint="eastAsia" w:ascii="宋体" w:hAnsi="宋体"/>
                <w:color w:val="auto"/>
                <w:highlight w:val="none"/>
              </w:rPr>
              <w:t>项目场地西侧外</w:t>
            </w:r>
          </w:p>
        </w:tc>
        <w:tc>
          <w:tcPr>
            <w:tcW w:w="1193" w:type="dxa"/>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14：21-14：31（昼）</w:t>
            </w:r>
          </w:p>
        </w:tc>
        <w:tc>
          <w:tcPr>
            <w:tcW w:w="0" w:type="auto"/>
            <w:tcBorders>
              <w:tl2br w:val="nil"/>
              <w:tr2bl w:val="nil"/>
            </w:tcBorders>
            <w:vAlign w:val="center"/>
          </w:tcPr>
          <w:p>
            <w:pPr>
              <w:pStyle w:val="28"/>
              <w:widowControl w:val="0"/>
              <w:rPr>
                <w:color w:val="auto"/>
                <w:highlight w:val="none"/>
              </w:rPr>
            </w:pPr>
            <w:r>
              <w:rPr>
                <w:rFonts w:hint="eastAsia"/>
                <w:color w:val="auto"/>
                <w:highlight w:val="none"/>
              </w:rPr>
              <w:t>52</w:t>
            </w:r>
          </w:p>
        </w:tc>
        <w:tc>
          <w:tcPr>
            <w:tcW w:w="1905" w:type="dxa"/>
            <w:vMerge w:val="continue"/>
            <w:tcBorders>
              <w:tl2br w:val="nil"/>
              <w:tr2bl w:val="nil"/>
            </w:tcBorders>
            <w:vAlign w:val="center"/>
          </w:tcPr>
          <w:p>
            <w:pPr>
              <w:pStyle w:val="28"/>
              <w:widowControl w:val="0"/>
              <w:rPr>
                <w:color w:val="auto"/>
                <w:highlight w:val="none"/>
              </w:rPr>
            </w:pPr>
          </w:p>
        </w:tc>
        <w:tc>
          <w:tcPr>
            <w:tcW w:w="814"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Pr>
          <w:p>
            <w:pPr>
              <w:pStyle w:val="28"/>
              <w:widowControl w:val="0"/>
              <w:rPr>
                <w:color w:val="auto"/>
                <w:highlight w:val="none"/>
              </w:rPr>
            </w:pPr>
          </w:p>
        </w:tc>
        <w:tc>
          <w:tcPr>
            <w:tcW w:w="1193" w:type="dxa"/>
            <w:vMerge w:val="continue"/>
          </w:tcPr>
          <w:p>
            <w:pPr>
              <w:pStyle w:val="28"/>
              <w:widowControl w:val="0"/>
              <w:rPr>
                <w:color w:val="auto"/>
                <w:highlight w:val="none"/>
              </w:rPr>
            </w:pPr>
          </w:p>
        </w:tc>
        <w:tc>
          <w:tcPr>
            <w:tcW w:w="0" w:type="auto"/>
          </w:tcPr>
          <w:p>
            <w:pPr>
              <w:pStyle w:val="28"/>
              <w:widowControl w:val="0"/>
              <w:rPr>
                <w:color w:val="auto"/>
                <w:highlight w:val="none"/>
              </w:rPr>
            </w:pPr>
            <w:r>
              <w:rPr>
                <w:rFonts w:hint="eastAsia"/>
                <w:color w:val="auto"/>
                <w:highlight w:val="none"/>
              </w:rPr>
              <w:t>22：41-22：51（夜）</w:t>
            </w:r>
          </w:p>
        </w:tc>
        <w:tc>
          <w:tcPr>
            <w:tcW w:w="0" w:type="auto"/>
          </w:tcPr>
          <w:p>
            <w:pPr>
              <w:pStyle w:val="28"/>
              <w:widowControl w:val="0"/>
              <w:rPr>
                <w:color w:val="auto"/>
                <w:highlight w:val="none"/>
              </w:rPr>
            </w:pPr>
            <w:r>
              <w:rPr>
                <w:rFonts w:hint="eastAsia"/>
                <w:color w:val="auto"/>
                <w:highlight w:val="none"/>
              </w:rPr>
              <w:t>41</w:t>
            </w:r>
          </w:p>
        </w:tc>
        <w:tc>
          <w:tcPr>
            <w:tcW w:w="1905" w:type="dxa"/>
            <w:vMerge w:val="continue"/>
          </w:tcPr>
          <w:p>
            <w:pPr>
              <w:pStyle w:val="28"/>
              <w:widowControl w:val="0"/>
              <w:rPr>
                <w:color w:val="auto"/>
                <w:highlight w:val="none"/>
              </w:rPr>
            </w:pPr>
          </w:p>
        </w:tc>
        <w:tc>
          <w:tcPr>
            <w:tcW w:w="814"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vAlign w:val="center"/>
          </w:tcPr>
          <w:p>
            <w:pPr>
              <w:pStyle w:val="28"/>
              <w:widowControl w:val="0"/>
              <w:rPr>
                <w:color w:val="auto"/>
                <w:highlight w:val="none"/>
              </w:rPr>
            </w:pPr>
            <w:r>
              <w:rPr>
                <w:rFonts w:hint="eastAsia" w:ascii="TimesNewRomanPSMT" w:hAnsi="TimesNewRomanPSMT" w:eastAsia="TimesNewRomanPSMT"/>
                <w:color w:val="auto"/>
                <w:highlight w:val="none"/>
              </w:rPr>
              <w:t>4#</w:t>
            </w:r>
            <w:r>
              <w:rPr>
                <w:rFonts w:hint="eastAsia" w:ascii="宋体" w:hAnsi="宋体"/>
                <w:color w:val="auto"/>
                <w:highlight w:val="none"/>
              </w:rPr>
              <w:t>项目场地东侧外</w:t>
            </w:r>
          </w:p>
        </w:tc>
        <w:tc>
          <w:tcPr>
            <w:tcW w:w="1193" w:type="dxa"/>
            <w:vMerge w:val="continue"/>
          </w:tcPr>
          <w:p>
            <w:pPr>
              <w:pStyle w:val="28"/>
              <w:widowControl w:val="0"/>
              <w:rPr>
                <w:color w:val="auto"/>
                <w:highlight w:val="none"/>
              </w:rPr>
            </w:pPr>
          </w:p>
        </w:tc>
        <w:tc>
          <w:tcPr>
            <w:tcW w:w="0" w:type="auto"/>
          </w:tcPr>
          <w:p>
            <w:pPr>
              <w:pStyle w:val="28"/>
              <w:widowControl w:val="0"/>
              <w:rPr>
                <w:color w:val="auto"/>
                <w:highlight w:val="none"/>
              </w:rPr>
            </w:pPr>
            <w:r>
              <w:rPr>
                <w:rFonts w:hint="eastAsia"/>
                <w:color w:val="auto"/>
                <w:highlight w:val="none"/>
              </w:rPr>
              <w:t>14：48-14：58（昼）</w:t>
            </w:r>
          </w:p>
        </w:tc>
        <w:tc>
          <w:tcPr>
            <w:tcW w:w="0" w:type="auto"/>
          </w:tcPr>
          <w:p>
            <w:pPr>
              <w:pStyle w:val="28"/>
              <w:widowControl w:val="0"/>
              <w:rPr>
                <w:color w:val="auto"/>
                <w:highlight w:val="none"/>
              </w:rPr>
            </w:pPr>
            <w:r>
              <w:rPr>
                <w:rFonts w:hint="eastAsia"/>
                <w:color w:val="auto"/>
                <w:highlight w:val="none"/>
              </w:rPr>
              <w:t>53</w:t>
            </w:r>
          </w:p>
        </w:tc>
        <w:tc>
          <w:tcPr>
            <w:tcW w:w="1905" w:type="dxa"/>
            <w:vMerge w:val="continue"/>
          </w:tcPr>
          <w:p>
            <w:pPr>
              <w:pStyle w:val="28"/>
              <w:widowControl w:val="0"/>
              <w:rPr>
                <w:color w:val="auto"/>
                <w:highlight w:val="none"/>
              </w:rPr>
            </w:pPr>
          </w:p>
        </w:tc>
        <w:tc>
          <w:tcPr>
            <w:tcW w:w="814"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Pr>
          <w:p>
            <w:pPr>
              <w:pStyle w:val="28"/>
              <w:widowControl w:val="0"/>
              <w:rPr>
                <w:color w:val="auto"/>
                <w:highlight w:val="none"/>
              </w:rPr>
            </w:pPr>
          </w:p>
        </w:tc>
        <w:tc>
          <w:tcPr>
            <w:tcW w:w="1193" w:type="dxa"/>
            <w:vMerge w:val="continue"/>
          </w:tcPr>
          <w:p>
            <w:pPr>
              <w:pStyle w:val="28"/>
              <w:widowControl w:val="0"/>
              <w:rPr>
                <w:color w:val="auto"/>
                <w:highlight w:val="none"/>
              </w:rPr>
            </w:pPr>
          </w:p>
        </w:tc>
        <w:tc>
          <w:tcPr>
            <w:tcW w:w="0" w:type="auto"/>
          </w:tcPr>
          <w:p>
            <w:pPr>
              <w:pStyle w:val="28"/>
              <w:widowControl w:val="0"/>
              <w:rPr>
                <w:color w:val="auto"/>
                <w:highlight w:val="none"/>
              </w:rPr>
            </w:pPr>
            <w:r>
              <w:rPr>
                <w:rFonts w:hint="eastAsia"/>
                <w:color w:val="auto"/>
                <w:highlight w:val="none"/>
              </w:rPr>
              <w:t>22：55-23：05（夜）</w:t>
            </w:r>
          </w:p>
        </w:tc>
        <w:tc>
          <w:tcPr>
            <w:tcW w:w="0" w:type="auto"/>
          </w:tcPr>
          <w:p>
            <w:pPr>
              <w:pStyle w:val="28"/>
              <w:widowControl w:val="0"/>
              <w:rPr>
                <w:color w:val="auto"/>
                <w:highlight w:val="none"/>
              </w:rPr>
            </w:pPr>
            <w:r>
              <w:rPr>
                <w:rFonts w:hint="eastAsia"/>
                <w:color w:val="auto"/>
                <w:highlight w:val="none"/>
              </w:rPr>
              <w:t>43</w:t>
            </w:r>
          </w:p>
        </w:tc>
        <w:tc>
          <w:tcPr>
            <w:tcW w:w="1905" w:type="dxa"/>
            <w:vMerge w:val="continue"/>
          </w:tcPr>
          <w:p>
            <w:pPr>
              <w:pStyle w:val="28"/>
              <w:widowControl w:val="0"/>
              <w:rPr>
                <w:color w:val="auto"/>
                <w:highlight w:val="none"/>
              </w:rPr>
            </w:pPr>
          </w:p>
        </w:tc>
        <w:tc>
          <w:tcPr>
            <w:tcW w:w="814"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vAlign w:val="center"/>
          </w:tcPr>
          <w:p>
            <w:pPr>
              <w:pStyle w:val="28"/>
              <w:widowControl w:val="0"/>
              <w:rPr>
                <w:color w:val="auto"/>
                <w:highlight w:val="none"/>
              </w:rPr>
            </w:pPr>
            <w:r>
              <w:rPr>
                <w:rFonts w:hint="eastAsia" w:ascii="TimesNewRomanPSMT" w:hAnsi="TimesNewRomanPSMT" w:eastAsia="TimesNewRomanPSMT"/>
                <w:color w:val="auto"/>
                <w:highlight w:val="none"/>
              </w:rPr>
              <w:t>5#</w:t>
            </w:r>
            <w:r>
              <w:rPr>
                <w:rFonts w:hint="eastAsia" w:ascii="宋体" w:hAnsi="宋体"/>
                <w:color w:val="auto"/>
                <w:highlight w:val="none"/>
              </w:rPr>
              <w:t>项目场地东南侧外</w:t>
            </w:r>
          </w:p>
        </w:tc>
        <w:tc>
          <w:tcPr>
            <w:tcW w:w="1193" w:type="dxa"/>
            <w:vMerge w:val="continue"/>
          </w:tcPr>
          <w:p>
            <w:pPr>
              <w:pStyle w:val="28"/>
              <w:widowControl w:val="0"/>
              <w:rPr>
                <w:color w:val="auto"/>
                <w:highlight w:val="none"/>
              </w:rPr>
            </w:pPr>
          </w:p>
        </w:tc>
        <w:tc>
          <w:tcPr>
            <w:tcW w:w="0" w:type="auto"/>
          </w:tcPr>
          <w:p>
            <w:pPr>
              <w:pStyle w:val="28"/>
              <w:widowControl w:val="0"/>
              <w:rPr>
                <w:color w:val="auto"/>
                <w:highlight w:val="none"/>
              </w:rPr>
            </w:pPr>
            <w:r>
              <w:rPr>
                <w:rFonts w:hint="eastAsia"/>
                <w:color w:val="auto"/>
                <w:highlight w:val="none"/>
              </w:rPr>
              <w:t>15：06-15：16（昼）</w:t>
            </w:r>
          </w:p>
        </w:tc>
        <w:tc>
          <w:tcPr>
            <w:tcW w:w="0" w:type="auto"/>
          </w:tcPr>
          <w:p>
            <w:pPr>
              <w:pStyle w:val="28"/>
              <w:widowControl w:val="0"/>
              <w:rPr>
                <w:color w:val="auto"/>
                <w:highlight w:val="none"/>
              </w:rPr>
            </w:pPr>
            <w:r>
              <w:rPr>
                <w:rFonts w:hint="eastAsia"/>
                <w:color w:val="auto"/>
                <w:highlight w:val="none"/>
              </w:rPr>
              <w:t>54</w:t>
            </w:r>
          </w:p>
        </w:tc>
        <w:tc>
          <w:tcPr>
            <w:tcW w:w="1905" w:type="dxa"/>
            <w:vMerge w:val="continue"/>
          </w:tcPr>
          <w:p>
            <w:pPr>
              <w:pStyle w:val="28"/>
              <w:widowControl w:val="0"/>
              <w:rPr>
                <w:color w:val="auto"/>
                <w:highlight w:val="none"/>
              </w:rPr>
            </w:pPr>
          </w:p>
        </w:tc>
        <w:tc>
          <w:tcPr>
            <w:tcW w:w="814" w:type="dxa"/>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vAlign w:val="center"/>
          </w:tcPr>
          <w:p>
            <w:pPr>
              <w:pStyle w:val="28"/>
              <w:widowControl w:val="0"/>
              <w:rPr>
                <w:rFonts w:ascii="TimesNewRomanPSMT" w:hAnsi="TimesNewRomanPSMT" w:eastAsia="TimesNewRomanPSMT"/>
                <w:color w:val="auto"/>
                <w:highlight w:val="none"/>
              </w:rPr>
            </w:pPr>
          </w:p>
        </w:tc>
        <w:tc>
          <w:tcPr>
            <w:tcW w:w="1193" w:type="dxa"/>
            <w:vMerge w:val="continue"/>
          </w:tcPr>
          <w:p>
            <w:pPr>
              <w:pStyle w:val="28"/>
              <w:widowControl w:val="0"/>
              <w:rPr>
                <w:color w:val="auto"/>
                <w:highlight w:val="none"/>
              </w:rPr>
            </w:pPr>
          </w:p>
        </w:tc>
        <w:tc>
          <w:tcPr>
            <w:tcW w:w="0" w:type="auto"/>
          </w:tcPr>
          <w:p>
            <w:pPr>
              <w:pStyle w:val="28"/>
              <w:widowControl w:val="0"/>
              <w:rPr>
                <w:color w:val="auto"/>
                <w:highlight w:val="none"/>
              </w:rPr>
            </w:pPr>
            <w:r>
              <w:rPr>
                <w:rFonts w:hint="eastAsia"/>
                <w:color w:val="auto"/>
                <w:highlight w:val="none"/>
              </w:rPr>
              <w:t>23：11-23：21（夜）</w:t>
            </w:r>
          </w:p>
        </w:tc>
        <w:tc>
          <w:tcPr>
            <w:tcW w:w="0" w:type="auto"/>
          </w:tcPr>
          <w:p>
            <w:pPr>
              <w:pStyle w:val="28"/>
              <w:widowControl w:val="0"/>
              <w:rPr>
                <w:color w:val="auto"/>
                <w:highlight w:val="none"/>
              </w:rPr>
            </w:pPr>
            <w:r>
              <w:rPr>
                <w:rFonts w:hint="eastAsia"/>
                <w:color w:val="auto"/>
                <w:highlight w:val="none"/>
              </w:rPr>
              <w:t>39</w:t>
            </w:r>
          </w:p>
        </w:tc>
        <w:tc>
          <w:tcPr>
            <w:tcW w:w="1905" w:type="dxa"/>
            <w:vMerge w:val="continue"/>
          </w:tcPr>
          <w:p>
            <w:pPr>
              <w:pStyle w:val="28"/>
              <w:widowControl w:val="0"/>
              <w:rPr>
                <w:color w:val="auto"/>
                <w:highlight w:val="none"/>
              </w:rPr>
            </w:pPr>
          </w:p>
        </w:tc>
        <w:tc>
          <w:tcPr>
            <w:tcW w:w="814" w:type="dxa"/>
            <w:vAlign w:val="center"/>
          </w:tcPr>
          <w:p>
            <w:pPr>
              <w:pStyle w:val="28"/>
              <w:widowControl w:val="0"/>
              <w:rPr>
                <w:color w:val="auto"/>
                <w:highlight w:val="none"/>
              </w:rPr>
            </w:pPr>
            <w:r>
              <w:rPr>
                <w:rFonts w:hint="eastAsia"/>
                <w:color w:val="auto"/>
                <w:highlight w:val="none"/>
              </w:rPr>
              <w:t>达标</w:t>
            </w:r>
          </w:p>
        </w:tc>
      </w:tr>
    </w:tbl>
    <w:p>
      <w:pPr>
        <w:widowControl w:val="0"/>
        <w:ind w:firstLine="480"/>
        <w:jc w:val="left"/>
        <w:rPr>
          <w:rFonts w:ascii="宋体" w:hAnsi="宋体"/>
          <w:color w:val="auto"/>
          <w:highlight w:val="none"/>
        </w:rPr>
      </w:pPr>
      <w:r>
        <w:rPr>
          <w:rFonts w:hint="eastAsia"/>
          <w:color w:val="auto"/>
          <w:highlight w:val="none"/>
        </w:rPr>
        <w:t>由上表可见，</w:t>
      </w:r>
      <w:r>
        <w:rPr>
          <w:rFonts w:hint="eastAsia" w:ascii="宋体" w:hAnsi="宋体"/>
          <w:color w:val="auto"/>
          <w:highlight w:val="none"/>
        </w:rPr>
        <w:t>本项目评价区域声学环境</w:t>
      </w:r>
      <w:r>
        <w:rPr>
          <w:rFonts w:eastAsia="Times New Roman"/>
          <w:color w:val="auto"/>
          <w:highlight w:val="none"/>
        </w:rPr>
        <w:t>5</w:t>
      </w:r>
      <w:r>
        <w:rPr>
          <w:rFonts w:hint="eastAsia" w:ascii="宋体" w:hAnsi="宋体"/>
          <w:color w:val="auto"/>
          <w:highlight w:val="none"/>
        </w:rPr>
        <w:t>个监测点昼、夜间噪声均能满足《声环境质量标准》</w:t>
      </w:r>
      <w:r>
        <w:rPr>
          <w:rFonts w:eastAsia="Times New Roman"/>
          <w:color w:val="auto"/>
          <w:highlight w:val="none"/>
        </w:rPr>
        <w:t>GB3096-2008</w:t>
      </w:r>
      <w:r>
        <w:rPr>
          <w:rFonts w:hint="eastAsia" w:ascii="宋体" w:hAnsi="宋体"/>
          <w:color w:val="auto"/>
          <w:highlight w:val="none"/>
        </w:rPr>
        <w:t>中的</w:t>
      </w:r>
      <w:r>
        <w:rPr>
          <w:rFonts w:eastAsia="Times New Roman"/>
          <w:color w:val="auto"/>
          <w:highlight w:val="none"/>
        </w:rPr>
        <w:t>2</w:t>
      </w:r>
      <w:r>
        <w:rPr>
          <w:rFonts w:hint="eastAsia" w:ascii="宋体" w:hAnsi="宋体"/>
          <w:color w:val="auto"/>
          <w:highlight w:val="none"/>
        </w:rPr>
        <w:t>类区标准要求，项目区域声环境现状良好。</w:t>
      </w:r>
    </w:p>
    <w:p>
      <w:pPr>
        <w:pStyle w:val="5"/>
        <w:widowControl w:val="0"/>
        <w:ind w:firstLine="120"/>
        <w:rPr>
          <w:color w:val="auto"/>
          <w:highlight w:val="none"/>
        </w:rPr>
      </w:pPr>
      <w:r>
        <w:rPr>
          <w:rFonts w:hint="eastAsia"/>
          <w:color w:val="auto"/>
          <w:highlight w:val="none"/>
        </w:rPr>
        <w:t>生态环境现状及评价</w:t>
      </w:r>
    </w:p>
    <w:p>
      <w:pPr>
        <w:widowControl w:val="0"/>
        <w:ind w:firstLine="480"/>
        <w:rPr>
          <w:color w:val="auto"/>
          <w:highlight w:val="none"/>
        </w:rPr>
      </w:pPr>
      <w:r>
        <w:rPr>
          <w:rFonts w:hint="eastAsia"/>
          <w:color w:val="auto"/>
          <w:highlight w:val="none"/>
        </w:rPr>
        <w:t>项目选址于平昌县响滩镇石泉村，项目所占地为二类工业用地，根据现场踏勘，项目区域为农村环境，现场主要为杂草与灌木丛，无珍稀植物，无古树名木等；区域内动物主要为各类鸡、各类鸭、鹅、蜂、蚕、犬、猫、各类兔等，无</w:t>
      </w:r>
      <w:r>
        <w:rPr>
          <w:color w:val="auto"/>
          <w:highlight w:val="none"/>
        </w:rPr>
        <w:t>国家重点保护</w:t>
      </w:r>
      <w:r>
        <w:rPr>
          <w:rFonts w:hint="eastAsia"/>
          <w:color w:val="auto"/>
          <w:highlight w:val="none"/>
          <w:lang w:val="en-US" w:eastAsia="zh-CN"/>
        </w:rPr>
        <w:t>与</w:t>
      </w:r>
      <w:r>
        <w:rPr>
          <w:rFonts w:hint="eastAsia"/>
          <w:color w:val="auto"/>
          <w:highlight w:val="none"/>
        </w:rPr>
        <w:t>珍稀野生动物</w:t>
      </w:r>
      <w:r>
        <w:rPr>
          <w:rFonts w:hint="eastAsia"/>
          <w:color w:val="auto"/>
          <w:highlight w:val="none"/>
          <w:lang w:eastAsia="zh-CN"/>
        </w:rPr>
        <w:t>；</w:t>
      </w:r>
      <w:r>
        <w:rPr>
          <w:rFonts w:hint="eastAsia"/>
          <w:color w:val="auto"/>
          <w:highlight w:val="none"/>
        </w:rPr>
        <w:t>无</w:t>
      </w:r>
      <w:r>
        <w:rPr>
          <w:rFonts w:hint="eastAsia"/>
          <w:color w:val="auto"/>
          <w:highlight w:val="none"/>
          <w:lang w:val="en-US" w:eastAsia="zh-CN"/>
        </w:rPr>
        <w:t>国家公园、自然保护区、世界自然遗产、自然公园、天然林、公益林等重要</w:t>
      </w:r>
      <w:r>
        <w:rPr>
          <w:rFonts w:hint="eastAsia"/>
          <w:color w:val="auto"/>
          <w:highlight w:val="none"/>
        </w:rPr>
        <w:t>保护单位，生态环境质量良好。</w:t>
      </w:r>
    </w:p>
    <w:p>
      <w:pPr>
        <w:pStyle w:val="5"/>
        <w:widowControl w:val="0"/>
        <w:ind w:firstLine="120"/>
        <w:rPr>
          <w:color w:val="auto"/>
          <w:highlight w:val="none"/>
        </w:rPr>
      </w:pPr>
      <w:r>
        <w:rPr>
          <w:rFonts w:hint="eastAsia"/>
          <w:color w:val="auto"/>
          <w:highlight w:val="none"/>
        </w:rPr>
        <w:br w:type="page"/>
      </w:r>
    </w:p>
    <w:p>
      <w:pPr>
        <w:pStyle w:val="3"/>
        <w:widowControl w:val="0"/>
        <w:ind w:firstLine="643"/>
        <w:rPr>
          <w:color w:val="auto"/>
          <w:highlight w:val="none"/>
        </w:rPr>
      </w:pPr>
      <w:bookmarkStart w:id="72" w:name="_Toc14022"/>
      <w:r>
        <w:rPr>
          <w:rFonts w:hint="eastAsia"/>
          <w:color w:val="auto"/>
          <w:highlight w:val="none"/>
        </w:rPr>
        <w:t>环境影响预测与评价</w:t>
      </w:r>
      <w:bookmarkEnd w:id="72"/>
    </w:p>
    <w:p>
      <w:pPr>
        <w:pStyle w:val="4"/>
        <w:widowControl w:val="0"/>
        <w:rPr>
          <w:color w:val="auto"/>
          <w:highlight w:val="none"/>
        </w:rPr>
      </w:pPr>
      <w:bookmarkStart w:id="73" w:name="_Toc15203"/>
      <w:r>
        <w:rPr>
          <w:rFonts w:hint="eastAsia"/>
          <w:color w:val="auto"/>
          <w:highlight w:val="none"/>
        </w:rPr>
        <w:t>施工期环境影响预测与评价</w:t>
      </w:r>
      <w:bookmarkEnd w:id="73"/>
    </w:p>
    <w:p>
      <w:pPr>
        <w:widowControl w:val="0"/>
        <w:ind w:firstLine="480"/>
        <w:rPr>
          <w:color w:val="auto"/>
          <w:highlight w:val="none"/>
        </w:rPr>
      </w:pPr>
      <w:r>
        <w:rPr>
          <w:rFonts w:hint="eastAsia"/>
          <w:color w:val="auto"/>
          <w:highlight w:val="none"/>
        </w:rPr>
        <w:t>项目</w:t>
      </w:r>
      <w:r>
        <w:rPr>
          <w:rFonts w:hint="eastAsia"/>
          <w:color w:val="auto"/>
          <w:highlight w:val="none"/>
          <w:lang w:val="en-US" w:eastAsia="zh-CN"/>
        </w:rPr>
        <w:t>标准厂房以及</w:t>
      </w:r>
      <w:r>
        <w:rPr>
          <w:rFonts w:hint="eastAsia"/>
          <w:color w:val="auto"/>
          <w:highlight w:val="none"/>
        </w:rPr>
        <w:t>主要构筑物</w:t>
      </w:r>
      <w:r>
        <w:rPr>
          <w:rFonts w:hint="eastAsia"/>
          <w:color w:val="auto"/>
          <w:highlight w:val="none"/>
          <w:lang w:val="en-US" w:eastAsia="zh-CN"/>
        </w:rPr>
        <w:t>已建设完成</w:t>
      </w:r>
      <w:r>
        <w:rPr>
          <w:rFonts w:hint="eastAsia"/>
          <w:color w:val="auto"/>
          <w:highlight w:val="none"/>
        </w:rPr>
        <w:t>，</w:t>
      </w:r>
      <w:r>
        <w:rPr>
          <w:rFonts w:hint="eastAsia"/>
          <w:color w:val="auto"/>
          <w:highlight w:val="none"/>
          <w:lang w:val="en-US" w:eastAsia="zh-CN"/>
        </w:rPr>
        <w:t>目前处于停工，</w:t>
      </w:r>
      <w:r>
        <w:rPr>
          <w:rFonts w:hint="eastAsia"/>
          <w:color w:val="auto"/>
          <w:highlight w:val="none"/>
        </w:rPr>
        <w:t>设备设施未进场安装、污水管网未建设</w:t>
      </w:r>
      <w:r>
        <w:rPr>
          <w:rFonts w:hint="eastAsia"/>
          <w:color w:val="auto"/>
          <w:highlight w:val="none"/>
          <w:lang w:eastAsia="zh-CN"/>
        </w:rPr>
        <w:t>。</w:t>
      </w:r>
      <w:r>
        <w:rPr>
          <w:rFonts w:hint="eastAsia"/>
          <w:color w:val="auto"/>
          <w:highlight w:val="none"/>
          <w:lang w:val="en-US" w:eastAsia="zh-CN"/>
        </w:rPr>
        <w:t>施工时采取了相应的环保治理措施，无一遗环境问题</w:t>
      </w:r>
      <w:r>
        <w:rPr>
          <w:rStyle w:val="25"/>
          <w:rFonts w:hint="eastAsia"/>
          <w:color w:val="auto"/>
          <w:highlight w:val="none"/>
          <w:lang w:eastAsia="zh-CN"/>
        </w:rPr>
        <w:t>。</w:t>
      </w:r>
      <w:r>
        <w:rPr>
          <w:rFonts w:hint="eastAsia"/>
          <w:color w:val="auto"/>
          <w:highlight w:val="none"/>
        </w:rPr>
        <w:t>因此，本项目施工期仅对后续污水管网建设和设备进场安装进行预测与评价。</w:t>
      </w:r>
    </w:p>
    <w:p>
      <w:pPr>
        <w:pStyle w:val="5"/>
        <w:widowControl w:val="0"/>
        <w:ind w:firstLine="120"/>
        <w:rPr>
          <w:color w:val="auto"/>
          <w:highlight w:val="none"/>
        </w:rPr>
      </w:pPr>
      <w:r>
        <w:rPr>
          <w:rFonts w:hint="eastAsia"/>
          <w:color w:val="auto"/>
          <w:highlight w:val="none"/>
        </w:rPr>
        <w:t>大气环境影响评价</w:t>
      </w:r>
    </w:p>
    <w:p>
      <w:pPr>
        <w:pStyle w:val="6"/>
        <w:widowControl w:val="0"/>
        <w:ind w:firstLine="241"/>
        <w:rPr>
          <w:color w:val="auto"/>
          <w:highlight w:val="none"/>
        </w:rPr>
      </w:pPr>
      <w:r>
        <w:rPr>
          <w:rFonts w:hint="eastAsia"/>
          <w:color w:val="auto"/>
          <w:highlight w:val="none"/>
        </w:rPr>
        <w:t>管道施工扬尘环境影响分析</w:t>
      </w:r>
    </w:p>
    <w:p>
      <w:pPr>
        <w:widowControl w:val="0"/>
        <w:ind w:firstLine="480"/>
        <w:rPr>
          <w:color w:val="auto"/>
          <w:highlight w:val="none"/>
        </w:rPr>
      </w:pPr>
      <w:r>
        <w:rPr>
          <w:color w:val="auto"/>
          <w:highlight w:val="none"/>
        </w:rPr>
        <w:t>本项目位于</w:t>
      </w:r>
      <w:r>
        <w:rPr>
          <w:rFonts w:hint="eastAsia"/>
          <w:color w:val="auto"/>
          <w:highlight w:val="none"/>
        </w:rPr>
        <w:t>平昌县响滩镇石泉村</w:t>
      </w:r>
      <w:r>
        <w:rPr>
          <w:color w:val="auto"/>
          <w:highlight w:val="none"/>
        </w:rPr>
        <w:t>，项目沿线环境敏感点较少，本项目施工过程中按照四川省及</w:t>
      </w:r>
      <w:r>
        <w:rPr>
          <w:rFonts w:hint="eastAsia"/>
          <w:color w:val="auto"/>
          <w:highlight w:val="none"/>
        </w:rPr>
        <w:t>巴中市</w:t>
      </w:r>
      <w:r>
        <w:rPr>
          <w:color w:val="auto"/>
          <w:highlight w:val="none"/>
        </w:rPr>
        <w:t>的相关规定要求执行，并</w:t>
      </w:r>
      <w:r>
        <w:rPr>
          <w:rFonts w:hint="eastAsia"/>
          <w:color w:val="auto"/>
          <w:highlight w:val="none"/>
        </w:rPr>
        <w:t>应</w:t>
      </w:r>
      <w:r>
        <w:rPr>
          <w:color w:val="auto"/>
          <w:highlight w:val="none"/>
        </w:rPr>
        <w:t>采取了</w:t>
      </w:r>
      <w:r>
        <w:rPr>
          <w:rFonts w:hint="eastAsia"/>
          <w:color w:val="auto"/>
          <w:highlight w:val="none"/>
        </w:rPr>
        <w:t>以下</w:t>
      </w:r>
      <w:r>
        <w:rPr>
          <w:color w:val="auto"/>
          <w:highlight w:val="none"/>
        </w:rPr>
        <w:t>防尘措施</w:t>
      </w:r>
      <w:r>
        <w:rPr>
          <w:rFonts w:hint="eastAsia"/>
          <w:color w:val="auto"/>
          <w:highlight w:val="none"/>
        </w:rPr>
        <w:t>，降低对其影响：</w:t>
      </w:r>
    </w:p>
    <w:p>
      <w:pPr>
        <w:widowControl w:val="0"/>
        <w:numPr>
          <w:ilvl w:val="0"/>
          <w:numId w:val="13"/>
        </w:numPr>
        <w:ind w:firstLine="480"/>
        <w:rPr>
          <w:color w:val="auto"/>
          <w:highlight w:val="none"/>
        </w:rPr>
      </w:pPr>
      <w:r>
        <w:rPr>
          <w:rFonts w:hint="eastAsia"/>
          <w:color w:val="auto"/>
          <w:highlight w:val="none"/>
        </w:rPr>
        <w:t>建设单位和施工单位禁止现场使用混凝土搅拌机，购买商品混凝土。针对本项目施工期可能产生的地面扬尘，施工单位应制定完善的施工计划和合理组织施工进度，尽量缩短工期和避开在大风情况下进行扬尘量大的施工作业。</w:t>
      </w:r>
    </w:p>
    <w:p>
      <w:pPr>
        <w:widowControl w:val="0"/>
        <w:numPr>
          <w:ilvl w:val="0"/>
          <w:numId w:val="13"/>
        </w:numPr>
        <w:ind w:firstLine="480"/>
        <w:rPr>
          <w:color w:val="auto"/>
          <w:highlight w:val="none"/>
        </w:rPr>
      </w:pPr>
      <w:r>
        <w:rPr>
          <w:rFonts w:hint="eastAsia"/>
          <w:color w:val="auto"/>
          <w:highlight w:val="none"/>
        </w:rPr>
        <w:t>所有土堆、料堆全部覆盖；采取袋装、密闭、洒水等防尘措施；开挖时，对作业面和土堆适当洒水，是其保持一定湿度，以减少扬尘量；开挖的泥土和建筑垃及时清运；施工场地配备一些洒水工具，定时对工地及进出路面、运输车辆洒水、冲洗，保持场地和空气具有一定湿度，防止浮尘，在大风日加大洒水量和洒水次数。</w:t>
      </w:r>
    </w:p>
    <w:p>
      <w:pPr>
        <w:widowControl w:val="0"/>
        <w:ind w:firstLine="0" w:firstLineChars="0"/>
        <w:rPr>
          <w:color w:val="auto"/>
          <w:highlight w:val="none"/>
        </w:rPr>
      </w:pPr>
      <w:r>
        <w:rPr>
          <w:rFonts w:hint="eastAsia"/>
          <w:color w:val="auto"/>
          <w:highlight w:val="none"/>
        </w:rPr>
        <w:t xml:space="preserve">    本地区主导风向为西风，项目施工扬尘影响仅局限在施工点周围，随着距离的增加，浓度迅速减小。项目沿线周边主要为道路，项目施工扬尘对区域环境影响甚微。为减小项目施工扬尘对沿线环境空气的影响，项目施工中应按照《防治城市扬尘污染技术规范》HJ/T 393-2007要求，管线敷设工程的边界应设1.5m上的封闭式或半封闭式路栏，并采取增加洒水抑尘的频次，大风天气暂停施工，对运输车辆加强保洁与覆盖，对堆场覆盖滞尘防护网等措施，以最大程度较少扬尘对沿线环境空气的影响。本项目管道铺设分段实施，管线的施工作业时间较短，管线施工扬尘影响是短暂的，随着施工期的结束而消失。</w:t>
      </w:r>
    </w:p>
    <w:p>
      <w:pPr>
        <w:widowControl w:val="0"/>
        <w:ind w:firstLine="480"/>
        <w:rPr>
          <w:color w:val="auto"/>
          <w:highlight w:val="none"/>
        </w:rPr>
      </w:pPr>
      <w:r>
        <w:rPr>
          <w:color w:val="auto"/>
          <w:highlight w:val="none"/>
        </w:rPr>
        <w:t>通过扬尘控制措施后，项目施工过程中产生的扬尘未较小，项目建设区域内环境敏感点较少，本项目建设</w:t>
      </w:r>
      <w:r>
        <w:rPr>
          <w:rFonts w:hint="eastAsia"/>
          <w:color w:val="auto"/>
          <w:highlight w:val="none"/>
        </w:rPr>
        <w:t>不会</w:t>
      </w:r>
      <w:r>
        <w:rPr>
          <w:color w:val="auto"/>
          <w:highlight w:val="none"/>
        </w:rPr>
        <w:t>对环境空气质量造成明显影响。</w:t>
      </w:r>
    </w:p>
    <w:p>
      <w:pPr>
        <w:pStyle w:val="6"/>
        <w:widowControl w:val="0"/>
        <w:ind w:firstLine="241"/>
        <w:rPr>
          <w:color w:val="auto"/>
          <w:highlight w:val="none"/>
        </w:rPr>
      </w:pPr>
      <w:r>
        <w:rPr>
          <w:rFonts w:hint="eastAsia"/>
          <w:color w:val="auto"/>
          <w:highlight w:val="none"/>
        </w:rPr>
        <w:t>焊接烟气环境影响分析</w:t>
      </w:r>
    </w:p>
    <w:p>
      <w:pPr>
        <w:widowControl w:val="0"/>
        <w:ind w:firstLine="480"/>
        <w:rPr>
          <w:color w:val="auto"/>
          <w:highlight w:val="none"/>
        </w:rPr>
      </w:pPr>
      <w:r>
        <w:rPr>
          <w:color w:val="auto"/>
          <w:highlight w:val="none"/>
        </w:rPr>
        <w:t>本工程管道焊接采用氩弧焊打底</w:t>
      </w:r>
      <w:r>
        <w:rPr>
          <w:rFonts w:hint="eastAsia"/>
          <w:color w:val="auto"/>
          <w:highlight w:val="none"/>
        </w:rPr>
        <w:t>，</w:t>
      </w:r>
      <w:r>
        <w:rPr>
          <w:color w:val="auto"/>
          <w:highlight w:val="none"/>
        </w:rPr>
        <w:t>手工电弧焊多层焊接盖面</w:t>
      </w:r>
      <w:r>
        <w:rPr>
          <w:rFonts w:hint="eastAsia"/>
          <w:color w:val="auto"/>
          <w:highlight w:val="none"/>
        </w:rPr>
        <w:t>。</w:t>
      </w:r>
      <w:r>
        <w:rPr>
          <w:color w:val="auto"/>
          <w:highlight w:val="none"/>
        </w:rPr>
        <w:t>本项目焊接烟尘的排放具有分散性</w:t>
      </w:r>
      <w:r>
        <w:rPr>
          <w:rFonts w:hint="eastAsia"/>
          <w:color w:val="auto"/>
          <w:highlight w:val="none"/>
        </w:rPr>
        <w:t>、</w:t>
      </w:r>
      <w:r>
        <w:rPr>
          <w:color w:val="auto"/>
          <w:highlight w:val="none"/>
        </w:rPr>
        <w:t>间断性的排放特点</w:t>
      </w:r>
      <w:r>
        <w:rPr>
          <w:rFonts w:hint="eastAsia"/>
          <w:color w:val="auto"/>
          <w:highlight w:val="none"/>
        </w:rPr>
        <w:t>，</w:t>
      </w:r>
      <w:r>
        <w:rPr>
          <w:color w:val="auto"/>
          <w:highlight w:val="none"/>
        </w:rPr>
        <w:t>旱烟排放较小</w:t>
      </w:r>
      <w:r>
        <w:rPr>
          <w:rFonts w:hint="eastAsia"/>
          <w:color w:val="auto"/>
          <w:highlight w:val="none"/>
        </w:rPr>
        <w:t>，</w:t>
      </w:r>
      <w:r>
        <w:rPr>
          <w:color w:val="auto"/>
          <w:highlight w:val="none"/>
        </w:rPr>
        <w:t>项目焊接烟尘未对周围环境空气质量造成明显影响</w:t>
      </w:r>
      <w:r>
        <w:rPr>
          <w:rFonts w:hint="eastAsia"/>
          <w:color w:val="auto"/>
          <w:highlight w:val="none"/>
        </w:rPr>
        <w:t>。</w:t>
      </w:r>
    </w:p>
    <w:p>
      <w:pPr>
        <w:pStyle w:val="6"/>
        <w:widowControl w:val="0"/>
        <w:ind w:left="-160" w:firstLineChars="0"/>
        <w:rPr>
          <w:color w:val="auto"/>
          <w:highlight w:val="none"/>
        </w:rPr>
      </w:pPr>
      <w:r>
        <w:rPr>
          <w:rFonts w:hint="eastAsia"/>
          <w:color w:val="auto"/>
          <w:highlight w:val="none"/>
        </w:rPr>
        <w:t>施工机械燃油废气环境影响分析</w:t>
      </w:r>
    </w:p>
    <w:p>
      <w:pPr>
        <w:widowControl w:val="0"/>
        <w:ind w:firstLine="480"/>
        <w:rPr>
          <w:color w:val="auto"/>
          <w:highlight w:val="none"/>
        </w:rPr>
      </w:pPr>
      <w:r>
        <w:rPr>
          <w:rFonts w:hint="eastAsia"/>
          <w:color w:val="auto"/>
          <w:highlight w:val="none"/>
        </w:rPr>
        <w:t>施工期间，使用机动车运送原材料、设备和建筑机械等设备的运转，均会排放一定量的</w:t>
      </w:r>
      <w:r>
        <w:rPr>
          <w:color w:val="auto"/>
          <w:highlight w:val="none"/>
        </w:rPr>
        <w:t>CO</w:t>
      </w:r>
      <w:r>
        <w:rPr>
          <w:rFonts w:hint="eastAsia"/>
          <w:color w:val="auto"/>
          <w:highlight w:val="none"/>
        </w:rPr>
        <w:t>、</w:t>
      </w:r>
      <w:r>
        <w:rPr>
          <w:color w:val="auto"/>
          <w:highlight w:val="none"/>
        </w:rPr>
        <w:t>NOx</w:t>
      </w:r>
      <w:r>
        <w:rPr>
          <w:rFonts w:hint="eastAsia"/>
          <w:color w:val="auto"/>
          <w:highlight w:val="none"/>
        </w:rPr>
        <w:t>、</w:t>
      </w:r>
      <w:r>
        <w:rPr>
          <w:color w:val="auto"/>
          <w:highlight w:val="none"/>
        </w:rPr>
        <w:t>THC</w:t>
      </w:r>
      <w:r>
        <w:rPr>
          <w:rFonts w:hint="eastAsia"/>
          <w:color w:val="auto"/>
          <w:highlight w:val="none"/>
        </w:rPr>
        <w:t>等污染物，其特点是排放量小，属间断性排放，在采取了加强设备养护、使用合格油品等措施的基础上，燃油废气对环境的影响较小，随着施工期结束而消失。</w:t>
      </w:r>
    </w:p>
    <w:p>
      <w:pPr>
        <w:pStyle w:val="6"/>
        <w:widowControl w:val="0"/>
        <w:ind w:left="-160" w:firstLineChars="0"/>
        <w:rPr>
          <w:color w:val="auto"/>
          <w:highlight w:val="none"/>
        </w:rPr>
      </w:pPr>
      <w:r>
        <w:rPr>
          <w:rFonts w:hint="eastAsia"/>
          <w:color w:val="auto"/>
          <w:highlight w:val="none"/>
        </w:rPr>
        <w:t>装修废气的环境影响分析</w:t>
      </w:r>
    </w:p>
    <w:p>
      <w:pPr>
        <w:widowControl w:val="0"/>
        <w:ind w:firstLine="480"/>
        <w:rPr>
          <w:color w:val="auto"/>
          <w:highlight w:val="none"/>
        </w:rPr>
      </w:pPr>
      <w:r>
        <w:rPr>
          <w:rFonts w:hint="eastAsia"/>
          <w:color w:val="auto"/>
          <w:highlight w:val="none"/>
        </w:rPr>
        <w:t>装修废气主要产生于装修阶段，其主要污染物为苯、甲苯、甲醛等有机废气，属间断性排放，排放源分散，其产生、排放量很小。该部分废气的挥发是较为缓慢的过程，且使用量较小，在采取使用符合国家现行有关标准规定的环保型装修材料等措施的基础上，装修废气对项目所在区域的环境空气质量影响较小。</w:t>
      </w:r>
    </w:p>
    <w:p>
      <w:pPr>
        <w:widowControl w:val="0"/>
        <w:ind w:firstLine="480"/>
        <w:rPr>
          <w:color w:val="auto"/>
          <w:highlight w:val="none"/>
        </w:rPr>
      </w:pPr>
      <w:r>
        <w:rPr>
          <w:rFonts w:hint="eastAsia"/>
          <w:color w:val="auto"/>
          <w:highlight w:val="none"/>
        </w:rPr>
        <w:t>综上所述，本项目施工期产生的大气污染为暂时的，其随施工期的结束而结束，对大气环境影响较小</w:t>
      </w:r>
      <w:r>
        <w:rPr>
          <w:rFonts w:hint="eastAsia" w:ascii="宋体" w:hAnsi="宋体"/>
          <w:color w:val="auto"/>
          <w:highlight w:val="none"/>
        </w:rPr>
        <w:t>。</w:t>
      </w:r>
    </w:p>
    <w:p>
      <w:pPr>
        <w:pStyle w:val="5"/>
        <w:widowControl w:val="0"/>
        <w:ind w:firstLine="120"/>
        <w:rPr>
          <w:color w:val="auto"/>
          <w:highlight w:val="none"/>
        </w:rPr>
      </w:pPr>
      <w:r>
        <w:rPr>
          <w:rFonts w:hint="eastAsia"/>
          <w:color w:val="auto"/>
          <w:highlight w:val="none"/>
        </w:rPr>
        <w:t>地表水环境影响评价</w:t>
      </w:r>
    </w:p>
    <w:p>
      <w:pPr>
        <w:widowControl w:val="0"/>
        <w:ind w:firstLine="480"/>
        <w:rPr>
          <w:color w:val="auto"/>
          <w:highlight w:val="none"/>
        </w:rPr>
      </w:pPr>
      <w:r>
        <w:rPr>
          <w:rFonts w:hint="eastAsia"/>
          <w:color w:val="auto"/>
          <w:highlight w:val="none"/>
        </w:rPr>
        <w:t>施工期产生的废水主要包括生活污水。</w:t>
      </w:r>
    </w:p>
    <w:p>
      <w:pPr>
        <w:widowControl w:val="0"/>
        <w:ind w:firstLine="482"/>
        <w:rPr>
          <w:color w:val="auto"/>
          <w:highlight w:val="none"/>
        </w:rPr>
      </w:pPr>
      <w:r>
        <w:rPr>
          <w:rFonts w:hint="eastAsia"/>
          <w:b/>
          <w:bCs/>
          <w:color w:val="auto"/>
          <w:highlight w:val="none"/>
        </w:rPr>
        <w:t>生活污水：</w:t>
      </w:r>
      <w:r>
        <w:rPr>
          <w:rFonts w:hint="eastAsia"/>
          <w:color w:val="auto"/>
          <w:highlight w:val="none"/>
        </w:rPr>
        <w:t>施工人员就近租用附近民宅居住，不在施工现场食宿，产生的生活污水依托周边农户已有卫生设施进行处理。</w:t>
      </w:r>
    </w:p>
    <w:p>
      <w:pPr>
        <w:pStyle w:val="5"/>
        <w:widowControl w:val="0"/>
        <w:ind w:firstLine="120"/>
        <w:rPr>
          <w:color w:val="auto"/>
          <w:highlight w:val="none"/>
        </w:rPr>
      </w:pPr>
      <w:r>
        <w:rPr>
          <w:rFonts w:hint="eastAsia"/>
          <w:color w:val="auto"/>
          <w:highlight w:val="none"/>
        </w:rPr>
        <w:t>噪声影响预测及评价</w:t>
      </w:r>
    </w:p>
    <w:p>
      <w:pPr>
        <w:widowControl w:val="0"/>
        <w:ind w:firstLine="480"/>
        <w:rPr>
          <w:color w:val="auto"/>
          <w:highlight w:val="none"/>
        </w:rPr>
      </w:pPr>
      <w:r>
        <w:rPr>
          <w:rFonts w:hint="eastAsia"/>
          <w:color w:val="auto"/>
          <w:highlight w:val="none"/>
        </w:rPr>
        <w:t>本项目施工期主要噪声源为各类施工机械，如电锤及运输车辆等，噪声源强为</w:t>
      </w:r>
      <w:r>
        <w:rPr>
          <w:color w:val="auto"/>
          <w:highlight w:val="none"/>
        </w:rPr>
        <w:t>75~</w:t>
      </w:r>
      <w:r>
        <w:rPr>
          <w:rFonts w:hint="eastAsia"/>
          <w:color w:val="auto"/>
          <w:highlight w:val="none"/>
        </w:rPr>
        <w:t>90</w:t>
      </w:r>
      <w:r>
        <w:rPr>
          <w:color w:val="auto"/>
          <w:highlight w:val="none"/>
        </w:rPr>
        <w:t>dB</w:t>
      </w:r>
      <w:r>
        <w:rPr>
          <w:rFonts w:hint="eastAsia"/>
          <w:color w:val="auto"/>
          <w:highlight w:val="none"/>
        </w:rPr>
        <w:t>（</w:t>
      </w:r>
      <w:r>
        <w:rPr>
          <w:color w:val="auto"/>
          <w:highlight w:val="none"/>
        </w:rPr>
        <w:t>A</w:t>
      </w:r>
      <w:r>
        <w:rPr>
          <w:rFonts w:hint="eastAsia"/>
          <w:color w:val="auto"/>
          <w:highlight w:val="none"/>
        </w:rPr>
        <w:t>），其强度详见表</w:t>
      </w:r>
      <w:r>
        <w:rPr>
          <w:color w:val="auto"/>
          <w:highlight w:val="none"/>
        </w:rPr>
        <w:t>3.1-1</w:t>
      </w:r>
      <w:r>
        <w:rPr>
          <w:rFonts w:hint="eastAsia"/>
          <w:color w:val="auto"/>
          <w:highlight w:val="none"/>
        </w:rPr>
        <w:t>，这些噪声将对作业人员和场址周围环境造成一定影响。因此现针对施工噪声进行声学环境影响预测分析。</w:t>
      </w:r>
    </w:p>
    <w:p>
      <w:pPr>
        <w:widowControl w:val="0"/>
        <w:ind w:firstLine="480"/>
        <w:rPr>
          <w:color w:val="auto"/>
          <w:highlight w:val="none"/>
        </w:rPr>
      </w:pPr>
      <w:r>
        <w:rPr>
          <w:rFonts w:hint="eastAsia"/>
          <w:color w:val="auto"/>
          <w:highlight w:val="none"/>
        </w:rPr>
        <w:t>本项目施工机械噪声主要是低频噪声，因此只考虑扩散衰减，本预测采用点声源衰减模式，预测模式如下：</w:t>
      </w:r>
    </w:p>
    <w:p>
      <w:pPr>
        <w:widowControl w:val="0"/>
        <w:ind w:firstLine="0" w:firstLineChars="0"/>
        <w:jc w:val="center"/>
        <w:rPr>
          <w:rFonts w:ascii="宋体" w:hAnsi="宋体"/>
          <w:color w:val="auto"/>
          <w:highlight w:val="none"/>
        </w:rPr>
      </w:pPr>
      <w:r>
        <w:rPr>
          <w:rFonts w:hint="eastAsia" w:ascii="宋体" w:hAnsi="宋体"/>
          <w:color w:val="auto"/>
          <w:position w:val="-10"/>
          <w:highlight w:val="none"/>
        </w:rPr>
        <w:object>
          <v:shape id="_x0000_i1031" o:spt="75" type="#_x0000_t75" style="height:17.3pt;width:93.9pt;" o:ole="t" filled="f" o:preferrelative="t" stroked="f" coordsize="21600,21600">
            <v:path/>
            <v:fill on="f" focussize="0,0"/>
            <v:stroke on="f" joinstyle="miter"/>
            <v:imagedata r:id="rId41" o:title=""/>
            <o:lock v:ext="edit" aspectratio="t"/>
            <w10:wrap type="none"/>
            <w10:anchorlock/>
          </v:shape>
          <o:OLEObject Type="Embed" ProgID="Equation.3" ShapeID="_x0000_i1031" DrawAspect="Content" ObjectID="_1468075732" r:id="rId40">
            <o:LockedField>false</o:LockedField>
          </o:OLEObject>
        </w:object>
      </w:r>
    </w:p>
    <w:p>
      <w:pPr>
        <w:widowControl w:val="0"/>
        <w:ind w:firstLine="480"/>
        <w:rPr>
          <w:color w:val="auto"/>
          <w:highlight w:val="none"/>
        </w:rPr>
      </w:pPr>
      <w:r>
        <w:rPr>
          <w:rFonts w:hint="eastAsia"/>
          <w:color w:val="auto"/>
          <w:highlight w:val="none"/>
        </w:rPr>
        <w:t>式中：</w:t>
      </w:r>
    </w:p>
    <w:p>
      <w:pPr>
        <w:widowControl w:val="0"/>
        <w:ind w:firstLine="480"/>
        <w:rPr>
          <w:color w:val="auto"/>
          <w:highlight w:val="none"/>
        </w:rPr>
      </w:pPr>
      <w:r>
        <w:rPr>
          <w:rFonts w:hint="eastAsia"/>
          <w:color w:val="auto"/>
          <w:highlight w:val="none"/>
        </w:rPr>
        <w:t xml:space="preserve">      L</w:t>
      </w:r>
      <w:r>
        <w:rPr>
          <w:rFonts w:hint="eastAsia"/>
          <w:color w:val="auto"/>
          <w:highlight w:val="none"/>
          <w:vertAlign w:val="subscript"/>
        </w:rPr>
        <w:t>2</w:t>
      </w:r>
      <w:r>
        <w:rPr>
          <w:rFonts w:hint="eastAsia"/>
          <w:color w:val="auto"/>
          <w:highlight w:val="none"/>
        </w:rPr>
        <w:t>——距声源r</w:t>
      </w:r>
      <w:r>
        <w:rPr>
          <w:rFonts w:hint="eastAsia"/>
          <w:color w:val="auto"/>
          <w:highlight w:val="none"/>
          <w:vertAlign w:val="subscript"/>
        </w:rPr>
        <w:t>2</w:t>
      </w:r>
      <w:r>
        <w:rPr>
          <w:rFonts w:hint="eastAsia"/>
          <w:color w:val="auto"/>
          <w:highlight w:val="none"/>
        </w:rPr>
        <w:t>处声源值[dB（A）]；</w:t>
      </w:r>
    </w:p>
    <w:p>
      <w:pPr>
        <w:widowControl w:val="0"/>
        <w:ind w:firstLine="480"/>
        <w:rPr>
          <w:color w:val="auto"/>
          <w:highlight w:val="none"/>
        </w:rPr>
      </w:pPr>
      <w:r>
        <w:rPr>
          <w:rFonts w:hint="eastAsia" w:ascii="宋体" w:hAnsi="宋体"/>
          <w:color w:val="auto"/>
          <w:highlight w:val="none"/>
        </w:rPr>
        <w:t xml:space="preserve">      </w:t>
      </w:r>
      <w:r>
        <w:rPr>
          <w:color w:val="auto"/>
          <w:highlight w:val="none"/>
        </w:rPr>
        <w:t>L</w:t>
      </w:r>
      <w:r>
        <w:rPr>
          <w:color w:val="auto"/>
          <w:highlight w:val="none"/>
          <w:vertAlign w:val="subscript"/>
        </w:rPr>
        <w:t>1</w:t>
      </w:r>
      <w:r>
        <w:rPr>
          <w:rFonts w:hint="eastAsia" w:ascii="宋体" w:hAnsi="宋体"/>
          <w:color w:val="auto"/>
          <w:highlight w:val="none"/>
        </w:rPr>
        <w:t>——</w:t>
      </w:r>
      <w:r>
        <w:rPr>
          <w:rFonts w:hint="eastAsia"/>
          <w:color w:val="auto"/>
          <w:highlight w:val="none"/>
        </w:rPr>
        <w:t>距声源r</w:t>
      </w:r>
      <w:r>
        <w:rPr>
          <w:rFonts w:hint="eastAsia"/>
          <w:color w:val="auto"/>
          <w:highlight w:val="none"/>
          <w:vertAlign w:val="subscript"/>
        </w:rPr>
        <w:t>1</w:t>
      </w:r>
      <w:r>
        <w:rPr>
          <w:rFonts w:hint="eastAsia"/>
          <w:color w:val="auto"/>
          <w:highlight w:val="none"/>
        </w:rPr>
        <w:t>处声源值[dB（A）]；</w:t>
      </w:r>
    </w:p>
    <w:p>
      <w:pPr>
        <w:widowControl w:val="0"/>
        <w:ind w:firstLine="0" w:firstLineChars="0"/>
        <w:rPr>
          <w:color w:val="auto"/>
          <w:highlight w:val="none"/>
        </w:rPr>
      </w:pPr>
      <w:r>
        <w:rPr>
          <w:rFonts w:hint="eastAsia"/>
          <w:color w:val="auto"/>
          <w:highlight w:val="none"/>
        </w:rPr>
        <w:t xml:space="preserve">          r</w:t>
      </w:r>
      <w:r>
        <w:rPr>
          <w:rFonts w:hint="eastAsia"/>
          <w:color w:val="auto"/>
          <w:highlight w:val="none"/>
          <w:vertAlign w:val="subscript"/>
        </w:rPr>
        <w:t>1</w:t>
      </w:r>
      <w:r>
        <w:rPr>
          <w:rFonts w:hint="eastAsia"/>
          <w:color w:val="auto"/>
          <w:highlight w:val="none"/>
        </w:rPr>
        <w:t>、r</w:t>
      </w:r>
      <w:r>
        <w:rPr>
          <w:rFonts w:hint="eastAsia"/>
          <w:color w:val="auto"/>
          <w:highlight w:val="none"/>
          <w:vertAlign w:val="subscript"/>
        </w:rPr>
        <w:t>2</w:t>
      </w:r>
      <w:r>
        <w:rPr>
          <w:rFonts w:hint="eastAsia"/>
          <w:color w:val="auto"/>
          <w:highlight w:val="none"/>
        </w:rPr>
        <w:t>——距声源的距离（m）。</w:t>
      </w:r>
    </w:p>
    <w:p>
      <w:pPr>
        <w:widowControl w:val="0"/>
        <w:ind w:firstLine="480"/>
        <w:jc w:val="left"/>
        <w:rPr>
          <w:color w:val="auto"/>
          <w:highlight w:val="none"/>
        </w:rPr>
      </w:pPr>
      <w:r>
        <w:rPr>
          <w:rFonts w:hint="eastAsia" w:ascii="宋体" w:hAnsi="宋体"/>
          <w:color w:val="auto"/>
          <w:highlight w:val="none"/>
        </w:rPr>
        <w:t>由上式预测单个噪声源在评价点的贡献值，再将不同声源在该点的贡献值用对数法叠加，得出多个噪声源对该点噪声的贡献值，采用的模式如下：</w:t>
      </w:r>
    </w:p>
    <w:p>
      <w:pPr>
        <w:widowControl w:val="0"/>
        <w:ind w:firstLine="0" w:firstLineChars="0"/>
        <w:jc w:val="center"/>
        <w:rPr>
          <w:rFonts w:ascii="宋体" w:hAnsi="宋体"/>
          <w:color w:val="auto"/>
          <w:highlight w:val="none"/>
        </w:rPr>
      </w:pPr>
      <w:r>
        <w:rPr>
          <w:rFonts w:hint="eastAsia" w:ascii="宋体" w:hAnsi="宋体"/>
          <w:color w:val="auto"/>
          <w:position w:val="-28"/>
          <w:highlight w:val="none"/>
        </w:rPr>
        <w:object>
          <v:shape id="_x0000_i1032" o:spt="75" type="#_x0000_t75" style="height:34pt;width:93.9pt;" o:ole="t" filled="f" o:preferrelative="t" stroked="f" coordsize="21600,21600">
            <v:path/>
            <v:fill on="f" focussize="0,0"/>
            <v:stroke on="f" joinstyle="miter"/>
            <v:imagedata r:id="rId43" o:title=""/>
            <o:lock v:ext="edit" aspectratio="t"/>
            <w10:wrap type="none"/>
            <w10:anchorlock/>
          </v:shape>
          <o:OLEObject Type="Embed" ProgID="Equation.3" ShapeID="_x0000_i1032" DrawAspect="Content" ObjectID="_1468075733" r:id="rId42">
            <o:LockedField>false</o:LockedField>
          </o:OLEObject>
        </w:object>
      </w:r>
    </w:p>
    <w:p>
      <w:pPr>
        <w:widowControl w:val="0"/>
        <w:ind w:firstLine="480"/>
        <w:rPr>
          <w:color w:val="auto"/>
          <w:highlight w:val="none"/>
        </w:rPr>
      </w:pPr>
      <w:r>
        <w:rPr>
          <w:rFonts w:hint="eastAsia"/>
          <w:color w:val="auto"/>
          <w:highlight w:val="none"/>
        </w:rPr>
        <w:t>式中：</w:t>
      </w:r>
    </w:p>
    <w:p>
      <w:pPr>
        <w:widowControl w:val="0"/>
        <w:ind w:firstLine="480"/>
        <w:rPr>
          <w:color w:val="auto"/>
          <w:highlight w:val="none"/>
        </w:rPr>
      </w:pPr>
      <w:r>
        <w:rPr>
          <w:rFonts w:hint="eastAsia"/>
          <w:color w:val="auto"/>
          <w:highlight w:val="none"/>
        </w:rPr>
        <w:t xml:space="preserve">      L——</w:t>
      </w:r>
      <w:r>
        <w:rPr>
          <w:rFonts w:hint="eastAsia" w:ascii="宋体" w:hAnsi="宋体"/>
          <w:color w:val="auto"/>
          <w:highlight w:val="none"/>
        </w:rPr>
        <w:t>叠加后总声压级</w:t>
      </w:r>
      <w:r>
        <w:rPr>
          <w:rFonts w:eastAsia="Times New Roman"/>
          <w:color w:val="auto"/>
          <w:highlight w:val="none"/>
        </w:rPr>
        <w:t>[dB</w:t>
      </w:r>
      <w:r>
        <w:rPr>
          <w:rFonts w:hint="eastAsia"/>
          <w:color w:val="auto"/>
          <w:highlight w:val="none"/>
        </w:rPr>
        <w:t>（</w:t>
      </w:r>
      <w:r>
        <w:rPr>
          <w:rFonts w:eastAsia="Times New Roman"/>
          <w:color w:val="auto"/>
          <w:highlight w:val="none"/>
        </w:rPr>
        <w:t>A</w:t>
      </w:r>
      <w:r>
        <w:rPr>
          <w:rFonts w:hint="eastAsia"/>
          <w:color w:val="auto"/>
          <w:highlight w:val="none"/>
        </w:rPr>
        <w:t>）</w:t>
      </w:r>
      <w:r>
        <w:rPr>
          <w:rFonts w:eastAsia="Times New Roman"/>
          <w:color w:val="auto"/>
          <w:highlight w:val="none"/>
        </w:rPr>
        <w:t>]</w:t>
      </w:r>
      <w:r>
        <w:rPr>
          <w:rFonts w:hint="eastAsia"/>
          <w:color w:val="auto"/>
          <w:highlight w:val="none"/>
        </w:rPr>
        <w:t>；</w:t>
      </w:r>
    </w:p>
    <w:p>
      <w:pPr>
        <w:widowControl w:val="0"/>
        <w:ind w:firstLine="480"/>
        <w:rPr>
          <w:color w:val="auto"/>
          <w:highlight w:val="none"/>
        </w:rPr>
      </w:pPr>
      <w:r>
        <w:rPr>
          <w:rFonts w:hint="eastAsia"/>
          <w:color w:val="auto"/>
          <w:highlight w:val="none"/>
        </w:rPr>
        <w:t xml:space="preserve">      L</w:t>
      </w:r>
      <w:r>
        <w:rPr>
          <w:rFonts w:hint="eastAsia"/>
          <w:color w:val="auto"/>
          <w:highlight w:val="none"/>
          <w:vertAlign w:val="subscript"/>
        </w:rPr>
        <w:t>i</w:t>
      </w:r>
      <w:r>
        <w:rPr>
          <w:rFonts w:hint="eastAsia"/>
          <w:color w:val="auto"/>
          <w:highlight w:val="none"/>
        </w:rPr>
        <w:t>——</w:t>
      </w:r>
      <w:r>
        <w:rPr>
          <w:rFonts w:hint="eastAsia" w:ascii="宋体" w:hAnsi="宋体"/>
          <w:color w:val="auto"/>
          <w:highlight w:val="none"/>
        </w:rPr>
        <w:t>各声源的噪声值</w:t>
      </w:r>
      <w:r>
        <w:rPr>
          <w:rFonts w:eastAsia="Times New Roman"/>
          <w:color w:val="auto"/>
          <w:highlight w:val="none"/>
        </w:rPr>
        <w:t>[dB</w:t>
      </w:r>
      <w:r>
        <w:rPr>
          <w:rFonts w:hint="eastAsia"/>
          <w:color w:val="auto"/>
          <w:highlight w:val="none"/>
        </w:rPr>
        <w:t>（</w:t>
      </w:r>
      <w:r>
        <w:rPr>
          <w:rFonts w:eastAsia="Times New Roman"/>
          <w:color w:val="auto"/>
          <w:highlight w:val="none"/>
        </w:rPr>
        <w:t>A</w:t>
      </w:r>
      <w:r>
        <w:rPr>
          <w:rFonts w:hint="eastAsia"/>
          <w:color w:val="auto"/>
          <w:highlight w:val="none"/>
        </w:rPr>
        <w:t>）</w:t>
      </w:r>
      <w:r>
        <w:rPr>
          <w:rFonts w:eastAsia="Times New Roman"/>
          <w:color w:val="auto"/>
          <w:highlight w:val="none"/>
        </w:rPr>
        <w:t>]</w:t>
      </w:r>
      <w:r>
        <w:rPr>
          <w:rFonts w:hint="eastAsia" w:ascii="宋体" w:hAnsi="宋体"/>
          <w:color w:val="auto"/>
          <w:highlight w:val="none"/>
        </w:rPr>
        <w:t>；</w:t>
      </w:r>
    </w:p>
    <w:p>
      <w:pPr>
        <w:widowControl w:val="0"/>
        <w:ind w:firstLine="480"/>
        <w:jc w:val="left"/>
        <w:rPr>
          <w:rFonts w:ascii="宋体" w:hAnsi="宋体"/>
          <w:color w:val="auto"/>
          <w:highlight w:val="none"/>
        </w:rPr>
      </w:pPr>
      <w:r>
        <w:rPr>
          <w:rFonts w:hint="eastAsia" w:ascii="宋体" w:hAnsi="宋体"/>
          <w:color w:val="auto"/>
          <w:highlight w:val="none"/>
        </w:rPr>
        <w:t>类比各类建筑施工工地的噪声监测值，施工工地的噪声声级峰值约</w:t>
      </w:r>
      <w:r>
        <w:rPr>
          <w:rFonts w:hint="eastAsia"/>
          <w:color w:val="auto"/>
          <w:highlight w:val="none"/>
        </w:rPr>
        <w:t>83</w:t>
      </w:r>
      <w:r>
        <w:rPr>
          <w:rFonts w:eastAsia="Times New Roman"/>
          <w:color w:val="auto"/>
          <w:highlight w:val="none"/>
        </w:rPr>
        <w:t>dB</w:t>
      </w:r>
      <w:r>
        <w:rPr>
          <w:rFonts w:hint="eastAsia" w:ascii="宋体" w:hAnsi="宋体"/>
          <w:color w:val="auto"/>
          <w:highlight w:val="none"/>
        </w:rPr>
        <w:t>，一般情况声级为</w:t>
      </w:r>
      <w:r>
        <w:rPr>
          <w:rFonts w:eastAsia="Times New Roman"/>
          <w:color w:val="auto"/>
          <w:highlight w:val="none"/>
        </w:rPr>
        <w:t>7</w:t>
      </w:r>
      <w:r>
        <w:rPr>
          <w:rFonts w:hint="eastAsia"/>
          <w:color w:val="auto"/>
          <w:highlight w:val="none"/>
        </w:rPr>
        <w:t>5</w:t>
      </w:r>
      <w:r>
        <w:rPr>
          <w:rFonts w:eastAsia="Times New Roman"/>
          <w:color w:val="auto"/>
          <w:highlight w:val="none"/>
        </w:rPr>
        <w:t>dB</w:t>
      </w:r>
      <w:r>
        <w:rPr>
          <w:rFonts w:hint="eastAsia" w:ascii="宋体" w:hAnsi="宋体"/>
          <w:color w:val="auto"/>
          <w:highlight w:val="none"/>
        </w:rPr>
        <w:t>。施工噪声随距离的衰减情况见下表。</w:t>
      </w:r>
    </w:p>
    <w:p>
      <w:pPr>
        <w:pStyle w:val="27"/>
        <w:widowControl w:val="0"/>
        <w:rPr>
          <w:color w:val="auto"/>
          <w:highlight w:val="none"/>
        </w:rPr>
      </w:pPr>
      <w:r>
        <w:rPr>
          <w:rFonts w:hint="eastAsia"/>
          <w:color w:val="auto"/>
          <w:highlight w:val="none"/>
        </w:rPr>
        <w:t>施工设备噪声随距离衰减后的声级值    单位：</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650"/>
        <w:gridCol w:w="650"/>
        <w:gridCol w:w="650"/>
        <w:gridCol w:w="650"/>
        <w:gridCol w:w="650"/>
        <w:gridCol w:w="650"/>
        <w:gridCol w:w="650"/>
        <w:gridCol w:w="650"/>
        <w:gridCol w:w="650"/>
        <w:gridCol w:w="650"/>
        <w:gridCol w:w="650"/>
        <w:gridCol w:w="650"/>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28"/>
              <w:widowControl w:val="0"/>
              <w:rPr>
                <w:color w:val="auto"/>
                <w:highlight w:val="none"/>
              </w:rPr>
            </w:pPr>
            <w:r>
              <w:rPr>
                <w:rFonts w:hint="eastAsia"/>
                <w:color w:val="auto"/>
                <w:highlight w:val="none"/>
              </w:rPr>
              <w:t>距离（m）</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10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20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80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100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150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200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250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300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350</w:t>
            </w:r>
          </w:p>
        </w:tc>
        <w:tc>
          <w:tcPr>
            <w:tcW w:w="653" w:type="dxa"/>
            <w:tcBorders>
              <w:tl2br w:val="nil"/>
              <w:tr2bl w:val="nil"/>
            </w:tcBorders>
            <w:vAlign w:val="center"/>
          </w:tcPr>
          <w:p>
            <w:pPr>
              <w:pStyle w:val="28"/>
              <w:widowControl w:val="0"/>
              <w:rPr>
                <w:color w:val="auto"/>
                <w:highlight w:val="none"/>
              </w:rPr>
            </w:pPr>
            <w:r>
              <w:rPr>
                <w:rFonts w:hint="eastAsia"/>
                <w:color w:val="auto"/>
                <w:highlight w:val="none"/>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28"/>
              <w:widowControl w:val="0"/>
              <w:rPr>
                <w:color w:val="auto"/>
                <w:highlight w:val="none"/>
              </w:rPr>
            </w:pPr>
            <w:r>
              <w:rPr>
                <w:rFonts w:hint="eastAsia"/>
                <w:color w:val="auto"/>
                <w:highlight w:val="none"/>
              </w:rPr>
              <w:t>峰值</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78</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70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68</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66</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64</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58</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57</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55</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54</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653" w:type="dxa"/>
            <w:tcBorders>
              <w:tl2br w:val="nil"/>
              <w:tr2bl w:val="nil"/>
            </w:tcBorders>
            <w:vAlign w:val="center"/>
          </w:tcPr>
          <w:p>
            <w:pPr>
              <w:pStyle w:val="28"/>
              <w:widowControl w:val="0"/>
              <w:rPr>
                <w:color w:val="auto"/>
                <w:highlight w:val="none"/>
              </w:rPr>
            </w:pPr>
            <w:r>
              <w:rPr>
                <w:rFonts w:hint="eastAsia"/>
                <w:color w:val="auto"/>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28"/>
              <w:widowControl w:val="0"/>
              <w:rPr>
                <w:color w:val="auto"/>
                <w:highlight w:val="none"/>
              </w:rPr>
            </w:pPr>
            <w:r>
              <w:rPr>
                <w:rFonts w:hint="eastAsia"/>
                <w:color w:val="auto"/>
                <w:highlight w:val="none"/>
              </w:rPr>
              <w:t>一般情况</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69</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63</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59</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57</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55</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51</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49</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47</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45</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43</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42</w:t>
            </w:r>
          </w:p>
        </w:tc>
        <w:tc>
          <w:tcPr>
            <w:tcW w:w="650" w:type="dxa"/>
            <w:tcBorders>
              <w:tl2br w:val="nil"/>
              <w:tr2bl w:val="nil"/>
            </w:tcBorders>
            <w:vAlign w:val="center"/>
          </w:tcPr>
          <w:p>
            <w:pPr>
              <w:pStyle w:val="28"/>
              <w:widowControl w:val="0"/>
              <w:rPr>
                <w:color w:val="auto"/>
                <w:highlight w:val="none"/>
              </w:rPr>
            </w:pPr>
            <w:r>
              <w:rPr>
                <w:rFonts w:hint="eastAsia"/>
                <w:color w:val="auto"/>
                <w:highlight w:val="none"/>
              </w:rPr>
              <w:t>38</w:t>
            </w:r>
          </w:p>
        </w:tc>
        <w:tc>
          <w:tcPr>
            <w:tcW w:w="653" w:type="dxa"/>
            <w:tcBorders>
              <w:tl2br w:val="nil"/>
              <w:tr2bl w:val="nil"/>
            </w:tcBorders>
            <w:vAlign w:val="center"/>
          </w:tcPr>
          <w:p>
            <w:pPr>
              <w:pStyle w:val="28"/>
              <w:widowControl w:val="0"/>
              <w:rPr>
                <w:color w:val="auto"/>
                <w:highlight w:val="none"/>
              </w:rPr>
            </w:pPr>
            <w:r>
              <w:rPr>
                <w:rFonts w:hint="eastAsia"/>
                <w:color w:val="auto"/>
                <w:highlight w:val="none"/>
              </w:rPr>
              <w:t>38</w:t>
            </w:r>
          </w:p>
        </w:tc>
      </w:tr>
    </w:tbl>
    <w:p>
      <w:pPr>
        <w:widowControl w:val="0"/>
        <w:ind w:firstLine="480"/>
        <w:rPr>
          <w:color w:val="auto"/>
          <w:highlight w:val="none"/>
        </w:rPr>
      </w:pPr>
      <w:r>
        <w:rPr>
          <w:rFonts w:hint="eastAsia"/>
          <w:color w:val="auto"/>
          <w:highlight w:val="none"/>
        </w:rPr>
        <w:t>由上表可以看出，按《建筑施工场界环境噪声排放标准》（</w:t>
      </w:r>
      <w:r>
        <w:rPr>
          <w:color w:val="auto"/>
          <w:highlight w:val="none"/>
        </w:rPr>
        <w:t>GB12523-2011</w:t>
      </w:r>
      <w:r>
        <w:rPr>
          <w:rFonts w:hint="eastAsia"/>
          <w:color w:val="auto"/>
          <w:highlight w:val="none"/>
        </w:rPr>
        <w:t>）衡量，施工噪声在峰值的达标情况昼间在</w:t>
      </w:r>
      <w:r>
        <w:rPr>
          <w:color w:val="auto"/>
          <w:highlight w:val="none"/>
        </w:rPr>
        <w:t>50m</w:t>
      </w:r>
      <w:r>
        <w:rPr>
          <w:rFonts w:hint="eastAsia"/>
          <w:color w:val="auto"/>
          <w:highlight w:val="none"/>
        </w:rPr>
        <w:t>处即可达标，夜间则要</w:t>
      </w:r>
      <w:r>
        <w:rPr>
          <w:color w:val="auto"/>
          <w:highlight w:val="none"/>
        </w:rPr>
        <w:t>300m</w:t>
      </w:r>
      <w:r>
        <w:rPr>
          <w:rFonts w:hint="eastAsia"/>
          <w:color w:val="auto"/>
          <w:highlight w:val="none"/>
        </w:rPr>
        <w:t>可能达标。按《声环境质量标准》（</w:t>
      </w:r>
      <w:r>
        <w:rPr>
          <w:color w:val="auto"/>
          <w:highlight w:val="none"/>
        </w:rPr>
        <w:t>GB3096-2008</w:t>
      </w:r>
      <w:r>
        <w:rPr>
          <w:rFonts w:hint="eastAsia"/>
          <w:color w:val="auto"/>
          <w:highlight w:val="none"/>
        </w:rPr>
        <w:t>）的</w:t>
      </w:r>
      <w:r>
        <w:rPr>
          <w:color w:val="auto"/>
          <w:highlight w:val="none"/>
        </w:rPr>
        <w:t>2</w:t>
      </w:r>
      <w:r>
        <w:rPr>
          <w:rFonts w:hint="eastAsia"/>
          <w:color w:val="auto"/>
          <w:highlight w:val="none"/>
        </w:rPr>
        <w:t>类标准，在一般情况下，昼、夜间达标距离分别在</w:t>
      </w:r>
      <w:r>
        <w:rPr>
          <w:color w:val="auto"/>
          <w:highlight w:val="none"/>
        </w:rPr>
        <w:t>150m</w:t>
      </w:r>
      <w:r>
        <w:rPr>
          <w:rFonts w:hint="eastAsia"/>
          <w:color w:val="auto"/>
          <w:highlight w:val="none"/>
        </w:rPr>
        <w:t>、</w:t>
      </w:r>
      <w:r>
        <w:rPr>
          <w:color w:val="auto"/>
          <w:highlight w:val="none"/>
        </w:rPr>
        <w:t>400m</w:t>
      </w:r>
      <w:r>
        <w:rPr>
          <w:rFonts w:hint="eastAsia"/>
          <w:color w:val="auto"/>
          <w:highlight w:val="none"/>
        </w:rPr>
        <w:t>。</w:t>
      </w:r>
    </w:p>
    <w:p>
      <w:pPr>
        <w:widowControl w:val="0"/>
        <w:ind w:firstLine="480"/>
        <w:rPr>
          <w:color w:val="auto"/>
          <w:highlight w:val="none"/>
        </w:rPr>
      </w:pPr>
      <w:r>
        <w:rPr>
          <w:rFonts w:hint="eastAsia"/>
          <w:color w:val="auto"/>
          <w:highlight w:val="none"/>
        </w:rPr>
        <w:t>通过采取减震、消声、设置临时隔声屏障等措施，降噪值可达</w:t>
      </w:r>
      <w:r>
        <w:rPr>
          <w:color w:val="auto"/>
          <w:highlight w:val="none"/>
        </w:rPr>
        <w:t>3~10dB</w:t>
      </w:r>
      <w:r>
        <w:rPr>
          <w:rFonts w:hint="eastAsia"/>
          <w:color w:val="auto"/>
          <w:highlight w:val="none"/>
        </w:rPr>
        <w:t>（</w:t>
      </w:r>
      <w:r>
        <w:rPr>
          <w:color w:val="auto"/>
          <w:highlight w:val="none"/>
        </w:rPr>
        <w:t>A</w:t>
      </w:r>
      <w:r>
        <w:rPr>
          <w:rFonts w:hint="eastAsia"/>
          <w:color w:val="auto"/>
          <w:highlight w:val="none"/>
        </w:rPr>
        <w:t>）。经距离衰减，昼间施工场界噪声可控制在</w:t>
      </w:r>
      <w:r>
        <w:rPr>
          <w:color w:val="auto"/>
          <w:highlight w:val="none"/>
        </w:rPr>
        <w:t>150m</w:t>
      </w:r>
      <w:r>
        <w:rPr>
          <w:rFonts w:hint="eastAsia"/>
          <w:color w:val="auto"/>
          <w:highlight w:val="none"/>
        </w:rPr>
        <w:t>范围达标。评价要求：施工单位在未来施工过程中，应做好噪声防护措施，采用低噪声设备，严禁夜间施工，避免噪声扰民。</w:t>
      </w:r>
    </w:p>
    <w:p>
      <w:pPr>
        <w:widowControl w:val="0"/>
        <w:ind w:firstLine="480"/>
        <w:rPr>
          <w:color w:val="auto"/>
          <w:highlight w:val="none"/>
        </w:rPr>
      </w:pPr>
      <w:r>
        <w:rPr>
          <w:rFonts w:hint="eastAsia"/>
          <w:color w:val="auto"/>
          <w:highlight w:val="none"/>
        </w:rPr>
        <w:t>施工噪声影响是暂时的，将随着施工期的结束而消失，在采取上述噪声防治措施后，项目施工不会对评价范围内声学环境产生不利影响。</w:t>
      </w:r>
    </w:p>
    <w:p>
      <w:pPr>
        <w:pStyle w:val="5"/>
        <w:widowControl w:val="0"/>
        <w:ind w:firstLine="120"/>
        <w:rPr>
          <w:color w:val="auto"/>
          <w:highlight w:val="none"/>
        </w:rPr>
      </w:pPr>
      <w:r>
        <w:rPr>
          <w:rFonts w:hint="eastAsia"/>
          <w:color w:val="auto"/>
          <w:highlight w:val="none"/>
        </w:rPr>
        <w:t>固废影响分析及评价</w:t>
      </w:r>
    </w:p>
    <w:p>
      <w:pPr>
        <w:widowControl w:val="0"/>
        <w:ind w:firstLine="480"/>
        <w:jc w:val="left"/>
        <w:rPr>
          <w:rFonts w:ascii="宋体" w:hAnsi="宋体"/>
          <w:color w:val="auto"/>
          <w:highlight w:val="none"/>
        </w:rPr>
      </w:pPr>
      <w:r>
        <w:rPr>
          <w:rFonts w:hint="eastAsia" w:ascii="宋体" w:hAnsi="宋体"/>
          <w:color w:val="auto"/>
          <w:highlight w:val="none"/>
        </w:rPr>
        <w:t>施工期产生的固体废物主要有施工过程中产生的建筑垃圾和由施工人员产生的生活垃圾两类。相对而言，施工期固体废物具有产生量大、时间集中的特点，对环境污染是暂时性的，可采取一些临时性措施加以保护。</w:t>
      </w:r>
    </w:p>
    <w:p>
      <w:pPr>
        <w:widowControl w:val="0"/>
        <w:ind w:firstLine="480"/>
        <w:jc w:val="left"/>
        <w:rPr>
          <w:rFonts w:ascii="宋体" w:hAnsi="宋体"/>
          <w:color w:val="auto"/>
          <w:highlight w:val="none"/>
        </w:rPr>
      </w:pPr>
      <w:r>
        <w:rPr>
          <w:rFonts w:hint="eastAsia" w:ascii="宋体" w:hAnsi="宋体"/>
          <w:color w:val="auto"/>
          <w:highlight w:val="none"/>
        </w:rPr>
        <w:t>在不能得到及时清运的情况下，建筑垃圾中的泡沫、包装袋等无机成分的影响主要表现为：在旱季，受季风的作用，垃圾中的比重较轻的（例如塑料袋、泡沫粒）和粒径稍小的尘埃随风扬起污染附近区域的环境空气和环境卫生。在雨季，随暴雨和地表径流的冲刷，泥沙将堵塞下水管涵、污染附近的水体等。</w:t>
      </w:r>
    </w:p>
    <w:p>
      <w:pPr>
        <w:widowControl w:val="0"/>
        <w:ind w:firstLine="480"/>
        <w:jc w:val="left"/>
        <w:rPr>
          <w:rFonts w:ascii="宋体" w:hAnsi="宋体"/>
          <w:color w:val="auto"/>
          <w:highlight w:val="none"/>
        </w:rPr>
      </w:pPr>
      <w:r>
        <w:rPr>
          <w:rFonts w:hint="eastAsia" w:ascii="宋体" w:hAnsi="宋体"/>
          <w:color w:val="auto"/>
          <w:highlight w:val="none"/>
        </w:rPr>
        <w:t>施工期间施工人员生活垃圾不断产出，应及时清运。</w:t>
      </w:r>
    </w:p>
    <w:p>
      <w:pPr>
        <w:widowControl w:val="0"/>
        <w:ind w:firstLine="480"/>
        <w:rPr>
          <w:rFonts w:ascii="宋体" w:hAnsi="宋体"/>
          <w:color w:val="auto"/>
          <w:highlight w:val="none"/>
        </w:rPr>
      </w:pPr>
      <w:r>
        <w:rPr>
          <w:rFonts w:hint="eastAsia" w:ascii="宋体" w:hAnsi="宋体"/>
          <w:color w:val="auto"/>
          <w:highlight w:val="none"/>
        </w:rPr>
        <w:t>为减小固体废物对周围环境的影响，环评提出以下要求：</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）施工单位应确保运输过程中保持路面整洁，施工单位应有专人负责，对建筑垃圾的处置实施现场管理。</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施工人员产生的生活垃圾，主要有食物残渣、塑料包装制品等，若堆置不当或清运不及时，则容易滋生蚊蝇，引起疾病传播，对项目拟建地区域及其附近区域的空气环境、水环境、土壤环境等产生一定的影响。施工人员每日产生的生活垃圾经过袋装收集后，由环卫部门定期清，不会对区域环境空气和水环境质量构成潜在的影响因素。</w:t>
      </w:r>
    </w:p>
    <w:p>
      <w:pPr>
        <w:widowControl w:val="0"/>
        <w:ind w:firstLine="480"/>
        <w:jc w:val="left"/>
        <w:rPr>
          <w:rFonts w:ascii="宋体" w:hAnsi="宋体"/>
          <w:color w:val="auto"/>
          <w:highlight w:val="none"/>
        </w:rPr>
      </w:pPr>
      <w:r>
        <w:rPr>
          <w:rFonts w:hint="eastAsia"/>
          <w:color w:val="auto"/>
          <w:highlight w:val="none"/>
        </w:rPr>
        <w:t>（</w:t>
      </w:r>
      <w:r>
        <w:rPr>
          <w:color w:val="auto"/>
          <w:highlight w:val="none"/>
        </w:rPr>
        <w:t>3</w:t>
      </w:r>
      <w:r>
        <w:rPr>
          <w:rFonts w:hint="eastAsia"/>
          <w:color w:val="auto"/>
          <w:highlight w:val="none"/>
        </w:rPr>
        <w:t>）在工程竣工以后，施工单位应同时拆除各种临时施工设施，并负责将工地的剩余建筑垃圾、工程渣土处理干净，做到“工完、料尽、场地清”。建设单位应负责督促施工单位</w:t>
      </w:r>
      <w:r>
        <w:rPr>
          <w:rFonts w:hint="eastAsia" w:ascii="宋体" w:hAnsi="宋体"/>
          <w:color w:val="auto"/>
          <w:highlight w:val="none"/>
        </w:rPr>
        <w:t>的固体废物处置清理工作。</w:t>
      </w:r>
    </w:p>
    <w:p>
      <w:pPr>
        <w:widowControl w:val="0"/>
        <w:ind w:firstLine="482"/>
        <w:jc w:val="left"/>
        <w:rPr>
          <w:b/>
          <w:bCs/>
          <w:color w:val="auto"/>
          <w:highlight w:val="none"/>
        </w:rPr>
      </w:pPr>
      <w:r>
        <w:rPr>
          <w:rFonts w:hint="eastAsia" w:ascii="宋体" w:hAnsi="宋体"/>
          <w:b/>
          <w:bCs/>
          <w:color w:val="auto"/>
          <w:highlight w:val="none"/>
        </w:rPr>
        <w:t>综上所述，采取以上措施后，项目施工期间产生的固体废弃物均能得到清洁处理和处置，施工期产生的固废对周围环境的影响较小。</w:t>
      </w:r>
    </w:p>
    <w:p>
      <w:pPr>
        <w:pStyle w:val="5"/>
        <w:widowControl w:val="0"/>
        <w:ind w:firstLine="120"/>
        <w:rPr>
          <w:color w:val="auto"/>
          <w:highlight w:val="none"/>
        </w:rPr>
      </w:pPr>
      <w:r>
        <w:rPr>
          <w:rFonts w:hint="eastAsia"/>
          <w:color w:val="auto"/>
          <w:highlight w:val="none"/>
        </w:rPr>
        <w:t>生态环境影响分析及评价</w:t>
      </w:r>
    </w:p>
    <w:p>
      <w:pPr>
        <w:widowControl w:val="0"/>
        <w:ind w:firstLine="480"/>
        <w:rPr>
          <w:color w:val="auto"/>
          <w:highlight w:val="none"/>
        </w:rPr>
      </w:pPr>
      <w:r>
        <w:rPr>
          <w:rFonts w:hint="eastAsia"/>
          <w:color w:val="auto"/>
          <w:highlight w:val="none"/>
        </w:rPr>
        <w:t>本工程主体工程建设期以结束，一定量的破坏了原地貌水土保持功能，施工开挖将原地表植被、地面组成物质以及地形地貌破坏或扰动，使区域的表层土松散裸露或形成松散堆积体，失去原有植被的防冲、固土能力，在降雨等自然因素影响下，将造成新增的水土流失。</w:t>
      </w:r>
    </w:p>
    <w:p>
      <w:pPr>
        <w:widowControl w:val="0"/>
        <w:ind w:firstLine="480"/>
        <w:rPr>
          <w:color w:val="auto"/>
          <w:highlight w:val="none"/>
        </w:rPr>
      </w:pPr>
      <w:r>
        <w:rPr>
          <w:rFonts w:hint="eastAsia"/>
          <w:color w:val="auto"/>
          <w:highlight w:val="none"/>
        </w:rPr>
        <w:t>现主体工程已建设完成，厂内硬化程度大大提高，降水形成的地表径流量增大。待项目施工会恢复后，及时对项目区绿化占地覆土、绿化，恢复项目区景观绿化。</w:t>
      </w:r>
    </w:p>
    <w:p>
      <w:pPr>
        <w:widowControl w:val="0"/>
        <w:ind w:firstLine="480"/>
        <w:rPr>
          <w:color w:val="auto"/>
          <w:highlight w:val="none"/>
        </w:rPr>
      </w:pPr>
      <w:r>
        <w:rPr>
          <w:rFonts w:hint="eastAsia"/>
          <w:color w:val="auto"/>
          <w:highlight w:val="none"/>
        </w:rPr>
        <w:t>项目场外管网敷设过程中对临时占用的土地植被具有一定的破坏，但由于管线长度较短，工程沿线均为普通的人工栽种植被以及灌木植被，无珍稀、名贵树种分布，在施工回复后及时进行植被和景观恢复，对生态影响较小。</w:t>
      </w:r>
    </w:p>
    <w:p>
      <w:pPr>
        <w:widowControl w:val="0"/>
        <w:ind w:firstLine="480"/>
        <w:rPr>
          <w:color w:val="auto"/>
          <w:highlight w:val="none"/>
        </w:rPr>
      </w:pPr>
      <w:r>
        <w:rPr>
          <w:rFonts w:hint="eastAsia"/>
          <w:color w:val="auto"/>
          <w:highlight w:val="none"/>
        </w:rPr>
        <w:t>环评要求，待施工恢复后，及时将工地的剩余建筑垃圾、工程渣土处理干净，并进行路面硬化和空地绿化，搞好植被的恢复、再造。</w:t>
      </w:r>
    </w:p>
    <w:p>
      <w:pPr>
        <w:widowControl w:val="0"/>
        <w:ind w:firstLine="480"/>
        <w:rPr>
          <w:color w:val="auto"/>
          <w:highlight w:val="none"/>
        </w:rPr>
      </w:pPr>
      <w:r>
        <w:rPr>
          <w:rFonts w:hint="eastAsia"/>
          <w:color w:val="auto"/>
          <w:highlight w:val="none"/>
        </w:rPr>
        <w:t>经采取上述措施，可将项目可能造成的水土流失影响降至最低。</w:t>
      </w:r>
    </w:p>
    <w:p>
      <w:pPr>
        <w:pStyle w:val="5"/>
        <w:widowControl w:val="0"/>
        <w:ind w:firstLine="120"/>
        <w:rPr>
          <w:color w:val="auto"/>
          <w:highlight w:val="none"/>
        </w:rPr>
      </w:pPr>
      <w:r>
        <w:rPr>
          <w:rFonts w:hint="eastAsia"/>
          <w:color w:val="auto"/>
          <w:highlight w:val="none"/>
        </w:rPr>
        <w:t>小结</w:t>
      </w:r>
    </w:p>
    <w:p>
      <w:pPr>
        <w:widowControl w:val="0"/>
        <w:ind w:firstLine="480"/>
        <w:rPr>
          <w:color w:val="auto"/>
          <w:highlight w:val="none"/>
        </w:rPr>
      </w:pPr>
      <w:r>
        <w:rPr>
          <w:rFonts w:hint="eastAsia"/>
          <w:color w:val="auto"/>
          <w:highlight w:val="none"/>
        </w:rPr>
        <w:t>项目施工期对环境的影响是局部的、暂时的，主要环境污染表现为施工工地扬尘、施工机械、运输车辆的废气、施工机械、大中型运输车辆产生的噪声以及施工废水，此外还有建筑垃圾、生活垃圾等固体废弃物。这些都不可避免地会对周围环境，特别是噪声和大气环境产生不良影响。根据分析，通过采取措施，扬尘影响、施工噪声均可控制在</w:t>
      </w:r>
      <w:r>
        <w:rPr>
          <w:color w:val="auto"/>
          <w:highlight w:val="none"/>
        </w:rPr>
        <w:t>50m</w:t>
      </w:r>
      <w:r>
        <w:rPr>
          <w:rFonts w:hint="eastAsia"/>
          <w:color w:val="auto"/>
          <w:highlight w:val="none"/>
        </w:rPr>
        <w:t>范围内，对周围环境影响较小。</w:t>
      </w:r>
    </w:p>
    <w:p>
      <w:pPr>
        <w:widowControl w:val="0"/>
        <w:ind w:firstLine="480"/>
        <w:rPr>
          <w:color w:val="auto"/>
          <w:highlight w:val="none"/>
        </w:rPr>
      </w:pPr>
      <w:r>
        <w:rPr>
          <w:rFonts w:hint="eastAsia"/>
          <w:color w:val="auto"/>
          <w:highlight w:val="none"/>
        </w:rPr>
        <w:t>因此，严格按环评文件及环保批复的要求进行管理，可将施工期影响降到最低程度。</w:t>
      </w:r>
    </w:p>
    <w:p>
      <w:pPr>
        <w:pStyle w:val="4"/>
        <w:widowControl w:val="0"/>
        <w:rPr>
          <w:color w:val="auto"/>
          <w:highlight w:val="none"/>
        </w:rPr>
      </w:pPr>
      <w:bookmarkStart w:id="74" w:name="_Toc14211"/>
      <w:r>
        <w:rPr>
          <w:rFonts w:hint="eastAsia"/>
          <w:color w:val="auto"/>
          <w:highlight w:val="none"/>
        </w:rPr>
        <w:t>营运期环境影响预测与评价</w:t>
      </w:r>
      <w:bookmarkEnd w:id="74"/>
    </w:p>
    <w:p>
      <w:pPr>
        <w:pStyle w:val="5"/>
        <w:widowControl w:val="0"/>
        <w:ind w:firstLine="120"/>
        <w:rPr>
          <w:color w:val="auto"/>
          <w:highlight w:val="none"/>
        </w:rPr>
      </w:pPr>
      <w:r>
        <w:rPr>
          <w:rFonts w:hint="eastAsia"/>
          <w:color w:val="auto"/>
          <w:highlight w:val="none"/>
        </w:rPr>
        <w:t>地表水环境影响分析</w:t>
      </w:r>
    </w:p>
    <w:p>
      <w:pPr>
        <w:widowControl w:val="0"/>
        <w:ind w:firstLine="480"/>
        <w:rPr>
          <w:color w:val="auto"/>
          <w:highlight w:val="none"/>
        </w:rPr>
      </w:pPr>
      <w:r>
        <w:rPr>
          <w:rFonts w:hint="eastAsia"/>
          <w:color w:val="auto"/>
          <w:highlight w:val="none"/>
        </w:rPr>
        <w:t>本项目废水进入经自建污水处理站处理后排入元坨社区市政污水管网，通过市政污水管网汇入响滩镇污水处理厂处理。根据《环境影响评价技术导则—地表水环境》（</w:t>
      </w:r>
      <w:r>
        <w:rPr>
          <w:color w:val="auto"/>
          <w:highlight w:val="none"/>
        </w:rPr>
        <w:t>HJ2.3</w:t>
      </w:r>
      <w:r>
        <w:rPr>
          <w:rFonts w:hint="eastAsia"/>
          <w:color w:val="auto"/>
          <w:highlight w:val="none"/>
        </w:rPr>
        <w:t>—</w:t>
      </w:r>
      <w:r>
        <w:rPr>
          <w:color w:val="auto"/>
          <w:highlight w:val="none"/>
        </w:rPr>
        <w:t>2018</w:t>
      </w:r>
      <w:r>
        <w:rPr>
          <w:rFonts w:hint="eastAsia"/>
          <w:color w:val="auto"/>
          <w:highlight w:val="none"/>
        </w:rPr>
        <w:t>），本项目排放方式为间接排放，水污染影响型三级B评价，可不进行水环境影响预测，进行地表水环境影响评价，“</w:t>
      </w:r>
      <w:r>
        <w:rPr>
          <w:color w:val="auto"/>
          <w:highlight w:val="none"/>
        </w:rPr>
        <w:t>8.1.2</w:t>
      </w:r>
      <w:r>
        <w:rPr>
          <w:rFonts w:hint="eastAsia"/>
          <w:color w:val="auto"/>
          <w:highlight w:val="none"/>
        </w:rPr>
        <w:t>水污染影响型三级</w:t>
      </w:r>
      <w:r>
        <w:rPr>
          <w:color w:val="auto"/>
          <w:highlight w:val="none"/>
        </w:rPr>
        <w:t>B</w:t>
      </w:r>
      <w:r>
        <w:rPr>
          <w:rFonts w:hint="eastAsia"/>
          <w:color w:val="auto"/>
          <w:highlight w:val="none"/>
        </w:rPr>
        <w:t>评价。主要评价内容包括：</w:t>
      </w:r>
      <w:r>
        <w:rPr>
          <w:color w:val="auto"/>
          <w:highlight w:val="none"/>
        </w:rPr>
        <w:t>a</w:t>
      </w:r>
      <w:r>
        <w:rPr>
          <w:rFonts w:hint="eastAsia"/>
          <w:color w:val="auto"/>
          <w:highlight w:val="none"/>
        </w:rPr>
        <w:t>）水污染控制和水环境影响减缓措施有效性评价；</w:t>
      </w:r>
      <w:r>
        <w:rPr>
          <w:color w:val="auto"/>
          <w:highlight w:val="none"/>
        </w:rPr>
        <w:t>b</w:t>
      </w:r>
      <w:r>
        <w:rPr>
          <w:rFonts w:hint="eastAsia"/>
          <w:color w:val="auto"/>
          <w:highlight w:val="none"/>
        </w:rPr>
        <w:t>）依托污水处理设施的环境可行性评价。”。</w:t>
      </w:r>
    </w:p>
    <w:p>
      <w:pPr>
        <w:pStyle w:val="6"/>
        <w:widowControl w:val="0"/>
        <w:ind w:left="-160" w:firstLineChars="0"/>
        <w:rPr>
          <w:color w:val="auto"/>
          <w:highlight w:val="none"/>
        </w:rPr>
      </w:pPr>
      <w:r>
        <w:rPr>
          <w:rFonts w:hint="eastAsia"/>
          <w:color w:val="auto"/>
          <w:highlight w:val="none"/>
        </w:rPr>
        <w:t>水污染控制和水环境影响减缓措施有效性评价</w:t>
      </w:r>
    </w:p>
    <w:p>
      <w:pPr>
        <w:widowControl w:val="0"/>
        <w:ind w:firstLine="480"/>
        <w:rPr>
          <w:color w:val="auto"/>
          <w:highlight w:val="none"/>
        </w:rPr>
      </w:pPr>
      <w:r>
        <w:rPr>
          <w:rFonts w:hint="eastAsia"/>
          <w:color w:val="auto"/>
          <w:highlight w:val="none"/>
        </w:rPr>
        <w:t>本项目拟设置一座处理能力为500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的污水处理站，污水首先通过“格栅池+沉渣池+多功能生物调节池+气浮沉渣池+厌氧池+初沉池+缺氧池1+好氧池1+缺氧池2+紫外消毒+清水池”处理工艺处理后达到《肉类加工工业水污染物排放标准》（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畜类屠宰三级排放标准排入元坨社区市政污水管网，通过市政污水管网汇入响滩镇污水处理厂处理处理。</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）污水处理站工艺有效性评价</w:t>
      </w:r>
    </w:p>
    <w:p>
      <w:pPr>
        <w:widowControl w:val="0"/>
        <w:ind w:firstLine="480"/>
        <w:rPr>
          <w:color w:val="auto"/>
          <w:highlight w:val="none"/>
        </w:rPr>
      </w:pPr>
      <w:r>
        <w:rPr>
          <w:rFonts w:hint="eastAsia"/>
          <w:color w:val="auto"/>
          <w:highlight w:val="none"/>
        </w:rPr>
        <w:t>项目废水经本项目拟建污水处理站采用的处理工艺对《屠宰与肉类加工废水治理工程技术规范》（HJ2004-2010）中典型工艺（格栅+沉砂池+隔油池+厌氧池+好氧池+消毒）进行了改进，符合规范要求，因此项目污水处理站工艺可行。</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）污水处理站规模有效性分析</w:t>
      </w:r>
    </w:p>
    <w:p>
      <w:pPr>
        <w:widowControl w:val="0"/>
        <w:ind w:firstLine="480"/>
        <w:rPr>
          <w:rFonts w:ascii="宋体" w:hAnsi="宋体"/>
          <w:color w:val="auto"/>
          <w:highlight w:val="none"/>
        </w:rPr>
      </w:pPr>
      <w:r>
        <w:rPr>
          <w:rFonts w:hint="eastAsia"/>
          <w:color w:val="auto"/>
          <w:highlight w:val="none"/>
        </w:rPr>
        <w:t>按本项目生产核算，日最大排水量为254.8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，本项目污水处理站设计规模为500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，其大于项目最大废水量，因此其规模具有有效性。</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）水环境减缓措施有效性评价</w:t>
      </w:r>
    </w:p>
    <w:p>
      <w:pPr>
        <w:widowControl w:val="0"/>
        <w:ind w:firstLine="480"/>
        <w:rPr>
          <w:color w:val="auto"/>
          <w:highlight w:val="none"/>
        </w:rPr>
      </w:pPr>
      <w:r>
        <w:rPr>
          <w:rFonts w:hint="eastAsia"/>
          <w:color w:val="auto"/>
          <w:highlight w:val="none"/>
        </w:rPr>
        <w:t>项目产生废水经自建的污水处理站处理后排入响滩镇污水处理站的废水水质可达《肉类加工工业水污染物排放标准》（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畜类屠宰三级排放标准。故排放口排放浓度限值满足国家标准和地方相关排放标准，水污染控制措施有效。</w:t>
      </w:r>
    </w:p>
    <w:p>
      <w:pPr>
        <w:widowControl w:val="0"/>
        <w:ind w:firstLine="482"/>
        <w:rPr>
          <w:rFonts w:ascii="宋体" w:hAnsi="宋体"/>
          <w:b/>
          <w:bCs/>
          <w:color w:val="auto"/>
          <w:highlight w:val="none"/>
        </w:rPr>
      </w:pPr>
      <w:r>
        <w:rPr>
          <w:rFonts w:hint="eastAsia" w:ascii="宋体" w:hAnsi="宋体"/>
          <w:b/>
          <w:bCs/>
          <w:color w:val="auto"/>
          <w:highlight w:val="none"/>
        </w:rPr>
        <w:t>综上，项目拟采取的水污染控制和水环境影响减缓措施合理有效。</w:t>
      </w:r>
    </w:p>
    <w:p>
      <w:pPr>
        <w:pStyle w:val="6"/>
        <w:widowControl w:val="0"/>
        <w:ind w:firstLine="241"/>
        <w:rPr>
          <w:color w:val="auto"/>
          <w:highlight w:val="none"/>
        </w:rPr>
      </w:pPr>
      <w:r>
        <w:rPr>
          <w:rFonts w:hint="eastAsia"/>
          <w:color w:val="auto"/>
          <w:highlight w:val="none"/>
        </w:rPr>
        <w:t>响滩镇污水处理厂依托可行性分析</w:t>
      </w:r>
    </w:p>
    <w:p>
      <w:pPr>
        <w:widowControl w:val="0"/>
        <w:ind w:firstLine="482"/>
        <w:rPr>
          <w:b/>
          <w:bCs/>
          <w:color w:val="auto"/>
          <w:highlight w:val="none"/>
        </w:rPr>
      </w:pPr>
      <w:r>
        <w:rPr>
          <w:rFonts w:hint="eastAsia"/>
          <w:b/>
          <w:bCs/>
          <w:color w:val="auto"/>
          <w:highlight w:val="none"/>
        </w:rPr>
        <w:t>（1）排入污水处理厂污水量可行性分析</w:t>
      </w:r>
    </w:p>
    <w:p>
      <w:pPr>
        <w:widowControl w:val="0"/>
        <w:ind w:firstLine="480"/>
        <w:rPr>
          <w:color w:val="auto"/>
          <w:highlight w:val="none"/>
        </w:rPr>
      </w:pPr>
      <w:r>
        <w:rPr>
          <w:rFonts w:hint="eastAsia"/>
          <w:color w:val="auto"/>
          <w:highlight w:val="none"/>
        </w:rPr>
        <w:t>响滩镇污水处理厂于2021年6月建成，目前正常运行，主要接纳响滩场镇产生的生活污水，该项目于2021年1月5日取得环评批复（平环境审函[2021]1号），其设计污水处理规模为2500m</w:t>
      </w:r>
      <w:r>
        <w:rPr>
          <w:rFonts w:hint="eastAsia"/>
          <w:color w:val="auto"/>
          <w:highlight w:val="none"/>
          <w:vertAlign w:val="superscript"/>
        </w:rPr>
        <w:t>3</w:t>
      </w:r>
      <w:r>
        <w:rPr>
          <w:rFonts w:hint="eastAsia"/>
          <w:color w:val="auto"/>
          <w:highlight w:val="none"/>
        </w:rPr>
        <w:t>/d，现已利用700m</w:t>
      </w:r>
      <w:r>
        <w:rPr>
          <w:rFonts w:hint="eastAsia"/>
          <w:color w:val="auto"/>
          <w:highlight w:val="none"/>
          <w:vertAlign w:val="superscript"/>
        </w:rPr>
        <w:t>3</w:t>
      </w:r>
      <w:r>
        <w:rPr>
          <w:rFonts w:hint="eastAsia"/>
          <w:color w:val="auto"/>
          <w:highlight w:val="none"/>
        </w:rPr>
        <w:t>/d，剩余1800m</w:t>
      </w:r>
      <w:r>
        <w:rPr>
          <w:rFonts w:hint="eastAsia"/>
          <w:color w:val="auto"/>
          <w:highlight w:val="none"/>
          <w:vertAlign w:val="superscript"/>
        </w:rPr>
        <w:t>3</w:t>
      </w:r>
      <w:r>
        <w:rPr>
          <w:rFonts w:hint="eastAsia"/>
          <w:color w:val="auto"/>
          <w:highlight w:val="none"/>
        </w:rPr>
        <w:t>/d处理能力，本项目日最高排水量为254.8m</w:t>
      </w:r>
      <w:r>
        <w:rPr>
          <w:rFonts w:hint="eastAsia"/>
          <w:color w:val="auto"/>
          <w:highlight w:val="none"/>
          <w:vertAlign w:val="superscript"/>
        </w:rPr>
        <w:t>3</w:t>
      </w:r>
      <w:r>
        <w:rPr>
          <w:rFonts w:hint="eastAsia"/>
          <w:color w:val="auto"/>
          <w:highlight w:val="none"/>
        </w:rPr>
        <w:t>/d，占总污水处理规模的10.2%，占目前剩余处理规模的14.1%，因此，可接纳本项目废水。</w:t>
      </w:r>
    </w:p>
    <w:p>
      <w:pPr>
        <w:widowControl w:val="0"/>
        <w:ind w:firstLine="480"/>
        <w:rPr>
          <w:color w:val="auto"/>
          <w:highlight w:val="none"/>
        </w:rPr>
      </w:pPr>
      <w:r>
        <w:rPr>
          <w:rFonts w:hint="eastAsia"/>
          <w:color w:val="auto"/>
          <w:highlight w:val="none"/>
        </w:rPr>
        <w:t>根据平昌县响滩镇出具的《关于响滩镇污水处理站建设情况的说明》可知，响滩污水处理站设计污水处理能力2500吨/日，采用“AA/O +硅藻精土”工艺，目前响滩镇已建成污水管网11.9公里，已覆盖全镇3个社区、2个村，供给2500户，还未覆盖2个社区1个村庄（西桥社区、元坨社区、石泉村），共计650户，计划于2022年完成未覆盖村社污水管网建设，目前实际处理规模700余吨/日。</w:t>
      </w:r>
    </w:p>
    <w:p>
      <w:pPr>
        <w:widowControl w:val="0"/>
        <w:ind w:firstLine="480"/>
        <w:rPr>
          <w:color w:val="auto"/>
          <w:highlight w:val="none"/>
        </w:rPr>
      </w:pPr>
      <w:r>
        <w:rPr>
          <w:rFonts w:hint="eastAsia"/>
          <w:color w:val="auto"/>
          <w:highlight w:val="none"/>
        </w:rPr>
        <w:t>根据计算，响滩镇污水处理厂2022年末完成未覆盖村社污水管网建设后，实际处理生活污水约857t/d，计入本项目排进响滩镇污水处理厂最高水量254.8t/d，实际污水处理总量约1111.6t/d，因此，本项目日最高排水量为254.8m</w:t>
      </w:r>
      <w:r>
        <w:rPr>
          <w:rFonts w:hint="eastAsia"/>
          <w:color w:val="auto"/>
          <w:highlight w:val="none"/>
          <w:vertAlign w:val="superscript"/>
        </w:rPr>
        <w:t>3</w:t>
      </w:r>
      <w:r>
        <w:rPr>
          <w:rFonts w:hint="eastAsia"/>
          <w:color w:val="auto"/>
          <w:highlight w:val="none"/>
        </w:rPr>
        <w:t>/d，占实际处理总量的22.9%，可接纳本项目废水。</w:t>
      </w:r>
    </w:p>
    <w:p>
      <w:pPr>
        <w:widowControl w:val="0"/>
        <w:ind w:firstLine="482"/>
        <w:rPr>
          <w:b/>
          <w:bCs/>
          <w:color w:val="auto"/>
          <w:highlight w:val="none"/>
        </w:rPr>
      </w:pPr>
      <w:r>
        <w:rPr>
          <w:rFonts w:hint="eastAsia"/>
          <w:b/>
          <w:bCs/>
          <w:color w:val="auto"/>
          <w:highlight w:val="none"/>
        </w:rPr>
        <w:t>（2）对地表水体的影响分析</w:t>
      </w:r>
    </w:p>
    <w:p>
      <w:pPr>
        <w:widowControl w:val="0"/>
        <w:ind w:firstLine="480"/>
        <w:rPr>
          <w:color w:val="auto"/>
          <w:highlight w:val="none"/>
        </w:rPr>
      </w:pPr>
      <w:r>
        <w:rPr>
          <w:rFonts w:hint="eastAsia"/>
          <w:color w:val="auto"/>
          <w:highlight w:val="none"/>
        </w:rPr>
        <w:t>响滩镇污水处理厂污水处理工艺采用“细格栅+调节池+改良A</w:t>
      </w:r>
      <w:r>
        <w:rPr>
          <w:rFonts w:hint="eastAsia"/>
          <w:color w:val="auto"/>
          <w:highlight w:val="none"/>
          <w:vertAlign w:val="superscript"/>
        </w:rPr>
        <w:t>2</w:t>
      </w:r>
      <w:r>
        <w:rPr>
          <w:rFonts w:hint="eastAsia"/>
          <w:color w:val="auto"/>
          <w:highlight w:val="none"/>
        </w:rPr>
        <w:t>/O+硅藻精土”工艺，出水水质达到《城镇污水处理厂污染物排放标准》（GB18918-2002）一级A标准限值后排入濛溪河。</w:t>
      </w:r>
    </w:p>
    <w:p>
      <w:pPr>
        <w:widowControl w:val="0"/>
        <w:ind w:firstLine="480"/>
        <w:rPr>
          <w:color w:val="auto"/>
          <w:highlight w:val="none"/>
        </w:rPr>
      </w:pPr>
      <w:r>
        <w:rPr>
          <w:rFonts w:hint="eastAsia"/>
          <w:color w:val="auto"/>
          <w:highlight w:val="none"/>
        </w:rPr>
        <w:t>根据四川锡水金山环保科技有限公司于2021年10月20日-10月22日对本项目评价区内的地表水环境质量现状进行的监测分析，项目周边地表水体濛溪河</w:t>
      </w:r>
      <w:r>
        <w:rPr>
          <w:color w:val="auto"/>
          <w:highlight w:val="none"/>
        </w:rPr>
        <w:t>pH、水温、溶解氧、悬浮物、化学需氧量、五日生化需氧量、氨氮、总磷、总氮、粪大肠菌群、挥发酚</w:t>
      </w:r>
      <w:r>
        <w:rPr>
          <w:rFonts w:hint="eastAsia"/>
          <w:color w:val="auto"/>
          <w:highlight w:val="none"/>
        </w:rPr>
        <w:t>等污染因子均满足《地表水环境质量标准》（GB3838-2002）Ⅲ类标准限值，项目所在区域地表水环境质量现状较好。</w:t>
      </w:r>
    </w:p>
    <w:p>
      <w:pPr>
        <w:widowControl w:val="0"/>
        <w:ind w:firstLine="480"/>
        <w:rPr>
          <w:color w:val="auto"/>
          <w:highlight w:val="none"/>
        </w:rPr>
      </w:pPr>
      <w:r>
        <w:rPr>
          <w:rFonts w:hint="eastAsia"/>
          <w:color w:val="auto"/>
          <w:highlight w:val="none"/>
        </w:rPr>
        <w:t>根据《平昌县场镇生活污水处理站暨配套管网工程环境影响报告表》中对响滩镇污水处理厂运行期间排水正常情况的预测，该污水处理厂设计满负荷正常运行的情况受纳水体濛溪河COD浓度与NH</w:t>
      </w:r>
      <w:r>
        <w:rPr>
          <w:rFonts w:hint="eastAsia"/>
          <w:color w:val="auto"/>
          <w:highlight w:val="none"/>
          <w:vertAlign w:val="subscript"/>
        </w:rPr>
        <w:t>3</w:t>
      </w:r>
      <w:r>
        <w:rPr>
          <w:rFonts w:hint="eastAsia"/>
          <w:color w:val="auto"/>
          <w:highlight w:val="none"/>
        </w:rPr>
        <w:t>-N均能达到《地表水环境质量标准》（GB3838-2002）Ⅲ类水域标准要求。</w:t>
      </w:r>
    </w:p>
    <w:p>
      <w:pPr>
        <w:widowControl w:val="0"/>
        <w:ind w:firstLine="480"/>
        <w:rPr>
          <w:color w:val="auto"/>
          <w:highlight w:val="none"/>
        </w:rPr>
      </w:pPr>
      <w:r>
        <w:rPr>
          <w:rFonts w:hint="eastAsia"/>
          <w:color w:val="auto"/>
          <w:highlight w:val="none"/>
        </w:rPr>
        <w:t>根据平昌县住房和城乡建设局出具的《关于将项目废弃污水排入响滩镇污水处理站的批复》可知，本项目将项目污水处理达到《污水排入城镇下水道水质标准》（GB/T31962-2015）和《污水综合排放标准》（GB8978-1996）标准要求，并取得《建设项目排污许可证》后可接入响滩镇污水处理站</w:t>
      </w:r>
      <w:r>
        <w:rPr>
          <w:rFonts w:hint="eastAsia"/>
          <w:color w:val="auto"/>
          <w:highlight w:val="none"/>
          <w:lang w:eastAsia="zh-CN"/>
        </w:rPr>
        <w:t>；</w:t>
      </w:r>
      <w:r>
        <w:rPr>
          <w:rFonts w:hint="eastAsia"/>
          <w:color w:val="auto"/>
          <w:highlight w:val="none"/>
        </w:rPr>
        <w:t>根据巴中市平昌生态环境局2022年6月27日出具的《关于项目废水和生活污水排入响滩镇污水处理厂的函》可知，在认真落实环保设施的情况下，本项目污水经自建污水处理厂处理达到《肉类加工工业水污染物排放标准》（</w:t>
      </w:r>
      <w:r>
        <w:rPr>
          <w:color w:val="auto"/>
          <w:highlight w:val="none"/>
        </w:rPr>
        <w:t>GB13457-92</w:t>
      </w:r>
      <w:r>
        <w:rPr>
          <w:rFonts w:hint="eastAsia"/>
          <w:color w:val="auto"/>
          <w:highlight w:val="none"/>
        </w:rPr>
        <w:t>）《污水排入城镇下水道水质标准》（GB/T31962-2015）后可排入响滩镇污水处理厂。</w:t>
      </w:r>
    </w:p>
    <w:p>
      <w:pPr>
        <w:pStyle w:val="27"/>
        <w:widowControl w:val="0"/>
        <w:rPr>
          <w:color w:val="auto"/>
          <w:highlight w:val="none"/>
        </w:rPr>
      </w:pPr>
      <w:r>
        <w:rPr>
          <w:rFonts w:hint="eastAsia"/>
          <w:color w:val="auto"/>
          <w:highlight w:val="none"/>
        </w:rPr>
        <w:t>项目废水执行标准一览表</w:t>
      </w:r>
    </w:p>
    <w:tbl>
      <w:tblPr>
        <w:tblStyle w:val="23"/>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906"/>
        <w:gridCol w:w="1090"/>
        <w:gridCol w:w="866"/>
        <w:gridCol w:w="646"/>
        <w:gridCol w:w="749"/>
        <w:gridCol w:w="570"/>
        <w:gridCol w:w="631"/>
        <w:gridCol w:w="687"/>
        <w:gridCol w:w="924"/>
        <w:gridCol w:w="1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c>
          <w:tcPr>
            <w:tcW w:w="1591" w:type="pct"/>
            <w:gridSpan w:val="2"/>
            <w:vAlign w:val="center"/>
          </w:tcPr>
          <w:p>
            <w:pPr>
              <w:pStyle w:val="28"/>
              <w:widowControl w:val="0"/>
              <w:rPr>
                <w:color w:val="auto"/>
                <w:highlight w:val="none"/>
              </w:rPr>
            </w:pPr>
            <w:r>
              <w:rPr>
                <w:rFonts w:hint="eastAsia"/>
                <w:color w:val="auto"/>
                <w:highlight w:val="none"/>
              </w:rPr>
              <w:t>污染物</w:t>
            </w:r>
          </w:p>
        </w:tc>
        <w:tc>
          <w:tcPr>
            <w:tcW w:w="460" w:type="pct"/>
            <w:tcBorders>
              <w:tl2br w:val="nil"/>
              <w:tr2bl w:val="nil"/>
            </w:tcBorders>
            <w:vAlign w:val="center"/>
          </w:tcPr>
          <w:p>
            <w:pPr>
              <w:pStyle w:val="28"/>
              <w:widowControl w:val="0"/>
              <w:rPr>
                <w:color w:val="auto"/>
                <w:highlight w:val="none"/>
              </w:rPr>
            </w:pPr>
            <w:r>
              <w:rPr>
                <w:rFonts w:hint="eastAsia"/>
                <w:color w:val="auto"/>
                <w:highlight w:val="none"/>
              </w:rPr>
              <w:t>pH</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397" w:type="pct"/>
            <w:tcBorders>
              <w:tl2br w:val="nil"/>
              <w:tr2bl w:val="nil"/>
            </w:tcBorders>
            <w:vAlign w:val="center"/>
          </w:tcPr>
          <w:p>
            <w:pPr>
              <w:pStyle w:val="28"/>
              <w:widowControl w:val="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SS</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氨氮</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动植物油</w:t>
            </w:r>
          </w:p>
        </w:tc>
        <w:tc>
          <w:tcPr>
            <w:tcW w:w="490" w:type="pct"/>
            <w:tcBorders>
              <w:tl2br w:val="nil"/>
              <w:tr2bl w:val="nil"/>
            </w:tcBorders>
            <w:vAlign w:val="center"/>
          </w:tcPr>
          <w:p>
            <w:pPr>
              <w:pStyle w:val="28"/>
              <w:widowControl w:val="0"/>
              <w:rPr>
                <w:color w:val="auto"/>
                <w:highlight w:val="none"/>
              </w:rPr>
            </w:pPr>
            <w:r>
              <w:rPr>
                <w:rFonts w:hint="eastAsia"/>
                <w:color w:val="auto"/>
                <w:highlight w:val="none"/>
              </w:rPr>
              <w:t>粪大肠菌群数(个/L)</w:t>
            </w:r>
          </w:p>
        </w:tc>
        <w:tc>
          <w:tcPr>
            <w:tcW w:w="713" w:type="pct"/>
            <w:tcBorders>
              <w:tl2br w:val="nil"/>
              <w:tr2bl w:val="nil"/>
            </w:tcBorders>
            <w:vAlign w:val="center"/>
          </w:tcPr>
          <w:p>
            <w:pPr>
              <w:pStyle w:val="28"/>
              <w:widowControl w:val="0"/>
              <w:rPr>
                <w:color w:val="auto"/>
                <w:highlight w:val="none"/>
              </w:rPr>
            </w:pPr>
            <w:r>
              <w:rPr>
                <w:rFonts w:hint="eastAsia"/>
                <w:color w:val="auto"/>
                <w:highlight w:val="none"/>
              </w:rPr>
              <w:t>排水量</w:t>
            </w:r>
          </w:p>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/t(活屠量)</w:t>
            </w:r>
          </w:p>
          <w:p>
            <w:pPr>
              <w:pStyle w:val="28"/>
              <w:widowControl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/t(原料肉)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012" w:type="pct"/>
            <w:vMerge w:val="restart"/>
            <w:tcBorders>
              <w:tl2br w:val="nil"/>
              <w:tr2bl w:val="nil"/>
            </w:tcBorders>
            <w:vAlign w:val="center"/>
          </w:tcPr>
          <w:p>
            <w:pPr>
              <w:pStyle w:val="28"/>
              <w:widowControl w:val="0"/>
              <w:wordWrap w:val="0"/>
              <w:rPr>
                <w:color w:val="auto"/>
                <w:highlight w:val="none"/>
              </w:rPr>
            </w:pPr>
            <w:r>
              <w:rPr>
                <w:rFonts w:hint="eastAsia"/>
                <w:color w:val="auto"/>
                <w:highlight w:val="none"/>
              </w:rPr>
              <w:t>《肉类加工工业水污染物排放标准》（GB13457-92）三级标准</w:t>
            </w: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排放浓度(mg/L)</w:t>
            </w:r>
          </w:p>
        </w:tc>
        <w:tc>
          <w:tcPr>
            <w:tcW w:w="460" w:type="pct"/>
            <w:vMerge w:val="restart"/>
            <w:tcBorders>
              <w:tl2br w:val="nil"/>
              <w:tr2bl w:val="nil"/>
            </w:tcBorders>
            <w:vAlign w:val="center"/>
          </w:tcPr>
          <w:p>
            <w:pPr>
              <w:pStyle w:val="28"/>
              <w:widowControl w:val="0"/>
              <w:rPr>
                <w:color w:val="auto"/>
                <w:highlight w:val="none"/>
              </w:rPr>
            </w:pPr>
            <w:r>
              <w:rPr>
                <w:rFonts w:hint="eastAsia"/>
                <w:color w:val="auto"/>
                <w:highlight w:val="none"/>
              </w:rPr>
              <w:t>6.0~8.5</w:t>
            </w: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400</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45*</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60</w:t>
            </w:r>
          </w:p>
        </w:tc>
        <w:tc>
          <w:tcPr>
            <w:tcW w:w="490" w:type="pct"/>
            <w:vMerge w:val="restart"/>
            <w:tcBorders>
              <w:tl2br w:val="nil"/>
              <w:tr2bl w:val="nil"/>
            </w:tcBorders>
            <w:vAlign w:val="center"/>
          </w:tcPr>
          <w:p>
            <w:pPr>
              <w:pStyle w:val="28"/>
              <w:widowControl w:val="0"/>
              <w:rPr>
                <w:color w:val="auto"/>
                <w:highlight w:val="none"/>
              </w:rPr>
            </w:pPr>
            <w:r>
              <w:rPr>
                <w:rFonts w:hint="eastAsia"/>
                <w:color w:val="auto"/>
                <w:highlight w:val="none"/>
              </w:rPr>
              <w:t>-</w:t>
            </w:r>
          </w:p>
        </w:tc>
        <w:tc>
          <w:tcPr>
            <w:tcW w:w="713" w:type="pct"/>
            <w:vMerge w:val="restart"/>
            <w:tcBorders>
              <w:tl2br w:val="nil"/>
              <w:tr2bl w:val="nil"/>
            </w:tcBorders>
            <w:vAlign w:val="center"/>
          </w:tcPr>
          <w:p>
            <w:pPr>
              <w:pStyle w:val="28"/>
              <w:widowControl w:val="0"/>
              <w:rPr>
                <w:color w:val="auto"/>
                <w:highlight w:val="none"/>
              </w:rPr>
            </w:pPr>
            <w:r>
              <w:rPr>
                <w:rFonts w:hint="eastAsia"/>
                <w:color w:val="auto"/>
                <w:highlight w:val="none"/>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012" w:type="pct"/>
            <w:vMerge w:val="continue"/>
            <w:tcBorders>
              <w:tl2br w:val="nil"/>
              <w:tr2bl w:val="nil"/>
            </w:tcBorders>
            <w:vAlign w:val="center"/>
          </w:tcPr>
          <w:p>
            <w:pPr>
              <w:pStyle w:val="28"/>
              <w:widowControl w:val="0"/>
              <w:wordWrap w:val="0"/>
              <w:rPr>
                <w:color w:val="auto"/>
                <w:highlight w:val="none"/>
              </w:rPr>
            </w:pPr>
          </w:p>
        </w:tc>
        <w:tc>
          <w:tcPr>
            <w:tcW w:w="578" w:type="pct"/>
            <w:tcBorders>
              <w:tl2br w:val="nil"/>
              <w:tr2bl w:val="nil"/>
            </w:tcBorders>
            <w:vAlign w:val="center"/>
          </w:tcPr>
          <w:p>
            <w:pPr>
              <w:pStyle w:val="28"/>
              <w:widowControl w:val="0"/>
              <w:rPr>
                <w:color w:val="auto"/>
                <w:highlight w:val="none"/>
              </w:rPr>
            </w:pPr>
            <w:r>
              <w:rPr>
                <w:rFonts w:hint="eastAsia"/>
                <w:color w:val="auto"/>
                <w:highlight w:val="none"/>
              </w:rPr>
              <w:t>排放总量</w:t>
            </w:r>
          </w:p>
          <w:p>
            <w:pPr>
              <w:pStyle w:val="28"/>
              <w:widowControl w:val="0"/>
              <w:rPr>
                <w:color w:val="auto"/>
                <w:highlight w:val="none"/>
              </w:rPr>
            </w:pPr>
            <w:r>
              <w:rPr>
                <w:rFonts w:hint="eastAsia"/>
                <w:color w:val="auto"/>
                <w:highlight w:val="none"/>
              </w:rPr>
              <w:t>kg/t(活屠量)</w:t>
            </w:r>
          </w:p>
        </w:tc>
        <w:tc>
          <w:tcPr>
            <w:tcW w:w="460" w:type="pct"/>
            <w:vMerge w:val="continue"/>
            <w:tcBorders>
              <w:tl2br w:val="nil"/>
              <w:tr2bl w:val="nil"/>
            </w:tcBorders>
            <w:vAlign w:val="center"/>
          </w:tcPr>
          <w:p>
            <w:pPr>
              <w:pStyle w:val="28"/>
              <w:widowControl w:val="0"/>
              <w:rPr>
                <w:color w:val="auto"/>
                <w:highlight w:val="none"/>
              </w:rPr>
            </w:pPr>
          </w:p>
        </w:tc>
        <w:tc>
          <w:tcPr>
            <w:tcW w:w="343" w:type="pct"/>
            <w:tcBorders>
              <w:tl2br w:val="nil"/>
              <w:tr2bl w:val="nil"/>
            </w:tcBorders>
            <w:vAlign w:val="center"/>
          </w:tcPr>
          <w:p>
            <w:pPr>
              <w:pStyle w:val="28"/>
              <w:widowControl w:val="0"/>
              <w:rPr>
                <w:color w:val="auto"/>
                <w:highlight w:val="none"/>
              </w:rPr>
            </w:pPr>
            <w:r>
              <w:rPr>
                <w:rFonts w:hint="eastAsia"/>
                <w:color w:val="auto"/>
                <w:highlight w:val="none"/>
              </w:rPr>
              <w:t>3.3</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02" w:type="pct"/>
            <w:tcBorders>
              <w:tl2br w:val="nil"/>
              <w:tr2bl w:val="nil"/>
            </w:tcBorders>
            <w:vAlign w:val="center"/>
          </w:tcPr>
          <w:p>
            <w:pPr>
              <w:pStyle w:val="28"/>
              <w:widowControl w:val="0"/>
              <w:rPr>
                <w:color w:val="auto"/>
                <w:highlight w:val="none"/>
              </w:rPr>
            </w:pPr>
            <w:r>
              <w:rPr>
                <w:rFonts w:hint="eastAsia"/>
                <w:color w:val="auto"/>
                <w:highlight w:val="none"/>
              </w:rPr>
              <w:t>2.6</w:t>
            </w:r>
          </w:p>
        </w:tc>
        <w:tc>
          <w:tcPr>
            <w:tcW w:w="335"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364" w:type="pct"/>
            <w:tcBorders>
              <w:tl2br w:val="nil"/>
              <w:tr2bl w:val="nil"/>
            </w:tcBorders>
            <w:vAlign w:val="center"/>
          </w:tcPr>
          <w:p>
            <w:pPr>
              <w:pStyle w:val="28"/>
              <w:widowControl w:val="0"/>
              <w:rPr>
                <w:color w:val="auto"/>
                <w:highlight w:val="none"/>
              </w:rPr>
            </w:pPr>
            <w:r>
              <w:rPr>
                <w:rFonts w:hint="eastAsia"/>
                <w:color w:val="auto"/>
                <w:highlight w:val="none"/>
              </w:rPr>
              <w:t>0.4</w:t>
            </w:r>
          </w:p>
        </w:tc>
        <w:tc>
          <w:tcPr>
            <w:tcW w:w="490" w:type="pct"/>
            <w:vMerge w:val="continue"/>
            <w:tcBorders>
              <w:tl2br w:val="nil"/>
              <w:tr2bl w:val="nil"/>
            </w:tcBorders>
            <w:vAlign w:val="center"/>
          </w:tcPr>
          <w:p>
            <w:pPr>
              <w:pStyle w:val="28"/>
              <w:widowControl w:val="0"/>
              <w:rPr>
                <w:color w:val="auto"/>
                <w:highlight w:val="none"/>
              </w:rPr>
            </w:pPr>
          </w:p>
        </w:tc>
        <w:tc>
          <w:tcPr>
            <w:tcW w:w="713"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1591" w:type="pct"/>
            <w:gridSpan w:val="2"/>
            <w:tcBorders>
              <w:tl2br w:val="nil"/>
              <w:tr2bl w:val="nil"/>
            </w:tcBorders>
            <w:vAlign w:val="center"/>
          </w:tcPr>
          <w:p>
            <w:pPr>
              <w:pStyle w:val="28"/>
              <w:widowControl w:val="0"/>
              <w:rPr>
                <w:rFonts w:hint="eastAsia"/>
                <w:color w:val="auto"/>
                <w:highlight w:val="none"/>
              </w:rPr>
            </w:pPr>
            <w:r>
              <w:rPr>
                <w:rFonts w:hint="eastAsia"/>
                <w:color w:val="auto"/>
                <w:highlight w:val="none"/>
              </w:rPr>
              <w:t>《污水综合排放标准》（GB8978-1996）</w:t>
            </w:r>
            <w:r>
              <w:rPr>
                <w:rFonts w:hint="eastAsia"/>
                <w:color w:val="auto"/>
                <w:highlight w:val="none"/>
                <w:lang w:val="en-US" w:eastAsia="zh-CN"/>
              </w:rPr>
              <w:t>三级排放标准</w:t>
            </w:r>
          </w:p>
        </w:tc>
        <w:tc>
          <w:tcPr>
            <w:tcW w:w="460"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6~9</w:t>
            </w:r>
          </w:p>
        </w:tc>
        <w:tc>
          <w:tcPr>
            <w:tcW w:w="343"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500</w:t>
            </w:r>
          </w:p>
        </w:tc>
        <w:tc>
          <w:tcPr>
            <w:tcW w:w="397"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300</w:t>
            </w:r>
          </w:p>
        </w:tc>
        <w:tc>
          <w:tcPr>
            <w:tcW w:w="302"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400</w:t>
            </w:r>
          </w:p>
        </w:tc>
        <w:tc>
          <w:tcPr>
            <w:tcW w:w="335"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lang w:val="en-US" w:eastAsia="zh-CN"/>
              </w:rPr>
              <w:t>-</w:t>
            </w:r>
          </w:p>
        </w:tc>
        <w:tc>
          <w:tcPr>
            <w:tcW w:w="364"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100</w:t>
            </w:r>
          </w:p>
        </w:tc>
        <w:tc>
          <w:tcPr>
            <w:tcW w:w="490"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w:t>
            </w:r>
          </w:p>
        </w:tc>
        <w:tc>
          <w:tcPr>
            <w:tcW w:w="713" w:type="pct"/>
            <w:tcBorders>
              <w:tl2br w:val="nil"/>
              <w:tr2bl w:val="nil"/>
            </w:tcBorders>
            <w:vAlign w:val="center"/>
          </w:tcPr>
          <w:p>
            <w:pPr>
              <w:pStyle w:val="28"/>
              <w:widowControl w:val="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trPr>
        <w:tc>
          <w:tcPr>
            <w:tcW w:w="5000" w:type="pct"/>
            <w:gridSpan w:val="10"/>
            <w:tcBorders>
              <w:tl2br w:val="nil"/>
              <w:tr2bl w:val="nil"/>
            </w:tcBorders>
            <w:vAlign w:val="center"/>
          </w:tcPr>
          <w:p>
            <w:pPr>
              <w:pStyle w:val="28"/>
              <w:widowControl w:val="0"/>
              <w:rPr>
                <w:color w:val="auto"/>
                <w:highlight w:val="none"/>
              </w:rPr>
            </w:pPr>
            <w:r>
              <w:rPr>
                <w:rFonts w:hint="eastAsia"/>
                <w:color w:val="auto"/>
                <w:highlight w:val="none"/>
              </w:rPr>
              <w:t>注：*参展《污水排入城镇下水道水质标准》（GB/T 31962-2015）</w:t>
            </w:r>
          </w:p>
        </w:tc>
      </w:tr>
    </w:tbl>
    <w:p>
      <w:pPr>
        <w:widowControl w:val="0"/>
        <w:ind w:firstLine="480"/>
        <w:rPr>
          <w:color w:val="auto"/>
          <w:highlight w:val="none"/>
        </w:rPr>
      </w:pPr>
      <w:r>
        <w:rPr>
          <w:rFonts w:hint="eastAsia"/>
          <w:color w:val="auto"/>
          <w:highlight w:val="none"/>
        </w:rPr>
        <w:t>根据本项目拟建污水处理站，选用“</w:t>
      </w:r>
      <w:r>
        <w:rPr>
          <w:rFonts w:hint="eastAsia"/>
          <w:color w:val="auto"/>
          <w:highlight w:val="none"/>
          <w:lang w:eastAsia="zh-CN"/>
        </w:rPr>
        <w:t>格栅池+沉渣池+多功能生物调节池+气浮沉渣池+厌氧池+初沉池+缺氧池1+好氧池1+紫外线消毒+清水池</w:t>
      </w:r>
      <w:r>
        <w:rPr>
          <w:rFonts w:hint="eastAsia"/>
          <w:color w:val="auto"/>
          <w:highlight w:val="none"/>
        </w:rPr>
        <w:t>”工艺，本项目通过此工艺处理后可达到《肉类加工工业水污染物排放标准》（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畜类屠宰三级排放标准及《污水排入城镇下水道水质标准》（GB/T31962-2015）的标准要求，因此，响滩镇污水处理厂可接纳本项目产生的废弃污水。</w:t>
      </w:r>
    </w:p>
    <w:p>
      <w:pPr>
        <w:widowControl w:val="0"/>
        <w:ind w:firstLine="482"/>
        <w:rPr>
          <w:b/>
          <w:bCs/>
          <w:color w:val="auto"/>
          <w:highlight w:val="none"/>
        </w:rPr>
      </w:pPr>
      <w:r>
        <w:rPr>
          <w:rFonts w:hint="eastAsia"/>
          <w:b/>
          <w:bCs/>
          <w:color w:val="auto"/>
          <w:highlight w:val="none"/>
        </w:rPr>
        <w:t>（3）管道工程可行性分析</w:t>
      </w:r>
    </w:p>
    <w:p>
      <w:pPr>
        <w:widowControl w:val="0"/>
        <w:ind w:firstLine="480"/>
        <w:rPr>
          <w:color w:val="auto"/>
          <w:highlight w:val="none"/>
        </w:rPr>
      </w:pPr>
      <w:r>
        <w:rPr>
          <w:rFonts w:hint="eastAsia"/>
          <w:color w:val="auto"/>
          <w:highlight w:val="none"/>
        </w:rPr>
        <w:t>本项目拟自建污水管道约1.5km接入元坨社区市政污水管网，项目</w:t>
      </w:r>
      <w:r>
        <w:rPr>
          <w:rFonts w:hint="eastAsia"/>
          <w:color w:val="auto"/>
          <w:highlight w:val="none"/>
          <w:lang w:val="en-US" w:eastAsia="zh-CN"/>
        </w:rPr>
        <w:t>污水管网与响滩镇污水处理厂污水受纳管网连通工程</w:t>
      </w:r>
      <w:r>
        <w:rPr>
          <w:rFonts w:hint="eastAsia"/>
          <w:color w:val="auto"/>
          <w:highlight w:val="none"/>
        </w:rPr>
        <w:t>由本项目建设单位修建及维护。根据现场踏勘，目前元坨社区市政污水管网暂未建设完成，处于建设期，预计2022年年底完成并投入运行，元坨社区市政污水管网收集的生活污水汇入响滩镇污水处理厂进行处理。</w:t>
      </w:r>
    </w:p>
    <w:p>
      <w:pPr>
        <w:pStyle w:val="12"/>
        <w:widowControl w:val="0"/>
        <w:ind w:firstLine="480"/>
        <w:rPr>
          <w:color w:val="auto"/>
          <w:highlight w:val="none"/>
        </w:rPr>
      </w:pPr>
      <w:r>
        <w:rPr>
          <w:rFonts w:hint="eastAsia"/>
          <w:color w:val="auto"/>
          <w:highlight w:val="none"/>
        </w:rPr>
        <w:t>为保证项目运行期产生的废水能正常排入元坨社区市政污水管网，经污水市政污水管网汇入响滩镇污水处理厂处理，建设单位承诺，在元坨社区污水管网未建设完成之前，本项目不会进行生产，待元坨社区污水管网建设完成且正常运行后，本项目才正式营运。</w:t>
      </w:r>
    </w:p>
    <w:p>
      <w:pPr>
        <w:widowControl w:val="0"/>
        <w:ind w:firstLine="480"/>
        <w:rPr>
          <w:color w:val="auto"/>
          <w:highlight w:val="none"/>
        </w:rPr>
      </w:pPr>
      <w:r>
        <w:rPr>
          <w:rFonts w:hint="eastAsia"/>
          <w:color w:val="auto"/>
          <w:highlight w:val="none"/>
        </w:rPr>
        <w:t>综上所述，项目综合污水经自建污水处理站处理后排入元坨社区市政污水管网，通过市政污水管网汇入响滩镇污水处理厂处理可行。</w:t>
      </w:r>
    </w:p>
    <w:p>
      <w:pPr>
        <w:pStyle w:val="5"/>
        <w:widowControl w:val="0"/>
        <w:ind w:firstLine="120"/>
        <w:rPr>
          <w:color w:val="auto"/>
          <w:highlight w:val="none"/>
        </w:rPr>
      </w:pPr>
      <w:r>
        <w:rPr>
          <w:rFonts w:hint="eastAsia"/>
          <w:color w:val="auto"/>
          <w:highlight w:val="none"/>
        </w:rPr>
        <w:t>地下水环境影响分析</w:t>
      </w:r>
    </w:p>
    <w:p>
      <w:pPr>
        <w:pStyle w:val="6"/>
        <w:widowControl w:val="0"/>
        <w:ind w:left="-160" w:firstLineChars="0"/>
        <w:rPr>
          <w:color w:val="auto"/>
          <w:highlight w:val="none"/>
        </w:rPr>
      </w:pPr>
      <w:r>
        <w:rPr>
          <w:rFonts w:hint="eastAsia"/>
          <w:color w:val="auto"/>
          <w:highlight w:val="none"/>
        </w:rPr>
        <w:t>评价等级</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）建设项目所属的地下水环境影响评价项目类别</w:t>
      </w:r>
    </w:p>
    <w:p>
      <w:pPr>
        <w:widowControl w:val="0"/>
        <w:ind w:firstLine="480"/>
        <w:rPr>
          <w:color w:val="auto"/>
          <w:highlight w:val="none"/>
        </w:rPr>
      </w:pPr>
      <w:r>
        <w:rPr>
          <w:rFonts w:hint="eastAsia"/>
          <w:color w:val="auto"/>
          <w:highlight w:val="none"/>
        </w:rPr>
        <w:t>本项目为屠宰项目，按《环境影响评价技术导则 地下水环境》（</w:t>
      </w:r>
      <w:r>
        <w:rPr>
          <w:color w:val="auto"/>
          <w:highlight w:val="none"/>
        </w:rPr>
        <w:t>HJ610-2016</w:t>
      </w:r>
      <w:r>
        <w:rPr>
          <w:rFonts w:hint="eastAsia"/>
          <w:color w:val="auto"/>
          <w:highlight w:val="none"/>
        </w:rPr>
        <w:t>）的相关规定，本项目属于附录</w:t>
      </w:r>
      <w:r>
        <w:rPr>
          <w:color w:val="auto"/>
          <w:highlight w:val="none"/>
        </w:rPr>
        <w:t>A</w:t>
      </w:r>
      <w:r>
        <w:rPr>
          <w:rFonts w:hint="eastAsia"/>
          <w:color w:val="auto"/>
          <w:highlight w:val="none"/>
        </w:rPr>
        <w:t>（地下水环境影响评价行业分类表）中“N轻工——</w:t>
      </w:r>
      <w:r>
        <w:rPr>
          <w:color w:val="auto"/>
          <w:highlight w:val="none"/>
        </w:rPr>
        <w:t>98</w:t>
      </w:r>
      <w:r>
        <w:rPr>
          <w:rFonts w:hint="eastAsia"/>
          <w:color w:val="auto"/>
          <w:highlight w:val="none"/>
        </w:rPr>
        <w:t>、屠宰——报告书”类别，因此本项目属于</w:t>
      </w:r>
      <w:r>
        <w:rPr>
          <w:color w:val="auto"/>
          <w:highlight w:val="none"/>
        </w:rPr>
        <w:t>Ⅲ</w:t>
      </w:r>
      <w:r>
        <w:rPr>
          <w:rFonts w:hint="eastAsia"/>
          <w:color w:val="auto"/>
          <w:highlight w:val="none"/>
        </w:rPr>
        <w:t>类，需开展地下水环境影响评价。</w:t>
      </w:r>
    </w:p>
    <w:p>
      <w:pPr>
        <w:widowControl w:val="0"/>
        <w:ind w:firstLine="482"/>
        <w:rPr>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）建设项目的地下水环境敏感程度</w:t>
      </w:r>
    </w:p>
    <w:p>
      <w:pPr>
        <w:widowControl w:val="0"/>
        <w:ind w:firstLine="480"/>
        <w:rPr>
          <w:color w:val="auto"/>
          <w:highlight w:val="none"/>
        </w:rPr>
      </w:pPr>
      <w:r>
        <w:rPr>
          <w:rFonts w:hint="eastAsia"/>
          <w:color w:val="auto"/>
          <w:highlight w:val="none"/>
        </w:rPr>
        <w:t>根据现场调查，项目周边村民均接有自来水，居民</w:t>
      </w:r>
      <w:r>
        <w:rPr>
          <w:rFonts w:hint="eastAsia"/>
          <w:color w:val="auto"/>
          <w:highlight w:val="none"/>
          <w:lang w:val="en-US" w:eastAsia="zh-CN"/>
        </w:rPr>
        <w:t>均未</w:t>
      </w:r>
      <w:r>
        <w:rPr>
          <w:rFonts w:hint="eastAsia"/>
          <w:color w:val="auto"/>
          <w:highlight w:val="none"/>
        </w:rPr>
        <w:t>使用</w:t>
      </w:r>
      <w:r>
        <w:rPr>
          <w:rFonts w:hint="eastAsia"/>
          <w:color w:val="auto"/>
          <w:highlight w:val="none"/>
          <w:lang w:val="en-US" w:eastAsia="zh-CN"/>
        </w:rPr>
        <w:t>地下水</w:t>
      </w:r>
      <w:r>
        <w:rPr>
          <w:rFonts w:hint="eastAsia"/>
          <w:color w:val="auto"/>
          <w:highlight w:val="none"/>
        </w:rPr>
        <w:t>水源生活</w:t>
      </w:r>
      <w:r>
        <w:rPr>
          <w:rFonts w:hint="eastAsia"/>
          <w:color w:val="auto"/>
          <w:highlight w:val="none"/>
          <w:lang w:eastAsia="zh-CN"/>
        </w:rPr>
        <w:t>；</w:t>
      </w:r>
      <w:r>
        <w:rPr>
          <w:rFonts w:hint="eastAsia"/>
          <w:color w:val="auto"/>
          <w:highlight w:val="none"/>
          <w:lang w:val="en-US" w:eastAsia="zh-CN"/>
        </w:rPr>
        <w:t>本项目范围不涉及</w:t>
      </w:r>
      <w:r>
        <w:rPr>
          <w:rFonts w:hint="eastAsia"/>
          <w:color w:val="auto"/>
          <w:highlight w:val="none"/>
        </w:rPr>
        <w:t>集中式饮用水水源保护区以外的补给径流区</w:t>
      </w:r>
      <w:r>
        <w:rPr>
          <w:rFonts w:hint="eastAsia"/>
          <w:color w:val="auto"/>
          <w:highlight w:val="none"/>
          <w:lang w:eastAsia="zh-CN"/>
        </w:rPr>
        <w:t>、</w:t>
      </w:r>
      <w:r>
        <w:rPr>
          <w:rFonts w:hint="eastAsia"/>
          <w:color w:val="auto"/>
          <w:highlight w:val="none"/>
        </w:rPr>
        <w:t>未划定准保护区的集中式饮用水水源</w:t>
      </w:r>
      <w:r>
        <w:rPr>
          <w:rFonts w:hint="eastAsia"/>
          <w:color w:val="auto"/>
          <w:highlight w:val="none"/>
          <w:lang w:eastAsia="zh-CN"/>
        </w:rPr>
        <w:t>、</w:t>
      </w:r>
      <w:r>
        <w:rPr>
          <w:rFonts w:hint="eastAsia"/>
          <w:color w:val="auto"/>
          <w:highlight w:val="none"/>
        </w:rPr>
        <w:t>分散式饮用水水源地</w:t>
      </w:r>
      <w:r>
        <w:rPr>
          <w:rFonts w:hint="eastAsia"/>
          <w:color w:val="auto"/>
          <w:highlight w:val="none"/>
          <w:lang w:eastAsia="zh-CN"/>
        </w:rPr>
        <w:t>、</w:t>
      </w:r>
      <w:r>
        <w:rPr>
          <w:rFonts w:hint="eastAsia"/>
          <w:color w:val="auto"/>
          <w:highlight w:val="none"/>
        </w:rPr>
        <w:t>特殊地下水资源（如矿泉水、温泉等）保护区以外的分布区等</w:t>
      </w:r>
      <w:r>
        <w:rPr>
          <w:rFonts w:hint="eastAsia"/>
          <w:color w:val="auto"/>
          <w:highlight w:val="none"/>
          <w:lang w:eastAsia="zh-CN"/>
        </w:rPr>
        <w:t>，</w:t>
      </w:r>
      <w:r>
        <w:rPr>
          <w:rFonts w:hint="eastAsia"/>
          <w:color w:val="auto"/>
          <w:highlight w:val="none"/>
        </w:rPr>
        <w:t>因此其地下水环境敏感特征为</w:t>
      </w:r>
      <w:r>
        <w:rPr>
          <w:rStyle w:val="25"/>
          <w:rFonts w:hint="eastAsia"/>
          <w:color w:val="auto"/>
          <w:highlight w:val="none"/>
          <w:lang w:eastAsia="zh-CN"/>
        </w:rPr>
        <w:t>“</w:t>
      </w:r>
      <w:r>
        <w:rPr>
          <w:rFonts w:hint="eastAsia"/>
          <w:color w:val="auto"/>
          <w:highlight w:val="none"/>
          <w:lang w:val="en-US" w:eastAsia="zh-CN"/>
        </w:rPr>
        <w:t>不敏感</w:t>
      </w:r>
      <w:r>
        <w:rPr>
          <w:rStyle w:val="25"/>
          <w:rFonts w:hint="eastAsia"/>
          <w:color w:val="auto"/>
          <w:highlight w:val="none"/>
          <w:lang w:eastAsia="zh-CN"/>
        </w:rPr>
        <w:t>”</w:t>
      </w:r>
      <w:r>
        <w:rPr>
          <w:rFonts w:hint="eastAsia"/>
          <w:color w:val="auto"/>
          <w:highlight w:val="none"/>
        </w:rPr>
        <w:t>。</w:t>
      </w:r>
    </w:p>
    <w:p>
      <w:pPr>
        <w:widowControl w:val="0"/>
        <w:ind w:firstLine="480"/>
        <w:rPr>
          <w:color w:val="auto"/>
          <w:highlight w:val="none"/>
        </w:rPr>
      </w:pPr>
      <w:r>
        <w:rPr>
          <w:rFonts w:hint="eastAsia"/>
          <w:color w:val="auto"/>
          <w:highlight w:val="none"/>
        </w:rPr>
        <w:t>根据评价工作等级分级表，本次评价地下水环境定为三级。</w:t>
      </w:r>
    </w:p>
    <w:p>
      <w:pPr>
        <w:widowControl w:val="0"/>
        <w:numPr>
          <w:ilvl w:val="0"/>
          <w:numId w:val="5"/>
        </w:numPr>
        <w:ind w:firstLine="482"/>
        <w:rPr>
          <w:b/>
          <w:bCs/>
          <w:color w:val="auto"/>
          <w:highlight w:val="none"/>
        </w:rPr>
      </w:pPr>
      <w:r>
        <w:rPr>
          <w:rFonts w:hint="eastAsia"/>
          <w:b/>
          <w:bCs/>
          <w:color w:val="auto"/>
          <w:highlight w:val="none"/>
        </w:rPr>
        <w:t>评价范围</w:t>
      </w:r>
    </w:p>
    <w:p>
      <w:pPr>
        <w:widowControl w:val="0"/>
        <w:ind w:firstLine="480"/>
        <w:rPr>
          <w:color w:val="auto"/>
          <w:highlight w:val="none"/>
        </w:rPr>
      </w:pPr>
      <w:r>
        <w:rPr>
          <w:rFonts w:hint="eastAsia"/>
          <w:color w:val="auto"/>
          <w:highlight w:val="none"/>
        </w:rPr>
        <w:t>按照导则的要求，本项目地下水评价等级为三级，地下水环境现状调查与评价的范围参考导则中8.2.2进行确定。此调查评价范围以能说明地下水环境的基本状况为原则，应包括与建设项目相关的环境保护目标和敏感区域，必要时还应扩展至完整的水文地质单元。</w:t>
      </w:r>
    </w:p>
    <w:p>
      <w:pPr>
        <w:widowControl w:val="0"/>
        <w:ind w:firstLine="480"/>
        <w:rPr>
          <w:color w:val="auto"/>
          <w:highlight w:val="none"/>
        </w:rPr>
      </w:pPr>
      <w:r>
        <w:rPr>
          <w:rFonts w:hint="eastAsia"/>
          <w:color w:val="auto"/>
          <w:highlight w:val="none"/>
        </w:rPr>
        <w:t>根据本项目工程特点，结合地下水环境影响评价的要求，本次地下水环境评价范围确定采用自定义法。</w:t>
      </w:r>
      <w:r>
        <w:rPr>
          <w:color w:val="auto"/>
          <w:highlight w:val="none"/>
        </w:rPr>
        <w:t>本次评价</w:t>
      </w:r>
      <w:r>
        <w:rPr>
          <w:rFonts w:hint="eastAsia"/>
          <w:color w:val="auto"/>
          <w:highlight w:val="none"/>
        </w:rPr>
        <w:t>结合自定义法和公式计算法确定，以厂界上游北边界为150m，东、西、南以濛溪河为边界设置为本项目地下水评价范围，项目评价范围约0.177</w:t>
      </w:r>
      <w:r>
        <w:rPr>
          <w:color w:val="auto"/>
          <w:highlight w:val="none"/>
        </w:rPr>
        <w:t>km</w:t>
      </w:r>
      <w:r>
        <w:rPr>
          <w:color w:val="auto"/>
          <w:highlight w:val="none"/>
          <w:vertAlign w:val="superscript"/>
        </w:rPr>
        <w:t>2</w:t>
      </w:r>
      <w:r>
        <w:rPr>
          <w:color w:val="auto"/>
          <w:highlight w:val="none"/>
        </w:rPr>
        <w:t>。</w:t>
      </w:r>
    </w:p>
    <w:p>
      <w:pPr>
        <w:pStyle w:val="6"/>
        <w:widowControl w:val="0"/>
        <w:ind w:left="-160" w:firstLineChars="0"/>
        <w:rPr>
          <w:color w:val="auto"/>
          <w:highlight w:val="none"/>
        </w:rPr>
      </w:pPr>
      <w:r>
        <w:rPr>
          <w:rFonts w:hint="eastAsia"/>
          <w:color w:val="auto"/>
          <w:highlight w:val="none"/>
        </w:rPr>
        <w:t>地下水水文地质条件</w:t>
      </w:r>
    </w:p>
    <w:p>
      <w:pPr>
        <w:widowControl w:val="0"/>
        <w:ind w:firstLine="480"/>
        <w:rPr>
          <w:color w:val="auto"/>
          <w:highlight w:val="none"/>
        </w:rPr>
      </w:pPr>
      <w:r>
        <w:rPr>
          <w:color w:val="auto"/>
          <w:highlight w:val="none"/>
        </w:rPr>
        <w:t>根据工程区地下水赋存条件和含水介质特性、岩性及其组合的特点，工程场区内地下水类型主要为基岩裂隙水。基岩裂隙水主要为赋存在红层裂隙水中以层间裂隙承压水为主的浅部裂隙水，下部层间裂隙承压水，一般单位涌水量5~50t/d·m。</w:t>
      </w:r>
    </w:p>
    <w:p>
      <w:pPr>
        <w:widowControl w:val="0"/>
        <w:ind w:firstLine="480"/>
        <w:rPr>
          <w:color w:val="auto"/>
          <w:highlight w:val="none"/>
        </w:rPr>
      </w:pPr>
      <w:r>
        <w:rPr>
          <w:rFonts w:hint="eastAsia"/>
          <w:color w:val="auto"/>
          <w:highlight w:val="none"/>
        </w:rPr>
        <w:t>（1）</w:t>
      </w:r>
      <w:r>
        <w:rPr>
          <w:color w:val="auto"/>
          <w:highlight w:val="none"/>
        </w:rPr>
        <w:t>评价关注地层</w:t>
      </w:r>
    </w:p>
    <w:p>
      <w:pPr>
        <w:widowControl w:val="0"/>
        <w:ind w:firstLine="480"/>
        <w:rPr>
          <w:color w:val="auto"/>
          <w:highlight w:val="none"/>
        </w:rPr>
      </w:pPr>
      <w:r>
        <w:rPr>
          <w:color w:val="auto"/>
          <w:highlight w:val="none"/>
        </w:rPr>
        <w:t>工程区域地面出露为中生界白垩系城墙岩群剑阁组（K</w:t>
      </w:r>
      <w:r>
        <w:rPr>
          <w:i/>
          <w:iCs/>
          <w:color w:val="auto"/>
          <w:highlight w:val="none"/>
        </w:rPr>
        <w:t>jn</w:t>
      </w:r>
      <w:r>
        <w:rPr>
          <w:color w:val="auto"/>
          <w:highlight w:val="none"/>
        </w:rPr>
        <w:t>），该组地层为巨厚层块状钙质胶结中细粒长石石英砂岩及粉砂质泥岩，砂岩每层厚10~30m，赋存层间裂隙承压水。大面积连续分布时，单位涌水量可达80t/d·m。浅部含裂隙潜水，井泉流量0.01~0.1L/s，地下水</w:t>
      </w:r>
      <w:r>
        <w:rPr>
          <w:rFonts w:hint="eastAsia"/>
          <w:color w:val="auto"/>
          <w:highlight w:val="none"/>
        </w:rPr>
        <w:t>径流</w:t>
      </w:r>
      <w:r>
        <w:rPr>
          <w:color w:val="auto"/>
          <w:highlight w:val="none"/>
        </w:rPr>
        <w:t>模数0.2~0.4L/s·km</w:t>
      </w:r>
      <w:r>
        <w:rPr>
          <w:color w:val="auto"/>
          <w:highlight w:val="none"/>
          <w:vertAlign w:val="superscript"/>
        </w:rPr>
        <w:t>2</w:t>
      </w:r>
      <w:r>
        <w:rPr>
          <w:color w:val="auto"/>
          <w:highlight w:val="none"/>
        </w:rPr>
        <w:t>。主要分布于图幅东南部，呈中低山地貌，浅部普遍具风化带，厚度</w:t>
      </w:r>
      <w:r>
        <w:rPr>
          <w:rFonts w:hint="eastAsia"/>
          <w:color w:val="auto"/>
          <w:highlight w:val="none"/>
        </w:rPr>
        <w:t>&gt;</w:t>
      </w:r>
      <w:r>
        <w:rPr>
          <w:color w:val="auto"/>
          <w:highlight w:val="none"/>
        </w:rPr>
        <w:t>87m。</w:t>
      </w:r>
    </w:p>
    <w:p>
      <w:pPr>
        <w:widowControl w:val="0"/>
        <w:ind w:firstLine="480"/>
        <w:rPr>
          <w:color w:val="auto"/>
          <w:highlight w:val="none"/>
        </w:rPr>
      </w:pPr>
      <w:r>
        <w:rPr>
          <w:color w:val="auto"/>
          <w:highlight w:val="none"/>
        </w:rPr>
        <w:t>（2）水文地质及水化学特征</w:t>
      </w:r>
    </w:p>
    <w:p>
      <w:pPr>
        <w:widowControl w:val="0"/>
        <w:ind w:firstLine="480"/>
        <w:rPr>
          <w:rFonts w:ascii="宋体" w:hAnsi="宋体" w:cs="宋体"/>
          <w:color w:val="auto"/>
          <w:szCs w:val="24"/>
          <w:highlight w:val="none"/>
        </w:rPr>
      </w:pPr>
      <w:r>
        <w:rPr>
          <w:color w:val="auto"/>
          <w:highlight w:val="none"/>
        </w:rPr>
        <w:t>根据区域水文地质普查报告及区域综合水文地质图可知，工程区域出露地层为中生界白垩系城墙岩群剑阁组（K</w:t>
      </w:r>
      <w:r>
        <w:rPr>
          <w:i/>
          <w:iCs/>
          <w:color w:val="auto"/>
          <w:highlight w:val="none"/>
        </w:rPr>
        <w:t>jn</w:t>
      </w:r>
      <w:r>
        <w:rPr>
          <w:color w:val="auto"/>
          <w:highlight w:val="none"/>
        </w:rPr>
        <w:t>），其地下水类型为红层浅部裂隙水，井泉流量一般0.01~0.1L/s，地下水</w:t>
      </w:r>
      <w:r>
        <w:rPr>
          <w:rFonts w:hint="eastAsia"/>
          <w:color w:val="auto"/>
          <w:highlight w:val="none"/>
        </w:rPr>
        <w:t>径流</w:t>
      </w:r>
      <w:r>
        <w:rPr>
          <w:color w:val="auto"/>
          <w:highlight w:val="none"/>
        </w:rPr>
        <w:t>模数0.2~0.4L/s·km</w:t>
      </w:r>
      <w:r>
        <w:rPr>
          <w:color w:val="auto"/>
          <w:highlight w:val="none"/>
          <w:vertAlign w:val="superscript"/>
        </w:rPr>
        <w:t>2</w:t>
      </w:r>
      <w:r>
        <w:rPr>
          <w:color w:val="auto"/>
          <w:highlight w:val="none"/>
        </w:rPr>
        <w:t>，单位涌水量5~50t/d·m。为重碳酸钙型水，矿化度0.3~0.5g/L。</w:t>
      </w:r>
    </w:p>
    <w:p>
      <w:pPr>
        <w:widowControl w:val="0"/>
        <w:ind w:firstLine="480"/>
        <w:rPr>
          <w:color w:val="auto"/>
          <w:highlight w:val="none"/>
        </w:rPr>
      </w:pPr>
      <w:r>
        <w:rPr>
          <w:color w:val="auto"/>
          <w:highlight w:val="none"/>
        </w:rPr>
        <w:t>（3）补给、径流、排泄特征</w:t>
      </w:r>
    </w:p>
    <w:p>
      <w:pPr>
        <w:widowControl w:val="0"/>
        <w:ind w:firstLine="480"/>
        <w:rPr>
          <w:color w:val="auto"/>
          <w:highlight w:val="none"/>
        </w:rPr>
      </w:pPr>
      <w:r>
        <w:rPr>
          <w:color w:val="auto"/>
          <w:highlight w:val="none"/>
        </w:rPr>
        <w:t>一般山顶及山坡为地下水入渗补给区，主要接受大气降水垂直补给，通过砂岩、泥岩中的孔隙、风化裂隙向沟谷局部的侵蚀基准面运移，斜坡台地中后部、山脚及谷底低洼区为地下水浅埋区；山坡下部靠近埋藏区的斜坡为地下水的补给</w:t>
      </w:r>
      <w:r>
        <w:rPr>
          <w:rFonts w:hint="eastAsia"/>
          <w:color w:val="auto"/>
          <w:highlight w:val="none"/>
        </w:rPr>
        <w:t>径流</w:t>
      </w:r>
      <w:r>
        <w:rPr>
          <w:color w:val="auto"/>
          <w:highlight w:val="none"/>
        </w:rPr>
        <w:t>区，同样接受大气降水补给，同时地下水沿风化带裂隙向沟谷埋藏区</w:t>
      </w:r>
      <w:r>
        <w:rPr>
          <w:rFonts w:hint="eastAsia"/>
          <w:color w:val="auto"/>
          <w:highlight w:val="none"/>
        </w:rPr>
        <w:t>径流</w:t>
      </w:r>
      <w:r>
        <w:rPr>
          <w:color w:val="auto"/>
          <w:highlight w:val="none"/>
        </w:rPr>
        <w:t>或以下降泉的形式及在相对隔水的层面排泄；地下水在沟谷底会向更低的侵蚀基准面，由沟头向沟尾，支沟向主沟，缓慢的径流、排泄、入渗、径流、排泄过程；每个小沟域都可能形成独立的补迳排地下水系统。</w:t>
      </w:r>
    </w:p>
    <w:p>
      <w:pPr>
        <w:widowControl w:val="0"/>
        <w:ind w:firstLine="480"/>
        <w:rPr>
          <w:color w:val="auto"/>
          <w:highlight w:val="none"/>
        </w:rPr>
      </w:pPr>
      <w:r>
        <w:rPr>
          <w:color w:val="auto"/>
          <w:highlight w:val="none"/>
        </w:rPr>
        <w:t>大气降水是地下水的主要补给来源，受降水量、地貌、植被和岩石风化裂隙发育等因素影响，补给随地面条件而变化，大多数情况下，缓坡、谷地或浅切割的地区、地表植物茂盛、裂隙发育的地段补给量大；反之，补给量小。</w:t>
      </w:r>
    </w:p>
    <w:p>
      <w:pPr>
        <w:widowControl w:val="0"/>
        <w:ind w:firstLine="480"/>
        <w:rPr>
          <w:color w:val="auto"/>
          <w:highlight w:val="none"/>
        </w:rPr>
      </w:pPr>
      <w:r>
        <w:rPr>
          <w:color w:val="auto"/>
          <w:highlight w:val="none"/>
        </w:rPr>
        <w:t>含水层在露头区接受降水补给后，一部分地下水顺层作短暂运移到地形低洼处分散溢出地表；一部分则沿裂隙或裂隙溶洞下渗向深部运移，直至裂隙发育段之下界或含水岩组，然后回升再沿走向运动，在沟谷或斜坡台地切割处以泉的形式排泄。</w:t>
      </w:r>
    </w:p>
    <w:p>
      <w:pPr>
        <w:widowControl w:val="0"/>
        <w:ind w:firstLine="480"/>
        <w:rPr>
          <w:color w:val="auto"/>
          <w:highlight w:val="none"/>
        </w:rPr>
      </w:pPr>
      <w:r>
        <w:rPr>
          <w:color w:val="auto"/>
          <w:highlight w:val="none"/>
        </w:rPr>
        <w:t>浅部地下水的循环还受地貌的影响，一般在切割较剧烈的窄谷地带，</w:t>
      </w:r>
      <w:r>
        <w:rPr>
          <w:rFonts w:hint="eastAsia"/>
          <w:color w:val="auto"/>
          <w:highlight w:val="none"/>
        </w:rPr>
        <w:t>径流</w:t>
      </w:r>
      <w:r>
        <w:rPr>
          <w:color w:val="auto"/>
          <w:highlight w:val="none"/>
        </w:rPr>
        <w:t>途径短、速度快，泉水动态明显受降水影响，而在地形平缓的宽谷地带，</w:t>
      </w:r>
      <w:r>
        <w:rPr>
          <w:rFonts w:hint="eastAsia"/>
          <w:color w:val="auto"/>
          <w:highlight w:val="none"/>
        </w:rPr>
        <w:t>径流途径</w:t>
      </w:r>
      <w:r>
        <w:rPr>
          <w:color w:val="auto"/>
          <w:highlight w:val="none"/>
        </w:rPr>
        <w:t>长，速度缓慢。</w:t>
      </w:r>
    </w:p>
    <w:p>
      <w:pPr>
        <w:widowControl w:val="0"/>
        <w:ind w:firstLine="480"/>
        <w:rPr>
          <w:color w:val="auto"/>
          <w:highlight w:val="none"/>
        </w:rPr>
      </w:pPr>
      <w:r>
        <w:rPr>
          <w:color w:val="auto"/>
          <w:highlight w:val="none"/>
        </w:rPr>
        <w:t>风化带裂隙水地下水渗流场主要受地形地貌控制。斜坡为入渗补给和强烈交替带，沟谷为埋藏储集区。补给来源主要有大气降水、农灌水、塘库堰水及渠系水。低山区地形相对陡峻，水力坡度大，地下水交替循环强烈；广大低山区沟谷横向坡度大，地下水交替循环较强烈，纵向水力坡度一般较小，地下水交替循环较弱。沟谷埋藏带地下水以泉和渗流形式向低洼沟谷排泄。地下水在含水层中的运移方式主要有沿层面裂隙作水平方向</w:t>
      </w:r>
      <w:r>
        <w:rPr>
          <w:rFonts w:hint="eastAsia"/>
          <w:color w:val="auto"/>
          <w:highlight w:val="none"/>
        </w:rPr>
        <w:t>径流</w:t>
      </w:r>
      <w:r>
        <w:rPr>
          <w:color w:val="auto"/>
          <w:highlight w:val="none"/>
        </w:rPr>
        <w:t>和上下裂隙间的相互补给</w:t>
      </w:r>
      <w:r>
        <w:rPr>
          <w:rFonts w:hint="eastAsia"/>
          <w:color w:val="auto"/>
          <w:highlight w:val="none"/>
        </w:rPr>
        <w:t>径流</w:t>
      </w:r>
      <w:r>
        <w:rPr>
          <w:color w:val="auto"/>
          <w:highlight w:val="none"/>
        </w:rPr>
        <w:t>。一般表现为就地补给，就近排泄，排泄面受地形起伏限制，支离破碎，没有区域性联系。水位埋深与地形切割关系密切，丘陵区一般小于4m。低山区，地形起伏较大，沟谷切割强烈，地下水位埋深较大，山坡边缘水位埋深增大，有的达20m以上。</w:t>
      </w:r>
    </w:p>
    <w:p>
      <w:pPr>
        <w:widowControl w:val="0"/>
        <w:ind w:firstLine="480"/>
        <w:rPr>
          <w:color w:val="auto"/>
          <w:highlight w:val="none"/>
        </w:rPr>
      </w:pPr>
      <w:r>
        <w:rPr>
          <w:color w:val="auto"/>
          <w:highlight w:val="none"/>
        </w:rPr>
        <w:t>本工程场址周围500m围内无集中式地下水取水口、地下暗河等控制性水点</w:t>
      </w:r>
      <w:r>
        <w:rPr>
          <w:rFonts w:hint="eastAsia"/>
          <w:color w:val="auto"/>
          <w:highlight w:val="none"/>
        </w:rPr>
        <w:t>。</w:t>
      </w:r>
    </w:p>
    <w:p>
      <w:pPr>
        <w:pStyle w:val="6"/>
        <w:widowControl w:val="0"/>
        <w:ind w:left="-160" w:firstLineChars="0"/>
        <w:rPr>
          <w:color w:val="auto"/>
          <w:highlight w:val="none"/>
        </w:rPr>
      </w:pPr>
      <w:r>
        <w:rPr>
          <w:rFonts w:hint="eastAsia"/>
          <w:color w:val="auto"/>
          <w:highlight w:val="none"/>
        </w:rPr>
        <w:t>地下水利用及污染状况</w:t>
      </w:r>
    </w:p>
    <w:p>
      <w:pPr>
        <w:widowControl w:val="0"/>
        <w:ind w:firstLine="480"/>
        <w:rPr>
          <w:color w:val="auto"/>
          <w:highlight w:val="none"/>
        </w:rPr>
      </w:pPr>
      <w:r>
        <w:rPr>
          <w:rFonts w:hint="eastAsia"/>
          <w:color w:val="auto"/>
          <w:highlight w:val="none"/>
        </w:rPr>
        <w:t>本项目地处巴中市平昌县响滩镇，周边无工业企业，附近居民生活用水均为自来水，生活污水均排放至污水处理厂。</w:t>
      </w:r>
    </w:p>
    <w:p>
      <w:pPr>
        <w:pStyle w:val="6"/>
        <w:widowControl w:val="0"/>
        <w:ind w:left="-160" w:firstLineChars="0"/>
        <w:rPr>
          <w:color w:val="auto"/>
          <w:highlight w:val="none"/>
        </w:rPr>
      </w:pPr>
      <w:r>
        <w:rPr>
          <w:rFonts w:hint="eastAsia"/>
          <w:color w:val="auto"/>
          <w:highlight w:val="none"/>
        </w:rPr>
        <w:t>污染因子的迁移、转化规律</w:t>
      </w:r>
    </w:p>
    <w:p>
      <w:pPr>
        <w:widowControl w:val="0"/>
        <w:ind w:firstLine="480"/>
        <w:rPr>
          <w:color w:val="auto"/>
          <w:highlight w:val="none"/>
        </w:rPr>
      </w:pPr>
      <w:r>
        <w:rPr>
          <w:rFonts w:hint="eastAsia"/>
          <w:color w:val="auto"/>
          <w:highlight w:val="none"/>
        </w:rPr>
        <w:t>地下水的污染主要是污染物通过土层垂直下渗首先经过表土，再进入包气带，在包气带污染可以得到一定程度的净化，有机污染物可以通过生物作用降解，不能被净化或固定的污染物随入渗水进入地下水层。</w:t>
      </w:r>
    </w:p>
    <w:p>
      <w:pPr>
        <w:widowControl w:val="0"/>
        <w:ind w:firstLine="480"/>
        <w:rPr>
          <w:color w:val="auto"/>
          <w:highlight w:val="none"/>
        </w:rPr>
      </w:pPr>
      <w:r>
        <w:rPr>
          <w:rFonts w:hint="eastAsia"/>
          <w:color w:val="auto"/>
          <w:highlight w:val="none"/>
        </w:rPr>
        <w:t>无机物在自然界不能降解，在下渗的过程中靠吸附或生成难溶化合物滞留于土层中。废水中的主要污染物－－粪大肠菌群有机物在下渗过程中靠吸附或生成难溶化合物滞留于土层中，在细菌或微生物的作用下发生分解而去除。</w:t>
      </w:r>
    </w:p>
    <w:p>
      <w:pPr>
        <w:widowControl w:val="0"/>
        <w:ind w:firstLine="480"/>
        <w:rPr>
          <w:color w:val="auto"/>
          <w:highlight w:val="none"/>
        </w:rPr>
      </w:pPr>
      <w:r>
        <w:rPr>
          <w:rFonts w:hint="eastAsia"/>
          <w:color w:val="auto"/>
          <w:highlight w:val="none"/>
        </w:rPr>
        <w:t>地下水的污染途径主要有：</w:t>
      </w:r>
    </w:p>
    <w:p>
      <w:pPr>
        <w:widowControl w:val="0"/>
        <w:ind w:firstLine="480"/>
        <w:rPr>
          <w:color w:val="auto"/>
          <w:highlight w:val="none"/>
        </w:rPr>
      </w:pPr>
      <w:r>
        <w:rPr>
          <w:rFonts w:hint="eastAsia"/>
          <w:color w:val="auto"/>
          <w:highlight w:val="none"/>
        </w:rPr>
        <w:t>①通过生产车间及地面渗入地下；</w:t>
      </w:r>
    </w:p>
    <w:p>
      <w:pPr>
        <w:widowControl w:val="0"/>
        <w:ind w:firstLine="480"/>
        <w:rPr>
          <w:color w:val="auto"/>
          <w:highlight w:val="none"/>
        </w:rPr>
      </w:pPr>
      <w:r>
        <w:rPr>
          <w:rFonts w:hint="eastAsia"/>
          <w:color w:val="auto"/>
          <w:highlight w:val="none"/>
        </w:rPr>
        <w:t>②通过厂内污水管网及污水处理设施渗入地下；</w:t>
      </w:r>
    </w:p>
    <w:p>
      <w:pPr>
        <w:widowControl w:val="0"/>
        <w:ind w:firstLine="480"/>
        <w:rPr>
          <w:color w:val="auto"/>
          <w:highlight w:val="none"/>
        </w:rPr>
      </w:pPr>
      <w:r>
        <w:rPr>
          <w:rFonts w:hint="eastAsia"/>
          <w:color w:val="auto"/>
          <w:highlight w:val="none"/>
        </w:rPr>
        <w:t>③通过厂外排水管网渗入地下；</w:t>
      </w:r>
    </w:p>
    <w:p>
      <w:pPr>
        <w:widowControl w:val="0"/>
        <w:ind w:firstLine="480"/>
        <w:rPr>
          <w:color w:val="auto"/>
          <w:highlight w:val="none"/>
        </w:rPr>
      </w:pPr>
      <w:r>
        <w:rPr>
          <w:rFonts w:hint="eastAsia"/>
          <w:color w:val="auto"/>
          <w:highlight w:val="none"/>
        </w:rPr>
        <w:t>④通过降雨将污染物带入地下。</w:t>
      </w:r>
    </w:p>
    <w:p>
      <w:pPr>
        <w:widowControl w:val="0"/>
        <w:ind w:firstLine="480"/>
        <w:rPr>
          <w:color w:val="auto"/>
          <w:highlight w:val="none"/>
        </w:rPr>
      </w:pPr>
      <w:r>
        <w:rPr>
          <w:rFonts w:hint="eastAsia"/>
          <w:color w:val="auto"/>
          <w:highlight w:val="none"/>
        </w:rPr>
        <w:t>废水对地下水的影响程度与排污强度和该区域土壤、水文地质条件等因素有关。通过对区域水文地质条件分析知，规划区所在地域地表土壤防渗能力一般，防止地下水污染的主要措施是切断污染物进入地下水环境的途径，包括：</w:t>
      </w:r>
      <w:r>
        <w:rPr>
          <w:rFonts w:hint="eastAsia"/>
          <w:b/>
          <w:bCs/>
          <w:color w:val="auto"/>
          <w:highlight w:val="none"/>
        </w:rPr>
        <w:t>企业生产车间地面及处理设施均做防渗处理；污水排放管道采取水泥防渗管道；厂区及车间地面进行硬化、采取“雨污分流，清污分流”的排水措施同时对初期雨水进行收集处理。</w:t>
      </w:r>
      <w:r>
        <w:rPr>
          <w:rFonts w:hint="eastAsia"/>
          <w:color w:val="auto"/>
          <w:highlight w:val="none"/>
        </w:rPr>
        <w:t>按规范采取防渗处理措施后，可控制污染物渗入地下对区域地下水的污染。</w:t>
      </w:r>
    </w:p>
    <w:p>
      <w:pPr>
        <w:pStyle w:val="6"/>
        <w:widowControl w:val="0"/>
        <w:ind w:left="-160" w:firstLineChars="0"/>
        <w:rPr>
          <w:color w:val="auto"/>
          <w:highlight w:val="none"/>
        </w:rPr>
      </w:pPr>
      <w:r>
        <w:rPr>
          <w:rFonts w:hint="eastAsia"/>
          <w:color w:val="auto"/>
          <w:highlight w:val="none"/>
        </w:rPr>
        <w:t>地下水环境影响预测与评价</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）正常情况下的地下水环境影响预测与评价</w:t>
      </w:r>
    </w:p>
    <w:p>
      <w:pPr>
        <w:widowControl w:val="0"/>
        <w:ind w:firstLine="480"/>
        <w:rPr>
          <w:color w:val="auto"/>
          <w:highlight w:val="none"/>
        </w:rPr>
      </w:pPr>
      <w:r>
        <w:rPr>
          <w:rFonts w:hint="eastAsia"/>
          <w:color w:val="auto"/>
          <w:highlight w:val="none"/>
        </w:rPr>
        <w:t>根据项目实际特征，评价认为本项目在采取相应措施后可避免评价区地下水的影响。</w:t>
      </w:r>
    </w:p>
    <w:p>
      <w:pPr>
        <w:widowControl w:val="0"/>
        <w:ind w:firstLine="480"/>
        <w:rPr>
          <w:color w:val="auto"/>
          <w:highlight w:val="none"/>
        </w:rPr>
      </w:pPr>
      <w:r>
        <w:rPr>
          <w:rFonts w:hint="eastAsia"/>
          <w:color w:val="auto"/>
          <w:highlight w:val="none"/>
        </w:rPr>
        <w:t>①本项目废水经“</w:t>
      </w:r>
      <w:r>
        <w:rPr>
          <w:rFonts w:hint="eastAsia"/>
          <w:color w:val="auto"/>
          <w:highlight w:val="none"/>
          <w:lang w:eastAsia="zh-CN"/>
        </w:rPr>
        <w:t>格栅池+沉渣池+多功能生物调节池+气浮沉渣池+厌氧池+初沉池+缺氧池1+好氧池1+紫外线消毒+清水池</w:t>
      </w:r>
      <w:r>
        <w:rPr>
          <w:rFonts w:hint="eastAsia"/>
          <w:color w:val="auto"/>
          <w:highlight w:val="none"/>
        </w:rPr>
        <w:t>”后排入元坨社区市政污水管网，通过市政污水管网汇入响滩镇污水处理厂处理。</w:t>
      </w:r>
    </w:p>
    <w:p>
      <w:pPr>
        <w:widowControl w:val="0"/>
        <w:ind w:firstLine="480"/>
        <w:rPr>
          <w:color w:val="auto"/>
          <w:highlight w:val="none"/>
        </w:rPr>
      </w:pPr>
      <w:r>
        <w:rPr>
          <w:rFonts w:hint="eastAsia"/>
          <w:color w:val="auto"/>
          <w:highlight w:val="none"/>
        </w:rPr>
        <w:t>②对危废暂存间、药品库、污水处理站及污水管道、污水处理站加药间、无害化暂存间等进行重点防渗措施处理，对待宰圈、屠宰车间、急宰间、垃圾回收站等进行一般防渗处理，对倒班房、道路等除重点防渗区和一般防渗区以外的区域做简单防渗处理，可有效避免由于废水及渗滤液等下渗地下水引起地下水的污染影响，加上有粘土层的阻隔及过滤作用，不会对地下水产生影响。</w:t>
      </w:r>
    </w:p>
    <w:p>
      <w:pPr>
        <w:widowControl w:val="0"/>
        <w:ind w:firstLine="480"/>
        <w:rPr>
          <w:color w:val="auto"/>
          <w:highlight w:val="none"/>
        </w:rPr>
      </w:pPr>
      <w:r>
        <w:rPr>
          <w:rFonts w:hint="eastAsia"/>
          <w:color w:val="auto"/>
          <w:highlight w:val="none"/>
        </w:rPr>
        <w:t>③项目生产中涉及到部分化学品的使用，化学品的使用和暂存均按照《危险化学品安全贮存通则》（</w:t>
      </w:r>
      <w:r>
        <w:rPr>
          <w:color w:val="auto"/>
          <w:highlight w:val="none"/>
        </w:rPr>
        <w:t>GB15603-1995</w:t>
      </w:r>
      <w:r>
        <w:rPr>
          <w:rFonts w:hint="eastAsia"/>
          <w:color w:val="auto"/>
          <w:highlight w:val="none"/>
        </w:rPr>
        <w:t>）和《危险化学品安全管理条例》（</w:t>
      </w:r>
      <w:r>
        <w:rPr>
          <w:color w:val="auto"/>
          <w:highlight w:val="none"/>
        </w:rPr>
        <w:t>2002</w:t>
      </w:r>
      <w:r>
        <w:rPr>
          <w:rFonts w:hint="eastAsia"/>
          <w:color w:val="auto"/>
          <w:highlight w:val="none"/>
        </w:rPr>
        <w:t>）中的要求，采取防泄漏、防溢流、防腐蚀等措施，严格危险化学品的管理，正常工况下不会导致危险化学品进入地下污染地下水质以及区域土壤质量。</w:t>
      </w:r>
    </w:p>
    <w:p>
      <w:pPr>
        <w:widowControl w:val="0"/>
        <w:ind w:firstLine="480"/>
        <w:rPr>
          <w:color w:val="auto"/>
          <w:highlight w:val="none"/>
        </w:rPr>
      </w:pPr>
      <w:r>
        <w:rPr>
          <w:rFonts w:hint="eastAsia"/>
          <w:color w:val="auto"/>
          <w:highlight w:val="none"/>
        </w:rPr>
        <w:t>④建立地下水环境监测管理体系，制定地下水环境影响跟踪监测计划。</w:t>
      </w:r>
    </w:p>
    <w:p>
      <w:pPr>
        <w:widowControl w:val="0"/>
        <w:ind w:firstLine="480"/>
        <w:rPr>
          <w:color w:val="auto"/>
          <w:highlight w:val="none"/>
        </w:rPr>
      </w:pPr>
      <w:r>
        <w:rPr>
          <w:rFonts w:hint="eastAsia"/>
          <w:color w:val="auto"/>
          <w:highlight w:val="none"/>
        </w:rPr>
        <w:t>⑤本项目不涉及重金属、剧毒危险化学品，正常工况下项目涉及的物料洒漏等渗入地下的几率极小，对地下水影响甚微。</w:t>
      </w:r>
    </w:p>
    <w:p>
      <w:pPr>
        <w:widowControl w:val="0"/>
        <w:ind w:firstLine="480"/>
        <w:rPr>
          <w:color w:val="auto"/>
          <w:highlight w:val="none"/>
        </w:rPr>
      </w:pPr>
      <w:r>
        <w:rPr>
          <w:rFonts w:hint="eastAsia"/>
          <w:color w:val="auto"/>
          <w:highlight w:val="none"/>
        </w:rPr>
        <w:t>⑥项目区无不良地质现象，无采矿等形成的采空区，因此，因相关自然等因素导致的废水渗漏因素也较小。</w:t>
      </w:r>
    </w:p>
    <w:p>
      <w:pPr>
        <w:widowControl w:val="0"/>
        <w:ind w:firstLine="480"/>
        <w:rPr>
          <w:color w:val="auto"/>
          <w:highlight w:val="none"/>
        </w:rPr>
      </w:pPr>
      <w:r>
        <w:rPr>
          <w:rFonts w:hint="eastAsia"/>
          <w:color w:val="auto"/>
          <w:highlight w:val="none"/>
        </w:rPr>
        <w:t>综上所述，严格采取相应的防渗措施后，项目建设对地下水影响较小，因此，只要本项目做好了相关的防渗和防护工作，不会对地下水造成污染，根据《环境影响评价技术导则地下水环境》（</w:t>
      </w:r>
      <w:r>
        <w:rPr>
          <w:color w:val="auto"/>
          <w:highlight w:val="none"/>
        </w:rPr>
        <w:t>HJ610-2016</w:t>
      </w:r>
      <w:r>
        <w:rPr>
          <w:rFonts w:hint="eastAsia"/>
          <w:color w:val="auto"/>
          <w:highlight w:val="none"/>
        </w:rPr>
        <w:t>），可不进行正常状况情景下的预测。</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）非正常情况下的地下水环境影响预测与评价</w:t>
      </w:r>
    </w:p>
    <w:p>
      <w:pPr>
        <w:widowControl w:val="0"/>
        <w:ind w:firstLine="480"/>
        <w:rPr>
          <w:color w:val="auto"/>
          <w:highlight w:val="none"/>
        </w:rPr>
      </w:pPr>
      <w:r>
        <w:rPr>
          <w:rFonts w:hint="eastAsia"/>
          <w:color w:val="auto"/>
          <w:highlight w:val="none"/>
        </w:rPr>
        <w:t>非正常状况指建设项目的工艺设备或地下水环境保护措施因系统老化、腐蚀等原因不能正常运行或保护效果达不到设计要求的运行状况。</w:t>
      </w:r>
    </w:p>
    <w:p>
      <w:pPr>
        <w:widowControl w:val="0"/>
        <w:ind w:firstLine="480"/>
        <w:rPr>
          <w:color w:val="auto"/>
          <w:highlight w:val="none"/>
        </w:rPr>
      </w:pPr>
      <w:r>
        <w:rPr>
          <w:rFonts w:hint="eastAsia"/>
          <w:color w:val="auto"/>
          <w:highlight w:val="none"/>
        </w:rPr>
        <w:t>①地下水污染预测情景设定</w:t>
      </w:r>
    </w:p>
    <w:p>
      <w:pPr>
        <w:widowControl w:val="0"/>
        <w:ind w:firstLine="480"/>
        <w:jc w:val="left"/>
        <w:rPr>
          <w:rFonts w:ascii="宋体" w:hAnsi="宋体"/>
          <w:color w:val="auto"/>
          <w:szCs w:val="24"/>
          <w:highlight w:val="none"/>
        </w:rPr>
      </w:pPr>
      <w:r>
        <w:rPr>
          <w:rFonts w:hint="eastAsia"/>
          <w:color w:val="auto"/>
          <w:highlight w:val="none"/>
        </w:rPr>
        <w:t>项目厂房内地坪已采用厚混凝土进行覆盖，待宰圈、屠宰车间和无害化暂存间、药品库、</w:t>
      </w:r>
      <w:r>
        <w:rPr>
          <w:rFonts w:hint="eastAsia" w:ascii="宋体" w:hAnsi="宋体"/>
          <w:color w:val="auto"/>
          <w:szCs w:val="24"/>
          <w:highlight w:val="none"/>
        </w:rPr>
        <w:t>危废暂存间等均已设计有相应的防渗措施，一般情况下待宰圈、屠宰车间和无害化暂存间、药品库、危废暂存间等物料泄露不会对地下水造成污染，因此本评价针对地下水非正常状况主要考虑污水处理站发生泄漏，下渗污水进入地下水造成环境污染影响。</w:t>
      </w:r>
    </w:p>
    <w:p>
      <w:pPr>
        <w:widowControl w:val="0"/>
        <w:ind w:firstLine="480"/>
        <w:rPr>
          <w:color w:val="auto"/>
          <w:highlight w:val="none"/>
        </w:rPr>
      </w:pPr>
      <w:r>
        <w:rPr>
          <w:rFonts w:hint="eastAsia"/>
          <w:color w:val="auto"/>
          <w:highlight w:val="none"/>
        </w:rPr>
        <w:t>假设污水处理设施出现破损，破损面积为</w:t>
      </w:r>
      <w:r>
        <w:rPr>
          <w:color w:val="auto"/>
          <w:highlight w:val="none"/>
        </w:rPr>
        <w:t>5%</w:t>
      </w:r>
      <w:r>
        <w:rPr>
          <w:rFonts w:hint="eastAsia"/>
          <w:color w:val="auto"/>
          <w:highlight w:val="none"/>
        </w:rPr>
        <w:t>泄漏进入地下，不易发现，预计反应并处理的时间为</w:t>
      </w:r>
      <w:r>
        <w:rPr>
          <w:color w:val="auto"/>
          <w:highlight w:val="none"/>
        </w:rPr>
        <w:t>10d</w:t>
      </w:r>
      <w:r>
        <w:rPr>
          <w:rFonts w:hint="eastAsia"/>
          <w:color w:val="auto"/>
          <w:highlight w:val="none"/>
        </w:rPr>
        <w:t>，泄露方式为连续泄露。综合考虑本项目特点，本次预测情景主要针对事故工况进行设定，即假定最大污染源废水处理设施集水池和调节池出现破损，废水持续泄露进入地下，在上述假定情景中渗漏污染物直接进入包气带，向下渗透进入含水层。</w:t>
      </w:r>
    </w:p>
    <w:p>
      <w:pPr>
        <w:widowControl w:val="0"/>
        <w:ind w:firstLine="480"/>
        <w:jc w:val="left"/>
        <w:rPr>
          <w:rFonts w:ascii="宋体" w:hAnsi="宋体"/>
          <w:color w:val="auto"/>
          <w:szCs w:val="24"/>
          <w:highlight w:val="none"/>
        </w:rPr>
      </w:pPr>
      <w:r>
        <w:rPr>
          <w:rFonts w:hint="eastAsia" w:ascii="宋体" w:hAnsi="宋体"/>
          <w:color w:val="auto"/>
          <w:szCs w:val="24"/>
          <w:highlight w:val="none"/>
        </w:rPr>
        <w:t>②预测方法</w:t>
      </w:r>
    </w:p>
    <w:p>
      <w:pPr>
        <w:widowControl w:val="0"/>
        <w:ind w:firstLine="480"/>
        <w:rPr>
          <w:color w:val="auto"/>
          <w:highlight w:val="none"/>
        </w:rPr>
      </w:pPr>
      <w:r>
        <w:rPr>
          <w:color w:val="auto"/>
          <w:highlight w:val="none"/>
        </w:rPr>
        <w:t>该项目地下水预测分析主要进行饱和带污染物迁移预测，评价等级属三级，本次进行预测时，采用解析法计算。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widowControl w:val="0"/>
        <w:ind w:firstLine="480"/>
        <w:rPr>
          <w:color w:val="auto"/>
          <w:highlight w:val="none"/>
        </w:rPr>
      </w:pPr>
      <w:r>
        <w:rPr>
          <w:color w:val="auto"/>
          <w:highlight w:val="none"/>
        </w:rPr>
        <w:t>地下水环境影响预测范围与调查评价范围一致，预测层位以潜水含水层为主。</w:t>
      </w:r>
    </w:p>
    <w:p>
      <w:pPr>
        <w:widowControl w:val="0"/>
        <w:ind w:firstLine="482"/>
        <w:jc w:val="left"/>
        <w:rPr>
          <w:rFonts w:ascii="宋体" w:hAnsi="宋体"/>
          <w:b/>
          <w:bCs/>
          <w:color w:val="auto"/>
          <w:szCs w:val="24"/>
          <w:highlight w:val="none"/>
        </w:rPr>
      </w:pPr>
      <w:r>
        <w:rPr>
          <w:rFonts w:hint="eastAsia" w:ascii="宋体" w:hAnsi="宋体"/>
          <w:b/>
          <w:bCs/>
          <w:color w:val="auto"/>
          <w:szCs w:val="24"/>
          <w:highlight w:val="none"/>
        </w:rPr>
        <w:t>③预测时段</w:t>
      </w:r>
    </w:p>
    <w:p>
      <w:pPr>
        <w:widowControl w:val="0"/>
        <w:ind w:firstLine="480"/>
        <w:rPr>
          <w:color w:val="auto"/>
          <w:highlight w:val="none"/>
        </w:rPr>
      </w:pPr>
      <w:r>
        <w:rPr>
          <w:color w:val="auto"/>
          <w:highlight w:val="none"/>
        </w:rPr>
        <w:t>根据导则要求，地下水环境影响评价预测时段应包括项目建设、生产运行和服务期满后三个阶段。结合本项目实际，对地下水的影响主要在项目的生产运行期，服务期满后对地下水的影响极小。</w:t>
      </w:r>
    </w:p>
    <w:p>
      <w:pPr>
        <w:widowControl w:val="0"/>
        <w:ind w:firstLine="480"/>
        <w:rPr>
          <w:color w:val="auto"/>
          <w:highlight w:val="none"/>
        </w:rPr>
      </w:pPr>
      <w:r>
        <w:rPr>
          <w:color w:val="auto"/>
          <w:highlight w:val="none"/>
        </w:rPr>
        <w:t>因此，将预测时段定为项目生产运行期，同时根据《环境影响评价技术导则</w:t>
      </w:r>
      <w:r>
        <w:rPr>
          <w:rFonts w:hint="eastAsia"/>
          <w:color w:val="auto"/>
          <w:highlight w:val="none"/>
        </w:rPr>
        <w:t>－</w:t>
      </w:r>
      <w:r>
        <w:rPr>
          <w:color w:val="auto"/>
          <w:highlight w:val="none"/>
        </w:rPr>
        <w:t>地下水环境》（HJ610-2016）9.3的要求，将运行期的地下水环境影响预测时限定为100天、1000天、3650d（</w:t>
      </w:r>
      <w:r>
        <w:rPr>
          <w:rFonts w:hint="eastAsia"/>
          <w:color w:val="auto"/>
          <w:highlight w:val="none"/>
        </w:rPr>
        <w:t>1</w:t>
      </w:r>
      <w:r>
        <w:rPr>
          <w:color w:val="auto"/>
          <w:highlight w:val="none"/>
        </w:rPr>
        <w:t>0年）</w:t>
      </w:r>
      <w:r>
        <w:rPr>
          <w:rFonts w:hint="eastAsia"/>
          <w:color w:val="auto"/>
          <w:highlight w:val="none"/>
        </w:rPr>
        <w:t>、</w:t>
      </w:r>
      <w:r>
        <w:rPr>
          <w:color w:val="auto"/>
          <w:highlight w:val="none"/>
        </w:rPr>
        <w:t>7300天（20年）。</w:t>
      </w:r>
    </w:p>
    <w:p>
      <w:pPr>
        <w:widowControl w:val="0"/>
        <w:ind w:firstLine="482"/>
        <w:rPr>
          <w:b/>
          <w:bCs/>
          <w:color w:val="auto"/>
          <w:highlight w:val="none"/>
        </w:rPr>
      </w:pPr>
      <w:r>
        <w:rPr>
          <w:rFonts w:hint="eastAsia"/>
          <w:b/>
          <w:bCs/>
          <w:color w:val="auto"/>
          <w:highlight w:val="none"/>
        </w:rPr>
        <w:t>④预测因子</w:t>
      </w:r>
    </w:p>
    <w:p>
      <w:pPr>
        <w:widowControl w:val="0"/>
        <w:ind w:firstLine="480"/>
        <w:rPr>
          <w:color w:val="auto"/>
          <w:highlight w:val="none"/>
        </w:rPr>
      </w:pPr>
      <w:r>
        <w:rPr>
          <w:color w:val="auto"/>
          <w:highlight w:val="none"/>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质量影响负荷较大的COD、氨氮进行影响预测与评价。</w:t>
      </w:r>
    </w:p>
    <w:p>
      <w:pPr>
        <w:widowControl w:val="0"/>
        <w:ind w:firstLine="480"/>
        <w:rPr>
          <w:color w:val="auto"/>
          <w:highlight w:val="none"/>
        </w:rPr>
      </w:pPr>
      <w:r>
        <w:rPr>
          <w:color w:val="auto"/>
          <w:highlight w:val="none"/>
        </w:rPr>
        <w:t>COD预测评价采用《地下水质量标准》（GB/T14848-2017）相应的</w:t>
      </w:r>
      <w:r>
        <w:rPr>
          <w:rFonts w:hint="eastAsia"/>
          <w:color w:val="auto"/>
          <w:highlight w:val="none"/>
        </w:rPr>
        <w:t>Ⅲ</w:t>
      </w:r>
      <w:r>
        <w:rPr>
          <w:color w:val="auto"/>
          <w:highlight w:val="none"/>
        </w:rPr>
        <w:t>类水质标准，限值为3.0mg/L，氨氮预测评价采用《地下水质量标准》（GB/T14848-2017）相应的</w:t>
      </w:r>
      <w:r>
        <w:rPr>
          <w:rFonts w:hint="eastAsia"/>
          <w:color w:val="auto"/>
          <w:highlight w:val="none"/>
        </w:rPr>
        <w:t>Ⅲ</w:t>
      </w:r>
      <w:r>
        <w:rPr>
          <w:color w:val="auto"/>
          <w:highlight w:val="none"/>
        </w:rPr>
        <w:t>类水质标准，限值为0.5mg/L。</w:t>
      </w:r>
    </w:p>
    <w:p>
      <w:pPr>
        <w:widowControl w:val="0"/>
        <w:ind w:firstLine="482"/>
        <w:rPr>
          <w:b/>
          <w:bCs/>
          <w:color w:val="auto"/>
          <w:highlight w:val="none"/>
        </w:rPr>
      </w:pPr>
      <w:r>
        <w:rPr>
          <w:rFonts w:hint="eastAsia"/>
          <w:b/>
          <w:bCs/>
          <w:color w:val="auto"/>
          <w:highlight w:val="none"/>
        </w:rPr>
        <w:t>⑤预测源强</w:t>
      </w:r>
    </w:p>
    <w:p>
      <w:pPr>
        <w:widowControl w:val="0"/>
        <w:ind w:firstLine="480"/>
        <w:rPr>
          <w:color w:val="auto"/>
          <w:highlight w:val="none"/>
        </w:rPr>
      </w:pPr>
      <w:r>
        <w:rPr>
          <w:rFonts w:hint="eastAsia"/>
          <w:color w:val="auto"/>
          <w:highlight w:val="none"/>
        </w:rPr>
        <w:t>本项目设置500m</w:t>
      </w:r>
      <w:r>
        <w:rPr>
          <w:rFonts w:hint="eastAsia"/>
          <w:color w:val="auto"/>
          <w:highlight w:val="none"/>
          <w:vertAlign w:val="superscript"/>
        </w:rPr>
        <w:t>3</w:t>
      </w:r>
      <w:r>
        <w:rPr>
          <w:rFonts w:hint="eastAsia"/>
          <w:color w:val="auto"/>
          <w:highlight w:val="none"/>
        </w:rPr>
        <w:t>/d污水处理站1座，假定</w:t>
      </w:r>
      <w:r>
        <w:rPr>
          <w:color w:val="auto"/>
          <w:kern w:val="24"/>
          <w:szCs w:val="24"/>
          <w:highlight w:val="none"/>
        </w:rPr>
        <w:t>池底产生裂缝，污水通过裂缝逐渐渗漏到地下含水层中，对地下水水质造成污染，染源类型为瞬时源强。根据</w:t>
      </w:r>
      <w:r>
        <w:rPr>
          <w:rFonts w:hint="eastAsia"/>
          <w:color w:val="auto"/>
          <w:kern w:val="24"/>
          <w:szCs w:val="24"/>
          <w:highlight w:val="none"/>
        </w:rPr>
        <w:t>集污池</w:t>
      </w:r>
      <w:r>
        <w:rPr>
          <w:color w:val="auto"/>
          <w:kern w:val="24"/>
          <w:szCs w:val="24"/>
          <w:highlight w:val="none"/>
        </w:rPr>
        <w:t>对地下水的影响途径来设定主要污染源的分布位置，选定优先控制的污染物，预测事故工况下污染物在地下水中迁移过程，进一步分析污染物影响范围、超标范围和迁出场区后浓度变化。</w:t>
      </w:r>
    </w:p>
    <w:p>
      <w:pPr>
        <w:widowControl w:val="0"/>
        <w:ind w:firstLine="480"/>
        <w:rPr>
          <w:color w:val="auto"/>
          <w:highlight w:val="none"/>
        </w:rPr>
      </w:pPr>
      <w:r>
        <w:rPr>
          <w:rFonts w:hint="eastAsia"/>
          <w:color w:val="auto"/>
          <w:highlight w:val="none"/>
        </w:rPr>
        <w:t>渗漏量</w:t>
      </w:r>
      <w:r>
        <w:rPr>
          <w:color w:val="auto"/>
          <w:highlight w:val="none"/>
        </w:rPr>
        <w:t>=</w:t>
      </w:r>
      <w:r>
        <w:rPr>
          <w:rFonts w:hint="eastAsia"/>
          <w:color w:val="auto"/>
          <w:highlight w:val="none"/>
        </w:rPr>
        <w:t>渗漏面积×渗漏强度，其中渗漏强度根据《给水排水构筑物工程施工及验收规范》中钢筋混凝土结构水池不得超过</w:t>
      </w:r>
      <w:r>
        <w:rPr>
          <w:color w:val="auto"/>
          <w:highlight w:val="none"/>
        </w:rPr>
        <w:t>2L/m</w:t>
      </w:r>
      <w:r>
        <w:rPr>
          <w:color w:val="auto"/>
          <w:highlight w:val="none"/>
          <w:vertAlign w:val="superscript"/>
        </w:rPr>
        <w:t>2</w:t>
      </w:r>
      <w:r>
        <w:rPr>
          <w:rFonts w:hint="eastAsia"/>
          <w:color w:val="auto"/>
          <w:highlight w:val="none"/>
        </w:rPr>
        <w:t>·</w:t>
      </w:r>
      <w:r>
        <w:rPr>
          <w:color w:val="auto"/>
          <w:highlight w:val="none"/>
        </w:rPr>
        <w:t>d</w:t>
      </w:r>
      <w:r>
        <w:rPr>
          <w:rFonts w:hint="eastAsia"/>
          <w:color w:val="auto"/>
          <w:highlight w:val="none"/>
        </w:rPr>
        <w:t>，计算非正常渗漏量大小应不小于正常状况渗漏量的</w:t>
      </w:r>
      <w:r>
        <w:rPr>
          <w:color w:val="auto"/>
          <w:highlight w:val="none"/>
        </w:rPr>
        <w:t>10</w:t>
      </w:r>
      <w:r>
        <w:rPr>
          <w:rFonts w:hint="eastAsia"/>
          <w:color w:val="auto"/>
          <w:highlight w:val="none"/>
        </w:rPr>
        <w:t>倍，本次计算渗漏量按照正常渗漏量的</w:t>
      </w:r>
      <w:r>
        <w:rPr>
          <w:color w:val="auto"/>
          <w:highlight w:val="none"/>
        </w:rPr>
        <w:t>20</w:t>
      </w:r>
      <w:r>
        <w:rPr>
          <w:rFonts w:hint="eastAsia"/>
          <w:color w:val="auto"/>
          <w:highlight w:val="none"/>
        </w:rPr>
        <w:t>倍计算。</w:t>
      </w:r>
    </w:p>
    <w:p>
      <w:pPr>
        <w:widowControl w:val="0"/>
        <w:ind w:firstLine="480"/>
        <w:rPr>
          <w:color w:val="auto"/>
          <w:highlight w:val="none"/>
        </w:rPr>
      </w:pPr>
      <w:r>
        <w:rPr>
          <w:color w:val="auto"/>
          <w:highlight w:val="none"/>
        </w:rPr>
        <w:t>COD</w:t>
      </w:r>
      <w:r>
        <w:rPr>
          <w:rFonts w:hint="eastAsia"/>
          <w:color w:val="auto"/>
          <w:highlight w:val="none"/>
        </w:rPr>
        <w:t>换算为《地下水质量标准》</w:t>
      </w:r>
      <w:r>
        <w:rPr>
          <w:color w:val="auto"/>
          <w:highlight w:val="none"/>
        </w:rPr>
        <w:t>GB/T</w:t>
      </w:r>
      <w:r>
        <w:rPr>
          <w:rFonts w:hint="eastAsia"/>
          <w:color w:val="auto"/>
          <w:highlight w:val="none"/>
        </w:rPr>
        <w:t xml:space="preserve"> </w:t>
      </w:r>
      <w:r>
        <w:rPr>
          <w:color w:val="auto"/>
          <w:highlight w:val="none"/>
        </w:rPr>
        <w:t>14848-2017</w:t>
      </w:r>
      <w:r>
        <w:rPr>
          <w:rFonts w:hint="eastAsia"/>
          <w:color w:val="auto"/>
          <w:highlight w:val="none"/>
        </w:rPr>
        <w:t>）的Ⅲ类标准中耗氧量（</w:t>
      </w:r>
      <w:r>
        <w:rPr>
          <w:color w:val="auto"/>
          <w:highlight w:val="none"/>
        </w:rPr>
        <w:t>COD</w:t>
      </w:r>
      <w:r>
        <w:rPr>
          <w:color w:val="auto"/>
          <w:highlight w:val="none"/>
          <w:vertAlign w:val="subscript"/>
        </w:rPr>
        <w:t>Mn</w:t>
      </w:r>
      <w:r>
        <w:rPr>
          <w:rFonts w:hint="eastAsia"/>
          <w:color w:val="auto"/>
          <w:highlight w:val="none"/>
        </w:rPr>
        <w:t>法）（注：</w:t>
      </w:r>
      <w:r>
        <w:rPr>
          <w:color w:val="auto"/>
          <w:highlight w:val="none"/>
        </w:rPr>
        <w:t>COD</w:t>
      </w:r>
      <w:r>
        <w:rPr>
          <w:rFonts w:hint="eastAsia"/>
          <w:color w:val="auto"/>
          <w:highlight w:val="none"/>
        </w:rPr>
        <w:t>与</w:t>
      </w:r>
      <w:r>
        <w:rPr>
          <w:color w:val="auto"/>
          <w:highlight w:val="none"/>
        </w:rPr>
        <w:t>COD</w:t>
      </w:r>
      <w:r>
        <w:rPr>
          <w:color w:val="auto"/>
          <w:highlight w:val="none"/>
          <w:vertAlign w:val="subscript"/>
        </w:rPr>
        <w:t>Mn</w:t>
      </w:r>
      <w:r>
        <w:rPr>
          <w:rFonts w:hint="eastAsia"/>
          <w:color w:val="auto"/>
          <w:highlight w:val="none"/>
        </w:rPr>
        <w:t>之间参考文献《印染废水</w:t>
      </w:r>
      <w:r>
        <w:rPr>
          <w:color w:val="auto"/>
          <w:highlight w:val="none"/>
        </w:rPr>
        <w:t>COD</w:t>
      </w:r>
      <w:r>
        <w:rPr>
          <w:rFonts w:hint="eastAsia"/>
          <w:color w:val="auto"/>
          <w:highlight w:val="none"/>
        </w:rPr>
        <w:t>（锰法）与</w:t>
      </w:r>
      <w:r>
        <w:rPr>
          <w:color w:val="auto"/>
          <w:highlight w:val="none"/>
        </w:rPr>
        <w:t>COD</w:t>
      </w:r>
      <w:r>
        <w:rPr>
          <w:rFonts w:hint="eastAsia"/>
          <w:color w:val="auto"/>
          <w:highlight w:val="none"/>
        </w:rPr>
        <w:t>（铬法）相关关系的测定》中计算公式进行换算，换算公式为</w:t>
      </w:r>
      <w:r>
        <w:rPr>
          <w:color w:val="auto"/>
          <w:highlight w:val="none"/>
        </w:rPr>
        <w:t>C</w:t>
      </w:r>
      <w:r>
        <w:rPr>
          <w:color w:val="auto"/>
          <w:highlight w:val="none"/>
          <w:vertAlign w:val="subscript"/>
        </w:rPr>
        <w:t>CODCr</w:t>
      </w:r>
      <w:r>
        <w:rPr>
          <w:color w:val="auto"/>
          <w:highlight w:val="none"/>
        </w:rPr>
        <w:t>=82.93+3.38*C</w:t>
      </w:r>
      <w:r>
        <w:rPr>
          <w:color w:val="auto"/>
          <w:highlight w:val="none"/>
          <w:vertAlign w:val="subscript"/>
        </w:rPr>
        <w:t>CODMn</w:t>
      </w:r>
      <w:r>
        <w:rPr>
          <w:rFonts w:hint="eastAsia"/>
          <w:color w:val="auto"/>
          <w:highlight w:val="none"/>
        </w:rPr>
        <w:t>），氨氮参照《地下水质量标准》（</w:t>
      </w:r>
      <w:r>
        <w:rPr>
          <w:color w:val="auto"/>
          <w:highlight w:val="none"/>
        </w:rPr>
        <w:t>GB/T14848-2017</w:t>
      </w:r>
      <w:r>
        <w:rPr>
          <w:rFonts w:hint="eastAsia"/>
          <w:color w:val="auto"/>
          <w:highlight w:val="none"/>
        </w:rPr>
        <w:t>）的Ⅲ类标准进行评价。具体源强见下表</w:t>
      </w:r>
    </w:p>
    <w:p>
      <w:pPr>
        <w:pStyle w:val="27"/>
        <w:widowControl w:val="0"/>
        <w:rPr>
          <w:color w:val="auto"/>
          <w:highlight w:val="none"/>
        </w:rPr>
      </w:pPr>
      <w:r>
        <w:rPr>
          <w:rFonts w:hint="eastAsia"/>
          <w:color w:val="auto"/>
          <w:highlight w:val="none"/>
        </w:rPr>
        <w:t>非正常情况下源强统计</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717"/>
        <w:gridCol w:w="752"/>
        <w:gridCol w:w="1052"/>
        <w:gridCol w:w="1119"/>
        <w:gridCol w:w="883"/>
        <w:gridCol w:w="1031"/>
        <w:gridCol w:w="1352"/>
        <w:gridCol w:w="1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vMerge w:val="restart"/>
            <w:tcBorders>
              <w:tl2br w:val="nil"/>
              <w:tr2bl w:val="nil"/>
            </w:tcBorders>
            <w:vAlign w:val="center"/>
          </w:tcPr>
          <w:p>
            <w:pPr>
              <w:pStyle w:val="28"/>
              <w:widowControl w:val="0"/>
              <w:rPr>
                <w:color w:val="auto"/>
                <w:highlight w:val="none"/>
              </w:rPr>
            </w:pPr>
            <w:r>
              <w:rPr>
                <w:rFonts w:hint="eastAsia"/>
                <w:color w:val="auto"/>
                <w:highlight w:val="none"/>
              </w:rPr>
              <w:t>构筑物</w:t>
            </w:r>
          </w:p>
        </w:tc>
        <w:tc>
          <w:tcPr>
            <w:tcW w:w="1311" w:type="pct"/>
            <w:gridSpan w:val="3"/>
            <w:tcBorders>
              <w:tl2br w:val="nil"/>
              <w:tr2bl w:val="nil"/>
            </w:tcBorders>
            <w:vAlign w:val="center"/>
          </w:tcPr>
          <w:p>
            <w:pPr>
              <w:pStyle w:val="28"/>
              <w:widowControl w:val="0"/>
              <w:rPr>
                <w:color w:val="auto"/>
                <w:highlight w:val="none"/>
              </w:rPr>
            </w:pPr>
            <w:r>
              <w:rPr>
                <w:rFonts w:hint="eastAsia"/>
                <w:color w:val="auto"/>
                <w:highlight w:val="none"/>
              </w:rPr>
              <w:t>初始浓度（mg/L）</w:t>
            </w:r>
          </w:p>
        </w:tc>
        <w:tc>
          <w:tcPr>
            <w:tcW w:w="582" w:type="pct"/>
            <w:vMerge w:val="restart"/>
            <w:tcBorders>
              <w:tl2br w:val="nil"/>
              <w:tr2bl w:val="nil"/>
            </w:tcBorders>
            <w:vAlign w:val="center"/>
          </w:tcPr>
          <w:p>
            <w:pPr>
              <w:pStyle w:val="28"/>
              <w:widowControl w:val="0"/>
              <w:rPr>
                <w:color w:val="auto"/>
                <w:highlight w:val="none"/>
              </w:rPr>
            </w:pPr>
            <w:r>
              <w:rPr>
                <w:rFonts w:hint="eastAsia"/>
                <w:color w:val="auto"/>
                <w:highlight w:val="none"/>
              </w:rPr>
              <w:t>设施表面积（m</w:t>
            </w:r>
            <w:r>
              <w:rPr>
                <w:rFonts w:hint="eastAsia"/>
                <w:color w:val="auto"/>
                <w:highlight w:val="none"/>
                <w:vertAlign w:val="superscript"/>
              </w:rPr>
              <w:t>2</w:t>
            </w:r>
            <w:r>
              <w:rPr>
                <w:rFonts w:hint="eastAsia"/>
                <w:color w:val="auto"/>
                <w:highlight w:val="none"/>
              </w:rPr>
              <w:t>）</w:t>
            </w:r>
          </w:p>
        </w:tc>
        <w:tc>
          <w:tcPr>
            <w:tcW w:w="459" w:type="pct"/>
            <w:vMerge w:val="restart"/>
            <w:tcBorders>
              <w:tl2br w:val="nil"/>
              <w:tr2bl w:val="nil"/>
            </w:tcBorders>
            <w:vAlign w:val="center"/>
          </w:tcPr>
          <w:p>
            <w:pPr>
              <w:pStyle w:val="28"/>
              <w:widowControl w:val="0"/>
              <w:rPr>
                <w:color w:val="auto"/>
                <w:highlight w:val="none"/>
              </w:rPr>
            </w:pPr>
            <w:r>
              <w:rPr>
                <w:rFonts w:hint="eastAsia"/>
                <w:color w:val="auto"/>
                <w:highlight w:val="none"/>
              </w:rPr>
              <w:t>泄漏面积（m</w:t>
            </w:r>
            <w:r>
              <w:rPr>
                <w:rFonts w:hint="eastAsia"/>
                <w:color w:val="auto"/>
                <w:highlight w:val="none"/>
                <w:vertAlign w:val="superscript"/>
              </w:rPr>
              <w:t>2</w:t>
            </w:r>
            <w:r>
              <w:rPr>
                <w:rFonts w:hint="eastAsia"/>
                <w:color w:val="auto"/>
                <w:highlight w:val="none"/>
              </w:rPr>
              <w:t>）</w:t>
            </w:r>
          </w:p>
        </w:tc>
        <w:tc>
          <w:tcPr>
            <w:tcW w:w="536" w:type="pct"/>
            <w:vMerge w:val="restart"/>
            <w:tcBorders>
              <w:tl2br w:val="nil"/>
              <w:tr2bl w:val="nil"/>
            </w:tcBorders>
            <w:vAlign w:val="center"/>
          </w:tcPr>
          <w:p>
            <w:pPr>
              <w:pStyle w:val="28"/>
              <w:widowControl w:val="0"/>
              <w:rPr>
                <w:color w:val="auto"/>
                <w:highlight w:val="none"/>
              </w:rPr>
            </w:pPr>
            <w:r>
              <w:rPr>
                <w:rFonts w:hint="eastAsia"/>
                <w:color w:val="auto"/>
                <w:highlight w:val="none"/>
              </w:rPr>
              <w:t>泄漏量（m</w:t>
            </w:r>
            <w:r>
              <w:rPr>
                <w:rFonts w:hint="eastAsia"/>
                <w:color w:val="auto"/>
                <w:highlight w:val="none"/>
                <w:vertAlign w:val="superscript"/>
              </w:rPr>
              <w:t>3</w:t>
            </w:r>
            <w:r>
              <w:rPr>
                <w:rFonts w:hint="eastAsia"/>
                <w:color w:val="auto"/>
                <w:highlight w:val="none"/>
              </w:rPr>
              <w:t>/d）</w:t>
            </w:r>
          </w:p>
        </w:tc>
        <w:tc>
          <w:tcPr>
            <w:tcW w:w="703" w:type="pct"/>
            <w:vMerge w:val="restart"/>
            <w:tcBorders>
              <w:tl2br w:val="nil"/>
              <w:tr2bl w:val="nil"/>
            </w:tcBorders>
            <w:vAlign w:val="center"/>
          </w:tcPr>
          <w:p>
            <w:pPr>
              <w:pStyle w:val="28"/>
              <w:widowControl w:val="0"/>
              <w:rPr>
                <w:color w:val="auto"/>
                <w:highlight w:val="none"/>
              </w:rPr>
            </w:pPr>
            <w:r>
              <w:rPr>
                <w:rFonts w:hint="eastAsia"/>
                <w:color w:val="auto"/>
                <w:highlight w:val="none"/>
              </w:rPr>
              <w:t>COD</w:t>
            </w:r>
            <w:r>
              <w:rPr>
                <w:rFonts w:hint="eastAsia"/>
                <w:color w:val="auto"/>
                <w:highlight w:val="none"/>
                <w:vertAlign w:val="subscript"/>
              </w:rPr>
              <w:t>Mn</w:t>
            </w:r>
            <w:r>
              <w:rPr>
                <w:rFonts w:hint="eastAsia"/>
                <w:color w:val="auto"/>
                <w:highlight w:val="none"/>
              </w:rPr>
              <w:t>（kg/d）</w:t>
            </w:r>
          </w:p>
        </w:tc>
        <w:tc>
          <w:tcPr>
            <w:tcW w:w="706" w:type="pct"/>
            <w:vMerge w:val="restart"/>
            <w:tcBorders>
              <w:tl2br w:val="nil"/>
              <w:tr2bl w:val="nil"/>
            </w:tcBorders>
            <w:vAlign w:val="center"/>
          </w:tcPr>
          <w:p>
            <w:pPr>
              <w:pStyle w:val="28"/>
              <w:widowControl w:val="0"/>
              <w:rPr>
                <w:color w:val="auto"/>
                <w:highlight w:val="none"/>
              </w:rPr>
            </w:pPr>
            <w:r>
              <w:rPr>
                <w:rFonts w:hint="eastAsia"/>
                <w:color w:val="auto"/>
                <w:highlight w:val="none"/>
              </w:rPr>
              <w:t>氨氮（kg/d）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9" w:type="pct"/>
            <w:vMerge w:val="continue"/>
            <w:tcBorders>
              <w:tl2br w:val="nil"/>
              <w:tr2bl w:val="nil"/>
            </w:tcBorders>
            <w:vAlign w:val="center"/>
          </w:tcPr>
          <w:p>
            <w:pPr>
              <w:pStyle w:val="28"/>
              <w:widowControl w:val="0"/>
              <w:rPr>
                <w:color w:val="auto"/>
                <w:highlight w:val="none"/>
              </w:rPr>
            </w:pPr>
          </w:p>
        </w:tc>
        <w:tc>
          <w:tcPr>
            <w:tcW w:w="373" w:type="pct"/>
            <w:tcBorders>
              <w:tl2br w:val="nil"/>
              <w:tr2bl w:val="nil"/>
            </w:tcBorders>
            <w:vAlign w:val="center"/>
          </w:tcPr>
          <w:p>
            <w:pPr>
              <w:pStyle w:val="28"/>
              <w:widowControl w:val="0"/>
              <w:rPr>
                <w:color w:val="auto"/>
                <w:highlight w:val="none"/>
              </w:rPr>
            </w:pPr>
            <w:r>
              <w:rPr>
                <w:rFonts w:hint="eastAsia"/>
                <w:color w:val="auto"/>
                <w:highlight w:val="none"/>
              </w:rPr>
              <w:t>COD</w:t>
            </w:r>
          </w:p>
        </w:tc>
        <w:tc>
          <w:tcPr>
            <w:tcW w:w="391" w:type="pct"/>
            <w:tcBorders>
              <w:tl2br w:val="nil"/>
              <w:tr2bl w:val="nil"/>
            </w:tcBorders>
            <w:vAlign w:val="center"/>
          </w:tcPr>
          <w:p>
            <w:pPr>
              <w:pStyle w:val="28"/>
              <w:widowControl w:val="0"/>
              <w:rPr>
                <w:color w:val="auto"/>
                <w:highlight w:val="none"/>
              </w:rPr>
            </w:pPr>
            <w:r>
              <w:rPr>
                <w:rFonts w:hint="eastAsia"/>
                <w:color w:val="auto"/>
                <w:highlight w:val="none"/>
              </w:rPr>
              <w:t>氨氮</w:t>
            </w:r>
          </w:p>
        </w:tc>
        <w:tc>
          <w:tcPr>
            <w:tcW w:w="547" w:type="pct"/>
            <w:tcBorders>
              <w:tl2br w:val="nil"/>
              <w:tr2bl w:val="nil"/>
            </w:tcBorders>
            <w:vAlign w:val="center"/>
          </w:tcPr>
          <w:p>
            <w:pPr>
              <w:pStyle w:val="28"/>
              <w:widowControl w:val="0"/>
              <w:rPr>
                <w:color w:val="auto"/>
                <w:highlight w:val="none"/>
              </w:rPr>
            </w:pPr>
            <w:r>
              <w:rPr>
                <w:rFonts w:hint="eastAsia"/>
                <w:color w:val="auto"/>
                <w:highlight w:val="none"/>
              </w:rPr>
              <w:t>COD</w:t>
            </w:r>
            <w:r>
              <w:rPr>
                <w:rFonts w:hint="eastAsia"/>
                <w:color w:val="auto"/>
                <w:highlight w:val="none"/>
                <w:vertAlign w:val="subscript"/>
              </w:rPr>
              <w:t>Mn</w:t>
            </w:r>
          </w:p>
        </w:tc>
        <w:tc>
          <w:tcPr>
            <w:tcW w:w="582" w:type="pct"/>
            <w:vMerge w:val="continue"/>
            <w:tcBorders>
              <w:tl2br w:val="nil"/>
              <w:tr2bl w:val="nil"/>
            </w:tcBorders>
            <w:vAlign w:val="center"/>
          </w:tcPr>
          <w:p>
            <w:pPr>
              <w:pStyle w:val="28"/>
              <w:widowControl w:val="0"/>
              <w:rPr>
                <w:color w:val="auto"/>
                <w:highlight w:val="none"/>
              </w:rPr>
            </w:pPr>
          </w:p>
        </w:tc>
        <w:tc>
          <w:tcPr>
            <w:tcW w:w="459" w:type="pct"/>
            <w:vMerge w:val="continue"/>
            <w:tcBorders>
              <w:tl2br w:val="nil"/>
              <w:tr2bl w:val="nil"/>
            </w:tcBorders>
            <w:vAlign w:val="center"/>
          </w:tcPr>
          <w:p>
            <w:pPr>
              <w:pStyle w:val="28"/>
              <w:widowControl w:val="0"/>
              <w:rPr>
                <w:color w:val="auto"/>
                <w:highlight w:val="none"/>
              </w:rPr>
            </w:pPr>
          </w:p>
        </w:tc>
        <w:tc>
          <w:tcPr>
            <w:tcW w:w="536" w:type="pct"/>
            <w:vMerge w:val="continue"/>
            <w:tcBorders>
              <w:tl2br w:val="nil"/>
              <w:tr2bl w:val="nil"/>
            </w:tcBorders>
            <w:vAlign w:val="center"/>
          </w:tcPr>
          <w:p>
            <w:pPr>
              <w:pStyle w:val="28"/>
              <w:widowControl w:val="0"/>
              <w:rPr>
                <w:color w:val="auto"/>
                <w:highlight w:val="none"/>
              </w:rPr>
            </w:pPr>
          </w:p>
        </w:tc>
        <w:tc>
          <w:tcPr>
            <w:tcW w:w="703" w:type="pct"/>
            <w:vMerge w:val="continue"/>
            <w:tcBorders>
              <w:tl2br w:val="nil"/>
              <w:tr2bl w:val="nil"/>
            </w:tcBorders>
            <w:vAlign w:val="center"/>
          </w:tcPr>
          <w:p>
            <w:pPr>
              <w:pStyle w:val="28"/>
              <w:widowControl w:val="0"/>
              <w:rPr>
                <w:color w:val="auto"/>
                <w:highlight w:val="none"/>
              </w:rPr>
            </w:pPr>
          </w:p>
        </w:tc>
        <w:tc>
          <w:tcPr>
            <w:tcW w:w="70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373" w:type="pct"/>
            <w:tcBorders>
              <w:tl2br w:val="nil"/>
              <w:tr2bl w:val="nil"/>
            </w:tcBorders>
            <w:vAlign w:val="center"/>
          </w:tcPr>
          <w:p>
            <w:pPr>
              <w:pStyle w:val="28"/>
              <w:widowControl w:val="0"/>
              <w:rPr>
                <w:color w:val="auto"/>
                <w:highlight w:val="none"/>
              </w:rPr>
            </w:pPr>
            <w:r>
              <w:rPr>
                <w:rFonts w:hint="eastAsia"/>
                <w:color w:val="auto"/>
                <w:highlight w:val="none"/>
              </w:rPr>
              <w:t>2059</w:t>
            </w:r>
          </w:p>
        </w:tc>
        <w:tc>
          <w:tcPr>
            <w:tcW w:w="391" w:type="pct"/>
            <w:tcBorders>
              <w:tl2br w:val="nil"/>
              <w:tr2bl w:val="nil"/>
            </w:tcBorders>
            <w:vAlign w:val="center"/>
          </w:tcPr>
          <w:p>
            <w:pPr>
              <w:pStyle w:val="28"/>
              <w:widowControl w:val="0"/>
              <w:rPr>
                <w:color w:val="auto"/>
                <w:highlight w:val="none"/>
              </w:rPr>
            </w:pPr>
            <w:r>
              <w:rPr>
                <w:rFonts w:hint="eastAsia"/>
                <w:color w:val="auto"/>
                <w:highlight w:val="none"/>
              </w:rPr>
              <w:t>154</w:t>
            </w:r>
          </w:p>
        </w:tc>
        <w:tc>
          <w:tcPr>
            <w:tcW w:w="547" w:type="pct"/>
            <w:tcBorders>
              <w:tl2br w:val="nil"/>
              <w:tr2bl w:val="nil"/>
            </w:tcBorders>
            <w:vAlign w:val="center"/>
          </w:tcPr>
          <w:p>
            <w:pPr>
              <w:pStyle w:val="28"/>
              <w:widowControl w:val="0"/>
              <w:rPr>
                <w:color w:val="auto"/>
                <w:highlight w:val="none"/>
              </w:rPr>
            </w:pPr>
            <w:r>
              <w:rPr>
                <w:rFonts w:hint="eastAsia"/>
                <w:color w:val="auto"/>
                <w:highlight w:val="none"/>
              </w:rPr>
              <w:t>583.16</w:t>
            </w:r>
          </w:p>
        </w:tc>
        <w:tc>
          <w:tcPr>
            <w:tcW w:w="582" w:type="pct"/>
            <w:tcBorders>
              <w:tl2br w:val="nil"/>
              <w:tr2bl w:val="nil"/>
            </w:tcBorders>
            <w:vAlign w:val="center"/>
          </w:tcPr>
          <w:p>
            <w:pPr>
              <w:pStyle w:val="28"/>
              <w:widowControl w:val="0"/>
              <w:rPr>
                <w:color w:val="auto"/>
                <w:highlight w:val="none"/>
              </w:rPr>
            </w:pPr>
            <w:r>
              <w:rPr>
                <w:rFonts w:hint="eastAsia"/>
                <w:color w:val="auto"/>
                <w:highlight w:val="none"/>
              </w:rPr>
              <w:t>600</w:t>
            </w:r>
          </w:p>
        </w:tc>
        <w:tc>
          <w:tcPr>
            <w:tcW w:w="459"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0.8</w:t>
            </w:r>
          </w:p>
        </w:tc>
        <w:tc>
          <w:tcPr>
            <w:tcW w:w="703" w:type="pct"/>
            <w:tcBorders>
              <w:tl2br w:val="nil"/>
              <w:tr2bl w:val="nil"/>
            </w:tcBorders>
            <w:vAlign w:val="center"/>
          </w:tcPr>
          <w:p>
            <w:pPr>
              <w:pStyle w:val="28"/>
              <w:widowControl w:val="0"/>
              <w:rPr>
                <w:color w:val="auto"/>
                <w:highlight w:val="none"/>
              </w:rPr>
            </w:pPr>
            <w:r>
              <w:rPr>
                <w:rFonts w:hint="eastAsia"/>
                <w:color w:val="auto"/>
                <w:highlight w:val="none"/>
              </w:rPr>
              <w:t>0.466</w:t>
            </w:r>
          </w:p>
        </w:tc>
        <w:tc>
          <w:tcPr>
            <w:tcW w:w="706" w:type="pct"/>
            <w:tcBorders>
              <w:tl2br w:val="nil"/>
              <w:tr2bl w:val="nil"/>
            </w:tcBorders>
            <w:vAlign w:val="center"/>
          </w:tcPr>
          <w:p>
            <w:pPr>
              <w:pStyle w:val="28"/>
              <w:widowControl w:val="0"/>
              <w:rPr>
                <w:color w:val="auto"/>
                <w:highlight w:val="none"/>
              </w:rPr>
            </w:pPr>
            <w:r>
              <w:rPr>
                <w:rFonts w:hint="eastAsia"/>
                <w:color w:val="auto"/>
                <w:highlight w:val="none"/>
              </w:rPr>
              <w:t>0.124</w:t>
            </w:r>
          </w:p>
        </w:tc>
      </w:tr>
    </w:tbl>
    <w:p>
      <w:pPr>
        <w:widowControl w:val="0"/>
        <w:ind w:firstLine="482"/>
        <w:jc w:val="left"/>
        <w:rPr>
          <w:b/>
          <w:bCs/>
          <w:color w:val="auto"/>
          <w:kern w:val="24"/>
          <w:highlight w:val="none"/>
        </w:rPr>
      </w:pPr>
      <w:r>
        <w:rPr>
          <w:rFonts w:hint="eastAsia"/>
          <w:b/>
          <w:bCs/>
          <w:color w:val="auto"/>
          <w:kern w:val="24"/>
          <w:highlight w:val="none"/>
        </w:rPr>
        <w:t>⑥</w:t>
      </w:r>
      <w:r>
        <w:rPr>
          <w:b/>
          <w:bCs/>
          <w:color w:val="auto"/>
          <w:kern w:val="24"/>
          <w:highlight w:val="none"/>
        </w:rPr>
        <w:t>预测模型概化</w:t>
      </w:r>
    </w:p>
    <w:p>
      <w:pPr>
        <w:widowControl w:val="0"/>
        <w:ind w:firstLine="480"/>
        <w:rPr>
          <w:color w:val="auto"/>
          <w:highlight w:val="none"/>
        </w:rPr>
      </w:pPr>
      <w:r>
        <w:rPr>
          <w:color w:val="auto"/>
          <w:highlight w:val="none"/>
        </w:rPr>
        <w:t>ⅰ</w:t>
      </w:r>
      <w:r>
        <w:rPr>
          <w:rFonts w:hint="eastAsia"/>
          <w:color w:val="auto"/>
          <w:highlight w:val="none"/>
        </w:rPr>
        <w:t>.</w:t>
      </w:r>
      <w:r>
        <w:rPr>
          <w:color w:val="auto"/>
          <w:highlight w:val="none"/>
        </w:rPr>
        <w:t>水文地质条件及污染源概化</w:t>
      </w:r>
    </w:p>
    <w:p>
      <w:pPr>
        <w:widowControl w:val="0"/>
        <w:ind w:firstLine="480"/>
        <w:rPr>
          <w:color w:val="auto"/>
          <w:kern w:val="0"/>
          <w:highlight w:val="none"/>
        </w:rPr>
      </w:pPr>
      <w:r>
        <w:rPr>
          <w:color w:val="auto"/>
          <w:kern w:val="0"/>
          <w:highlight w:val="none"/>
        </w:rPr>
        <w:t>根据实际调查研究及水文地质资料，</w:t>
      </w:r>
      <w:r>
        <w:rPr>
          <w:color w:val="auto"/>
          <w:highlight w:val="none"/>
        </w:rPr>
        <w:t>在本次模型模拟区内，含水岩组为遂宁组。</w:t>
      </w:r>
      <w:r>
        <w:rPr>
          <w:color w:val="auto"/>
          <w:kern w:val="0"/>
          <w:highlight w:val="none"/>
        </w:rPr>
        <w:t>地下水的储存介质主要为红层砂泥岩的风化裂隙，隔水层受控风化带发育，自上而下分别为强风化带、弱风化带。弱风化带以下风化作用影响极微，可构成含水层底板。因此，本次研究的主要含水层为红层风化裂隙水。</w:t>
      </w:r>
    </w:p>
    <w:p>
      <w:pPr>
        <w:widowControl w:val="0"/>
        <w:ind w:firstLine="480"/>
        <w:rPr>
          <w:color w:val="auto"/>
          <w:highlight w:val="none"/>
        </w:rPr>
      </w:pPr>
      <w:r>
        <w:rPr>
          <w:color w:val="auto"/>
          <w:highlight w:val="none"/>
        </w:rPr>
        <w:t>根据《环境影响评价技术导则地下水环境》（HJ 610-2016），非正常状况下，污水池底部防渗系统</w:t>
      </w:r>
      <w:r>
        <w:rPr>
          <w:rFonts w:hint="eastAsia"/>
          <w:color w:val="auto"/>
          <w:highlight w:val="none"/>
        </w:rPr>
        <w:t>损坏</w:t>
      </w:r>
      <w:r>
        <w:rPr>
          <w:color w:val="auto"/>
          <w:highlight w:val="none"/>
        </w:rPr>
        <w:t>后，含有污染物的废水将以入渗的方式进入含水层，从保守角度，本次计算忽略污染物在包气带的运移过程。根据导则附录D推荐</w:t>
      </w:r>
      <w:r>
        <w:rPr>
          <w:rFonts w:hint="eastAsia"/>
          <w:color w:val="auto"/>
          <w:szCs w:val="22"/>
          <w:highlight w:val="none"/>
        </w:rPr>
        <w:t>，结合本建设项目工程特性和水文地质条件及污染情景设定，本次评价非正常工况选用导则附录D推荐的连续注入示踪剂—平面连续点源公式。</w:t>
      </w:r>
    </w:p>
    <w:p>
      <w:pPr>
        <w:widowControl w:val="0"/>
        <w:ind w:firstLine="480"/>
        <w:rPr>
          <w:color w:val="auto"/>
          <w:szCs w:val="22"/>
          <w:highlight w:val="none"/>
        </w:rPr>
      </w:pPr>
      <w:r>
        <w:rPr>
          <w:color w:val="auto"/>
          <w:kern w:val="0"/>
          <w:szCs w:val="24"/>
          <w:highlight w:val="none"/>
          <w:lang w:bidi="ar"/>
        </w:rPr>
        <w:t>预测模式如下：</w:t>
      </w:r>
    </w:p>
    <w:p>
      <w:pPr>
        <w:widowControl w:val="0"/>
        <w:spacing w:line="240" w:lineRule="auto"/>
        <w:ind w:firstLine="480"/>
        <w:jc w:val="center"/>
        <w:rPr>
          <w:color w:val="auto"/>
          <w:szCs w:val="22"/>
          <w:highlight w:val="none"/>
        </w:rPr>
      </w:pPr>
      <w:r>
        <w:rPr>
          <w:color w:val="auto"/>
          <w:highlight w:val="none"/>
        </w:rPr>
        <w:drawing>
          <wp:inline distT="0" distB="0" distL="114300" distR="114300">
            <wp:extent cx="1381760" cy="619760"/>
            <wp:effectExtent l="0" t="0" r="8890" b="825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4">
                      <a:clrChange>
                        <a:clrFrom>
                          <a:srgbClr val="FFFFFF"/>
                        </a:clrFrom>
                        <a:clrTo>
                          <a:srgbClr val="FFFFFF">
                            <a:alpha val="0"/>
                          </a:srgbClr>
                        </a:clrTo>
                      </a:clrChange>
                    </a:blip>
                    <a:stretch>
                      <a:fillRect/>
                    </a:stretch>
                  </pic:blipFill>
                  <pic:spPr>
                    <a:xfrm>
                      <a:off x="0" y="0"/>
                      <a:ext cx="1381760" cy="619760"/>
                    </a:xfrm>
                    <a:prstGeom prst="rect">
                      <a:avLst/>
                    </a:prstGeom>
                    <a:noFill/>
                    <a:ln>
                      <a:noFill/>
                    </a:ln>
                  </pic:spPr>
                </pic:pic>
              </a:graphicData>
            </a:graphic>
          </wp:inline>
        </w:drawing>
      </w:r>
    </w:p>
    <w:p>
      <w:pPr>
        <w:widowControl w:val="0"/>
        <w:spacing w:line="240" w:lineRule="auto"/>
        <w:ind w:firstLine="480"/>
        <w:jc w:val="center"/>
        <w:rPr>
          <w:rFonts w:ascii="Ti" w:hAnsi="Ti"/>
          <w:color w:val="auto"/>
          <w:highlight w:val="none"/>
        </w:rPr>
      </w:pPr>
      <w:r>
        <w:rPr>
          <w:color w:val="auto"/>
          <w:highlight w:val="none"/>
        </w:rPr>
        <w:drawing>
          <wp:inline distT="0" distB="0" distL="114300" distR="114300">
            <wp:extent cx="3542665" cy="621030"/>
            <wp:effectExtent l="0" t="0" r="635"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3542665" cy="621030"/>
                    </a:xfrm>
                    <a:prstGeom prst="rect">
                      <a:avLst/>
                    </a:prstGeom>
                    <a:noFill/>
                    <a:ln>
                      <a:noFill/>
                    </a:ln>
                  </pic:spPr>
                </pic:pic>
              </a:graphicData>
            </a:graphic>
          </wp:inline>
        </w:drawing>
      </w:r>
    </w:p>
    <w:p>
      <w:pPr>
        <w:widowControl w:val="0"/>
        <w:ind w:firstLine="480"/>
        <w:rPr>
          <w:color w:val="auto"/>
          <w:highlight w:val="none"/>
        </w:rPr>
      </w:pPr>
      <w:r>
        <w:rPr>
          <w:rFonts w:hint="eastAsia"/>
          <w:color w:val="auto"/>
          <w:highlight w:val="none"/>
        </w:rPr>
        <w:t>式</w:t>
      </w:r>
      <w:r>
        <w:rPr>
          <w:color w:val="auto"/>
          <w:highlight w:val="none"/>
        </w:rPr>
        <w:t>中：</w:t>
      </w:r>
      <w:r>
        <w:rPr>
          <w:rFonts w:hint="eastAsia"/>
          <w:color w:val="auto"/>
          <w:highlight w:val="none"/>
        </w:rPr>
        <w:t>x，y——计算</w:t>
      </w:r>
      <w:r>
        <w:rPr>
          <w:color w:val="auto"/>
          <w:highlight w:val="none"/>
        </w:rPr>
        <w:t>点处的位置坐标；</w:t>
      </w:r>
    </w:p>
    <w:p>
      <w:pPr>
        <w:widowControl w:val="0"/>
        <w:ind w:firstLine="1200" w:firstLineChars="500"/>
        <w:rPr>
          <w:rFonts w:ascii="Ti" w:hAnsi="Ti"/>
          <w:color w:val="auto"/>
          <w:szCs w:val="24"/>
          <w:highlight w:val="none"/>
        </w:rPr>
      </w:pPr>
      <w:r>
        <w:rPr>
          <w:rFonts w:hint="eastAsia" w:ascii="Ti" w:hAnsi="Ti"/>
          <w:color w:val="auto"/>
          <w:szCs w:val="24"/>
          <w:highlight w:val="none"/>
        </w:rPr>
        <w:t>t——</w:t>
      </w:r>
      <w:r>
        <w:rPr>
          <w:rFonts w:hint="eastAsia"/>
          <w:color w:val="auto"/>
          <w:szCs w:val="24"/>
          <w:highlight w:val="none"/>
        </w:rPr>
        <w:t>时间</w:t>
      </w:r>
      <w:r>
        <w:rPr>
          <w:rFonts w:hint="eastAsia" w:ascii="Ti" w:hAnsi="Ti"/>
          <w:color w:val="auto"/>
          <w:szCs w:val="24"/>
          <w:highlight w:val="none"/>
        </w:rPr>
        <w:t>，d（100d，1000d，3650d，7200d）；</w:t>
      </w:r>
    </w:p>
    <w:p>
      <w:pPr>
        <w:widowControl w:val="0"/>
        <w:ind w:firstLine="1200" w:firstLineChars="500"/>
        <w:rPr>
          <w:rFonts w:ascii="Ti" w:hAnsi="Ti"/>
          <w:color w:val="auto"/>
          <w:szCs w:val="24"/>
          <w:highlight w:val="none"/>
        </w:rPr>
      </w:pPr>
      <w:r>
        <w:rPr>
          <w:rFonts w:hint="eastAsia" w:ascii="Ti" w:hAnsi="Ti"/>
          <w:color w:val="auto"/>
          <w:szCs w:val="24"/>
          <w:highlight w:val="none"/>
        </w:rPr>
        <w:t>C</w:t>
      </w:r>
      <w:r>
        <w:rPr>
          <w:rFonts w:ascii="Ti" w:hAnsi="Ti"/>
          <w:color w:val="auto"/>
          <w:szCs w:val="24"/>
          <w:highlight w:val="none"/>
        </w:rPr>
        <w:t>(</w:t>
      </w:r>
      <w:r>
        <w:rPr>
          <w:rFonts w:hint="eastAsia" w:ascii="Ti" w:hAnsi="Ti"/>
          <w:color w:val="auto"/>
          <w:szCs w:val="24"/>
          <w:highlight w:val="none"/>
        </w:rPr>
        <w:t>x，</w:t>
      </w:r>
      <w:r>
        <w:rPr>
          <w:rFonts w:ascii="Ti" w:hAnsi="Ti"/>
          <w:color w:val="auto"/>
          <w:szCs w:val="24"/>
          <w:highlight w:val="none"/>
        </w:rPr>
        <w:t>y，t</w:t>
      </w:r>
      <w:r>
        <w:rPr>
          <w:rFonts w:hint="eastAsia" w:ascii="Ti" w:hAnsi="Ti"/>
          <w:color w:val="auto"/>
          <w:szCs w:val="24"/>
          <w:highlight w:val="none"/>
        </w:rPr>
        <w:t>)</w:t>
      </w:r>
      <w:r>
        <w:rPr>
          <w:rFonts w:ascii="Ti" w:hAnsi="Ti"/>
          <w:color w:val="auto"/>
          <w:szCs w:val="24"/>
          <w:highlight w:val="none"/>
        </w:rPr>
        <w:t xml:space="preserve"> </w:t>
      </w:r>
      <w:r>
        <w:rPr>
          <w:rFonts w:hint="eastAsia" w:ascii="Ti" w:hAnsi="Ti"/>
          <w:color w:val="auto"/>
          <w:szCs w:val="24"/>
          <w:highlight w:val="none"/>
        </w:rPr>
        <w:t>——</w:t>
      </w:r>
      <w:r>
        <w:rPr>
          <w:rFonts w:ascii="Ti" w:hAnsi="Ti"/>
          <w:color w:val="auto"/>
          <w:szCs w:val="24"/>
          <w:highlight w:val="none"/>
        </w:rPr>
        <w:t xml:space="preserve"> </w:t>
      </w:r>
      <w:r>
        <w:rPr>
          <w:rFonts w:hint="eastAsia" w:ascii="Ti" w:hAnsi="Ti"/>
          <w:color w:val="auto"/>
          <w:szCs w:val="24"/>
          <w:highlight w:val="none"/>
        </w:rPr>
        <w:t>t时刻</w:t>
      </w:r>
      <w:r>
        <w:rPr>
          <w:rFonts w:ascii="Ti" w:hAnsi="Ti"/>
          <w:color w:val="auto"/>
          <w:szCs w:val="24"/>
          <w:highlight w:val="none"/>
        </w:rPr>
        <w:t>点</w:t>
      </w:r>
      <w:r>
        <w:rPr>
          <w:rFonts w:hint="eastAsia" w:ascii="Ti" w:hAnsi="Ti"/>
          <w:color w:val="auto"/>
          <w:szCs w:val="24"/>
          <w:highlight w:val="none"/>
        </w:rPr>
        <w:t>x，</w:t>
      </w:r>
      <w:r>
        <w:rPr>
          <w:rFonts w:ascii="Ti" w:hAnsi="Ti"/>
          <w:color w:val="auto"/>
          <w:szCs w:val="24"/>
          <w:highlight w:val="none"/>
        </w:rPr>
        <w:t>y处的示踪剂</w:t>
      </w:r>
      <w:r>
        <w:rPr>
          <w:rFonts w:hint="eastAsia" w:ascii="Ti" w:hAnsi="Ti"/>
          <w:color w:val="auto"/>
          <w:szCs w:val="24"/>
          <w:highlight w:val="none"/>
        </w:rPr>
        <w:t>深度，g/L；</w:t>
      </w:r>
    </w:p>
    <w:p>
      <w:pPr>
        <w:widowControl w:val="0"/>
        <w:ind w:firstLine="1200" w:firstLineChars="500"/>
        <w:rPr>
          <w:rFonts w:ascii="Ti" w:hAnsi="Ti"/>
          <w:color w:val="auto"/>
          <w:szCs w:val="24"/>
          <w:highlight w:val="none"/>
        </w:rPr>
      </w:pPr>
      <w:r>
        <w:rPr>
          <w:rFonts w:ascii="Ti" w:hAnsi="Ti"/>
          <w:color w:val="auto"/>
          <w:szCs w:val="24"/>
          <w:highlight w:val="none"/>
        </w:rPr>
        <w:t xml:space="preserve">M </w:t>
      </w:r>
      <w:r>
        <w:rPr>
          <w:rFonts w:hint="eastAsia" w:ascii="Ti" w:hAnsi="Ti"/>
          <w:color w:val="auto"/>
          <w:szCs w:val="24"/>
          <w:highlight w:val="none"/>
        </w:rPr>
        <w:t>——承压</w:t>
      </w:r>
      <w:r>
        <w:rPr>
          <w:rFonts w:ascii="Ti" w:hAnsi="Ti"/>
          <w:color w:val="auto"/>
          <w:szCs w:val="24"/>
          <w:highlight w:val="none"/>
        </w:rPr>
        <w:t>含水层</w:t>
      </w:r>
      <w:r>
        <w:rPr>
          <w:rFonts w:hint="eastAsia" w:ascii="Ti" w:hAnsi="Ti"/>
          <w:color w:val="auto"/>
          <w:szCs w:val="24"/>
          <w:highlight w:val="none"/>
        </w:rPr>
        <w:t>的</w:t>
      </w:r>
      <w:r>
        <w:rPr>
          <w:rFonts w:ascii="Ti" w:hAnsi="Ti"/>
          <w:color w:val="auto"/>
          <w:szCs w:val="24"/>
          <w:highlight w:val="none"/>
        </w:rPr>
        <w:t>厚度</w:t>
      </w:r>
      <w:r>
        <w:rPr>
          <w:rFonts w:hint="eastAsia" w:ascii="Ti" w:hAnsi="Ti"/>
          <w:color w:val="auto"/>
          <w:szCs w:val="24"/>
          <w:highlight w:val="none"/>
        </w:rPr>
        <w:t>，m；</w:t>
      </w:r>
    </w:p>
    <w:p>
      <w:pPr>
        <w:widowControl w:val="0"/>
        <w:ind w:firstLine="1200" w:firstLineChars="500"/>
        <w:rPr>
          <w:rFonts w:ascii="Ti" w:hAnsi="Ti"/>
          <w:color w:val="auto"/>
          <w:szCs w:val="24"/>
          <w:highlight w:val="none"/>
        </w:rPr>
      </w:pPr>
      <w:r>
        <w:rPr>
          <w:rFonts w:hint="eastAsia" w:ascii="Ti" w:hAnsi="Ti"/>
          <w:color w:val="auto"/>
          <w:szCs w:val="24"/>
          <w:highlight w:val="none"/>
        </w:rPr>
        <w:t>m</w:t>
      </w:r>
      <w:r>
        <w:rPr>
          <w:rFonts w:ascii="Ti" w:hAnsi="Ti"/>
          <w:color w:val="auto"/>
          <w:szCs w:val="24"/>
          <w:highlight w:val="none"/>
          <w:vertAlign w:val="subscript"/>
        </w:rPr>
        <w:t>t</w:t>
      </w:r>
      <w:r>
        <w:rPr>
          <w:rFonts w:hint="eastAsia" w:ascii="Ti" w:hAnsi="Ti"/>
          <w:color w:val="auto"/>
          <w:szCs w:val="24"/>
          <w:highlight w:val="none"/>
        </w:rPr>
        <w:t>——单位</w:t>
      </w:r>
      <w:r>
        <w:rPr>
          <w:rFonts w:ascii="Ti" w:hAnsi="Ti"/>
          <w:color w:val="auto"/>
          <w:szCs w:val="24"/>
          <w:highlight w:val="none"/>
        </w:rPr>
        <w:t>时间注入示踪</w:t>
      </w:r>
      <w:r>
        <w:rPr>
          <w:rFonts w:hint="eastAsia" w:ascii="Ti" w:hAnsi="Ti"/>
          <w:color w:val="auto"/>
          <w:szCs w:val="24"/>
          <w:highlight w:val="none"/>
        </w:rPr>
        <w:t>剂</w:t>
      </w:r>
      <w:r>
        <w:rPr>
          <w:rFonts w:ascii="Ti" w:hAnsi="Ti"/>
          <w:color w:val="auto"/>
          <w:szCs w:val="24"/>
          <w:highlight w:val="none"/>
        </w:rPr>
        <w:t>的质量</w:t>
      </w:r>
      <w:r>
        <w:rPr>
          <w:rFonts w:hint="eastAsia" w:ascii="Ti" w:hAnsi="Ti"/>
          <w:color w:val="auto"/>
          <w:szCs w:val="24"/>
          <w:highlight w:val="none"/>
        </w:rPr>
        <w:t>，kg/d；</w:t>
      </w:r>
    </w:p>
    <w:p>
      <w:pPr>
        <w:widowControl w:val="0"/>
        <w:ind w:firstLine="1200" w:firstLineChars="500"/>
        <w:rPr>
          <w:rFonts w:ascii="Ti" w:hAnsi="Ti"/>
          <w:color w:val="auto"/>
          <w:szCs w:val="24"/>
          <w:highlight w:val="none"/>
        </w:rPr>
      </w:pPr>
      <w:r>
        <w:rPr>
          <w:rFonts w:hint="eastAsia" w:ascii="Ti" w:hAnsi="Ti"/>
          <w:color w:val="auto"/>
          <w:szCs w:val="24"/>
          <w:highlight w:val="none"/>
        </w:rPr>
        <w:t>u——水</w:t>
      </w:r>
      <w:r>
        <w:rPr>
          <w:rFonts w:ascii="Ti" w:hAnsi="Ti"/>
          <w:color w:val="auto"/>
          <w:szCs w:val="24"/>
          <w:highlight w:val="none"/>
        </w:rPr>
        <w:t>流速度</w:t>
      </w:r>
      <w:r>
        <w:rPr>
          <w:rFonts w:hint="eastAsia" w:ascii="Ti" w:hAnsi="Ti"/>
          <w:color w:val="auto"/>
          <w:szCs w:val="24"/>
          <w:highlight w:val="none"/>
        </w:rPr>
        <w:t>，m/d；</w:t>
      </w:r>
    </w:p>
    <w:p>
      <w:pPr>
        <w:widowControl w:val="0"/>
        <w:ind w:firstLine="1200" w:firstLineChars="500"/>
        <w:rPr>
          <w:rFonts w:ascii="Ti" w:hAnsi="Ti"/>
          <w:color w:val="auto"/>
          <w:szCs w:val="24"/>
          <w:highlight w:val="none"/>
        </w:rPr>
      </w:pPr>
      <w:r>
        <w:rPr>
          <w:rFonts w:hint="eastAsia" w:ascii="Ti" w:hAnsi="Ti"/>
          <w:color w:val="auto"/>
          <w:szCs w:val="24"/>
          <w:highlight w:val="none"/>
        </w:rPr>
        <w:t>n</w:t>
      </w:r>
      <w:r>
        <w:rPr>
          <w:rFonts w:hint="eastAsia" w:ascii="Ti" w:hAnsi="Ti"/>
          <w:color w:val="auto"/>
          <w:szCs w:val="24"/>
          <w:highlight w:val="none"/>
          <w:vertAlign w:val="subscript"/>
        </w:rPr>
        <w:t>e</w:t>
      </w:r>
      <w:r>
        <w:rPr>
          <w:rFonts w:hint="eastAsia" w:ascii="Ti" w:hAnsi="Ti"/>
          <w:color w:val="auto"/>
          <w:szCs w:val="24"/>
          <w:highlight w:val="none"/>
        </w:rPr>
        <w:t>——有</w:t>
      </w:r>
      <w:r>
        <w:rPr>
          <w:rFonts w:ascii="Ti" w:hAnsi="Ti"/>
          <w:color w:val="auto"/>
          <w:szCs w:val="24"/>
          <w:highlight w:val="none"/>
        </w:rPr>
        <w:t>效孔隙度，无量纲；</w:t>
      </w:r>
    </w:p>
    <w:p>
      <w:pPr>
        <w:widowControl w:val="0"/>
        <w:ind w:firstLine="1200" w:firstLineChars="500"/>
        <w:rPr>
          <w:rFonts w:ascii="Ti" w:hAnsi="Ti"/>
          <w:color w:val="auto"/>
          <w:szCs w:val="24"/>
          <w:highlight w:val="none"/>
        </w:rPr>
      </w:pPr>
      <w:r>
        <w:rPr>
          <w:rFonts w:ascii="Ti" w:hAnsi="Ti"/>
          <w:color w:val="auto"/>
          <w:szCs w:val="24"/>
          <w:highlight w:val="none"/>
        </w:rPr>
        <w:t>D</w:t>
      </w:r>
      <w:r>
        <w:rPr>
          <w:rFonts w:ascii="Ti" w:hAnsi="Ti"/>
          <w:color w:val="auto"/>
          <w:szCs w:val="24"/>
          <w:highlight w:val="none"/>
          <w:vertAlign w:val="subscript"/>
        </w:rPr>
        <w:t>t</w:t>
      </w:r>
      <w:r>
        <w:rPr>
          <w:rFonts w:hint="eastAsia" w:ascii="Ti" w:hAnsi="Ti"/>
          <w:color w:val="auto"/>
          <w:szCs w:val="24"/>
          <w:highlight w:val="none"/>
        </w:rPr>
        <w:t>——纵向</w:t>
      </w:r>
      <w:r>
        <w:rPr>
          <w:color w:val="auto"/>
          <w:szCs w:val="24"/>
          <w:highlight w:val="none"/>
        </w:rPr>
        <w:t>弥散系数</w:t>
      </w:r>
      <w:r>
        <w:rPr>
          <w:rFonts w:hint="eastAsia" w:ascii="Ti" w:hAnsi="Ti"/>
          <w:color w:val="auto"/>
          <w:szCs w:val="24"/>
          <w:highlight w:val="none"/>
        </w:rPr>
        <w:t>，</w:t>
      </w:r>
      <w:r>
        <w:rPr>
          <w:rFonts w:ascii="Ti" w:hAnsi="Ti"/>
          <w:color w:val="auto"/>
          <w:szCs w:val="24"/>
          <w:highlight w:val="none"/>
        </w:rPr>
        <w:t>m</w:t>
      </w:r>
      <w:r>
        <w:rPr>
          <w:rFonts w:ascii="Ti" w:hAnsi="Ti"/>
          <w:color w:val="auto"/>
          <w:szCs w:val="24"/>
          <w:highlight w:val="none"/>
          <w:vertAlign w:val="superscript"/>
        </w:rPr>
        <w:t>2</w:t>
      </w:r>
      <w:r>
        <w:rPr>
          <w:rFonts w:hint="eastAsia" w:ascii="Ti" w:hAnsi="Ti"/>
          <w:color w:val="auto"/>
          <w:szCs w:val="24"/>
          <w:highlight w:val="none"/>
        </w:rPr>
        <w:t>/d</w:t>
      </w:r>
      <w:r>
        <w:rPr>
          <w:rFonts w:ascii="Ti" w:hAnsi="Ti"/>
          <w:color w:val="auto"/>
          <w:szCs w:val="24"/>
          <w:highlight w:val="none"/>
        </w:rPr>
        <w:t>；</w:t>
      </w:r>
    </w:p>
    <w:p>
      <w:pPr>
        <w:widowControl w:val="0"/>
        <w:ind w:firstLine="1200" w:firstLineChars="500"/>
        <w:rPr>
          <w:rFonts w:ascii="Ti" w:hAnsi="Ti"/>
          <w:color w:val="auto"/>
          <w:szCs w:val="24"/>
          <w:highlight w:val="none"/>
        </w:rPr>
      </w:pPr>
      <w:r>
        <w:rPr>
          <w:rFonts w:ascii="Ti" w:hAnsi="Ti"/>
          <w:color w:val="auto"/>
          <w:szCs w:val="24"/>
          <w:highlight w:val="none"/>
        </w:rPr>
        <w:t>D</w:t>
      </w:r>
      <w:r>
        <w:rPr>
          <w:rFonts w:ascii="Ti" w:hAnsi="Ti"/>
          <w:color w:val="auto"/>
          <w:szCs w:val="24"/>
          <w:highlight w:val="none"/>
          <w:vertAlign w:val="subscript"/>
        </w:rPr>
        <w:t>r</w:t>
      </w:r>
      <w:r>
        <w:rPr>
          <w:rFonts w:hint="eastAsia" w:ascii="Ti" w:hAnsi="Ti"/>
          <w:color w:val="auto"/>
          <w:szCs w:val="24"/>
          <w:highlight w:val="none"/>
        </w:rPr>
        <w:t>——横向y方向</w:t>
      </w:r>
      <w:r>
        <w:rPr>
          <w:rFonts w:ascii="Ti" w:hAnsi="Ti"/>
          <w:color w:val="auto"/>
          <w:szCs w:val="24"/>
          <w:highlight w:val="none"/>
        </w:rPr>
        <w:t>的弥散系数</w:t>
      </w:r>
      <w:r>
        <w:rPr>
          <w:rFonts w:hint="eastAsia" w:ascii="Ti" w:hAnsi="Ti"/>
          <w:color w:val="auto"/>
          <w:szCs w:val="24"/>
          <w:highlight w:val="none"/>
        </w:rPr>
        <w:t>，</w:t>
      </w:r>
      <w:r>
        <w:rPr>
          <w:rFonts w:ascii="Ti" w:hAnsi="Ti"/>
          <w:color w:val="auto"/>
          <w:szCs w:val="24"/>
          <w:highlight w:val="none"/>
        </w:rPr>
        <w:t>m</w:t>
      </w:r>
      <w:r>
        <w:rPr>
          <w:rFonts w:ascii="Ti" w:hAnsi="Ti"/>
          <w:color w:val="auto"/>
          <w:szCs w:val="24"/>
          <w:highlight w:val="none"/>
          <w:vertAlign w:val="superscript"/>
        </w:rPr>
        <w:t>2</w:t>
      </w:r>
      <w:r>
        <w:rPr>
          <w:rFonts w:hint="eastAsia" w:ascii="Ti" w:hAnsi="Ti"/>
          <w:color w:val="auto"/>
          <w:szCs w:val="24"/>
          <w:highlight w:val="none"/>
        </w:rPr>
        <w:t>/d</w:t>
      </w:r>
      <w:r>
        <w:rPr>
          <w:rFonts w:ascii="Ti" w:hAnsi="Ti"/>
          <w:color w:val="auto"/>
          <w:szCs w:val="24"/>
          <w:highlight w:val="none"/>
        </w:rPr>
        <w:t>；</w:t>
      </w:r>
    </w:p>
    <w:p>
      <w:pPr>
        <w:widowControl w:val="0"/>
        <w:ind w:firstLine="1200" w:firstLineChars="500"/>
        <w:rPr>
          <w:rFonts w:ascii="Ti" w:hAnsi="Ti"/>
          <w:color w:val="auto"/>
          <w:szCs w:val="24"/>
          <w:highlight w:val="none"/>
        </w:rPr>
      </w:pPr>
      <w:r>
        <w:rPr>
          <w:color w:val="auto"/>
          <w:szCs w:val="24"/>
          <w:highlight w:val="none"/>
        </w:rPr>
        <w:t>π</w:t>
      </w:r>
      <w:r>
        <w:rPr>
          <w:rFonts w:hint="eastAsia" w:ascii="Ti" w:hAnsi="Ti"/>
          <w:color w:val="auto"/>
          <w:szCs w:val="24"/>
          <w:highlight w:val="none"/>
        </w:rPr>
        <w:t>——圆周</w:t>
      </w:r>
      <w:r>
        <w:rPr>
          <w:rFonts w:ascii="Ti" w:hAnsi="Ti"/>
          <w:color w:val="auto"/>
          <w:szCs w:val="24"/>
          <w:highlight w:val="none"/>
        </w:rPr>
        <w:t>率。。</w:t>
      </w:r>
    </w:p>
    <w:p>
      <w:pPr>
        <w:widowControl w:val="0"/>
        <w:ind w:firstLine="1200" w:firstLineChars="500"/>
        <w:rPr>
          <w:rFonts w:ascii="Ti" w:hAnsi="Ti"/>
          <w:color w:val="auto"/>
          <w:szCs w:val="24"/>
          <w:highlight w:val="none"/>
        </w:rPr>
      </w:pPr>
      <w:r>
        <w:rPr>
          <w:rFonts w:hint="eastAsia" w:ascii="Ti" w:hAnsi="Ti"/>
          <w:color w:val="auto"/>
          <w:szCs w:val="24"/>
          <w:highlight w:val="none"/>
        </w:rPr>
        <w:t>K</w:t>
      </w:r>
      <w:r>
        <w:rPr>
          <w:rFonts w:ascii="Ti" w:hAnsi="Ti"/>
          <w:color w:val="auto"/>
          <w:szCs w:val="24"/>
          <w:highlight w:val="none"/>
          <w:vertAlign w:val="subscript"/>
        </w:rPr>
        <w:t>0</w:t>
      </w:r>
      <w:r>
        <w:rPr>
          <w:rFonts w:hint="eastAsia" w:ascii="Ti" w:hAnsi="Ti"/>
          <w:color w:val="auto"/>
          <w:szCs w:val="24"/>
          <w:highlight w:val="none"/>
        </w:rPr>
        <w:t>（</w:t>
      </w:r>
      <w:r>
        <w:rPr>
          <w:color w:val="auto"/>
          <w:szCs w:val="24"/>
          <w:highlight w:val="none"/>
        </w:rPr>
        <w:t>β</w:t>
      </w:r>
      <w:r>
        <w:rPr>
          <w:rFonts w:hint="eastAsia" w:ascii="Ti" w:hAnsi="Ti"/>
          <w:color w:val="auto"/>
          <w:szCs w:val="24"/>
          <w:highlight w:val="none"/>
        </w:rPr>
        <w:t>）——第</w:t>
      </w:r>
      <w:r>
        <w:rPr>
          <w:rFonts w:ascii="Ti" w:hAnsi="Ti"/>
          <w:color w:val="auto"/>
          <w:szCs w:val="24"/>
          <w:highlight w:val="none"/>
        </w:rPr>
        <w:t>二类零阶修正贝塞尔函数；</w:t>
      </w:r>
    </w:p>
    <w:p>
      <w:pPr>
        <w:widowControl w:val="0"/>
        <w:ind w:firstLine="1200" w:firstLineChars="500"/>
        <w:rPr>
          <w:rFonts w:ascii="Ti" w:hAnsi="Ti"/>
          <w:color w:val="auto"/>
          <w:szCs w:val="24"/>
          <w:highlight w:val="none"/>
        </w:rPr>
      </w:pPr>
      <w:r>
        <w:rPr>
          <w:rFonts w:hint="eastAsia" w:ascii="Ti" w:hAnsi="Ti"/>
          <w:color w:val="auto"/>
          <w:szCs w:val="24"/>
          <w:highlight w:val="none"/>
        </w:rPr>
        <w:t>W</w:t>
      </w:r>
      <w:r>
        <w:rPr>
          <w:rFonts w:ascii="Ti" w:hAnsi="Ti"/>
          <w:color w:val="auto"/>
          <w:szCs w:val="24"/>
          <w:highlight w:val="none"/>
        </w:rPr>
        <w:t>(</w:t>
      </w:r>
      <w:r>
        <w:rPr>
          <w:rFonts w:hint="eastAsia" w:ascii="Ti" w:hAnsi="Ti"/>
          <w:color w:val="auto"/>
          <w:szCs w:val="24"/>
          <w:highlight w:val="none"/>
        </w:rPr>
        <w:t xml:space="preserve"> </w:t>
      </w:r>
      <w:r>
        <w:rPr>
          <w:rFonts w:ascii="Ti" w:hAnsi="Ti"/>
          <w:color w:val="auto"/>
          <w:szCs w:val="24"/>
          <w:highlight w:val="none"/>
        </w:rPr>
        <w:t>u</w:t>
      </w:r>
      <w:r>
        <w:rPr>
          <w:rFonts w:ascii="Ti" w:hAnsi="Ti"/>
          <w:color w:val="auto"/>
          <w:szCs w:val="24"/>
          <w:highlight w:val="none"/>
          <w:vertAlign w:val="superscript"/>
        </w:rPr>
        <w:t>2</w:t>
      </w:r>
      <w:r>
        <w:rPr>
          <w:rFonts w:ascii="Ti" w:hAnsi="Ti"/>
          <w:color w:val="auto"/>
          <w:szCs w:val="24"/>
          <w:highlight w:val="none"/>
        </w:rPr>
        <w:t>t/4D</w:t>
      </w:r>
      <w:r>
        <w:rPr>
          <w:rFonts w:ascii="Ti" w:hAnsi="Ti"/>
          <w:color w:val="auto"/>
          <w:szCs w:val="24"/>
          <w:highlight w:val="none"/>
          <w:vertAlign w:val="subscript"/>
        </w:rPr>
        <w:t>L</w:t>
      </w:r>
      <w:r>
        <w:rPr>
          <w:rFonts w:hint="eastAsia" w:ascii="Ti" w:hAnsi="Ti"/>
          <w:color w:val="auto"/>
          <w:szCs w:val="24"/>
          <w:highlight w:val="none"/>
        </w:rPr>
        <w:t>，</w:t>
      </w:r>
      <w:r>
        <w:rPr>
          <w:color w:val="auto"/>
          <w:szCs w:val="24"/>
          <w:highlight w:val="none"/>
        </w:rPr>
        <w:t>β</w:t>
      </w:r>
      <w:r>
        <w:rPr>
          <w:rFonts w:hint="eastAsia" w:ascii="宋体" w:hAnsi="宋体" w:cs="宋体"/>
          <w:color w:val="auto"/>
          <w:szCs w:val="24"/>
          <w:highlight w:val="none"/>
        </w:rPr>
        <w:t>）</w:t>
      </w:r>
      <w:r>
        <w:rPr>
          <w:rFonts w:hint="eastAsia" w:ascii="Ti" w:hAnsi="Ti"/>
          <w:color w:val="auto"/>
          <w:szCs w:val="24"/>
          <w:highlight w:val="none"/>
        </w:rPr>
        <w:t>——第</w:t>
      </w:r>
      <w:r>
        <w:rPr>
          <w:rFonts w:ascii="Ti" w:hAnsi="Ti"/>
          <w:color w:val="auto"/>
          <w:szCs w:val="24"/>
          <w:highlight w:val="none"/>
        </w:rPr>
        <w:t>二类零阶修正贝塞尔函数</w:t>
      </w:r>
      <w:r>
        <w:rPr>
          <w:rFonts w:hint="eastAsia" w:ascii="Ti" w:hAnsi="Ti"/>
          <w:color w:val="auto"/>
          <w:szCs w:val="24"/>
          <w:highlight w:val="none"/>
        </w:rPr>
        <w:t>。</w:t>
      </w:r>
    </w:p>
    <w:p>
      <w:pPr>
        <w:widowControl w:val="0"/>
        <w:ind w:firstLine="480"/>
        <w:rPr>
          <w:color w:val="auto"/>
          <w:highlight w:val="none"/>
        </w:rPr>
      </w:pPr>
      <w:r>
        <w:rPr>
          <w:rFonts w:hint="eastAsia"/>
          <w:color w:val="auto"/>
          <w:highlight w:val="none"/>
        </w:rPr>
        <w:t>参数取值：根据区域水文地质资料确定项目区渗透系数为1.5m/d，含水层厚度约20m，</w:t>
      </w:r>
      <w:r>
        <w:rPr>
          <w:color w:val="auto"/>
          <w:highlight w:val="none"/>
        </w:rPr>
        <w:t>地下水流速u=</w:t>
      </w:r>
      <w:r>
        <w:rPr>
          <w:rFonts w:hint="eastAsia"/>
          <w:color w:val="auto"/>
          <w:highlight w:val="none"/>
        </w:rPr>
        <w:t>0.0288</w:t>
      </w:r>
      <w:r>
        <w:rPr>
          <w:color w:val="auto"/>
          <w:highlight w:val="none"/>
        </w:rPr>
        <w:t>m/</w:t>
      </w:r>
      <w:r>
        <w:rPr>
          <w:rFonts w:hint="eastAsia"/>
          <w:color w:val="auto"/>
          <w:highlight w:val="none"/>
        </w:rPr>
        <w:t>d，有效孔隙度0.26，</w:t>
      </w:r>
      <w:r>
        <w:rPr>
          <w:color w:val="auto"/>
          <w:highlight w:val="none"/>
        </w:rPr>
        <w:t>纵向弥散</w:t>
      </w:r>
      <w:r>
        <w:rPr>
          <w:rFonts w:hint="eastAsia"/>
          <w:color w:val="auto"/>
          <w:highlight w:val="none"/>
        </w:rPr>
        <w:t>系数</w:t>
      </w:r>
      <w:r>
        <w:rPr>
          <w:color w:val="auto"/>
          <w:highlight w:val="none"/>
        </w:rPr>
        <w:t>取值为</w:t>
      </w:r>
      <w:r>
        <w:rPr>
          <w:rFonts w:hint="eastAsia"/>
          <w:color w:val="auto"/>
          <w:highlight w:val="none"/>
        </w:rPr>
        <w:t>0.288</w:t>
      </w:r>
      <w:r>
        <w:rPr>
          <w:color w:val="auto"/>
          <w:highlight w:val="none"/>
        </w:rPr>
        <w:t>m</w:t>
      </w:r>
      <w:r>
        <w:rPr>
          <w:color w:val="auto"/>
          <w:highlight w:val="none"/>
          <w:vertAlign w:val="superscript"/>
        </w:rPr>
        <w:t>2</w:t>
      </w:r>
      <w:r>
        <w:rPr>
          <w:color w:val="auto"/>
          <w:highlight w:val="none"/>
        </w:rPr>
        <w:t>/d，横向弥散系数取值为</w:t>
      </w:r>
      <w:r>
        <w:rPr>
          <w:rFonts w:hint="eastAsia"/>
          <w:color w:val="auto"/>
          <w:highlight w:val="none"/>
        </w:rPr>
        <w:t>0.03</w:t>
      </w:r>
      <w:r>
        <w:rPr>
          <w:color w:val="auto"/>
          <w:highlight w:val="none"/>
        </w:rPr>
        <w:t>m</w:t>
      </w:r>
      <w:r>
        <w:rPr>
          <w:color w:val="auto"/>
          <w:highlight w:val="none"/>
          <w:vertAlign w:val="superscript"/>
        </w:rPr>
        <w:t>2</w:t>
      </w:r>
      <w:r>
        <w:rPr>
          <w:color w:val="auto"/>
          <w:highlight w:val="none"/>
        </w:rPr>
        <w:t>/d。</w:t>
      </w:r>
    </w:p>
    <w:p>
      <w:pPr>
        <w:widowControl w:val="0"/>
        <w:ind w:firstLine="482"/>
        <w:rPr>
          <w:b/>
          <w:bCs/>
          <w:color w:val="auto"/>
          <w:highlight w:val="none"/>
        </w:rPr>
      </w:pPr>
      <w:r>
        <w:rPr>
          <w:rFonts w:hint="eastAsia"/>
          <w:b/>
          <w:bCs/>
          <w:color w:val="auto"/>
          <w:highlight w:val="none"/>
        </w:rPr>
        <w:t>⑦非正常工况地下水预测结果</w:t>
      </w:r>
    </w:p>
    <w:p>
      <w:pPr>
        <w:widowControl w:val="0"/>
        <w:ind w:firstLine="480"/>
        <w:rPr>
          <w:color w:val="auto"/>
          <w:kern w:val="0"/>
          <w:highlight w:val="none"/>
        </w:rPr>
      </w:pPr>
      <w:r>
        <w:rPr>
          <w:rFonts w:hint="eastAsia"/>
          <w:color w:val="auto"/>
          <w:highlight w:val="none"/>
        </w:rPr>
        <w:t>（1）</w:t>
      </w:r>
      <w:r>
        <w:rPr>
          <w:color w:val="auto"/>
          <w:kern w:val="0"/>
          <w:highlight w:val="none"/>
        </w:rPr>
        <w:t>COD运移预测结果</w:t>
      </w:r>
    </w:p>
    <w:p>
      <w:pPr>
        <w:widowControl w:val="0"/>
        <w:ind w:firstLine="480"/>
        <w:jc w:val="left"/>
        <w:rPr>
          <w:color w:val="auto"/>
          <w:highlight w:val="none"/>
        </w:rPr>
      </w:pPr>
      <w:r>
        <w:rPr>
          <w:color w:val="auto"/>
          <w:highlight w:val="none"/>
        </w:rPr>
        <w:t>项目污水处理站、圈舍集污池内污水渗漏进入地下水后，100d时，COD预测的最大值为</w:t>
      </w:r>
      <w:r>
        <w:rPr>
          <w:rFonts w:hint="eastAsia"/>
          <w:color w:val="auto"/>
          <w:highlight w:val="none"/>
        </w:rPr>
        <w:t>416</w:t>
      </w:r>
      <w:r>
        <w:rPr>
          <w:color w:val="auto"/>
          <w:highlight w:val="none"/>
        </w:rPr>
        <w:t>mg/l，位于地下水流向下游1m内，预测超标距离最远为</w:t>
      </w:r>
      <w:r>
        <w:rPr>
          <w:rFonts w:hint="eastAsia"/>
          <w:color w:val="auto"/>
          <w:highlight w:val="none"/>
        </w:rPr>
        <w:t>23</w:t>
      </w:r>
      <w:r>
        <w:rPr>
          <w:color w:val="auto"/>
          <w:highlight w:val="none"/>
        </w:rPr>
        <w:t>m；影响距离最远为</w:t>
      </w:r>
      <w:r>
        <w:rPr>
          <w:rFonts w:hint="eastAsia"/>
          <w:color w:val="auto"/>
          <w:highlight w:val="none"/>
        </w:rPr>
        <w:t>33</w:t>
      </w:r>
      <w:r>
        <w:rPr>
          <w:color w:val="auto"/>
          <w:highlight w:val="none"/>
        </w:rPr>
        <w:t>m；</w:t>
      </w:r>
    </w:p>
    <w:p>
      <w:pPr>
        <w:widowControl w:val="0"/>
        <w:ind w:firstLine="480"/>
        <w:jc w:val="left"/>
        <w:rPr>
          <w:color w:val="auto"/>
          <w:highlight w:val="none"/>
        </w:rPr>
      </w:pPr>
      <w:r>
        <w:rPr>
          <w:color w:val="auto"/>
          <w:highlight w:val="none"/>
        </w:rPr>
        <w:t>1000天时，COD预测的最大值为</w:t>
      </w:r>
      <w:r>
        <w:rPr>
          <w:rFonts w:hint="eastAsia"/>
          <w:color w:val="auto"/>
          <w:highlight w:val="none"/>
        </w:rPr>
        <w:t>44</w:t>
      </w:r>
      <w:r>
        <w:rPr>
          <w:color w:val="auto"/>
          <w:highlight w:val="none"/>
        </w:rPr>
        <w:t>mg/l，位于地下水流向下游</w:t>
      </w:r>
      <w:r>
        <w:rPr>
          <w:rFonts w:hint="eastAsia"/>
          <w:color w:val="auto"/>
          <w:highlight w:val="none"/>
        </w:rPr>
        <w:t>35</w:t>
      </w:r>
      <w:r>
        <w:rPr>
          <w:color w:val="auto"/>
          <w:highlight w:val="none"/>
        </w:rPr>
        <w:t>m，预测超标距离最远为</w:t>
      </w:r>
      <w:r>
        <w:rPr>
          <w:rFonts w:hint="eastAsia"/>
          <w:color w:val="auto"/>
          <w:highlight w:val="none"/>
        </w:rPr>
        <w:t>85</w:t>
      </w:r>
      <w:r>
        <w:rPr>
          <w:color w:val="auto"/>
          <w:highlight w:val="none"/>
        </w:rPr>
        <w:t>m，影响距离最远为</w:t>
      </w:r>
      <w:r>
        <w:rPr>
          <w:rFonts w:hint="eastAsia"/>
          <w:color w:val="auto"/>
          <w:highlight w:val="none"/>
        </w:rPr>
        <w:t>122</w:t>
      </w:r>
      <w:r>
        <w:rPr>
          <w:color w:val="auto"/>
          <w:highlight w:val="none"/>
        </w:rPr>
        <w:t>m；</w:t>
      </w:r>
    </w:p>
    <w:p>
      <w:pPr>
        <w:widowControl w:val="0"/>
        <w:ind w:firstLine="480"/>
        <w:jc w:val="left"/>
        <w:rPr>
          <w:color w:val="auto"/>
          <w:highlight w:val="none"/>
        </w:rPr>
      </w:pPr>
      <w:r>
        <w:rPr>
          <w:color w:val="auto"/>
          <w:highlight w:val="none"/>
        </w:rPr>
        <w:t>3650天时，COD预测的最大值为</w:t>
      </w:r>
      <w:r>
        <w:rPr>
          <w:rFonts w:hint="eastAsia"/>
          <w:color w:val="auto"/>
          <w:highlight w:val="none"/>
        </w:rPr>
        <w:t>21</w:t>
      </w:r>
      <w:r>
        <w:rPr>
          <w:color w:val="auto"/>
          <w:highlight w:val="none"/>
        </w:rPr>
        <w:t>mg/l，位于地下水流向下游</w:t>
      </w:r>
      <w:r>
        <w:rPr>
          <w:rFonts w:hint="eastAsia"/>
          <w:color w:val="auto"/>
          <w:highlight w:val="none"/>
        </w:rPr>
        <w:t>112</w:t>
      </w:r>
      <w:r>
        <w:rPr>
          <w:color w:val="auto"/>
          <w:highlight w:val="none"/>
        </w:rPr>
        <w:t>m，预测超标距离最远为</w:t>
      </w:r>
      <w:r>
        <w:rPr>
          <w:rFonts w:hint="eastAsia"/>
          <w:color w:val="auto"/>
          <w:highlight w:val="none"/>
        </w:rPr>
        <w:t>199</w:t>
      </w:r>
      <w:r>
        <w:rPr>
          <w:color w:val="auto"/>
          <w:highlight w:val="none"/>
        </w:rPr>
        <w:t>m；影响距离最远为</w:t>
      </w:r>
      <w:r>
        <w:rPr>
          <w:rFonts w:hint="eastAsia"/>
          <w:color w:val="auto"/>
          <w:highlight w:val="none"/>
        </w:rPr>
        <w:t>278</w:t>
      </w:r>
      <w:r>
        <w:rPr>
          <w:color w:val="auto"/>
          <w:highlight w:val="none"/>
        </w:rPr>
        <w:t>m；</w:t>
      </w:r>
    </w:p>
    <w:p>
      <w:pPr>
        <w:widowControl w:val="0"/>
        <w:ind w:firstLine="480"/>
        <w:jc w:val="left"/>
        <w:rPr>
          <w:color w:val="auto"/>
          <w:kern w:val="0"/>
          <w:highlight w:val="none"/>
        </w:rPr>
      </w:pPr>
      <w:r>
        <w:rPr>
          <w:color w:val="auto"/>
          <w:highlight w:val="none"/>
        </w:rPr>
        <w:t>7300天时，COD预测的最大值为</w:t>
      </w:r>
      <w:r>
        <w:rPr>
          <w:rFonts w:hint="eastAsia"/>
          <w:color w:val="auto"/>
          <w:highlight w:val="none"/>
        </w:rPr>
        <w:t>14</w:t>
      </w:r>
      <w:r>
        <w:rPr>
          <w:color w:val="auto"/>
          <w:highlight w:val="none"/>
        </w:rPr>
        <w:t>mg/l，位于地下水流向下游</w:t>
      </w:r>
      <w:r>
        <w:rPr>
          <w:rFonts w:hint="eastAsia"/>
          <w:color w:val="auto"/>
          <w:highlight w:val="none"/>
        </w:rPr>
        <w:t>217</w:t>
      </w:r>
      <w:r>
        <w:rPr>
          <w:color w:val="auto"/>
          <w:highlight w:val="none"/>
        </w:rPr>
        <w:t>m，预测超标距离最远为</w:t>
      </w:r>
      <w:r>
        <w:rPr>
          <w:rFonts w:hint="eastAsia"/>
          <w:color w:val="auto"/>
          <w:highlight w:val="none"/>
        </w:rPr>
        <w:t>330</w:t>
      </w:r>
      <w:r>
        <w:rPr>
          <w:color w:val="auto"/>
          <w:highlight w:val="none"/>
        </w:rPr>
        <w:t>m；影响距离最远为</w:t>
      </w:r>
      <w:r>
        <w:rPr>
          <w:rFonts w:hint="eastAsia"/>
          <w:color w:val="auto"/>
          <w:highlight w:val="none"/>
        </w:rPr>
        <w:t>449</w:t>
      </w:r>
      <w:r>
        <w:rPr>
          <w:color w:val="auto"/>
          <w:highlight w:val="none"/>
        </w:rPr>
        <w:t>m。</w:t>
      </w:r>
    </w:p>
    <w:p>
      <w:pPr>
        <w:widowControl w:val="0"/>
        <w:ind w:firstLine="480"/>
        <w:rPr>
          <w:color w:val="auto"/>
          <w:kern w:val="0"/>
          <w:highlight w:val="none"/>
        </w:rPr>
      </w:pPr>
      <w:r>
        <w:rPr>
          <w:color w:val="auto"/>
          <w:kern w:val="0"/>
          <w:highlight w:val="none"/>
        </w:rPr>
        <w:t>图</w:t>
      </w:r>
      <w:r>
        <w:rPr>
          <w:rFonts w:hint="eastAsia"/>
          <w:color w:val="auto"/>
          <w:kern w:val="0"/>
          <w:highlight w:val="none"/>
        </w:rPr>
        <w:t>6.</w:t>
      </w:r>
      <w:r>
        <w:rPr>
          <w:color w:val="auto"/>
          <w:kern w:val="0"/>
          <w:highlight w:val="none"/>
        </w:rPr>
        <w:t>2-1～</w:t>
      </w:r>
      <w:r>
        <w:rPr>
          <w:rFonts w:hint="eastAsia"/>
          <w:color w:val="auto"/>
          <w:kern w:val="0"/>
          <w:highlight w:val="none"/>
        </w:rPr>
        <w:t>6.</w:t>
      </w:r>
      <w:r>
        <w:rPr>
          <w:color w:val="auto"/>
          <w:kern w:val="0"/>
          <w:highlight w:val="none"/>
        </w:rPr>
        <w:t>2-4分别代表了拟建项目格栅池污染泄漏后100d、1000d、3650d、7300d，非正常状况下泄露的COD对评价区内地下水的影响，在泄漏后的第180d发现地下水污染，并采取相应的地下水污染阻隔措施。</w:t>
      </w:r>
    </w:p>
    <w:p>
      <w:pPr>
        <w:widowControl w:val="0"/>
        <w:ind w:firstLine="480"/>
        <w:rPr>
          <w:color w:val="auto"/>
          <w:kern w:val="0"/>
          <w:highlight w:val="none"/>
        </w:rPr>
      </w:pPr>
      <w:r>
        <w:rPr>
          <w:rFonts w:hint="eastAsia"/>
          <w:color w:val="auto"/>
          <w:kern w:val="0"/>
          <w:highlight w:val="none"/>
        </w:rPr>
        <w:t>厂区</w:t>
      </w:r>
      <w:r>
        <w:rPr>
          <w:color w:val="auto"/>
          <w:kern w:val="0"/>
          <w:highlight w:val="none"/>
        </w:rPr>
        <w:t>废水发生渗漏后，污染物在潜水含水层中向拟建项目区下游方向扩散速度较慢，100d后污染区域在厂区边界内，下游峰值浓度值运移至1m</w:t>
      </w:r>
      <w:r>
        <w:rPr>
          <w:color w:val="auto"/>
          <w:highlight w:val="none"/>
        </w:rPr>
        <w:t>内</w:t>
      </w:r>
      <w:r>
        <w:rPr>
          <w:color w:val="auto"/>
          <w:kern w:val="0"/>
          <w:highlight w:val="none"/>
        </w:rPr>
        <w:t>，达到最大为</w:t>
      </w:r>
      <w:r>
        <w:rPr>
          <w:rFonts w:hint="eastAsia"/>
          <w:color w:val="auto"/>
          <w:kern w:val="0"/>
          <w:highlight w:val="none"/>
        </w:rPr>
        <w:t>416</w:t>
      </w:r>
      <w:r>
        <w:rPr>
          <w:color w:val="auto"/>
          <w:kern w:val="0"/>
          <w:highlight w:val="none"/>
        </w:rPr>
        <w:t>mg/L；1000d下游峰值浓度减小至</w:t>
      </w:r>
      <w:r>
        <w:rPr>
          <w:rFonts w:hint="eastAsia"/>
          <w:color w:val="auto"/>
          <w:kern w:val="0"/>
          <w:highlight w:val="none"/>
        </w:rPr>
        <w:t>44</w:t>
      </w:r>
      <w:r>
        <w:rPr>
          <w:color w:val="auto"/>
          <w:kern w:val="0"/>
          <w:highlight w:val="none"/>
        </w:rPr>
        <w:t>mg/L，污染区域扩散至厂区边界外，下游峰值浓度值运移至</w:t>
      </w:r>
      <w:r>
        <w:rPr>
          <w:rFonts w:hint="eastAsia"/>
          <w:color w:val="auto"/>
          <w:kern w:val="0"/>
          <w:highlight w:val="none"/>
        </w:rPr>
        <w:t>35</w:t>
      </w:r>
      <w:r>
        <w:rPr>
          <w:color w:val="auto"/>
          <w:kern w:val="0"/>
          <w:highlight w:val="none"/>
        </w:rPr>
        <w:t>m；到污染发生后3650d、7300d，污染物污染影响范围及浓度已经非常小。</w:t>
      </w:r>
    </w:p>
    <w:p>
      <w:pPr>
        <w:widowControl w:val="0"/>
        <w:ind w:firstLine="480"/>
        <w:rPr>
          <w:color w:val="auto"/>
          <w:kern w:val="0"/>
          <w:highlight w:val="none"/>
        </w:rPr>
      </w:pPr>
      <w:r>
        <w:rPr>
          <w:color w:val="auto"/>
          <w:kern w:val="0"/>
          <w:highlight w:val="none"/>
        </w:rPr>
        <w:t>综上所述，本项目COD进水浓度为</w:t>
      </w:r>
      <w:r>
        <w:rPr>
          <w:rFonts w:hint="eastAsia"/>
          <w:color w:val="auto"/>
          <w:kern w:val="0"/>
          <w:highlight w:val="none"/>
        </w:rPr>
        <w:t>2080</w:t>
      </w:r>
      <w:r>
        <w:rPr>
          <w:color w:val="auto"/>
          <w:kern w:val="0"/>
          <w:highlight w:val="none"/>
        </w:rPr>
        <w:t>mg/L（超过《地下水质量标准》（GB</w:t>
      </w:r>
      <w:r>
        <w:rPr>
          <w:rFonts w:hint="eastAsia"/>
          <w:color w:val="auto"/>
          <w:kern w:val="0"/>
          <w:highlight w:val="none"/>
        </w:rPr>
        <w:t xml:space="preserve"> </w:t>
      </w:r>
      <w:r>
        <w:rPr>
          <w:color w:val="auto"/>
          <w:kern w:val="0"/>
          <w:highlight w:val="none"/>
        </w:rPr>
        <w:t>14848-2017）Ⅲ类标准（3.0mg/L）），随着时间的推移，污染物的范围不断增大最终减小；污染物的最大污染浓度值随时间也呈先增大后减小。非正常状况，</w:t>
      </w:r>
      <w:r>
        <w:rPr>
          <w:rFonts w:hint="eastAsia"/>
          <w:color w:val="auto"/>
          <w:kern w:val="0"/>
          <w:highlight w:val="none"/>
        </w:rPr>
        <w:t>厂区</w:t>
      </w:r>
      <w:r>
        <w:rPr>
          <w:color w:val="auto"/>
          <w:kern w:val="0"/>
          <w:highlight w:val="none"/>
        </w:rPr>
        <w:t>废水渗漏的1000d</w:t>
      </w:r>
      <w:r>
        <w:rPr>
          <w:rFonts w:hint="eastAsia"/>
          <w:color w:val="auto"/>
          <w:kern w:val="0"/>
          <w:highlight w:val="none"/>
        </w:rPr>
        <w:t>、3650d、7300d</w:t>
      </w:r>
      <w:r>
        <w:rPr>
          <w:color w:val="auto"/>
          <w:kern w:val="0"/>
          <w:highlight w:val="none"/>
        </w:rPr>
        <w:t>地下水NH</w:t>
      </w:r>
      <w:r>
        <w:rPr>
          <w:color w:val="auto"/>
          <w:kern w:val="0"/>
          <w:highlight w:val="none"/>
          <w:vertAlign w:val="subscript"/>
        </w:rPr>
        <w:t>3</w:t>
      </w:r>
      <w:r>
        <w:rPr>
          <w:color w:val="auto"/>
          <w:kern w:val="0"/>
          <w:highlight w:val="none"/>
        </w:rPr>
        <w:t>-N不能够满足《地下水质量标准》（GB</w:t>
      </w:r>
      <w:r>
        <w:rPr>
          <w:rFonts w:hint="eastAsia"/>
          <w:color w:val="auto"/>
          <w:kern w:val="0"/>
          <w:highlight w:val="none"/>
        </w:rPr>
        <w:t xml:space="preserve"> </w:t>
      </w:r>
      <w:r>
        <w:rPr>
          <w:color w:val="auto"/>
          <w:kern w:val="0"/>
          <w:highlight w:val="none"/>
        </w:rPr>
        <w:t>14848-2017）Ⅲ类标准，经计算最远超标距离</w:t>
      </w:r>
      <w:r>
        <w:rPr>
          <w:rFonts w:hint="eastAsia"/>
          <w:color w:val="auto"/>
          <w:kern w:val="0"/>
          <w:highlight w:val="none"/>
        </w:rPr>
        <w:t>分别</w:t>
      </w:r>
      <w:r>
        <w:rPr>
          <w:color w:val="auto"/>
          <w:kern w:val="0"/>
          <w:highlight w:val="none"/>
        </w:rPr>
        <w:t>为</w:t>
      </w:r>
      <w:r>
        <w:rPr>
          <w:rFonts w:hint="eastAsia"/>
          <w:color w:val="auto"/>
          <w:kern w:val="0"/>
          <w:highlight w:val="none"/>
        </w:rPr>
        <w:t>85</w:t>
      </w:r>
      <w:r>
        <w:rPr>
          <w:color w:val="auto"/>
          <w:kern w:val="0"/>
          <w:highlight w:val="none"/>
        </w:rPr>
        <w:t>m</w:t>
      </w:r>
      <w:r>
        <w:rPr>
          <w:rFonts w:hint="eastAsia"/>
          <w:color w:val="auto"/>
          <w:kern w:val="0"/>
          <w:highlight w:val="none"/>
        </w:rPr>
        <w:t>、199m、330m</w:t>
      </w:r>
      <w:r>
        <w:rPr>
          <w:color w:val="auto"/>
          <w:kern w:val="0"/>
          <w:highlight w:val="none"/>
        </w:rPr>
        <w:t>，在超标范围内无居民水井分布。</w:t>
      </w:r>
      <w:r>
        <w:rPr>
          <w:rFonts w:hint="eastAsia"/>
          <w:color w:val="auto"/>
          <w:kern w:val="0"/>
          <w:highlight w:val="none"/>
        </w:rPr>
        <w:t>因此</w:t>
      </w:r>
      <w:r>
        <w:rPr>
          <w:color w:val="auto"/>
          <w:kern w:val="0"/>
          <w:highlight w:val="none"/>
        </w:rPr>
        <w:t>，对地下水影响较小。</w:t>
      </w:r>
    </w:p>
    <w:p>
      <w:pPr>
        <w:pStyle w:val="32"/>
        <w:widowControl w:val="0"/>
        <w:ind w:firstLine="422"/>
        <w:rPr>
          <w:color w:val="auto"/>
          <w:highlight w:val="none"/>
        </w:rPr>
      </w:pPr>
      <w:r>
        <w:rPr>
          <w:color w:val="auto"/>
          <w:highlight w:val="none"/>
        </w:rPr>
        <w:drawing>
          <wp:inline distT="0" distB="0" distL="114300" distR="114300">
            <wp:extent cx="5549900" cy="2869565"/>
            <wp:effectExtent l="4445" t="4445" r="8255" b="2159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32"/>
        <w:widowControl w:val="0"/>
        <w:ind w:firstLine="422"/>
        <w:rPr>
          <w:rFonts w:hint="default"/>
          <w:color w:val="auto"/>
          <w:highlight w:val="none"/>
        </w:rPr>
      </w:pPr>
      <w:r>
        <w:rPr>
          <w:color w:val="auto"/>
          <w:highlight w:val="none"/>
        </w:rPr>
        <w:t>图6.2-1  100dCOD运移分布</w:t>
      </w:r>
    </w:p>
    <w:p>
      <w:pPr>
        <w:pStyle w:val="32"/>
        <w:widowControl w:val="0"/>
        <w:ind w:firstLine="422"/>
        <w:rPr>
          <w:rFonts w:hint="default"/>
          <w:color w:val="auto"/>
          <w:highlight w:val="none"/>
        </w:rPr>
      </w:pPr>
      <w:r>
        <w:rPr>
          <w:color w:val="auto"/>
          <w:highlight w:val="none"/>
        </w:rPr>
        <w:drawing>
          <wp:inline distT="0" distB="0" distL="114300" distR="114300">
            <wp:extent cx="5581650" cy="2790825"/>
            <wp:effectExtent l="4445" t="4445" r="14605" b="5080"/>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443230</wp:posOffset>
                </wp:positionH>
                <wp:positionV relativeFrom="paragraph">
                  <wp:posOffset>161290</wp:posOffset>
                </wp:positionV>
                <wp:extent cx="561340" cy="266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hint="eastAsia"/>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2.7pt;height:21pt;width:44.2pt;z-index:251667456;mso-width-relative:page;mso-height-relative:page;" filled="f" stroked="f" coordsize="21600,21600" o:gfxdata="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p8dbtkAAAAIAQAADwAAAAAAAAABACAAAAAiAAAAZHJz&#10;L2Rvd25yZXYueG1sUEsBAhQAFAAAAAgAh07iQHpMa7M8AgAAZwQAAA4AAAAAAAAAAQAgAAAAKAEA&#10;AGRycy9lMm9Eb2MueG1sUEsFBgAAAAAGAAYAWQEAANYFAAAAAA==&#10;">
                <v:fill on="f" focussize="0,0"/>
                <v:stroke on="f" weight="0.5pt"/>
                <v:imagedata o:title=""/>
                <o:lock v:ext="edit" aspectratio="f"/>
                <v:textbox>
                  <w:txbxContent>
                    <w:p>
                      <w:pPr>
                        <w:pStyle w:val="28"/>
                      </w:pPr>
                      <w:r>
                        <w:rPr>
                          <w:rFonts w:hint="eastAsia"/>
                        </w:rPr>
                        <w:t>mg/L</w:t>
                      </w:r>
                    </w:p>
                  </w:txbxContent>
                </v:textbox>
              </v:shape>
            </w:pict>
          </mc:Fallback>
        </mc:AlternateContent>
      </w:r>
      <w:r>
        <w:rPr>
          <w:color w:val="auto"/>
          <w:highlight w:val="none"/>
        </w:rPr>
        <w:t>图6.2-2  1000dCOD运移分布</w:t>
      </w:r>
    </w:p>
    <w:p>
      <w:pPr>
        <w:pStyle w:val="32"/>
        <w:widowControl w:val="0"/>
        <w:ind w:firstLine="422"/>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338455</wp:posOffset>
                </wp:positionH>
                <wp:positionV relativeFrom="paragraph">
                  <wp:posOffset>175895</wp:posOffset>
                </wp:positionV>
                <wp:extent cx="561340" cy="266700"/>
                <wp:effectExtent l="0" t="0" r="0" b="0"/>
                <wp:wrapNone/>
                <wp:docPr id="15" name="文本框 15"/>
                <wp:cNvGraphicFramePr/>
                <a:graphic xmlns:a="http://schemas.openxmlformats.org/drawingml/2006/main">
                  <a:graphicData uri="http://schemas.microsoft.com/office/word/2010/wordprocessingShape">
                    <wps:wsp>
                      <wps:cNvSpPr txBox="1"/>
                      <wps:spPr>
                        <a:xfrm>
                          <a:off x="1485900" y="6152515"/>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hint="eastAsia"/>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13.85pt;height:21pt;width:44.2pt;z-index:251666432;mso-width-relative:page;mso-height-relative:page;" filled="f" stroked="f" coordsize="21600,21600" o:gfxdata="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Cbu/7aAAAACAEAAA8AAAAAAAAAAQAg&#10;AAAAIgAAAGRycy9kb3ducmV2LnhtbFBLAQIUABQAAAAIAIdO4kCteqh8RQIAAHMEAAAOAAAAAAAA&#10;AAEAIAAAACkBAABkcnMvZTJvRG9jLnhtbFBLBQYAAAAABgAGAFkBAADgBQAAAAA=&#10;">
                <v:fill on="f" focussize="0,0"/>
                <v:stroke on="f" weight="0.5pt"/>
                <v:imagedata o:title=""/>
                <o:lock v:ext="edit" aspectratio="f"/>
                <v:textbox>
                  <w:txbxContent>
                    <w:p>
                      <w:pPr>
                        <w:pStyle w:val="28"/>
                      </w:pPr>
                      <w:r>
                        <w:rPr>
                          <w:rFonts w:hint="eastAsia"/>
                        </w:rPr>
                        <w:t>mg/L</w:t>
                      </w:r>
                    </w:p>
                  </w:txbxContent>
                </v:textbox>
              </v:shape>
            </w:pict>
          </mc:Fallback>
        </mc:AlternateContent>
      </w:r>
      <w:r>
        <w:rPr>
          <w:color w:val="auto"/>
          <w:highlight w:val="none"/>
        </w:rPr>
        <w:drawing>
          <wp:inline distT="0" distB="0" distL="114300" distR="114300">
            <wp:extent cx="5422900" cy="3010535"/>
            <wp:effectExtent l="4445" t="4445" r="20955" b="1397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32"/>
        <w:widowControl w:val="0"/>
        <w:ind w:firstLine="422"/>
        <w:rPr>
          <w:rFonts w:hint="default"/>
          <w:color w:val="auto"/>
          <w:highlight w:val="none"/>
        </w:rPr>
      </w:pPr>
      <w:r>
        <w:rPr>
          <w:color w:val="auto"/>
          <w:highlight w:val="none"/>
        </w:rPr>
        <w:t>图6.2-3  3650dCOD运移分布</w:t>
      </w:r>
    </w:p>
    <w:p>
      <w:pPr>
        <w:pStyle w:val="32"/>
        <w:widowControl w:val="0"/>
        <w:ind w:firstLine="422"/>
        <w:rPr>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452755</wp:posOffset>
                </wp:positionH>
                <wp:positionV relativeFrom="paragraph">
                  <wp:posOffset>135890</wp:posOffset>
                </wp:positionV>
                <wp:extent cx="561340" cy="2667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hint="eastAsia"/>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pt;margin-top:10.7pt;height:21pt;width:44.2pt;z-index:251668480;mso-width-relative:page;mso-height-relative:page;" filled="f" stroked="f" coordsize="21600,21600" o:gfxdata="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rovNfZAAAACAEAAA8AAAAAAAAAAQAgAAAAIgAAAGRy&#10;cy9kb3ducmV2LnhtbFBLAQIUABQAAAAIAIdO4kBuNw/gPQIAAGcEAAAOAAAAAAAAAAEAIAAAACgB&#10;AABkcnMvZTJvRG9jLnhtbFBLBQYAAAAABgAGAFkBAADXBQAAAAA=&#10;">
                <v:fill on="f" focussize="0,0"/>
                <v:stroke on="f" weight="0.5pt"/>
                <v:imagedata o:title=""/>
                <o:lock v:ext="edit" aspectratio="f"/>
                <v:textbox>
                  <w:txbxContent>
                    <w:p>
                      <w:pPr>
                        <w:pStyle w:val="28"/>
                      </w:pPr>
                      <w:r>
                        <w:rPr>
                          <w:rFonts w:hint="eastAsia"/>
                        </w:rPr>
                        <w:t>mg/L</w:t>
                      </w:r>
                    </w:p>
                  </w:txbxContent>
                </v:textbox>
              </v:shape>
            </w:pict>
          </mc:Fallback>
        </mc:AlternateContent>
      </w:r>
      <w:r>
        <w:rPr>
          <w:color w:val="auto"/>
          <w:highlight w:val="none"/>
        </w:rPr>
        <w:drawing>
          <wp:inline distT="0" distB="0" distL="114300" distR="114300">
            <wp:extent cx="5330825" cy="2781300"/>
            <wp:effectExtent l="4445" t="4445" r="17780" b="1460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32"/>
        <w:widowControl w:val="0"/>
        <w:ind w:firstLine="422"/>
        <w:rPr>
          <w:rFonts w:hint="default"/>
          <w:color w:val="auto"/>
          <w:highlight w:val="none"/>
        </w:rPr>
      </w:pPr>
      <w:r>
        <w:rPr>
          <w:color w:val="auto"/>
          <w:highlight w:val="none"/>
        </w:rPr>
        <w:t>图6.2-4  7300dCOD运移分布</w:t>
      </w:r>
    </w:p>
    <w:p>
      <w:pPr>
        <w:widowControl w:val="0"/>
        <w:ind w:firstLine="480"/>
        <w:rPr>
          <w:color w:val="auto"/>
          <w:kern w:val="0"/>
          <w:highlight w:val="none"/>
        </w:rPr>
      </w:pPr>
      <w:r>
        <w:rPr>
          <w:rFonts w:hint="eastAsia"/>
          <w:color w:val="auto"/>
          <w:kern w:val="0"/>
          <w:highlight w:val="none"/>
        </w:rPr>
        <w:t>（2）</w:t>
      </w:r>
      <w:r>
        <w:rPr>
          <w:color w:val="auto"/>
          <w:kern w:val="0"/>
          <w:highlight w:val="none"/>
        </w:rPr>
        <w:t>NH</w:t>
      </w:r>
      <w:r>
        <w:rPr>
          <w:color w:val="auto"/>
          <w:kern w:val="0"/>
          <w:highlight w:val="none"/>
          <w:vertAlign w:val="subscript"/>
        </w:rPr>
        <w:t>3</w:t>
      </w:r>
      <w:r>
        <w:rPr>
          <w:color w:val="auto"/>
          <w:kern w:val="0"/>
          <w:highlight w:val="none"/>
        </w:rPr>
        <w:t>-N运移预测结果</w:t>
      </w:r>
    </w:p>
    <w:p>
      <w:pPr>
        <w:widowControl w:val="0"/>
        <w:ind w:firstLine="480"/>
        <w:rPr>
          <w:color w:val="auto"/>
          <w:kern w:val="0"/>
          <w:highlight w:val="none"/>
        </w:rPr>
      </w:pPr>
      <w:r>
        <w:rPr>
          <w:color w:val="auto"/>
          <w:kern w:val="0"/>
          <w:highlight w:val="none"/>
        </w:rPr>
        <w:t>图</w:t>
      </w:r>
      <w:r>
        <w:rPr>
          <w:rFonts w:hint="eastAsia"/>
          <w:color w:val="auto"/>
          <w:kern w:val="0"/>
          <w:highlight w:val="none"/>
        </w:rPr>
        <w:t>6.</w:t>
      </w:r>
      <w:r>
        <w:rPr>
          <w:color w:val="auto"/>
          <w:kern w:val="0"/>
          <w:highlight w:val="none"/>
        </w:rPr>
        <w:t>2-</w:t>
      </w:r>
      <w:r>
        <w:rPr>
          <w:rFonts w:hint="eastAsia"/>
          <w:color w:val="auto"/>
          <w:kern w:val="0"/>
          <w:highlight w:val="none"/>
        </w:rPr>
        <w:t>4</w:t>
      </w:r>
      <w:r>
        <w:rPr>
          <w:color w:val="auto"/>
          <w:kern w:val="0"/>
          <w:highlight w:val="none"/>
        </w:rPr>
        <w:t>～</w:t>
      </w:r>
      <w:r>
        <w:rPr>
          <w:rFonts w:hint="eastAsia"/>
          <w:color w:val="auto"/>
          <w:kern w:val="0"/>
          <w:highlight w:val="none"/>
        </w:rPr>
        <w:t>6.</w:t>
      </w:r>
      <w:r>
        <w:rPr>
          <w:color w:val="auto"/>
          <w:kern w:val="0"/>
          <w:highlight w:val="none"/>
        </w:rPr>
        <w:t>2-</w:t>
      </w:r>
      <w:r>
        <w:rPr>
          <w:rFonts w:hint="eastAsia"/>
          <w:color w:val="auto"/>
          <w:highlight w:val="none"/>
        </w:rPr>
        <w:t>8</w:t>
      </w:r>
      <w:r>
        <w:rPr>
          <w:color w:val="auto"/>
          <w:kern w:val="0"/>
          <w:highlight w:val="none"/>
        </w:rPr>
        <w:t>分别代表了拟建项目格栅池污染泄漏后100d、1000d、3650d、7300d，非正常状况下泄露的NH</w:t>
      </w:r>
      <w:r>
        <w:rPr>
          <w:color w:val="auto"/>
          <w:kern w:val="0"/>
          <w:highlight w:val="none"/>
          <w:vertAlign w:val="subscript"/>
        </w:rPr>
        <w:t>3</w:t>
      </w:r>
      <w:r>
        <w:rPr>
          <w:color w:val="auto"/>
          <w:kern w:val="0"/>
          <w:highlight w:val="none"/>
        </w:rPr>
        <w:t>-N对评价区内地下水的影响，在泄漏后的第180d发现地下水污染，并采取相应的地下水污染阻隔措施。</w:t>
      </w:r>
    </w:p>
    <w:p>
      <w:pPr>
        <w:widowControl w:val="0"/>
        <w:ind w:firstLine="480"/>
        <w:rPr>
          <w:color w:val="auto"/>
          <w:highlight w:val="none"/>
        </w:rPr>
      </w:pPr>
      <w:r>
        <w:rPr>
          <w:rFonts w:eastAsia="TimesNewRomanPSMT"/>
          <w:color w:val="auto"/>
          <w:highlight w:val="none"/>
        </w:rPr>
        <w:t>100d</w:t>
      </w:r>
      <w:r>
        <w:rPr>
          <w:color w:val="auto"/>
          <w:highlight w:val="none"/>
        </w:rPr>
        <w:t>时，</w:t>
      </w:r>
      <w:r>
        <w:rPr>
          <w:color w:val="auto"/>
          <w:kern w:val="0"/>
          <w:highlight w:val="none"/>
        </w:rPr>
        <w:t>NH</w:t>
      </w:r>
      <w:r>
        <w:rPr>
          <w:color w:val="auto"/>
          <w:kern w:val="0"/>
          <w:highlight w:val="none"/>
          <w:vertAlign w:val="subscript"/>
        </w:rPr>
        <w:t>3</w:t>
      </w:r>
      <w:r>
        <w:rPr>
          <w:color w:val="auto"/>
          <w:kern w:val="0"/>
          <w:highlight w:val="none"/>
        </w:rPr>
        <w:t>-N</w:t>
      </w:r>
      <w:r>
        <w:rPr>
          <w:color w:val="auto"/>
          <w:highlight w:val="none"/>
        </w:rPr>
        <w:t>预测的最大值为</w:t>
      </w:r>
      <w:r>
        <w:rPr>
          <w:rFonts w:hint="eastAsia"/>
          <w:color w:val="auto"/>
          <w:highlight w:val="none"/>
        </w:rPr>
        <w:t>112</w:t>
      </w:r>
      <w:r>
        <w:rPr>
          <w:rFonts w:eastAsia="TimesNewRomanPSMT"/>
          <w:color w:val="auto"/>
          <w:highlight w:val="none"/>
        </w:rPr>
        <w:t>mg/l</w:t>
      </w:r>
      <w:r>
        <w:rPr>
          <w:color w:val="auto"/>
          <w:highlight w:val="none"/>
        </w:rPr>
        <w:t>，位于地下水流向下游</w:t>
      </w:r>
      <w:r>
        <w:rPr>
          <w:rFonts w:eastAsia="TimesNewRomanPSMT"/>
          <w:color w:val="auto"/>
          <w:highlight w:val="none"/>
        </w:rPr>
        <w:t>1m</w:t>
      </w:r>
      <w:r>
        <w:rPr>
          <w:color w:val="auto"/>
          <w:highlight w:val="none"/>
        </w:rPr>
        <w:t>内，预测超标距离最远为</w:t>
      </w:r>
      <w:r>
        <w:rPr>
          <w:rFonts w:hint="eastAsia"/>
          <w:color w:val="auto"/>
          <w:highlight w:val="none"/>
        </w:rPr>
        <w:t>24</w:t>
      </w:r>
      <w:r>
        <w:rPr>
          <w:rFonts w:eastAsia="TimesNewRomanPSMT"/>
          <w:color w:val="auto"/>
          <w:highlight w:val="none"/>
        </w:rPr>
        <w:t>m</w:t>
      </w:r>
      <w:r>
        <w:rPr>
          <w:color w:val="auto"/>
          <w:highlight w:val="none"/>
        </w:rPr>
        <w:t>；影响距离最远为</w:t>
      </w:r>
      <w:r>
        <w:rPr>
          <w:rFonts w:hint="eastAsia"/>
          <w:color w:val="auto"/>
          <w:highlight w:val="none"/>
        </w:rPr>
        <w:t>31</w:t>
      </w:r>
      <w:r>
        <w:rPr>
          <w:rFonts w:eastAsia="TimesNewRomanPSMT"/>
          <w:color w:val="auto"/>
          <w:highlight w:val="none"/>
        </w:rPr>
        <w:t>m</w:t>
      </w:r>
      <w:r>
        <w:rPr>
          <w:color w:val="auto"/>
          <w:highlight w:val="none"/>
        </w:rPr>
        <w:t>；</w:t>
      </w:r>
    </w:p>
    <w:p>
      <w:pPr>
        <w:widowControl w:val="0"/>
        <w:ind w:firstLine="480"/>
        <w:rPr>
          <w:color w:val="auto"/>
          <w:highlight w:val="none"/>
        </w:rPr>
      </w:pPr>
      <w:r>
        <w:rPr>
          <w:rFonts w:eastAsia="TimesNewRomanPSMT"/>
          <w:color w:val="auto"/>
          <w:highlight w:val="none"/>
        </w:rPr>
        <w:t>1000</w:t>
      </w:r>
      <w:r>
        <w:rPr>
          <w:color w:val="auto"/>
          <w:highlight w:val="none"/>
        </w:rPr>
        <w:t>天时，</w:t>
      </w:r>
      <w:r>
        <w:rPr>
          <w:color w:val="auto"/>
          <w:kern w:val="0"/>
          <w:highlight w:val="none"/>
        </w:rPr>
        <w:t>NH</w:t>
      </w:r>
      <w:r>
        <w:rPr>
          <w:color w:val="auto"/>
          <w:kern w:val="0"/>
          <w:highlight w:val="none"/>
          <w:vertAlign w:val="subscript"/>
        </w:rPr>
        <w:t>3</w:t>
      </w:r>
      <w:r>
        <w:rPr>
          <w:color w:val="auto"/>
          <w:kern w:val="0"/>
          <w:highlight w:val="none"/>
        </w:rPr>
        <w:t>-N</w:t>
      </w:r>
      <w:r>
        <w:rPr>
          <w:color w:val="auto"/>
          <w:highlight w:val="none"/>
        </w:rPr>
        <w:t>预测的最大值为</w:t>
      </w:r>
      <w:r>
        <w:rPr>
          <w:rFonts w:hint="eastAsia"/>
          <w:color w:val="auto"/>
          <w:highlight w:val="none"/>
        </w:rPr>
        <w:t>12</w:t>
      </w:r>
      <w:r>
        <w:rPr>
          <w:rFonts w:eastAsia="TimesNewRomanPSMT"/>
          <w:color w:val="auto"/>
          <w:highlight w:val="none"/>
        </w:rPr>
        <w:t>mg/l</w:t>
      </w:r>
      <w:r>
        <w:rPr>
          <w:color w:val="auto"/>
          <w:highlight w:val="none"/>
        </w:rPr>
        <w:t>，位于地下水流向下游</w:t>
      </w:r>
      <w:r>
        <w:rPr>
          <w:rFonts w:hint="eastAsia"/>
          <w:color w:val="auto"/>
          <w:highlight w:val="none"/>
        </w:rPr>
        <w:t>35</w:t>
      </w:r>
      <w:r>
        <w:rPr>
          <w:rFonts w:eastAsia="TimesNewRomanPSMT"/>
          <w:color w:val="auto"/>
          <w:highlight w:val="none"/>
        </w:rPr>
        <w:t>m</w:t>
      </w:r>
      <w:r>
        <w:rPr>
          <w:color w:val="auto"/>
          <w:highlight w:val="none"/>
        </w:rPr>
        <w:t>内，预测超标距离最远为</w:t>
      </w:r>
      <w:r>
        <w:rPr>
          <w:rFonts w:hint="eastAsia"/>
          <w:color w:val="auto"/>
          <w:highlight w:val="none"/>
        </w:rPr>
        <w:t>90</w:t>
      </w:r>
      <w:r>
        <w:rPr>
          <w:rFonts w:eastAsia="TimesNewRomanPSMT"/>
          <w:color w:val="auto"/>
          <w:highlight w:val="none"/>
        </w:rPr>
        <w:t>m</w:t>
      </w:r>
      <w:r>
        <w:rPr>
          <w:color w:val="auto"/>
          <w:highlight w:val="none"/>
        </w:rPr>
        <w:t>，影响距离最远为</w:t>
      </w:r>
      <w:r>
        <w:rPr>
          <w:rFonts w:hint="eastAsia"/>
          <w:color w:val="auto"/>
          <w:highlight w:val="none"/>
        </w:rPr>
        <w:t>114</w:t>
      </w:r>
      <w:r>
        <w:rPr>
          <w:rFonts w:eastAsia="TimesNewRomanPSMT"/>
          <w:color w:val="auto"/>
          <w:highlight w:val="none"/>
        </w:rPr>
        <w:t>m</w:t>
      </w:r>
      <w:r>
        <w:rPr>
          <w:color w:val="auto"/>
          <w:highlight w:val="none"/>
        </w:rPr>
        <w:t>；</w:t>
      </w:r>
    </w:p>
    <w:p>
      <w:pPr>
        <w:widowControl w:val="0"/>
        <w:ind w:firstLine="480"/>
        <w:rPr>
          <w:color w:val="auto"/>
          <w:highlight w:val="none"/>
        </w:rPr>
      </w:pPr>
      <w:r>
        <w:rPr>
          <w:rFonts w:eastAsia="TimesNewRomanPSMT"/>
          <w:color w:val="auto"/>
          <w:highlight w:val="none"/>
        </w:rPr>
        <w:t>3650</w:t>
      </w:r>
      <w:r>
        <w:rPr>
          <w:color w:val="auto"/>
          <w:highlight w:val="none"/>
        </w:rPr>
        <w:t>天时，</w:t>
      </w:r>
      <w:r>
        <w:rPr>
          <w:color w:val="auto"/>
          <w:kern w:val="0"/>
          <w:highlight w:val="none"/>
        </w:rPr>
        <w:t>NH</w:t>
      </w:r>
      <w:r>
        <w:rPr>
          <w:color w:val="auto"/>
          <w:kern w:val="0"/>
          <w:highlight w:val="none"/>
          <w:vertAlign w:val="subscript"/>
        </w:rPr>
        <w:t>3</w:t>
      </w:r>
      <w:r>
        <w:rPr>
          <w:color w:val="auto"/>
          <w:kern w:val="0"/>
          <w:highlight w:val="none"/>
        </w:rPr>
        <w:t>-N</w:t>
      </w:r>
      <w:r>
        <w:rPr>
          <w:color w:val="auto"/>
          <w:highlight w:val="none"/>
        </w:rPr>
        <w:t>预测的最大值为</w:t>
      </w:r>
      <w:r>
        <w:rPr>
          <w:rFonts w:hint="eastAsia"/>
          <w:color w:val="auto"/>
          <w:highlight w:val="none"/>
        </w:rPr>
        <w:t>5.6</w:t>
      </w:r>
      <w:r>
        <w:rPr>
          <w:rFonts w:eastAsia="TimesNewRomanPSMT"/>
          <w:color w:val="auto"/>
          <w:highlight w:val="none"/>
        </w:rPr>
        <w:t>mg/l</w:t>
      </w:r>
      <w:r>
        <w:rPr>
          <w:color w:val="auto"/>
          <w:highlight w:val="none"/>
        </w:rPr>
        <w:t>，位于地下水流向下游</w:t>
      </w:r>
      <w:r>
        <w:rPr>
          <w:rFonts w:hint="eastAsia"/>
          <w:color w:val="auto"/>
          <w:highlight w:val="none"/>
        </w:rPr>
        <w:t>112</w:t>
      </w:r>
      <w:r>
        <w:rPr>
          <w:rFonts w:eastAsia="TimesNewRomanPSMT"/>
          <w:color w:val="auto"/>
          <w:highlight w:val="none"/>
        </w:rPr>
        <w:t>m</w:t>
      </w:r>
      <w:r>
        <w:rPr>
          <w:color w:val="auto"/>
          <w:highlight w:val="none"/>
        </w:rPr>
        <w:t>，预测超标距离最远为</w:t>
      </w:r>
      <w:r>
        <w:rPr>
          <w:rFonts w:hint="eastAsia"/>
          <w:color w:val="auto"/>
          <w:highlight w:val="none"/>
        </w:rPr>
        <w:t>210</w:t>
      </w:r>
      <w:r>
        <w:rPr>
          <w:rFonts w:eastAsia="TimesNewRomanPSMT"/>
          <w:color w:val="auto"/>
          <w:highlight w:val="none"/>
        </w:rPr>
        <w:t>m</w:t>
      </w:r>
      <w:r>
        <w:rPr>
          <w:color w:val="auto"/>
          <w:highlight w:val="none"/>
        </w:rPr>
        <w:t>；影响距离最远为</w:t>
      </w:r>
      <w:r>
        <w:rPr>
          <w:rFonts w:hint="eastAsia"/>
          <w:color w:val="auto"/>
          <w:highlight w:val="none"/>
        </w:rPr>
        <w:t>262</w:t>
      </w:r>
      <w:r>
        <w:rPr>
          <w:rFonts w:eastAsia="TimesNewRomanPSMT"/>
          <w:color w:val="auto"/>
          <w:highlight w:val="none"/>
        </w:rPr>
        <w:t>m</w:t>
      </w:r>
      <w:r>
        <w:rPr>
          <w:color w:val="auto"/>
          <w:highlight w:val="none"/>
        </w:rPr>
        <w:t>；</w:t>
      </w:r>
    </w:p>
    <w:p>
      <w:pPr>
        <w:widowControl w:val="0"/>
        <w:ind w:firstLine="480"/>
        <w:rPr>
          <w:color w:val="auto"/>
          <w:kern w:val="0"/>
          <w:highlight w:val="none"/>
        </w:rPr>
      </w:pPr>
      <w:r>
        <w:rPr>
          <w:rFonts w:eastAsia="TimesNewRomanPSMT"/>
          <w:color w:val="auto"/>
          <w:highlight w:val="none"/>
        </w:rPr>
        <w:t>7300</w:t>
      </w:r>
      <w:r>
        <w:rPr>
          <w:color w:val="auto"/>
          <w:highlight w:val="none"/>
        </w:rPr>
        <w:t>天时，</w:t>
      </w:r>
      <w:r>
        <w:rPr>
          <w:color w:val="auto"/>
          <w:kern w:val="0"/>
          <w:highlight w:val="none"/>
        </w:rPr>
        <w:t>NH</w:t>
      </w:r>
      <w:r>
        <w:rPr>
          <w:color w:val="auto"/>
          <w:kern w:val="0"/>
          <w:highlight w:val="none"/>
          <w:vertAlign w:val="subscript"/>
        </w:rPr>
        <w:t>3</w:t>
      </w:r>
      <w:r>
        <w:rPr>
          <w:color w:val="auto"/>
          <w:kern w:val="0"/>
          <w:highlight w:val="none"/>
        </w:rPr>
        <w:t>-N</w:t>
      </w:r>
      <w:r>
        <w:rPr>
          <w:color w:val="auto"/>
          <w:highlight w:val="none"/>
        </w:rPr>
        <w:t>预测的最大值为</w:t>
      </w:r>
      <w:r>
        <w:rPr>
          <w:rFonts w:hint="eastAsia"/>
          <w:color w:val="auto"/>
          <w:highlight w:val="none"/>
        </w:rPr>
        <w:t>3.9</w:t>
      </w:r>
      <w:r>
        <w:rPr>
          <w:rFonts w:eastAsia="TimesNewRomanPSMT"/>
          <w:color w:val="auto"/>
          <w:highlight w:val="none"/>
        </w:rPr>
        <w:t>mg/l</w:t>
      </w:r>
      <w:r>
        <w:rPr>
          <w:color w:val="auto"/>
          <w:highlight w:val="none"/>
        </w:rPr>
        <w:t>，位于地下水流向下游</w:t>
      </w:r>
      <w:r>
        <w:rPr>
          <w:rFonts w:hint="eastAsia"/>
          <w:color w:val="auto"/>
          <w:highlight w:val="none"/>
        </w:rPr>
        <w:t>217</w:t>
      </w:r>
      <w:r>
        <w:rPr>
          <w:rFonts w:eastAsia="TimesNewRomanPSMT"/>
          <w:color w:val="auto"/>
          <w:highlight w:val="none"/>
        </w:rPr>
        <w:t>m</w:t>
      </w:r>
      <w:r>
        <w:rPr>
          <w:color w:val="auto"/>
          <w:highlight w:val="none"/>
        </w:rPr>
        <w:t>，预测超标距离最远为</w:t>
      </w:r>
      <w:r>
        <w:rPr>
          <w:rFonts w:hint="eastAsia"/>
          <w:color w:val="auto"/>
          <w:highlight w:val="none"/>
        </w:rPr>
        <w:t>346</w:t>
      </w:r>
      <w:r>
        <w:rPr>
          <w:rFonts w:eastAsia="TimesNewRomanPSMT"/>
          <w:color w:val="auto"/>
          <w:highlight w:val="none"/>
        </w:rPr>
        <w:t>m</w:t>
      </w:r>
      <w:r>
        <w:rPr>
          <w:color w:val="auto"/>
          <w:highlight w:val="none"/>
        </w:rPr>
        <w:t>；影响距离最远为</w:t>
      </w:r>
      <w:r>
        <w:rPr>
          <w:rFonts w:hint="eastAsia"/>
          <w:color w:val="auto"/>
          <w:highlight w:val="none"/>
        </w:rPr>
        <w:t>424</w:t>
      </w:r>
      <w:r>
        <w:rPr>
          <w:rFonts w:eastAsia="TimesNewRomanPSMT"/>
          <w:color w:val="auto"/>
          <w:highlight w:val="none"/>
        </w:rPr>
        <w:t>m</w:t>
      </w:r>
      <w:r>
        <w:rPr>
          <w:color w:val="auto"/>
          <w:highlight w:val="none"/>
        </w:rPr>
        <w:t>。</w:t>
      </w:r>
    </w:p>
    <w:p>
      <w:pPr>
        <w:widowControl w:val="0"/>
        <w:ind w:firstLine="480"/>
        <w:rPr>
          <w:color w:val="auto"/>
          <w:highlight w:val="none"/>
        </w:rPr>
      </w:pPr>
      <w:r>
        <w:rPr>
          <w:color w:val="auto"/>
          <w:kern w:val="0"/>
          <w:highlight w:val="none"/>
        </w:rPr>
        <w:t>综上所述，本项目NH</w:t>
      </w:r>
      <w:r>
        <w:rPr>
          <w:color w:val="auto"/>
          <w:kern w:val="0"/>
          <w:highlight w:val="none"/>
          <w:vertAlign w:val="subscript"/>
        </w:rPr>
        <w:t>3</w:t>
      </w:r>
      <w:r>
        <w:rPr>
          <w:color w:val="auto"/>
          <w:kern w:val="0"/>
          <w:highlight w:val="none"/>
        </w:rPr>
        <w:t>-N进水浓度为</w:t>
      </w:r>
      <w:r>
        <w:rPr>
          <w:rFonts w:hint="eastAsia"/>
          <w:color w:val="auto"/>
          <w:kern w:val="0"/>
          <w:highlight w:val="none"/>
        </w:rPr>
        <w:t>154</w:t>
      </w:r>
      <w:r>
        <w:rPr>
          <w:color w:val="auto"/>
          <w:kern w:val="0"/>
          <w:highlight w:val="none"/>
        </w:rPr>
        <w:t>mg/L（超过《地下水质量标准》（GB</w:t>
      </w:r>
      <w:r>
        <w:rPr>
          <w:rFonts w:hint="eastAsia"/>
          <w:color w:val="auto"/>
          <w:kern w:val="0"/>
          <w:highlight w:val="none"/>
        </w:rPr>
        <w:t xml:space="preserve"> </w:t>
      </w:r>
      <w:r>
        <w:rPr>
          <w:color w:val="auto"/>
          <w:kern w:val="0"/>
          <w:highlight w:val="none"/>
        </w:rPr>
        <w:t>14848-2017）Ⅲ类标准（0.5mg/L）），随着时间的推移，污染物的范围不断增大最终减小；污染物的最大污染浓度值随时间也呈先增大后减小。非正常状况，格栅池废水渗漏的1000d</w:t>
      </w:r>
      <w:r>
        <w:rPr>
          <w:rFonts w:hint="eastAsia"/>
          <w:color w:val="auto"/>
          <w:kern w:val="0"/>
          <w:highlight w:val="none"/>
        </w:rPr>
        <w:t>、3650d、7300d</w:t>
      </w:r>
      <w:r>
        <w:rPr>
          <w:color w:val="auto"/>
          <w:kern w:val="0"/>
          <w:highlight w:val="none"/>
        </w:rPr>
        <w:t>地下水NH</w:t>
      </w:r>
      <w:r>
        <w:rPr>
          <w:color w:val="auto"/>
          <w:kern w:val="0"/>
          <w:highlight w:val="none"/>
          <w:vertAlign w:val="subscript"/>
        </w:rPr>
        <w:t>3</w:t>
      </w:r>
      <w:r>
        <w:rPr>
          <w:color w:val="auto"/>
          <w:kern w:val="0"/>
          <w:highlight w:val="none"/>
        </w:rPr>
        <w:t>-N不能够满足《地下水质量标准》（GB</w:t>
      </w:r>
      <w:r>
        <w:rPr>
          <w:rFonts w:hint="eastAsia"/>
          <w:color w:val="auto"/>
          <w:kern w:val="0"/>
          <w:highlight w:val="none"/>
        </w:rPr>
        <w:t xml:space="preserve"> </w:t>
      </w:r>
      <w:r>
        <w:rPr>
          <w:color w:val="auto"/>
          <w:kern w:val="0"/>
          <w:highlight w:val="none"/>
        </w:rPr>
        <w:t>14848-2017）Ⅲ类标准，经计算最远超标距离</w:t>
      </w:r>
      <w:r>
        <w:rPr>
          <w:rFonts w:hint="eastAsia"/>
          <w:color w:val="auto"/>
          <w:kern w:val="0"/>
          <w:highlight w:val="none"/>
        </w:rPr>
        <w:t>分别</w:t>
      </w:r>
      <w:r>
        <w:rPr>
          <w:color w:val="auto"/>
          <w:kern w:val="0"/>
          <w:highlight w:val="none"/>
        </w:rPr>
        <w:t>为</w:t>
      </w:r>
      <w:r>
        <w:rPr>
          <w:rFonts w:hint="eastAsia"/>
          <w:color w:val="auto"/>
          <w:kern w:val="0"/>
          <w:highlight w:val="none"/>
        </w:rPr>
        <w:t>90</w:t>
      </w:r>
      <w:r>
        <w:rPr>
          <w:color w:val="auto"/>
          <w:kern w:val="0"/>
          <w:highlight w:val="none"/>
        </w:rPr>
        <w:t>m</w:t>
      </w:r>
      <w:r>
        <w:rPr>
          <w:rFonts w:hint="eastAsia"/>
          <w:color w:val="auto"/>
          <w:kern w:val="0"/>
          <w:highlight w:val="none"/>
        </w:rPr>
        <w:t>、210m、346m</w:t>
      </w:r>
      <w:r>
        <w:rPr>
          <w:color w:val="auto"/>
          <w:kern w:val="0"/>
          <w:highlight w:val="none"/>
        </w:rPr>
        <w:t>，在超标范围内无居民水井分布。</w:t>
      </w:r>
      <w:r>
        <w:rPr>
          <w:rFonts w:hint="eastAsia"/>
          <w:color w:val="auto"/>
          <w:kern w:val="0"/>
          <w:highlight w:val="none"/>
        </w:rPr>
        <w:t>因此</w:t>
      </w:r>
      <w:r>
        <w:rPr>
          <w:color w:val="auto"/>
          <w:kern w:val="0"/>
          <w:highlight w:val="none"/>
        </w:rPr>
        <w:t>，对地下水影响较小。</w:t>
      </w:r>
    </w:p>
    <w:p>
      <w:pPr>
        <w:pStyle w:val="28"/>
        <w:widowControl w:val="0"/>
        <w:rPr>
          <w:color w:val="auto"/>
          <w:highlight w:val="none"/>
        </w:rPr>
      </w:pPr>
      <w:r>
        <w:rPr>
          <w:color w:val="auto"/>
          <w:highlight w:val="none"/>
        </w:rPr>
        <w:drawing>
          <wp:inline distT="0" distB="0" distL="114300" distR="114300">
            <wp:extent cx="5472430" cy="3113405"/>
            <wp:effectExtent l="4445" t="5080" r="9525" b="5715"/>
            <wp:docPr id="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32"/>
        <w:widowControl w:val="0"/>
        <w:ind w:firstLine="422"/>
        <w:rPr>
          <w:rFonts w:hint="default"/>
          <w:color w:val="auto"/>
          <w:highlight w:val="none"/>
        </w:rPr>
      </w:pPr>
      <w:r>
        <w:rPr>
          <w:color w:val="auto"/>
          <w:highlight w:val="none"/>
        </w:rPr>
        <w:t>图6.2-5  100dNH</w:t>
      </w:r>
      <w:r>
        <w:rPr>
          <w:color w:val="auto"/>
          <w:highlight w:val="none"/>
          <w:vertAlign w:val="subscript"/>
        </w:rPr>
        <w:t>3</w:t>
      </w:r>
      <w:r>
        <w:rPr>
          <w:color w:val="auto"/>
          <w:highlight w:val="none"/>
        </w:rPr>
        <w:t>-N运移分布</w:t>
      </w:r>
    </w:p>
    <w:p>
      <w:pPr>
        <w:pStyle w:val="28"/>
        <w:widowControl w:val="0"/>
        <w:rPr>
          <w:color w:val="auto"/>
          <w:highlight w:val="none"/>
        </w:rPr>
      </w:pPr>
    </w:p>
    <w:p>
      <w:pPr>
        <w:pStyle w:val="32"/>
        <w:widowControl w:val="0"/>
        <w:ind w:firstLine="422"/>
        <w:rPr>
          <w:rFonts w:hint="default"/>
          <w:color w:val="auto"/>
          <w:kern w:val="0"/>
          <w:sz w:val="24"/>
          <w:highlight w:val="none"/>
        </w:rPr>
      </w:pPr>
      <w:r>
        <w:rPr>
          <w:color w:val="auto"/>
          <w:highlight w:val="none"/>
        </w:rPr>
        <w:drawing>
          <wp:inline distT="0" distB="0" distL="114300" distR="114300">
            <wp:extent cx="5424805" cy="3117850"/>
            <wp:effectExtent l="4445" t="4445" r="19050" b="20955"/>
            <wp:docPr id="4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color w:val="auto"/>
          <w:highlight w:val="none"/>
        </w:rPr>
        <w:t>图6.2-6  1000dNH</w:t>
      </w:r>
      <w:r>
        <w:rPr>
          <w:color w:val="auto"/>
          <w:highlight w:val="none"/>
          <w:vertAlign w:val="subscript"/>
        </w:rPr>
        <w:t>3</w:t>
      </w:r>
      <w:r>
        <w:rPr>
          <w:color w:val="auto"/>
          <w:highlight w:val="none"/>
        </w:rPr>
        <w:t>-N运移分布</w:t>
      </w:r>
    </w:p>
    <w:p>
      <w:pPr>
        <w:widowControl w:val="0"/>
        <w:ind w:firstLine="480"/>
        <w:jc w:val="center"/>
        <w:rPr>
          <w:color w:val="auto"/>
          <w:kern w:val="0"/>
          <w:highlight w:val="none"/>
        </w:rPr>
      </w:pPr>
      <w:r>
        <w:rPr>
          <w:color w:val="auto"/>
          <w:highlight w:val="none"/>
        </w:rPr>
        <w:drawing>
          <wp:inline distT="0" distB="0" distL="114300" distR="114300">
            <wp:extent cx="5415915" cy="3114675"/>
            <wp:effectExtent l="0" t="0" r="13335" b="9525"/>
            <wp:docPr id="4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32"/>
        <w:widowControl w:val="0"/>
        <w:ind w:firstLine="422"/>
        <w:rPr>
          <w:rFonts w:hint="default"/>
          <w:color w:val="auto"/>
          <w:highlight w:val="none"/>
        </w:rPr>
      </w:pPr>
      <w:r>
        <w:rPr>
          <w:color w:val="auto"/>
          <w:highlight w:val="none"/>
        </w:rPr>
        <w:t>图6.2-7  3650dNH</w:t>
      </w:r>
      <w:r>
        <w:rPr>
          <w:color w:val="auto"/>
          <w:highlight w:val="none"/>
          <w:vertAlign w:val="subscript"/>
        </w:rPr>
        <w:t>3</w:t>
      </w:r>
      <w:r>
        <w:rPr>
          <w:color w:val="auto"/>
          <w:highlight w:val="none"/>
        </w:rPr>
        <w:t>-N运移分布</w:t>
      </w:r>
    </w:p>
    <w:p>
      <w:pPr>
        <w:pStyle w:val="28"/>
        <w:widowControl w:val="0"/>
        <w:rPr>
          <w:color w:val="auto"/>
          <w:highlight w:val="none"/>
        </w:rPr>
      </w:pPr>
      <w:r>
        <w:rPr>
          <w:color w:val="auto"/>
          <w:highlight w:val="none"/>
        </w:rPr>
        <w:drawing>
          <wp:inline distT="0" distB="0" distL="114300" distR="114300">
            <wp:extent cx="5358765" cy="2838450"/>
            <wp:effectExtent l="4445" t="4445" r="8890" b="14605"/>
            <wp:docPr id="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32"/>
        <w:widowControl w:val="0"/>
        <w:ind w:firstLine="422"/>
        <w:rPr>
          <w:rFonts w:hint="default"/>
          <w:color w:val="auto"/>
          <w:kern w:val="0"/>
          <w:sz w:val="24"/>
          <w:highlight w:val="none"/>
        </w:rPr>
      </w:pPr>
      <w:r>
        <w:rPr>
          <w:color w:val="auto"/>
          <w:highlight w:val="none"/>
        </w:rPr>
        <w:t>图6.2-8  7300dNH</w:t>
      </w:r>
      <w:r>
        <w:rPr>
          <w:color w:val="auto"/>
          <w:highlight w:val="none"/>
          <w:vertAlign w:val="subscript"/>
        </w:rPr>
        <w:t>3</w:t>
      </w:r>
      <w:r>
        <w:rPr>
          <w:color w:val="auto"/>
          <w:highlight w:val="none"/>
        </w:rPr>
        <w:t>-N运移分布</w:t>
      </w:r>
    </w:p>
    <w:p>
      <w:pPr>
        <w:widowControl w:val="0"/>
        <w:ind w:firstLine="480"/>
        <w:rPr>
          <w:color w:val="auto"/>
          <w:kern w:val="0"/>
          <w:highlight w:val="none"/>
        </w:rPr>
      </w:pPr>
      <w:r>
        <w:rPr>
          <w:rFonts w:hint="eastAsia"/>
          <w:color w:val="auto"/>
          <w:kern w:val="0"/>
          <w:highlight w:val="none"/>
        </w:rPr>
        <w:t>（3）</w:t>
      </w:r>
      <w:r>
        <w:rPr>
          <w:color w:val="auto"/>
          <w:kern w:val="0"/>
          <w:highlight w:val="none"/>
        </w:rPr>
        <w:t>拟建项目区地下水环境影响评价</w:t>
      </w:r>
    </w:p>
    <w:p>
      <w:pPr>
        <w:widowControl w:val="0"/>
        <w:ind w:firstLine="480"/>
        <w:rPr>
          <w:color w:val="auto"/>
          <w:highlight w:val="none"/>
        </w:rPr>
      </w:pPr>
      <w:r>
        <w:rPr>
          <w:color w:val="auto"/>
          <w:highlight w:val="none"/>
        </w:rPr>
        <w:t>综上所述，非正常工况下项目污水泄露下渗对区域地下水有一定的影响，</w:t>
      </w:r>
      <w:r>
        <w:rPr>
          <w:rFonts w:hint="eastAsia"/>
          <w:color w:val="auto"/>
          <w:highlight w:val="none"/>
        </w:rPr>
        <w:t>集污池</w:t>
      </w:r>
      <w:r>
        <w:rPr>
          <w:color w:val="auto"/>
          <w:highlight w:val="none"/>
        </w:rPr>
        <w:t>下游约泄漏后含水层中COD、氨氮磷污染物浓度均有部分范围超标，根据区域地下水流向，</w:t>
      </w:r>
      <w:r>
        <w:rPr>
          <w:rFonts w:hint="eastAsia"/>
          <w:color w:val="auto"/>
          <w:highlight w:val="none"/>
        </w:rPr>
        <w:t>集污池</w:t>
      </w:r>
      <w:r>
        <w:rPr>
          <w:color w:val="auto"/>
          <w:highlight w:val="none"/>
        </w:rPr>
        <w:t>下游约建设方应对此做好针对性的防范措施。</w:t>
      </w:r>
    </w:p>
    <w:p>
      <w:pPr>
        <w:pStyle w:val="6"/>
        <w:widowControl w:val="0"/>
        <w:ind w:left="-160" w:firstLineChars="0"/>
        <w:rPr>
          <w:color w:val="auto"/>
          <w:highlight w:val="none"/>
        </w:rPr>
      </w:pPr>
      <w:r>
        <w:rPr>
          <w:rFonts w:hint="eastAsia"/>
          <w:color w:val="auto"/>
          <w:highlight w:val="none"/>
        </w:rPr>
        <w:t>环境影响分析及措施</w:t>
      </w:r>
    </w:p>
    <w:p>
      <w:pPr>
        <w:widowControl w:val="0"/>
        <w:ind w:firstLine="480"/>
        <w:jc w:val="left"/>
        <w:rPr>
          <w:rFonts w:ascii="宋体" w:hAnsi="宋体"/>
          <w:color w:val="auto"/>
          <w:szCs w:val="24"/>
          <w:highlight w:val="none"/>
        </w:rPr>
      </w:pPr>
      <w:r>
        <w:rPr>
          <w:rFonts w:hint="eastAsia" w:ascii="宋体" w:hAnsi="宋体"/>
          <w:color w:val="auto"/>
          <w:szCs w:val="24"/>
          <w:highlight w:val="none"/>
        </w:rPr>
        <w:t>建设项目产生废水主要是生产废水及生活污水。项目产生废水经自建的污水处理站处理达标后</w:t>
      </w:r>
      <w:r>
        <w:rPr>
          <w:rFonts w:hint="eastAsia"/>
          <w:color w:val="auto"/>
          <w:highlight w:val="none"/>
        </w:rPr>
        <w:t>排入元坨社区市政污水管网，通过市政污水管网汇入响滩镇污水处理厂处理。</w:t>
      </w:r>
    </w:p>
    <w:p>
      <w:pPr>
        <w:widowControl w:val="0"/>
        <w:ind w:firstLine="480"/>
        <w:jc w:val="left"/>
        <w:rPr>
          <w:rFonts w:ascii="宋体" w:hAnsi="宋体"/>
          <w:color w:val="auto"/>
          <w:szCs w:val="24"/>
          <w:highlight w:val="none"/>
        </w:rPr>
      </w:pPr>
      <w:r>
        <w:rPr>
          <w:rFonts w:hint="eastAsia" w:ascii="宋体" w:hAnsi="宋体"/>
          <w:color w:val="auto"/>
          <w:szCs w:val="24"/>
          <w:highlight w:val="none"/>
        </w:rPr>
        <w:t>因此正常生产情况下，废水排放不会影响厂区周围地下水。但如果管道渗漏或发生污水漫流，经过土壤过滤、吸附等过程后，渗入地下土壤，将对地下水水质造成一定的影响。</w:t>
      </w:r>
    </w:p>
    <w:p>
      <w:pPr>
        <w:widowControl w:val="0"/>
        <w:ind w:firstLine="480"/>
        <w:jc w:val="left"/>
        <w:rPr>
          <w:rFonts w:ascii="宋体" w:hAnsi="宋体"/>
          <w:color w:val="auto"/>
          <w:szCs w:val="24"/>
          <w:highlight w:val="none"/>
        </w:rPr>
      </w:pPr>
      <w:r>
        <w:rPr>
          <w:rFonts w:hint="eastAsia" w:ascii="宋体" w:hAnsi="宋体"/>
          <w:color w:val="auto"/>
          <w:szCs w:val="24"/>
          <w:highlight w:val="none"/>
        </w:rPr>
        <w:t>为避免对地下水环境造成不良影响，本次环评报告对项目生产车间提出以下防渗措施。根据可能进入地下水环境的各种有毒有害原辅材料、中间物料和产品的泄漏（含跑、冒、滴、漏）量及各类污染物的性质、产生量和排放量，划分地下水污染防治区，具体如下。</w:t>
      </w:r>
    </w:p>
    <w:p>
      <w:pPr>
        <w:widowControl w:val="0"/>
        <w:ind w:firstLine="480"/>
        <w:jc w:val="left"/>
        <w:rPr>
          <w:rFonts w:ascii="宋体" w:hAnsi="宋体"/>
          <w:color w:val="auto"/>
          <w:szCs w:val="24"/>
          <w:highlight w:val="none"/>
        </w:rPr>
      </w:pPr>
      <w:r>
        <w:rPr>
          <w:rFonts w:hint="eastAsia" w:ascii="宋体" w:hAnsi="宋体"/>
          <w:color w:val="auto"/>
          <w:szCs w:val="24"/>
          <w:highlight w:val="none"/>
        </w:rPr>
        <w:t>根据《环境影响评价技术导则地下水环境》（</w:t>
      </w:r>
      <w:r>
        <w:rPr>
          <w:rFonts w:eastAsia="Times New Roman"/>
          <w:color w:val="auto"/>
          <w:szCs w:val="24"/>
          <w:highlight w:val="none"/>
        </w:rPr>
        <w:t>HJ610-2016</w:t>
      </w:r>
      <w:r>
        <w:rPr>
          <w:rFonts w:hint="eastAsia" w:ascii="宋体" w:hAnsi="宋体"/>
          <w:color w:val="auto"/>
          <w:szCs w:val="24"/>
          <w:highlight w:val="none"/>
        </w:rPr>
        <w:t>）防渗分区原则，将本项目分划为重点防渗区、一般防渗区和简单防渗区，划分区域如下：</w:t>
      </w:r>
    </w:p>
    <w:p>
      <w:pPr>
        <w:widowControl w:val="0"/>
        <w:ind w:firstLine="482"/>
        <w:rPr>
          <w:color w:val="auto"/>
          <w:highlight w:val="none"/>
        </w:rPr>
      </w:pPr>
      <w:r>
        <w:rPr>
          <w:rFonts w:hint="eastAsia"/>
          <w:b/>
          <w:bCs/>
          <w:color w:val="auto"/>
          <w:highlight w:val="none"/>
        </w:rPr>
        <w:t>重点防渗区：</w:t>
      </w:r>
      <w:r>
        <w:rPr>
          <w:rFonts w:hint="eastAsia"/>
          <w:color w:val="auto"/>
          <w:highlight w:val="none"/>
        </w:rPr>
        <w:t>危废暂存间采取防渗混凝土</w:t>
      </w:r>
      <w:r>
        <w:rPr>
          <w:color w:val="auto"/>
          <w:highlight w:val="none"/>
        </w:rPr>
        <w:t>+2mmHDPE</w:t>
      </w:r>
      <w:r>
        <w:rPr>
          <w:rFonts w:hint="eastAsia"/>
          <w:color w:val="auto"/>
          <w:highlight w:val="none"/>
        </w:rPr>
        <w:t>防渗膜+金属托盘，防渗措施能达到《危险废物贮存污染控制标准》规定的渗透系数K</w:t>
      </w:r>
      <w:r>
        <w:rPr>
          <w:color w:val="auto"/>
          <w:highlight w:val="none"/>
        </w:rPr>
        <w:t>≤</w:t>
      </w:r>
      <w:r>
        <w:rPr>
          <w:rFonts w:hint="eastAsia"/>
          <w:color w:val="auto"/>
          <w:highlight w:val="none"/>
        </w:rPr>
        <w:t>1×10</w:t>
      </w:r>
      <w:r>
        <w:rPr>
          <w:color w:val="auto"/>
          <w:highlight w:val="none"/>
          <w:vertAlign w:val="superscript"/>
        </w:rPr>
        <w:t>-10</w:t>
      </w:r>
      <w:r>
        <w:rPr>
          <w:color w:val="auto"/>
          <w:highlight w:val="none"/>
        </w:rPr>
        <w:t>cm/s</w:t>
      </w:r>
      <w:r>
        <w:rPr>
          <w:rFonts w:hint="eastAsia"/>
          <w:color w:val="auto"/>
          <w:highlight w:val="none"/>
        </w:rPr>
        <w:t>防渗要求；药品库、污水处理站、污水处理站加药间、无害化暂存间采取防渗混凝土</w:t>
      </w:r>
      <w:r>
        <w:rPr>
          <w:color w:val="auto"/>
          <w:highlight w:val="none"/>
        </w:rPr>
        <w:t>+2mmHDPE</w:t>
      </w:r>
      <w:r>
        <w:rPr>
          <w:rFonts w:hint="eastAsia"/>
          <w:color w:val="auto"/>
          <w:highlight w:val="none"/>
        </w:rPr>
        <w:t>防渗膜的方式防渗，其中污水管网采用</w:t>
      </w:r>
      <w:r>
        <w:rPr>
          <w:color w:val="auto"/>
          <w:highlight w:val="none"/>
        </w:rPr>
        <w:t>PE</w:t>
      </w:r>
      <w:r>
        <w:rPr>
          <w:rFonts w:hint="eastAsia"/>
          <w:color w:val="auto"/>
          <w:highlight w:val="none"/>
        </w:rPr>
        <w:t>管，防渗措施能达到《危险废物贮存污染控制标准》规定的，渗透系数K</w:t>
      </w:r>
      <w:r>
        <w:rPr>
          <w:color w:val="auto"/>
          <w:highlight w:val="none"/>
        </w:rPr>
        <w:t>≤</w:t>
      </w:r>
      <w:r>
        <w:rPr>
          <w:rFonts w:hint="eastAsia"/>
          <w:color w:val="auto"/>
          <w:highlight w:val="none"/>
        </w:rPr>
        <w:t>1×10</w:t>
      </w:r>
      <w:r>
        <w:rPr>
          <w:color w:val="auto"/>
          <w:highlight w:val="none"/>
          <w:vertAlign w:val="superscript"/>
        </w:rPr>
        <w:t>-</w:t>
      </w:r>
      <w:r>
        <w:rPr>
          <w:rFonts w:hint="eastAsia"/>
          <w:color w:val="auto"/>
          <w:highlight w:val="none"/>
          <w:vertAlign w:val="superscript"/>
        </w:rPr>
        <w:t>7</w:t>
      </w:r>
      <w:r>
        <w:rPr>
          <w:color w:val="auto"/>
          <w:highlight w:val="none"/>
        </w:rPr>
        <w:t>cm/s</w:t>
      </w:r>
      <w:r>
        <w:rPr>
          <w:rFonts w:hint="eastAsia"/>
          <w:color w:val="auto"/>
          <w:highlight w:val="none"/>
        </w:rPr>
        <w:t>防渗要求。</w:t>
      </w:r>
    </w:p>
    <w:p>
      <w:pPr>
        <w:widowControl w:val="0"/>
        <w:ind w:firstLine="482"/>
        <w:rPr>
          <w:color w:val="auto"/>
          <w:highlight w:val="none"/>
        </w:rPr>
      </w:pPr>
      <w:r>
        <w:rPr>
          <w:rFonts w:hint="eastAsia"/>
          <w:b/>
          <w:bCs/>
          <w:color w:val="auto"/>
          <w:highlight w:val="none"/>
        </w:rPr>
        <w:t>一般防渗区：</w:t>
      </w:r>
      <w:r>
        <w:rPr>
          <w:rFonts w:hint="eastAsia"/>
          <w:color w:val="auto"/>
          <w:highlight w:val="none"/>
        </w:rPr>
        <w:t>待宰圈、屠宰车间、急宰间、隔离间、垃圾回收站、应急事故池、废水暂存池为一般防渗区，防渗技术要求为等效粘土防渗层Mb</w:t>
      </w:r>
      <w:r>
        <w:rPr>
          <w:color w:val="auto"/>
          <w:highlight w:val="none"/>
        </w:rPr>
        <w:t>≥</w:t>
      </w:r>
      <w:r>
        <w:rPr>
          <w:rFonts w:hint="eastAsia"/>
          <w:color w:val="auto"/>
          <w:highlight w:val="none"/>
        </w:rPr>
        <w:t>1.5m，K</w:t>
      </w:r>
      <w:r>
        <w:rPr>
          <w:color w:val="auto"/>
          <w:highlight w:val="none"/>
        </w:rPr>
        <w:t>≤</w:t>
      </w:r>
      <w:r>
        <w:rPr>
          <w:rFonts w:hint="eastAsia"/>
          <w:color w:val="auto"/>
          <w:highlight w:val="none"/>
        </w:rPr>
        <w:t>10</w:t>
      </w:r>
      <w:r>
        <w:rPr>
          <w:color w:val="auto"/>
          <w:highlight w:val="none"/>
          <w:vertAlign w:val="superscript"/>
        </w:rPr>
        <w:t>-7</w:t>
      </w:r>
      <w:r>
        <w:rPr>
          <w:color w:val="auto"/>
          <w:highlight w:val="none"/>
        </w:rPr>
        <w:t>cm/s</w:t>
      </w:r>
      <w:r>
        <w:rPr>
          <w:rFonts w:hint="eastAsia"/>
          <w:color w:val="auto"/>
          <w:highlight w:val="none"/>
        </w:rPr>
        <w:t>。</w:t>
      </w:r>
    </w:p>
    <w:p>
      <w:pPr>
        <w:widowControl w:val="0"/>
        <w:ind w:firstLine="482"/>
        <w:rPr>
          <w:color w:val="auto"/>
          <w:highlight w:val="none"/>
        </w:rPr>
      </w:pPr>
      <w:r>
        <w:rPr>
          <w:rFonts w:hint="eastAsia"/>
          <w:b/>
          <w:bCs/>
          <w:color w:val="auto"/>
          <w:highlight w:val="none"/>
        </w:rPr>
        <w:t>简单防渗区：</w:t>
      </w:r>
      <w:r>
        <w:rPr>
          <w:rFonts w:hint="eastAsia"/>
          <w:color w:val="auto"/>
          <w:highlight w:val="none"/>
        </w:rPr>
        <w:t>倒班房、道路等除重点防渗区和一般防渗区以外的区域。防渗技术要求为一般地面硬化。</w:t>
      </w:r>
    </w:p>
    <w:p>
      <w:pPr>
        <w:pStyle w:val="6"/>
        <w:widowControl w:val="0"/>
        <w:ind w:left="-160" w:firstLineChars="0"/>
        <w:rPr>
          <w:color w:val="auto"/>
          <w:highlight w:val="none"/>
        </w:rPr>
      </w:pPr>
      <w:r>
        <w:rPr>
          <w:rFonts w:hint="eastAsia"/>
          <w:color w:val="auto"/>
          <w:highlight w:val="none"/>
        </w:rPr>
        <w:t>地下水环境影响分析结论</w:t>
      </w:r>
    </w:p>
    <w:p>
      <w:pPr>
        <w:widowControl w:val="0"/>
        <w:ind w:firstLine="480"/>
        <w:rPr>
          <w:color w:val="auto"/>
          <w:highlight w:val="none"/>
        </w:rPr>
      </w:pPr>
      <w:r>
        <w:rPr>
          <w:rFonts w:hint="eastAsia"/>
          <w:color w:val="auto"/>
          <w:highlight w:val="none"/>
        </w:rPr>
        <w:t>综上，通过设置监测井并按照监测频率</w:t>
      </w:r>
      <w:r>
        <w:rPr>
          <w:color w:val="auto"/>
          <w:highlight w:val="none"/>
        </w:rPr>
        <w:t>1</w:t>
      </w:r>
      <w:r>
        <w:rPr>
          <w:rFonts w:hint="eastAsia"/>
          <w:color w:val="auto"/>
          <w:highlight w:val="none"/>
        </w:rPr>
        <w:t>次</w:t>
      </w:r>
      <w:r>
        <w:rPr>
          <w:color w:val="auto"/>
          <w:highlight w:val="none"/>
        </w:rPr>
        <w:t>/</w:t>
      </w:r>
      <w:r>
        <w:rPr>
          <w:rFonts w:hint="eastAsia"/>
          <w:color w:val="auto"/>
          <w:highlight w:val="none"/>
        </w:rPr>
        <w:t>季度考虑，当非正常排放时能及时发现并采取有效的处理，不会出现非正常排放后污染物浓度急剧升高的现象。据本项目建设特点，采用源头控制、分区防渗、地下水长期监测等措施，防止地下水发生污染。当地下水发生污染后，采取积极有效的应急措施。在采取以上措施后，建设项目对地下水环境的影响较小，本建设项目对地下水环境的影响可以接受。</w:t>
      </w:r>
    </w:p>
    <w:p>
      <w:pPr>
        <w:pStyle w:val="5"/>
        <w:widowControl w:val="0"/>
        <w:ind w:firstLine="120"/>
        <w:rPr>
          <w:color w:val="auto"/>
          <w:highlight w:val="none"/>
        </w:rPr>
      </w:pPr>
      <w:r>
        <w:rPr>
          <w:rFonts w:hint="eastAsia"/>
          <w:color w:val="auto"/>
          <w:highlight w:val="none"/>
        </w:rPr>
        <w:t>大气环境影响分析</w:t>
      </w:r>
    </w:p>
    <w:p>
      <w:pPr>
        <w:pStyle w:val="6"/>
        <w:widowControl w:val="0"/>
        <w:ind w:left="-160" w:firstLineChars="0"/>
        <w:rPr>
          <w:color w:val="auto"/>
          <w:highlight w:val="none"/>
        </w:rPr>
      </w:pPr>
      <w:r>
        <w:rPr>
          <w:rFonts w:hint="eastAsia"/>
          <w:color w:val="auto"/>
          <w:highlight w:val="none"/>
        </w:rPr>
        <w:t>废气影响预测分析</w:t>
      </w:r>
    </w:p>
    <w:p>
      <w:pPr>
        <w:widowControl w:val="0"/>
        <w:ind w:firstLine="480"/>
        <w:rPr>
          <w:color w:val="auto"/>
          <w:highlight w:val="none"/>
        </w:rPr>
      </w:pPr>
      <w:r>
        <w:rPr>
          <w:rFonts w:hint="eastAsia"/>
          <w:color w:val="auto"/>
          <w:highlight w:val="none"/>
        </w:rPr>
        <w:t>本项目恶臭来源于屠宰车间、待宰圈和污水处理站，评价以P1、P2</w:t>
      </w:r>
      <w:r>
        <w:rPr>
          <w:rFonts w:hint="eastAsia"/>
          <w:color w:val="auto"/>
          <w:highlight w:val="none"/>
        </w:rPr>
        <w:tab/>
      </w:r>
      <w:r>
        <w:rPr>
          <w:rFonts w:hint="eastAsia"/>
          <w:color w:val="auto"/>
          <w:highlight w:val="none"/>
        </w:rPr>
        <w:t>排气筒计算有组织排放源强，以屠宰车间、污水处理站、待宰圈为单元分别计算NH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S的无组织排放源强。</w:t>
      </w:r>
    </w:p>
    <w:p>
      <w:pPr>
        <w:widowControl w:val="0"/>
        <w:ind w:firstLine="482"/>
        <w:rPr>
          <w:b/>
          <w:bCs/>
          <w:color w:val="auto"/>
          <w:highlight w:val="none"/>
        </w:rPr>
      </w:pPr>
      <w:r>
        <w:rPr>
          <w:rFonts w:hint="eastAsia"/>
          <w:b/>
          <w:bCs/>
          <w:color w:val="auto"/>
          <w:highlight w:val="none"/>
        </w:rPr>
        <w:t>（1）预测因子</w:t>
      </w:r>
    </w:p>
    <w:p>
      <w:pPr>
        <w:widowControl w:val="0"/>
        <w:ind w:firstLine="480"/>
        <w:rPr>
          <w:color w:val="auto"/>
          <w:highlight w:val="none"/>
        </w:rPr>
      </w:pPr>
      <w:r>
        <w:rPr>
          <w:rFonts w:hint="eastAsia"/>
          <w:color w:val="auto"/>
          <w:highlight w:val="none"/>
        </w:rPr>
        <w:t>项目主要污染因子为NH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S，根据《环境影响评价技术导则 大气环境》（HJ2.2-2018），本项目选择NH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S、SO</w:t>
      </w:r>
      <w:r>
        <w:rPr>
          <w:rFonts w:hint="eastAsia"/>
          <w:color w:val="auto"/>
          <w:highlight w:val="none"/>
          <w:vertAlign w:val="subscript"/>
        </w:rPr>
        <w:t>2</w:t>
      </w:r>
      <w:r>
        <w:rPr>
          <w:rFonts w:hint="eastAsia"/>
          <w:color w:val="auto"/>
          <w:highlight w:val="none"/>
        </w:rPr>
        <w:t>、NOx、颗粒物作为本次预测因子。</w:t>
      </w:r>
    </w:p>
    <w:p>
      <w:pPr>
        <w:widowControl w:val="0"/>
        <w:ind w:firstLine="482"/>
        <w:rPr>
          <w:b/>
          <w:bCs/>
          <w:color w:val="auto"/>
          <w:highlight w:val="none"/>
        </w:rPr>
      </w:pPr>
      <w:r>
        <w:rPr>
          <w:rFonts w:hint="eastAsia"/>
          <w:b/>
          <w:bCs/>
          <w:color w:val="auto"/>
          <w:highlight w:val="none"/>
        </w:rPr>
        <w:t>（2）预测模式、方案和参数选择</w:t>
      </w:r>
    </w:p>
    <w:p>
      <w:pPr>
        <w:widowControl w:val="0"/>
        <w:ind w:firstLine="480"/>
        <w:rPr>
          <w:color w:val="auto"/>
          <w:highlight w:val="none"/>
        </w:rPr>
      </w:pPr>
      <w:r>
        <w:rPr>
          <w:rFonts w:hint="eastAsia"/>
          <w:color w:val="auto"/>
          <w:highlight w:val="none"/>
        </w:rPr>
        <w:t>A预测模式：本次大气环境影响预测采用《环境影响评价技术导则 大气环境》（HJ2.2-2018）推荐模式清单中的AERSCREEN模型进行预测。</w:t>
      </w:r>
    </w:p>
    <w:p>
      <w:pPr>
        <w:widowControl w:val="0"/>
        <w:ind w:firstLine="480"/>
        <w:rPr>
          <w:color w:val="auto"/>
          <w:highlight w:val="none"/>
        </w:rPr>
      </w:pPr>
      <w:r>
        <w:rPr>
          <w:rFonts w:hint="eastAsia"/>
          <w:color w:val="auto"/>
          <w:highlight w:val="none"/>
        </w:rPr>
        <w:t>B预测方案：根据AERSCREEN估算模型，项目主要对项目污染物的最大落地浓度、对应占标率、出现距离及大气环境防护距离、卫生防护距离等进行计算。</w:t>
      </w:r>
    </w:p>
    <w:p>
      <w:pPr>
        <w:widowControl w:val="0"/>
        <w:ind w:firstLine="480"/>
        <w:rPr>
          <w:color w:val="auto"/>
          <w:highlight w:val="none"/>
        </w:rPr>
      </w:pPr>
      <w:r>
        <w:rPr>
          <w:rFonts w:hint="eastAsia"/>
          <w:color w:val="auto"/>
          <w:highlight w:val="none"/>
        </w:rPr>
        <w:t>C估算模型参数：</w:t>
      </w:r>
    </w:p>
    <w:p>
      <w:pPr>
        <w:widowControl w:val="0"/>
        <w:ind w:firstLine="480"/>
        <w:rPr>
          <w:color w:val="auto"/>
          <w:highlight w:val="none"/>
        </w:rPr>
      </w:pPr>
      <w:r>
        <w:rPr>
          <w:rFonts w:hint="eastAsia"/>
          <w:color w:val="auto"/>
          <w:highlight w:val="none"/>
        </w:rPr>
        <w:t>根据项目所在地环境特点，项目估算模型参数详见下表：</w:t>
      </w:r>
    </w:p>
    <w:p>
      <w:pPr>
        <w:pStyle w:val="27"/>
        <w:widowControl w:val="0"/>
        <w:rPr>
          <w:color w:val="auto"/>
          <w:highlight w:val="none"/>
        </w:rPr>
      </w:pPr>
      <w:r>
        <w:rPr>
          <w:rFonts w:hint="eastAsia"/>
          <w:color w:val="auto"/>
          <w:highlight w:val="none"/>
        </w:rPr>
        <w:t>估算模型参数</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参数</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城市/农村选项</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城市/农村</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人口数（城市选项时）</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最高环境温度/</w:t>
            </w:r>
            <w:r>
              <w:rPr>
                <w:color w:val="auto"/>
                <w:highlight w:val="none"/>
              </w:rPr>
              <w:t>℃</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40.</w:t>
            </w:r>
            <w:r>
              <w:rPr>
                <w:rFonts w:hint="eastAsia"/>
                <w:color w:val="auto"/>
                <w:highlight w:val="none"/>
                <w:lang w:val="en-US" w:eastAsia="zh-CN"/>
              </w:rPr>
              <w:t>3</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最低环境温度/</w:t>
            </w:r>
            <w:r>
              <w:rPr>
                <w:color w:val="auto"/>
                <w:highlight w:val="none"/>
              </w:rPr>
              <w:t>℃</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-5.3</w:t>
            </w: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土地利用类型</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28"/>
              <w:widowControl w:val="0"/>
              <w:rPr>
                <w:color w:val="auto"/>
                <w:highlight w:val="none"/>
              </w:rPr>
            </w:pPr>
            <w:r>
              <w:rPr>
                <w:rFonts w:hint="eastAsia"/>
                <w:color w:val="auto"/>
                <w:highlight w:val="none"/>
              </w:rPr>
              <w:t>区域湿度条件</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是否考虑地形</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考虑地形</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地形数据分辨率/m</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28"/>
              <w:widowControl w:val="0"/>
              <w:rPr>
                <w:color w:val="auto"/>
                <w:highlight w:val="none"/>
              </w:rPr>
            </w:pPr>
            <w:r>
              <w:rPr>
                <w:rFonts w:hint="eastAsia"/>
                <w:color w:val="auto"/>
                <w:highlight w:val="none"/>
              </w:rPr>
              <w:t>是否考虑岸线熏烟</w:t>
            </w: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考虑岸线熏烟</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岸线距离/km</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28"/>
              <w:widowControl w:val="0"/>
              <w:rPr>
                <w:color w:val="auto"/>
                <w:highlight w:val="none"/>
              </w:rPr>
            </w:pPr>
          </w:p>
        </w:tc>
        <w:tc>
          <w:tcPr>
            <w:tcW w:w="3207" w:type="dxa"/>
            <w:tcBorders>
              <w:tl2br w:val="nil"/>
              <w:tr2bl w:val="nil"/>
            </w:tcBorders>
            <w:vAlign w:val="center"/>
          </w:tcPr>
          <w:p>
            <w:pPr>
              <w:pStyle w:val="28"/>
              <w:widowControl w:val="0"/>
              <w:rPr>
                <w:color w:val="auto"/>
                <w:highlight w:val="none"/>
              </w:rPr>
            </w:pPr>
            <w:r>
              <w:rPr>
                <w:rFonts w:hint="eastAsia"/>
                <w:color w:val="auto"/>
                <w:highlight w:val="none"/>
              </w:rPr>
              <w:t>岸线方向/°</w:t>
            </w:r>
          </w:p>
        </w:tc>
        <w:tc>
          <w:tcPr>
            <w:tcW w:w="3208" w:type="dxa"/>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rPr>
          <w:color w:val="auto"/>
          <w:highlight w:val="none"/>
        </w:rPr>
      </w:pPr>
      <w:r>
        <w:rPr>
          <w:rFonts w:hint="eastAsia"/>
          <w:color w:val="auto"/>
          <w:highlight w:val="none"/>
        </w:rPr>
        <w:t>D预测参数</w:t>
      </w:r>
    </w:p>
    <w:p>
      <w:pPr>
        <w:widowControl w:val="0"/>
        <w:ind w:firstLine="480"/>
        <w:rPr>
          <w:color w:val="auto"/>
          <w:highlight w:val="none"/>
        </w:rPr>
      </w:pPr>
      <w:r>
        <w:rPr>
          <w:rFonts w:hint="eastAsia"/>
          <w:color w:val="auto"/>
          <w:highlight w:val="none"/>
        </w:rPr>
        <w:t>根据工程分析，项目污染源预测源强见下表。</w:t>
      </w:r>
    </w:p>
    <w:p>
      <w:pPr>
        <w:pStyle w:val="27"/>
        <w:widowControl w:val="0"/>
        <w:rPr>
          <w:color w:val="auto"/>
          <w:highlight w:val="none"/>
        </w:rPr>
      </w:pPr>
      <w:r>
        <w:rPr>
          <w:rFonts w:hint="eastAsia"/>
          <w:color w:val="auto"/>
          <w:highlight w:val="none"/>
        </w:rPr>
        <w:t>恶臭废气污染源参数一览表（点源）</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309"/>
        <w:gridCol w:w="1187"/>
        <w:gridCol w:w="1445"/>
        <w:gridCol w:w="1103"/>
        <w:gridCol w:w="999"/>
        <w:gridCol w:w="764"/>
        <w:gridCol w:w="1166"/>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44"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68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61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排气筒高度（m）</w:t>
            </w:r>
          </w:p>
        </w:tc>
        <w:tc>
          <w:tcPr>
            <w:tcW w:w="75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排气筒出口内径（m）</w:t>
            </w:r>
          </w:p>
        </w:tc>
        <w:tc>
          <w:tcPr>
            <w:tcW w:w="573"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烟气流速（m/s）</w:t>
            </w:r>
          </w:p>
        </w:tc>
        <w:tc>
          <w:tcPr>
            <w:tcW w:w="519"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烟气温度（</w:t>
            </w:r>
            <w:r>
              <w:rPr>
                <w:b/>
                <w:bCs/>
                <w:color w:val="auto"/>
                <w:highlight w:val="none"/>
              </w:rPr>
              <w:t>℃</w:t>
            </w:r>
            <w:r>
              <w:rPr>
                <w:rFonts w:hint="eastAsia"/>
                <w:b/>
                <w:bCs/>
                <w:color w:val="auto"/>
                <w:highlight w:val="none"/>
              </w:rPr>
              <w:t>）</w:t>
            </w:r>
          </w:p>
        </w:tc>
        <w:tc>
          <w:tcPr>
            <w:tcW w:w="39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1216"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 w:type="pct"/>
            <w:vMerge w:val="continue"/>
            <w:tcBorders>
              <w:tl2br w:val="nil"/>
              <w:tr2bl w:val="nil"/>
            </w:tcBorders>
            <w:vAlign w:val="center"/>
          </w:tcPr>
          <w:p>
            <w:pPr>
              <w:pStyle w:val="28"/>
              <w:widowControl w:val="0"/>
              <w:rPr>
                <w:b/>
                <w:bCs/>
                <w:color w:val="auto"/>
                <w:highlight w:val="none"/>
              </w:rPr>
            </w:pPr>
          </w:p>
        </w:tc>
        <w:tc>
          <w:tcPr>
            <w:tcW w:w="680" w:type="pct"/>
            <w:vMerge w:val="continue"/>
            <w:tcBorders>
              <w:tl2br w:val="nil"/>
              <w:tr2bl w:val="nil"/>
            </w:tcBorders>
            <w:vAlign w:val="center"/>
          </w:tcPr>
          <w:p>
            <w:pPr>
              <w:pStyle w:val="28"/>
              <w:widowControl w:val="0"/>
              <w:rPr>
                <w:b/>
                <w:bCs/>
                <w:color w:val="auto"/>
                <w:highlight w:val="none"/>
              </w:rPr>
            </w:pPr>
          </w:p>
        </w:tc>
        <w:tc>
          <w:tcPr>
            <w:tcW w:w="617" w:type="pct"/>
            <w:vMerge w:val="continue"/>
            <w:tcBorders>
              <w:tl2br w:val="nil"/>
              <w:tr2bl w:val="nil"/>
            </w:tcBorders>
            <w:vAlign w:val="center"/>
          </w:tcPr>
          <w:p>
            <w:pPr>
              <w:pStyle w:val="28"/>
              <w:widowControl w:val="0"/>
              <w:rPr>
                <w:b/>
                <w:bCs/>
                <w:color w:val="auto"/>
                <w:highlight w:val="none"/>
              </w:rPr>
            </w:pPr>
          </w:p>
        </w:tc>
        <w:tc>
          <w:tcPr>
            <w:tcW w:w="751" w:type="pct"/>
            <w:vMerge w:val="continue"/>
            <w:tcBorders>
              <w:tl2br w:val="nil"/>
              <w:tr2bl w:val="nil"/>
            </w:tcBorders>
            <w:vAlign w:val="center"/>
          </w:tcPr>
          <w:p>
            <w:pPr>
              <w:pStyle w:val="28"/>
              <w:widowControl w:val="0"/>
              <w:rPr>
                <w:b/>
                <w:bCs/>
                <w:color w:val="auto"/>
                <w:highlight w:val="none"/>
              </w:rPr>
            </w:pPr>
          </w:p>
        </w:tc>
        <w:tc>
          <w:tcPr>
            <w:tcW w:w="573" w:type="pct"/>
            <w:vMerge w:val="continue"/>
            <w:tcBorders>
              <w:tl2br w:val="nil"/>
              <w:tr2bl w:val="nil"/>
            </w:tcBorders>
            <w:vAlign w:val="center"/>
          </w:tcPr>
          <w:p>
            <w:pPr>
              <w:pStyle w:val="28"/>
              <w:widowControl w:val="0"/>
              <w:rPr>
                <w:b/>
                <w:bCs/>
                <w:color w:val="auto"/>
                <w:highlight w:val="none"/>
              </w:rPr>
            </w:pPr>
          </w:p>
        </w:tc>
        <w:tc>
          <w:tcPr>
            <w:tcW w:w="519" w:type="pct"/>
            <w:vMerge w:val="continue"/>
            <w:tcBorders>
              <w:tl2br w:val="nil"/>
              <w:tr2bl w:val="nil"/>
            </w:tcBorders>
            <w:vAlign w:val="center"/>
          </w:tcPr>
          <w:p>
            <w:pPr>
              <w:pStyle w:val="28"/>
              <w:widowControl w:val="0"/>
              <w:rPr>
                <w:b/>
                <w:bCs/>
                <w:color w:val="auto"/>
                <w:highlight w:val="none"/>
              </w:rPr>
            </w:pPr>
          </w:p>
        </w:tc>
        <w:tc>
          <w:tcPr>
            <w:tcW w:w="397" w:type="pct"/>
            <w:vMerge w:val="continue"/>
            <w:tcBorders>
              <w:tl2br w:val="nil"/>
              <w:tr2bl w:val="nil"/>
            </w:tcBorders>
            <w:vAlign w:val="center"/>
          </w:tcPr>
          <w:p>
            <w:pPr>
              <w:pStyle w:val="28"/>
              <w:widowControl w:val="0"/>
              <w:rPr>
                <w:b/>
                <w:bCs/>
                <w:color w:val="auto"/>
                <w:highlight w:val="none"/>
              </w:rPr>
            </w:pPr>
          </w:p>
        </w:tc>
        <w:tc>
          <w:tcPr>
            <w:tcW w:w="606"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NH</w:t>
            </w:r>
            <w:r>
              <w:rPr>
                <w:rFonts w:hint="eastAsia"/>
                <w:b/>
                <w:bCs/>
                <w:color w:val="auto"/>
                <w:highlight w:val="none"/>
                <w:vertAlign w:val="subscript"/>
              </w:rPr>
              <w:t>3</w:t>
            </w:r>
          </w:p>
        </w:tc>
        <w:tc>
          <w:tcPr>
            <w:tcW w:w="609" w:type="pct"/>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680" w:type="pct"/>
            <w:tcBorders>
              <w:tl2br w:val="nil"/>
              <w:tr2bl w:val="nil"/>
            </w:tcBorders>
            <w:vAlign w:val="center"/>
          </w:tcPr>
          <w:p>
            <w:pPr>
              <w:pStyle w:val="28"/>
              <w:widowControl w:val="0"/>
              <w:rPr>
                <w:color w:val="auto"/>
                <w:highlight w:val="none"/>
              </w:rPr>
            </w:pPr>
            <w:r>
              <w:rPr>
                <w:rFonts w:hint="eastAsia"/>
                <w:color w:val="auto"/>
                <w:highlight w:val="none"/>
              </w:rPr>
              <w:t>P1排气筒</w:t>
            </w:r>
          </w:p>
        </w:tc>
        <w:tc>
          <w:tcPr>
            <w:tcW w:w="617"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751" w:type="pct"/>
            <w:tcBorders>
              <w:tl2br w:val="nil"/>
              <w:tr2bl w:val="nil"/>
            </w:tcBorders>
            <w:vAlign w:val="center"/>
          </w:tcPr>
          <w:p>
            <w:pPr>
              <w:pStyle w:val="28"/>
              <w:widowControl w:val="0"/>
              <w:rPr>
                <w:color w:val="auto"/>
                <w:highlight w:val="none"/>
              </w:rPr>
            </w:pPr>
            <w:r>
              <w:rPr>
                <w:rFonts w:hint="eastAsia"/>
                <w:color w:val="auto"/>
                <w:highlight w:val="none"/>
              </w:rPr>
              <w:t>0.8</w:t>
            </w:r>
          </w:p>
        </w:tc>
        <w:tc>
          <w:tcPr>
            <w:tcW w:w="573" w:type="pct"/>
            <w:tcBorders>
              <w:tl2br w:val="nil"/>
              <w:tr2bl w:val="nil"/>
            </w:tcBorders>
            <w:vAlign w:val="center"/>
          </w:tcPr>
          <w:p>
            <w:pPr>
              <w:pStyle w:val="28"/>
              <w:widowControl w:val="0"/>
              <w:rPr>
                <w:color w:val="auto"/>
                <w:highlight w:val="none"/>
              </w:rPr>
            </w:pPr>
            <w:r>
              <w:rPr>
                <w:rFonts w:hint="eastAsia"/>
                <w:color w:val="auto"/>
                <w:highlight w:val="none"/>
              </w:rPr>
              <w:t>8.84</w:t>
            </w:r>
          </w:p>
        </w:tc>
        <w:tc>
          <w:tcPr>
            <w:tcW w:w="519"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606"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0.004</w:t>
            </w:r>
          </w:p>
        </w:tc>
        <w:tc>
          <w:tcPr>
            <w:tcW w:w="609" w:type="pct"/>
            <w:tcBorders>
              <w:tl2br w:val="nil"/>
              <w:tr2bl w:val="nil"/>
            </w:tcBorders>
            <w:vAlign w:val="center"/>
          </w:tcPr>
          <w:p>
            <w:pPr>
              <w:pStyle w:val="28"/>
              <w:widowControl w:val="0"/>
              <w:rPr>
                <w:color w:val="auto"/>
                <w:highlight w:val="none"/>
              </w:rPr>
            </w:pPr>
            <w:r>
              <w:rPr>
                <w:rFonts w:hint="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680" w:type="pct"/>
            <w:tcBorders>
              <w:tl2br w:val="nil"/>
              <w:tr2bl w:val="nil"/>
            </w:tcBorders>
            <w:vAlign w:val="center"/>
          </w:tcPr>
          <w:p>
            <w:pPr>
              <w:pStyle w:val="28"/>
              <w:widowControl w:val="0"/>
              <w:rPr>
                <w:color w:val="auto"/>
                <w:highlight w:val="none"/>
              </w:rPr>
            </w:pPr>
            <w:r>
              <w:rPr>
                <w:rFonts w:hint="eastAsia"/>
                <w:color w:val="auto"/>
                <w:highlight w:val="none"/>
              </w:rPr>
              <w:t>P2排气筒</w:t>
            </w:r>
          </w:p>
        </w:tc>
        <w:tc>
          <w:tcPr>
            <w:tcW w:w="617"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751" w:type="pct"/>
            <w:tcBorders>
              <w:tl2br w:val="nil"/>
              <w:tr2bl w:val="nil"/>
            </w:tcBorders>
            <w:vAlign w:val="center"/>
          </w:tcPr>
          <w:p>
            <w:pPr>
              <w:pStyle w:val="28"/>
              <w:widowControl w:val="0"/>
              <w:rPr>
                <w:color w:val="auto"/>
                <w:highlight w:val="none"/>
              </w:rPr>
            </w:pPr>
            <w:r>
              <w:rPr>
                <w:rFonts w:hint="eastAsia"/>
                <w:color w:val="auto"/>
                <w:highlight w:val="none"/>
              </w:rPr>
              <w:t>1.2</w:t>
            </w:r>
          </w:p>
        </w:tc>
        <w:tc>
          <w:tcPr>
            <w:tcW w:w="573" w:type="pct"/>
            <w:tcBorders>
              <w:tl2br w:val="nil"/>
              <w:tr2bl w:val="nil"/>
            </w:tcBorders>
            <w:vAlign w:val="center"/>
          </w:tcPr>
          <w:p>
            <w:pPr>
              <w:pStyle w:val="28"/>
              <w:widowControl w:val="0"/>
              <w:rPr>
                <w:color w:val="auto"/>
                <w:highlight w:val="none"/>
              </w:rPr>
            </w:pPr>
            <w:r>
              <w:rPr>
                <w:rFonts w:hint="eastAsia"/>
                <w:color w:val="auto"/>
                <w:highlight w:val="none"/>
              </w:rPr>
              <w:t>11.3</w:t>
            </w:r>
          </w:p>
        </w:tc>
        <w:tc>
          <w:tcPr>
            <w:tcW w:w="519" w:type="pct"/>
            <w:tcBorders>
              <w:tl2br w:val="nil"/>
              <w:tr2bl w:val="nil"/>
            </w:tcBorders>
            <w:vAlign w:val="center"/>
          </w:tcPr>
          <w:p>
            <w:pPr>
              <w:pStyle w:val="28"/>
              <w:widowControl w:val="0"/>
              <w:rPr>
                <w:color w:val="auto"/>
                <w:highlight w:val="none"/>
              </w:rPr>
            </w:pPr>
            <w:r>
              <w:rPr>
                <w:rFonts w:hint="eastAsia"/>
                <w:color w:val="auto"/>
                <w:highlight w:val="none"/>
              </w:rPr>
              <w:t>20</w:t>
            </w:r>
          </w:p>
        </w:tc>
        <w:tc>
          <w:tcPr>
            <w:tcW w:w="397"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606" w:type="pct"/>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45</w:t>
            </w:r>
          </w:p>
        </w:tc>
        <w:tc>
          <w:tcPr>
            <w:tcW w:w="609" w:type="pct"/>
            <w:tcBorders>
              <w:tl2br w:val="nil"/>
              <w:tr2bl w:val="nil"/>
            </w:tcBorders>
            <w:vAlign w:val="center"/>
          </w:tcPr>
          <w:p>
            <w:pPr>
              <w:pStyle w:val="28"/>
              <w:widowControl w:val="0"/>
              <w:rPr>
                <w:color w:val="auto"/>
                <w:highlight w:val="none"/>
              </w:rPr>
            </w:pPr>
            <w:r>
              <w:rPr>
                <w:rFonts w:hint="eastAsia"/>
                <w:color w:val="auto"/>
                <w:highlight w:val="none"/>
              </w:rPr>
              <w:t>0.000</w:t>
            </w:r>
            <w:r>
              <w:rPr>
                <w:rFonts w:hint="eastAsia"/>
                <w:color w:val="auto"/>
                <w:highlight w:val="none"/>
                <w:lang w:val="en-US" w:eastAsia="zh-CN"/>
              </w:rPr>
              <w:t>9</w:t>
            </w:r>
          </w:p>
        </w:tc>
      </w:tr>
    </w:tbl>
    <w:p>
      <w:pPr>
        <w:pStyle w:val="27"/>
        <w:widowControl w:val="0"/>
        <w:rPr>
          <w:color w:val="auto"/>
          <w:highlight w:val="none"/>
        </w:rPr>
      </w:pPr>
      <w:r>
        <w:rPr>
          <w:rFonts w:hint="eastAsia"/>
          <w:color w:val="auto"/>
          <w:highlight w:val="none"/>
        </w:rPr>
        <w:t>天然气燃烧废气污染源参数一览表（点源）</w:t>
      </w:r>
    </w:p>
    <w:tbl>
      <w:tblPr>
        <w:tblStyle w:val="22"/>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10"/>
        <w:gridCol w:w="1020"/>
        <w:gridCol w:w="1021"/>
        <w:gridCol w:w="1156"/>
        <w:gridCol w:w="1006"/>
        <w:gridCol w:w="839"/>
        <w:gridCol w:w="1021"/>
        <w:gridCol w:w="704"/>
        <w:gridCol w:w="854"/>
        <w:gridCol w:w="660"/>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9" w:hRule="atLeast"/>
        </w:trPr>
        <w:tc>
          <w:tcPr>
            <w:tcW w:w="21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排气筒高度（m）</w:t>
            </w:r>
          </w:p>
        </w:tc>
        <w:tc>
          <w:tcPr>
            <w:tcW w:w="60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排气筒出口内径（m）</w:t>
            </w:r>
          </w:p>
        </w:tc>
        <w:tc>
          <w:tcPr>
            <w:tcW w:w="528"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烟气流速（m/s）</w:t>
            </w:r>
          </w:p>
        </w:tc>
        <w:tc>
          <w:tcPr>
            <w:tcW w:w="441"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烟气温度（</w:t>
            </w:r>
            <w:r>
              <w:rPr>
                <w:b/>
                <w:bCs/>
                <w:color w:val="auto"/>
                <w:highlight w:val="none"/>
              </w:rPr>
              <w:t>℃</w:t>
            </w:r>
            <w:r>
              <w:rPr>
                <w:rFonts w:hint="eastAsia"/>
                <w:b/>
                <w:bCs/>
                <w:color w:val="auto"/>
                <w:highlight w:val="none"/>
              </w:rPr>
              <w:t>）</w:t>
            </w:r>
          </w:p>
        </w:tc>
        <w:tc>
          <w:tcPr>
            <w:tcW w:w="536"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年排放小时数（h）</w:t>
            </w:r>
          </w:p>
        </w:tc>
        <w:tc>
          <w:tcPr>
            <w:tcW w:w="370"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1225" w:type="pct"/>
            <w:gridSpan w:val="3"/>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16"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607" w:type="pct"/>
            <w:vMerge w:val="continue"/>
            <w:tcBorders>
              <w:tl2br w:val="nil"/>
              <w:tr2bl w:val="nil"/>
            </w:tcBorders>
            <w:vAlign w:val="center"/>
          </w:tcPr>
          <w:p>
            <w:pPr>
              <w:pStyle w:val="28"/>
              <w:widowControl w:val="0"/>
              <w:rPr>
                <w:b/>
                <w:bCs/>
                <w:color w:val="auto"/>
                <w:highlight w:val="none"/>
              </w:rPr>
            </w:pPr>
          </w:p>
        </w:tc>
        <w:tc>
          <w:tcPr>
            <w:tcW w:w="528" w:type="pct"/>
            <w:vMerge w:val="continue"/>
            <w:tcBorders>
              <w:tl2br w:val="nil"/>
              <w:tr2bl w:val="nil"/>
            </w:tcBorders>
            <w:vAlign w:val="center"/>
          </w:tcPr>
          <w:p>
            <w:pPr>
              <w:pStyle w:val="28"/>
              <w:widowControl w:val="0"/>
              <w:rPr>
                <w:b/>
                <w:bCs/>
                <w:color w:val="auto"/>
                <w:highlight w:val="none"/>
              </w:rPr>
            </w:pPr>
          </w:p>
        </w:tc>
        <w:tc>
          <w:tcPr>
            <w:tcW w:w="441" w:type="pct"/>
            <w:vMerge w:val="continue"/>
            <w:tcBorders>
              <w:tl2br w:val="nil"/>
              <w:tr2bl w:val="nil"/>
            </w:tcBorders>
            <w:vAlign w:val="center"/>
          </w:tcPr>
          <w:p>
            <w:pPr>
              <w:pStyle w:val="28"/>
              <w:widowControl w:val="0"/>
              <w:rPr>
                <w:b/>
                <w:bCs/>
                <w:color w:val="auto"/>
                <w:highlight w:val="none"/>
              </w:rPr>
            </w:pPr>
          </w:p>
        </w:tc>
        <w:tc>
          <w:tcPr>
            <w:tcW w:w="536" w:type="pct"/>
            <w:vMerge w:val="continue"/>
            <w:tcBorders>
              <w:tl2br w:val="nil"/>
              <w:tr2bl w:val="nil"/>
            </w:tcBorders>
            <w:vAlign w:val="center"/>
          </w:tcPr>
          <w:p>
            <w:pPr>
              <w:pStyle w:val="28"/>
              <w:widowControl w:val="0"/>
              <w:rPr>
                <w:b/>
                <w:bCs/>
                <w:color w:val="auto"/>
                <w:highlight w:val="none"/>
              </w:rPr>
            </w:pPr>
          </w:p>
        </w:tc>
        <w:tc>
          <w:tcPr>
            <w:tcW w:w="370" w:type="pct"/>
            <w:vMerge w:val="continue"/>
            <w:tcBorders>
              <w:tl2br w:val="nil"/>
              <w:tr2bl w:val="nil"/>
            </w:tcBorders>
            <w:vAlign w:val="center"/>
          </w:tcPr>
          <w:p>
            <w:pPr>
              <w:pStyle w:val="28"/>
              <w:widowControl w:val="0"/>
              <w:rPr>
                <w:b/>
                <w:bCs/>
                <w:color w:val="auto"/>
                <w:highlight w:val="none"/>
              </w:rPr>
            </w:pPr>
          </w:p>
        </w:tc>
        <w:tc>
          <w:tcPr>
            <w:tcW w:w="449" w:type="pct"/>
            <w:tcBorders>
              <w:tl2br w:val="nil"/>
              <w:tr2bl w:val="nil"/>
            </w:tcBorders>
            <w:vAlign w:val="center"/>
          </w:tcPr>
          <w:p>
            <w:pPr>
              <w:pStyle w:val="28"/>
              <w:widowControl w:val="0"/>
              <w:rPr>
                <w:b/>
                <w:bCs/>
                <w:color w:val="auto"/>
                <w:highlight w:val="none"/>
                <w:vertAlign w:val="subscript"/>
              </w:rPr>
            </w:pPr>
            <w:r>
              <w:rPr>
                <w:rFonts w:hint="eastAsia"/>
                <w:b/>
                <w:bCs/>
                <w:color w:val="auto"/>
                <w:highlight w:val="none"/>
              </w:rPr>
              <w:t>SO</w:t>
            </w:r>
            <w:r>
              <w:rPr>
                <w:rFonts w:hint="eastAsia"/>
                <w:b/>
                <w:bCs/>
                <w:color w:val="auto"/>
                <w:highlight w:val="none"/>
                <w:vertAlign w:val="subscript"/>
              </w:rPr>
              <w:t>2</w:t>
            </w:r>
          </w:p>
        </w:tc>
        <w:tc>
          <w:tcPr>
            <w:tcW w:w="347" w:type="pct"/>
            <w:tcBorders>
              <w:tl2br w:val="nil"/>
              <w:tr2bl w:val="nil"/>
            </w:tcBorders>
            <w:vAlign w:val="center"/>
          </w:tcPr>
          <w:p>
            <w:pPr>
              <w:pStyle w:val="28"/>
              <w:widowControl w:val="0"/>
              <w:rPr>
                <w:b/>
                <w:bCs/>
                <w:color w:val="auto"/>
                <w:highlight w:val="none"/>
              </w:rPr>
            </w:pPr>
            <w:r>
              <w:rPr>
                <w:rFonts w:hint="eastAsia"/>
                <w:b/>
                <w:bCs/>
                <w:color w:val="auto"/>
                <w:highlight w:val="none"/>
              </w:rPr>
              <w:t>NOx</w:t>
            </w:r>
          </w:p>
        </w:tc>
        <w:tc>
          <w:tcPr>
            <w:tcW w:w="429" w:type="pct"/>
            <w:tcBorders>
              <w:tl2br w:val="nil"/>
              <w:tr2bl w:val="nil"/>
            </w:tcBorders>
            <w:vAlign w:val="center"/>
          </w:tcPr>
          <w:p>
            <w:pPr>
              <w:pStyle w:val="28"/>
              <w:widowControl w:val="0"/>
              <w:rPr>
                <w:b/>
                <w:bCs/>
                <w:color w:val="auto"/>
                <w:highlight w:val="none"/>
              </w:rPr>
            </w:pPr>
            <w:r>
              <w:rPr>
                <w:rFonts w:hint="eastAsia"/>
                <w:b/>
                <w:bCs/>
                <w:color w:val="auto"/>
                <w:highlight w:val="none"/>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16"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P3排气筒</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607" w:type="pct"/>
            <w:tcBorders>
              <w:tl2br w:val="nil"/>
              <w:tr2bl w:val="nil"/>
            </w:tcBorders>
            <w:vAlign w:val="center"/>
          </w:tcPr>
          <w:p>
            <w:pPr>
              <w:pStyle w:val="28"/>
              <w:widowControl w:val="0"/>
              <w:rPr>
                <w:color w:val="auto"/>
                <w:highlight w:val="none"/>
              </w:rPr>
            </w:pPr>
            <w:r>
              <w:rPr>
                <w:rFonts w:hint="eastAsia"/>
                <w:color w:val="auto"/>
                <w:highlight w:val="none"/>
              </w:rPr>
              <w:t>0.4</w:t>
            </w:r>
          </w:p>
        </w:tc>
        <w:tc>
          <w:tcPr>
            <w:tcW w:w="528" w:type="pct"/>
            <w:tcBorders>
              <w:tl2br w:val="nil"/>
              <w:tr2bl w:val="nil"/>
            </w:tcBorders>
            <w:vAlign w:val="center"/>
          </w:tcPr>
          <w:p>
            <w:pPr>
              <w:pStyle w:val="28"/>
              <w:widowControl w:val="0"/>
              <w:rPr>
                <w:color w:val="auto"/>
                <w:highlight w:val="none"/>
              </w:rPr>
            </w:pPr>
            <w:r>
              <w:rPr>
                <w:rFonts w:hint="eastAsia"/>
                <w:color w:val="auto"/>
                <w:highlight w:val="none"/>
              </w:rPr>
              <w:t>7.5</w:t>
            </w:r>
          </w:p>
        </w:tc>
        <w:tc>
          <w:tcPr>
            <w:tcW w:w="441" w:type="pct"/>
            <w:tcBorders>
              <w:tl2br w:val="nil"/>
              <w:tr2bl w:val="nil"/>
            </w:tcBorders>
            <w:vAlign w:val="center"/>
          </w:tcPr>
          <w:p>
            <w:pPr>
              <w:pStyle w:val="28"/>
              <w:widowControl w:val="0"/>
              <w:rPr>
                <w:color w:val="auto"/>
                <w:highlight w:val="none"/>
              </w:rPr>
            </w:pPr>
            <w:r>
              <w:rPr>
                <w:rFonts w:hint="eastAsia"/>
                <w:color w:val="auto"/>
                <w:highlight w:val="none"/>
              </w:rPr>
              <w:t>50</w:t>
            </w:r>
          </w:p>
        </w:tc>
        <w:tc>
          <w:tcPr>
            <w:tcW w:w="536" w:type="pct"/>
            <w:tcBorders>
              <w:tl2br w:val="nil"/>
              <w:tr2bl w:val="nil"/>
            </w:tcBorders>
            <w:vAlign w:val="center"/>
          </w:tcPr>
          <w:p>
            <w:pPr>
              <w:pStyle w:val="28"/>
              <w:widowControl w:val="0"/>
              <w:rPr>
                <w:color w:val="auto"/>
                <w:highlight w:val="none"/>
              </w:rPr>
            </w:pPr>
            <w:r>
              <w:rPr>
                <w:rFonts w:hint="eastAsia"/>
                <w:color w:val="auto"/>
                <w:highlight w:val="none"/>
              </w:rPr>
              <w:t>8400</w:t>
            </w:r>
          </w:p>
        </w:tc>
        <w:tc>
          <w:tcPr>
            <w:tcW w:w="370" w:type="pc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449" w:type="pct"/>
            <w:tcBorders>
              <w:tl2br w:val="nil"/>
              <w:tr2bl w:val="nil"/>
            </w:tcBorders>
            <w:vAlign w:val="center"/>
          </w:tcPr>
          <w:p>
            <w:pPr>
              <w:pStyle w:val="28"/>
              <w:widowControl w:val="0"/>
              <w:rPr>
                <w:color w:val="auto"/>
                <w:highlight w:val="none"/>
              </w:rPr>
            </w:pPr>
            <w:r>
              <w:rPr>
                <w:rFonts w:hint="eastAsia"/>
                <w:color w:val="auto"/>
                <w:highlight w:val="none"/>
              </w:rPr>
              <w:t>0.02</w:t>
            </w:r>
          </w:p>
        </w:tc>
        <w:tc>
          <w:tcPr>
            <w:tcW w:w="347" w:type="pct"/>
            <w:tcBorders>
              <w:tl2br w:val="nil"/>
              <w:tr2bl w:val="nil"/>
            </w:tcBorders>
            <w:vAlign w:val="center"/>
          </w:tcPr>
          <w:p>
            <w:pPr>
              <w:pStyle w:val="28"/>
              <w:widowControl w:val="0"/>
              <w:rPr>
                <w:color w:val="auto"/>
                <w:highlight w:val="none"/>
              </w:rPr>
            </w:pPr>
            <w:r>
              <w:rPr>
                <w:rFonts w:hint="eastAsia"/>
                <w:color w:val="auto"/>
                <w:highlight w:val="none"/>
              </w:rPr>
              <w:t>0.089</w:t>
            </w:r>
          </w:p>
        </w:tc>
        <w:tc>
          <w:tcPr>
            <w:tcW w:w="429" w:type="pct"/>
            <w:tcBorders>
              <w:tl2br w:val="nil"/>
              <w:tr2bl w:val="nil"/>
            </w:tcBorders>
            <w:vAlign w:val="center"/>
          </w:tcPr>
          <w:p>
            <w:pPr>
              <w:pStyle w:val="28"/>
              <w:widowControl w:val="0"/>
              <w:rPr>
                <w:color w:val="auto"/>
                <w:highlight w:val="none"/>
              </w:rPr>
            </w:pPr>
            <w:r>
              <w:rPr>
                <w:rFonts w:hint="eastAsia"/>
                <w:color w:val="auto"/>
                <w:highlight w:val="none"/>
              </w:rPr>
              <w:t>0.012</w:t>
            </w:r>
          </w:p>
        </w:tc>
      </w:tr>
    </w:tbl>
    <w:p>
      <w:pPr>
        <w:pStyle w:val="27"/>
        <w:widowControl w:val="0"/>
        <w:rPr>
          <w:color w:val="auto"/>
          <w:highlight w:val="none"/>
        </w:rPr>
      </w:pPr>
      <w:r>
        <w:rPr>
          <w:rFonts w:hint="eastAsia"/>
          <w:color w:val="auto"/>
          <w:highlight w:val="none"/>
        </w:rPr>
        <w:t>恶臭废气污染源参数一览表（面源）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7"/>
        <w:gridCol w:w="1069"/>
        <w:gridCol w:w="880"/>
        <w:gridCol w:w="880"/>
        <w:gridCol w:w="880"/>
        <w:gridCol w:w="1065"/>
        <w:gridCol w:w="750"/>
        <w:gridCol w:w="1407"/>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编号</w:t>
            </w:r>
          </w:p>
        </w:tc>
        <w:tc>
          <w:tcPr>
            <w:tcW w:w="1926" w:type="dxa"/>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2640" w:type="dxa"/>
            <w:gridSpan w:val="3"/>
            <w:tcBorders>
              <w:tl2br w:val="nil"/>
              <w:tr2bl w:val="nil"/>
            </w:tcBorders>
            <w:vAlign w:val="center"/>
          </w:tcPr>
          <w:p>
            <w:pPr>
              <w:pStyle w:val="28"/>
              <w:widowControl w:val="0"/>
              <w:rPr>
                <w:b/>
                <w:bCs/>
                <w:color w:val="auto"/>
                <w:highlight w:val="none"/>
              </w:rPr>
            </w:pPr>
            <w:r>
              <w:rPr>
                <w:rFonts w:hint="eastAsia"/>
                <w:b/>
                <w:bCs/>
                <w:color w:val="auto"/>
                <w:highlight w:val="none"/>
              </w:rPr>
              <w:t>面源参数</w:t>
            </w:r>
          </w:p>
        </w:tc>
        <w:tc>
          <w:tcPr>
            <w:tcW w:w="1065"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年排放小时数（h）</w:t>
            </w:r>
          </w:p>
        </w:tc>
        <w:tc>
          <w:tcPr>
            <w:tcW w:w="750"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排放工况</w:t>
            </w:r>
          </w:p>
        </w:tc>
        <w:tc>
          <w:tcPr>
            <w:tcW w:w="2814"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continue"/>
            <w:tcBorders>
              <w:tl2br w:val="nil"/>
              <w:tr2bl w:val="nil"/>
            </w:tcBorders>
            <w:vAlign w:val="center"/>
          </w:tcPr>
          <w:p>
            <w:pPr>
              <w:pStyle w:val="28"/>
              <w:widowControl w:val="0"/>
              <w:rPr>
                <w:b/>
                <w:bCs/>
                <w:color w:val="auto"/>
                <w:highlight w:val="none"/>
              </w:rPr>
            </w:pPr>
          </w:p>
        </w:tc>
        <w:tc>
          <w:tcPr>
            <w:tcW w:w="1926" w:type="dxa"/>
            <w:gridSpan w:val="2"/>
            <w:vMerge w:val="continue"/>
            <w:tcBorders>
              <w:tl2br w:val="nil"/>
              <w:tr2bl w:val="nil"/>
            </w:tcBorders>
            <w:vAlign w:val="center"/>
          </w:tcPr>
          <w:p>
            <w:pPr>
              <w:pStyle w:val="28"/>
              <w:widowControl w:val="0"/>
              <w:rPr>
                <w:b/>
                <w:bCs/>
                <w:color w:val="auto"/>
                <w:highlight w:val="none"/>
              </w:rPr>
            </w:pP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长（m）</w:t>
            </w: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宽（m）</w:t>
            </w:r>
          </w:p>
        </w:tc>
        <w:tc>
          <w:tcPr>
            <w:tcW w:w="880" w:type="dxa"/>
            <w:tcBorders>
              <w:tl2br w:val="nil"/>
              <w:tr2bl w:val="nil"/>
            </w:tcBorders>
            <w:vAlign w:val="center"/>
          </w:tcPr>
          <w:p>
            <w:pPr>
              <w:pStyle w:val="28"/>
              <w:widowControl w:val="0"/>
              <w:rPr>
                <w:b/>
                <w:bCs/>
                <w:color w:val="auto"/>
                <w:highlight w:val="none"/>
              </w:rPr>
            </w:pPr>
            <w:r>
              <w:rPr>
                <w:rFonts w:hint="eastAsia"/>
                <w:b/>
                <w:bCs/>
                <w:color w:val="auto"/>
                <w:highlight w:val="none"/>
              </w:rPr>
              <w:t>高（m）</w:t>
            </w:r>
          </w:p>
        </w:tc>
        <w:tc>
          <w:tcPr>
            <w:tcW w:w="1065" w:type="dxa"/>
            <w:vMerge w:val="continue"/>
            <w:tcBorders>
              <w:tl2br w:val="nil"/>
              <w:tr2bl w:val="nil"/>
            </w:tcBorders>
            <w:vAlign w:val="center"/>
          </w:tcPr>
          <w:p>
            <w:pPr>
              <w:pStyle w:val="28"/>
              <w:widowControl w:val="0"/>
              <w:rPr>
                <w:b/>
                <w:bCs/>
                <w:color w:val="auto"/>
                <w:highlight w:val="none"/>
              </w:rPr>
            </w:pPr>
          </w:p>
        </w:tc>
        <w:tc>
          <w:tcPr>
            <w:tcW w:w="750" w:type="dxa"/>
            <w:vMerge w:val="continue"/>
            <w:tcBorders>
              <w:tl2br w:val="nil"/>
              <w:tr2bl w:val="nil"/>
            </w:tcBorders>
            <w:vAlign w:val="center"/>
          </w:tcPr>
          <w:p>
            <w:pPr>
              <w:pStyle w:val="28"/>
              <w:widowControl w:val="0"/>
              <w:rPr>
                <w:b/>
                <w:bCs/>
                <w:color w:val="auto"/>
                <w:highlight w:val="none"/>
              </w:rPr>
            </w:pPr>
          </w:p>
        </w:tc>
        <w:tc>
          <w:tcPr>
            <w:tcW w:w="1407" w:type="dxa"/>
            <w:tcBorders>
              <w:tl2br w:val="nil"/>
              <w:tr2bl w:val="nil"/>
            </w:tcBorders>
            <w:vAlign w:val="center"/>
          </w:tcPr>
          <w:p>
            <w:pPr>
              <w:pStyle w:val="28"/>
              <w:widowControl w:val="0"/>
              <w:rPr>
                <w:b/>
                <w:bCs/>
                <w:color w:val="auto"/>
                <w:highlight w:val="none"/>
              </w:rPr>
            </w:pPr>
            <w:r>
              <w:rPr>
                <w:rFonts w:hint="eastAsia"/>
                <w:b/>
                <w:bCs/>
                <w:color w:val="auto"/>
                <w:highlight w:val="none"/>
              </w:rPr>
              <w:t>NH</w:t>
            </w:r>
            <w:r>
              <w:rPr>
                <w:rFonts w:hint="eastAsia"/>
                <w:b/>
                <w:bCs/>
                <w:color w:val="auto"/>
                <w:highlight w:val="none"/>
                <w:vertAlign w:val="subscript"/>
              </w:rPr>
              <w:t>3</w:t>
            </w:r>
          </w:p>
        </w:tc>
        <w:tc>
          <w:tcPr>
            <w:tcW w:w="1407" w:type="dxa"/>
            <w:tcBorders>
              <w:tl2br w:val="nil"/>
              <w:tr2bl w:val="nil"/>
            </w:tcBorders>
            <w:vAlign w:val="center"/>
          </w:tcPr>
          <w:p>
            <w:pPr>
              <w:pStyle w:val="28"/>
              <w:widowControl w:val="0"/>
              <w:rPr>
                <w:b/>
                <w:bCs/>
                <w:color w:val="auto"/>
                <w:highlight w:val="none"/>
              </w:rPr>
            </w:pPr>
            <w:r>
              <w:rPr>
                <w:rFonts w:hint="eastAsia"/>
                <w:b/>
                <w:bCs/>
                <w:color w:val="auto"/>
                <w:highlight w:val="none"/>
              </w:rPr>
              <w:t>H</w:t>
            </w:r>
            <w:r>
              <w:rPr>
                <w:rFonts w:hint="eastAsia"/>
                <w:b/>
                <w:bCs/>
                <w:color w:val="auto"/>
                <w:highlight w:val="none"/>
                <w:vertAlign w:val="subscript"/>
              </w:rPr>
              <w:t>2</w:t>
            </w:r>
            <w:r>
              <w:rPr>
                <w:rFonts w:hint="eastAsia"/>
                <w:b/>
                <w:bCs/>
                <w:color w:val="auto"/>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857" w:type="dxa"/>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1069" w:type="dxa"/>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150</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64</w:t>
            </w:r>
          </w:p>
        </w:tc>
        <w:tc>
          <w:tcPr>
            <w:tcW w:w="880" w:type="dxa"/>
            <w:vMerge w:val="restart"/>
            <w:tcBorders>
              <w:tl2br w:val="nil"/>
              <w:tr2bl w:val="nil"/>
            </w:tcBorders>
            <w:vAlign w:val="center"/>
          </w:tcPr>
          <w:p>
            <w:pPr>
              <w:pStyle w:val="28"/>
              <w:widowControl w:val="0"/>
              <w:rPr>
                <w:color w:val="auto"/>
                <w:highlight w:val="none"/>
              </w:rPr>
            </w:pPr>
            <w:r>
              <w:rPr>
                <w:rFonts w:hint="eastAsia"/>
                <w:color w:val="auto"/>
                <w:highlight w:val="none"/>
              </w:rPr>
              <w:t>8</w:t>
            </w:r>
          </w:p>
        </w:tc>
        <w:tc>
          <w:tcPr>
            <w:tcW w:w="1065" w:type="dxa"/>
            <w:vMerge w:val="restart"/>
            <w:tcBorders>
              <w:tl2br w:val="nil"/>
              <w:tr2bl w:val="nil"/>
            </w:tcBorders>
            <w:vAlign w:val="center"/>
          </w:tcPr>
          <w:p>
            <w:pPr>
              <w:pStyle w:val="28"/>
              <w:widowControl w:val="0"/>
              <w:rPr>
                <w:color w:val="auto"/>
                <w:highlight w:val="none"/>
              </w:rPr>
            </w:pPr>
            <w:r>
              <w:rPr>
                <w:rFonts w:hint="eastAsia"/>
                <w:color w:val="auto"/>
                <w:highlight w:val="none"/>
              </w:rPr>
              <w:t>2800</w:t>
            </w:r>
          </w:p>
        </w:tc>
        <w:tc>
          <w:tcPr>
            <w:tcW w:w="750" w:type="dxa"/>
            <w:vMerge w:val="restart"/>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857" w:type="dxa"/>
            <w:vMerge w:val="continue"/>
            <w:tcBorders>
              <w:tl2br w:val="nil"/>
              <w:tr2bl w:val="nil"/>
            </w:tcBorders>
            <w:vAlign w:val="center"/>
          </w:tcPr>
          <w:p>
            <w:pPr>
              <w:pStyle w:val="28"/>
              <w:widowControl w:val="0"/>
              <w:rPr>
                <w:color w:val="auto"/>
                <w:highlight w:val="none"/>
              </w:rPr>
            </w:pPr>
          </w:p>
        </w:tc>
        <w:tc>
          <w:tcPr>
            <w:tcW w:w="1069" w:type="dxa"/>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65</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30</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8</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2800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56</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926" w:type="dxa"/>
            <w:gridSpan w:val="2"/>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90</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32</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8400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0.004</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1926" w:type="dxa"/>
            <w:gridSpan w:val="2"/>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41</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25</w:t>
            </w:r>
          </w:p>
        </w:tc>
        <w:tc>
          <w:tcPr>
            <w:tcW w:w="880"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065" w:type="dxa"/>
            <w:tcBorders>
              <w:tl2br w:val="nil"/>
              <w:tr2bl w:val="nil"/>
            </w:tcBorders>
            <w:vAlign w:val="center"/>
          </w:tcPr>
          <w:p>
            <w:pPr>
              <w:pStyle w:val="28"/>
              <w:widowControl w:val="0"/>
              <w:rPr>
                <w:color w:val="auto"/>
                <w:highlight w:val="none"/>
              </w:rPr>
            </w:pPr>
            <w:r>
              <w:rPr>
                <w:rFonts w:hint="eastAsia"/>
                <w:color w:val="auto"/>
                <w:highlight w:val="none"/>
              </w:rPr>
              <w:t>8400</w:t>
            </w:r>
          </w:p>
        </w:tc>
        <w:tc>
          <w:tcPr>
            <w:tcW w:w="750" w:type="dxa"/>
            <w:tcBorders>
              <w:tl2br w:val="nil"/>
              <w:tr2bl w:val="nil"/>
            </w:tcBorders>
            <w:vAlign w:val="center"/>
          </w:tcPr>
          <w:p>
            <w:pPr>
              <w:pStyle w:val="28"/>
              <w:widowControl w:val="0"/>
              <w:rPr>
                <w:color w:val="auto"/>
                <w:highlight w:val="none"/>
              </w:rPr>
            </w:pPr>
            <w:r>
              <w:rPr>
                <w:rFonts w:hint="eastAsia"/>
                <w:color w:val="auto"/>
                <w:highlight w:val="none"/>
              </w:rPr>
              <w:t>正常</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0.002</w:t>
            </w:r>
          </w:p>
        </w:tc>
        <w:tc>
          <w:tcPr>
            <w:tcW w:w="1407" w:type="dxa"/>
            <w:tcBorders>
              <w:tl2br w:val="nil"/>
              <w:tr2bl w:val="nil"/>
            </w:tcBorders>
            <w:vAlign w:val="center"/>
          </w:tcPr>
          <w:p>
            <w:pPr>
              <w:pStyle w:val="28"/>
              <w:widowControl w:val="0"/>
              <w:rPr>
                <w:color w:val="auto"/>
                <w:highlight w:val="none"/>
              </w:rPr>
            </w:pPr>
            <w:r>
              <w:rPr>
                <w:rFonts w:hint="eastAsia"/>
                <w:color w:val="auto"/>
                <w:highlight w:val="none"/>
              </w:rPr>
              <w:t>0.0001</w:t>
            </w:r>
          </w:p>
        </w:tc>
      </w:tr>
    </w:tbl>
    <w:p>
      <w:pPr>
        <w:widowControl w:val="0"/>
        <w:ind w:firstLine="480"/>
        <w:rPr>
          <w:color w:val="auto"/>
          <w:highlight w:val="none"/>
        </w:rPr>
      </w:pPr>
      <w:r>
        <w:rPr>
          <w:rFonts w:hint="eastAsia"/>
          <w:color w:val="auto"/>
          <w:highlight w:val="none"/>
        </w:rPr>
        <w:t>F预测结果及影响分析</w:t>
      </w:r>
    </w:p>
    <w:p>
      <w:pPr>
        <w:widowControl w:val="0"/>
        <w:ind w:firstLine="480"/>
        <w:rPr>
          <w:color w:val="auto"/>
          <w:highlight w:val="none"/>
        </w:rPr>
      </w:pPr>
      <w:r>
        <w:rPr>
          <w:rFonts w:hint="eastAsia"/>
          <w:color w:val="auto"/>
          <w:highlight w:val="none"/>
        </w:rPr>
        <w:t>根据《环境影响评价技术导则 大气环境》（HJ2.2-2018）中推荐的估算模式（AERSCREEN），计算个污染源的在正常工况下排放时各预测点位的落地浓度及浓度占标率，具体预测结果见下表。</w:t>
      </w:r>
    </w:p>
    <w:p>
      <w:pPr>
        <w:pStyle w:val="27"/>
        <w:widowControl w:val="0"/>
        <w:rPr>
          <w:color w:val="auto"/>
          <w:highlight w:val="none"/>
        </w:rPr>
      </w:pPr>
      <w:r>
        <w:rPr>
          <w:rFonts w:hint="eastAsia"/>
          <w:color w:val="auto"/>
          <w:highlight w:val="none"/>
        </w:rPr>
        <w:t>恶臭有组织（排气筒P1）排放预测计算结果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88"/>
        <w:gridCol w:w="1988"/>
        <w:gridCol w:w="1988"/>
        <w:gridCol w:w="1899"/>
        <w:gridCol w:w="17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33" w:type="pct"/>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3966" w:type="pct"/>
            <w:gridSpan w:val="4"/>
            <w:tcBorders>
              <w:tl2br w:val="nil"/>
              <w:tr2bl w:val="nil"/>
            </w:tcBorders>
            <w:vAlign w:val="center"/>
          </w:tcPr>
          <w:p>
            <w:pPr>
              <w:pStyle w:val="28"/>
              <w:widowControl w:val="0"/>
              <w:rPr>
                <w:b/>
                <w:bCs/>
                <w:color w:val="auto"/>
                <w:highlight w:val="none"/>
              </w:rPr>
            </w:pPr>
            <w:r>
              <w:rPr>
                <w:b/>
                <w:bCs/>
                <w:color w:val="auto"/>
                <w:highlight w:val="none"/>
              </w:rPr>
              <w:t>P1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33" w:type="pct"/>
            <w:vMerge w:val="continue"/>
            <w:tcBorders>
              <w:tl2br w:val="nil"/>
              <w:tr2bl w:val="nil"/>
            </w:tcBorders>
            <w:vAlign w:val="center"/>
          </w:tcPr>
          <w:p>
            <w:pPr>
              <w:pStyle w:val="28"/>
              <w:widowControl w:val="0"/>
              <w:rPr>
                <w:b/>
                <w:bCs/>
                <w:color w:val="auto"/>
                <w:highlight w:val="none"/>
              </w:rPr>
            </w:pPr>
          </w:p>
        </w:tc>
        <w:tc>
          <w:tcPr>
            <w:tcW w:w="1033" w:type="pct"/>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浓度(μg/m³)</w:t>
            </w:r>
          </w:p>
        </w:tc>
        <w:tc>
          <w:tcPr>
            <w:tcW w:w="1033" w:type="pct"/>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占标率(%)</w:t>
            </w:r>
          </w:p>
        </w:tc>
        <w:tc>
          <w:tcPr>
            <w:tcW w:w="987" w:type="pct"/>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S浓度(μg/m³)</w:t>
            </w:r>
          </w:p>
        </w:tc>
        <w:tc>
          <w:tcPr>
            <w:tcW w:w="913" w:type="pct"/>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50.0</w:t>
            </w:r>
          </w:p>
        </w:tc>
        <w:tc>
          <w:tcPr>
            <w:tcW w:w="1988" w:type="dxa"/>
            <w:tcBorders>
              <w:tl2br w:val="nil"/>
              <w:tr2bl w:val="nil"/>
            </w:tcBorders>
            <w:vAlign w:val="center"/>
          </w:tcPr>
          <w:p>
            <w:pPr>
              <w:pStyle w:val="28"/>
              <w:bidi w:val="0"/>
              <w:rPr>
                <w:color w:val="auto"/>
                <w:highlight w:val="none"/>
              </w:rPr>
            </w:pPr>
            <w:r>
              <w:rPr>
                <w:color w:val="auto"/>
                <w:highlight w:val="none"/>
              </w:rPr>
              <w:t>0.3434</w:t>
            </w:r>
          </w:p>
        </w:tc>
        <w:tc>
          <w:tcPr>
            <w:tcW w:w="1988" w:type="dxa"/>
            <w:tcBorders>
              <w:tl2br w:val="nil"/>
              <w:tr2bl w:val="nil"/>
            </w:tcBorders>
            <w:vAlign w:val="center"/>
          </w:tcPr>
          <w:p>
            <w:pPr>
              <w:pStyle w:val="28"/>
              <w:bidi w:val="0"/>
              <w:rPr>
                <w:color w:val="auto"/>
                <w:highlight w:val="none"/>
              </w:rPr>
            </w:pPr>
            <w:r>
              <w:rPr>
                <w:color w:val="auto"/>
                <w:highlight w:val="none"/>
              </w:rPr>
              <w:t>0.1717</w:t>
            </w:r>
          </w:p>
        </w:tc>
        <w:tc>
          <w:tcPr>
            <w:tcW w:w="1899" w:type="dxa"/>
            <w:tcBorders>
              <w:tl2br w:val="nil"/>
              <w:tr2bl w:val="nil"/>
            </w:tcBorders>
            <w:vAlign w:val="center"/>
          </w:tcPr>
          <w:p>
            <w:pPr>
              <w:pStyle w:val="28"/>
              <w:bidi w:val="0"/>
              <w:rPr>
                <w:color w:val="auto"/>
                <w:highlight w:val="none"/>
              </w:rPr>
            </w:pPr>
            <w:r>
              <w:rPr>
                <w:color w:val="auto"/>
                <w:highlight w:val="none"/>
              </w:rPr>
              <w:t>0.0343</w:t>
            </w:r>
          </w:p>
        </w:tc>
        <w:tc>
          <w:tcPr>
            <w:tcW w:w="1757" w:type="dxa"/>
            <w:tcBorders>
              <w:tl2br w:val="nil"/>
              <w:tr2bl w:val="nil"/>
            </w:tcBorders>
            <w:vAlign w:val="center"/>
          </w:tcPr>
          <w:p>
            <w:pPr>
              <w:pStyle w:val="28"/>
              <w:bidi w:val="0"/>
              <w:rPr>
                <w:color w:val="auto"/>
                <w:highlight w:val="none"/>
              </w:rPr>
            </w:pPr>
            <w:r>
              <w:rPr>
                <w:color w:val="auto"/>
                <w:highlight w:val="none"/>
              </w:rPr>
              <w:t>0.3434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100.0</w:t>
            </w:r>
          </w:p>
        </w:tc>
        <w:tc>
          <w:tcPr>
            <w:tcW w:w="1988" w:type="dxa"/>
            <w:tcBorders>
              <w:tl2br w:val="nil"/>
              <w:tr2bl w:val="nil"/>
            </w:tcBorders>
            <w:vAlign w:val="center"/>
          </w:tcPr>
          <w:p>
            <w:pPr>
              <w:pStyle w:val="28"/>
              <w:bidi w:val="0"/>
              <w:rPr>
                <w:color w:val="auto"/>
                <w:highlight w:val="none"/>
              </w:rPr>
            </w:pPr>
            <w:r>
              <w:rPr>
                <w:color w:val="auto"/>
                <w:highlight w:val="none"/>
              </w:rPr>
              <w:t>0.6246</w:t>
            </w:r>
          </w:p>
        </w:tc>
        <w:tc>
          <w:tcPr>
            <w:tcW w:w="1988" w:type="dxa"/>
            <w:tcBorders>
              <w:tl2br w:val="nil"/>
              <w:tr2bl w:val="nil"/>
            </w:tcBorders>
            <w:vAlign w:val="center"/>
          </w:tcPr>
          <w:p>
            <w:pPr>
              <w:pStyle w:val="28"/>
              <w:bidi w:val="0"/>
              <w:rPr>
                <w:color w:val="auto"/>
                <w:highlight w:val="none"/>
              </w:rPr>
            </w:pPr>
            <w:r>
              <w:rPr>
                <w:color w:val="auto"/>
                <w:highlight w:val="none"/>
              </w:rPr>
              <w:t>0.3123</w:t>
            </w:r>
          </w:p>
        </w:tc>
        <w:tc>
          <w:tcPr>
            <w:tcW w:w="1899" w:type="dxa"/>
            <w:tcBorders>
              <w:tl2br w:val="nil"/>
              <w:tr2bl w:val="nil"/>
            </w:tcBorders>
            <w:vAlign w:val="center"/>
          </w:tcPr>
          <w:p>
            <w:pPr>
              <w:pStyle w:val="28"/>
              <w:bidi w:val="0"/>
              <w:rPr>
                <w:color w:val="auto"/>
                <w:highlight w:val="none"/>
              </w:rPr>
            </w:pPr>
            <w:r>
              <w:rPr>
                <w:color w:val="auto"/>
                <w:highlight w:val="none"/>
              </w:rPr>
              <w:t>0.0625</w:t>
            </w:r>
          </w:p>
        </w:tc>
        <w:tc>
          <w:tcPr>
            <w:tcW w:w="1757" w:type="dxa"/>
            <w:tcBorders>
              <w:tl2br w:val="nil"/>
              <w:tr2bl w:val="nil"/>
            </w:tcBorders>
            <w:vAlign w:val="center"/>
          </w:tcPr>
          <w:p>
            <w:pPr>
              <w:pStyle w:val="28"/>
              <w:bidi w:val="0"/>
              <w:rPr>
                <w:color w:val="auto"/>
                <w:highlight w:val="none"/>
              </w:rPr>
            </w:pPr>
            <w:r>
              <w:rPr>
                <w:color w:val="auto"/>
                <w:highlight w:val="none"/>
              </w:rPr>
              <w:t>0.6246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200.0</w:t>
            </w:r>
          </w:p>
        </w:tc>
        <w:tc>
          <w:tcPr>
            <w:tcW w:w="1988" w:type="dxa"/>
            <w:tcBorders>
              <w:tl2br w:val="nil"/>
              <w:tr2bl w:val="nil"/>
            </w:tcBorders>
            <w:vAlign w:val="center"/>
          </w:tcPr>
          <w:p>
            <w:pPr>
              <w:pStyle w:val="28"/>
              <w:bidi w:val="0"/>
              <w:rPr>
                <w:color w:val="auto"/>
                <w:highlight w:val="none"/>
              </w:rPr>
            </w:pPr>
            <w:r>
              <w:rPr>
                <w:color w:val="auto"/>
                <w:highlight w:val="none"/>
              </w:rPr>
              <w:t>0.9941</w:t>
            </w:r>
          </w:p>
        </w:tc>
        <w:tc>
          <w:tcPr>
            <w:tcW w:w="1988" w:type="dxa"/>
            <w:tcBorders>
              <w:tl2br w:val="nil"/>
              <w:tr2bl w:val="nil"/>
            </w:tcBorders>
            <w:vAlign w:val="center"/>
          </w:tcPr>
          <w:p>
            <w:pPr>
              <w:pStyle w:val="28"/>
              <w:bidi w:val="0"/>
              <w:rPr>
                <w:color w:val="auto"/>
                <w:highlight w:val="none"/>
              </w:rPr>
            </w:pPr>
            <w:r>
              <w:rPr>
                <w:color w:val="auto"/>
                <w:highlight w:val="none"/>
              </w:rPr>
              <w:t>0.4971</w:t>
            </w:r>
          </w:p>
        </w:tc>
        <w:tc>
          <w:tcPr>
            <w:tcW w:w="1899" w:type="dxa"/>
            <w:tcBorders>
              <w:tl2br w:val="nil"/>
              <w:tr2bl w:val="nil"/>
            </w:tcBorders>
            <w:vAlign w:val="center"/>
          </w:tcPr>
          <w:p>
            <w:pPr>
              <w:pStyle w:val="28"/>
              <w:bidi w:val="0"/>
              <w:rPr>
                <w:color w:val="auto"/>
                <w:highlight w:val="none"/>
              </w:rPr>
            </w:pPr>
            <w:r>
              <w:rPr>
                <w:color w:val="auto"/>
                <w:highlight w:val="none"/>
              </w:rPr>
              <w:t>0.0994</w:t>
            </w:r>
          </w:p>
        </w:tc>
        <w:tc>
          <w:tcPr>
            <w:tcW w:w="1757" w:type="dxa"/>
            <w:tcBorders>
              <w:tl2br w:val="nil"/>
              <w:tr2bl w:val="nil"/>
            </w:tcBorders>
            <w:vAlign w:val="center"/>
          </w:tcPr>
          <w:p>
            <w:pPr>
              <w:pStyle w:val="28"/>
              <w:bidi w:val="0"/>
              <w:rPr>
                <w:color w:val="auto"/>
                <w:highlight w:val="none"/>
              </w:rPr>
            </w:pPr>
            <w:r>
              <w:rPr>
                <w:color w:val="auto"/>
                <w:highlight w:val="none"/>
              </w:rPr>
              <w:t>0.9941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300.0</w:t>
            </w:r>
          </w:p>
        </w:tc>
        <w:tc>
          <w:tcPr>
            <w:tcW w:w="1988" w:type="dxa"/>
            <w:tcBorders>
              <w:tl2br w:val="nil"/>
              <w:tr2bl w:val="nil"/>
            </w:tcBorders>
            <w:vAlign w:val="center"/>
          </w:tcPr>
          <w:p>
            <w:pPr>
              <w:pStyle w:val="28"/>
              <w:bidi w:val="0"/>
              <w:rPr>
                <w:color w:val="auto"/>
                <w:highlight w:val="none"/>
              </w:rPr>
            </w:pPr>
            <w:r>
              <w:rPr>
                <w:color w:val="auto"/>
                <w:highlight w:val="none"/>
              </w:rPr>
              <w:t>0.5530</w:t>
            </w:r>
          </w:p>
        </w:tc>
        <w:tc>
          <w:tcPr>
            <w:tcW w:w="1988" w:type="dxa"/>
            <w:tcBorders>
              <w:tl2br w:val="nil"/>
              <w:tr2bl w:val="nil"/>
            </w:tcBorders>
            <w:vAlign w:val="center"/>
          </w:tcPr>
          <w:p>
            <w:pPr>
              <w:pStyle w:val="28"/>
              <w:bidi w:val="0"/>
              <w:rPr>
                <w:color w:val="auto"/>
                <w:highlight w:val="none"/>
              </w:rPr>
            </w:pPr>
            <w:r>
              <w:rPr>
                <w:color w:val="auto"/>
                <w:highlight w:val="none"/>
              </w:rPr>
              <w:t>0.2765</w:t>
            </w:r>
          </w:p>
        </w:tc>
        <w:tc>
          <w:tcPr>
            <w:tcW w:w="1899" w:type="dxa"/>
            <w:tcBorders>
              <w:tl2br w:val="nil"/>
              <w:tr2bl w:val="nil"/>
            </w:tcBorders>
            <w:vAlign w:val="center"/>
          </w:tcPr>
          <w:p>
            <w:pPr>
              <w:pStyle w:val="28"/>
              <w:bidi w:val="0"/>
              <w:rPr>
                <w:color w:val="auto"/>
                <w:highlight w:val="none"/>
              </w:rPr>
            </w:pPr>
            <w:r>
              <w:rPr>
                <w:color w:val="auto"/>
                <w:highlight w:val="none"/>
              </w:rPr>
              <w:t>0.0553</w:t>
            </w:r>
          </w:p>
        </w:tc>
        <w:tc>
          <w:tcPr>
            <w:tcW w:w="1757" w:type="dxa"/>
            <w:tcBorders>
              <w:tl2br w:val="nil"/>
              <w:tr2bl w:val="nil"/>
            </w:tcBorders>
            <w:vAlign w:val="center"/>
          </w:tcPr>
          <w:p>
            <w:pPr>
              <w:pStyle w:val="28"/>
              <w:bidi w:val="0"/>
              <w:rPr>
                <w:color w:val="auto"/>
                <w:highlight w:val="none"/>
              </w:rPr>
            </w:pPr>
            <w:r>
              <w:rPr>
                <w:color w:val="auto"/>
                <w:highlight w:val="none"/>
              </w:rPr>
              <w:t>0.5530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400.0</w:t>
            </w:r>
          </w:p>
        </w:tc>
        <w:tc>
          <w:tcPr>
            <w:tcW w:w="1988" w:type="dxa"/>
            <w:tcBorders>
              <w:tl2br w:val="nil"/>
              <w:tr2bl w:val="nil"/>
            </w:tcBorders>
            <w:vAlign w:val="center"/>
          </w:tcPr>
          <w:p>
            <w:pPr>
              <w:pStyle w:val="28"/>
              <w:bidi w:val="0"/>
              <w:rPr>
                <w:color w:val="auto"/>
                <w:highlight w:val="none"/>
              </w:rPr>
            </w:pPr>
            <w:r>
              <w:rPr>
                <w:color w:val="auto"/>
                <w:highlight w:val="none"/>
              </w:rPr>
              <w:t>0.3922</w:t>
            </w:r>
          </w:p>
        </w:tc>
        <w:tc>
          <w:tcPr>
            <w:tcW w:w="1988" w:type="dxa"/>
            <w:tcBorders>
              <w:tl2br w:val="nil"/>
              <w:tr2bl w:val="nil"/>
            </w:tcBorders>
            <w:vAlign w:val="center"/>
          </w:tcPr>
          <w:p>
            <w:pPr>
              <w:pStyle w:val="28"/>
              <w:bidi w:val="0"/>
              <w:rPr>
                <w:color w:val="auto"/>
                <w:highlight w:val="none"/>
              </w:rPr>
            </w:pPr>
            <w:r>
              <w:rPr>
                <w:color w:val="auto"/>
                <w:highlight w:val="none"/>
              </w:rPr>
              <w:t>0.1961</w:t>
            </w:r>
          </w:p>
        </w:tc>
        <w:tc>
          <w:tcPr>
            <w:tcW w:w="1899" w:type="dxa"/>
            <w:tcBorders>
              <w:tl2br w:val="nil"/>
              <w:tr2bl w:val="nil"/>
            </w:tcBorders>
            <w:vAlign w:val="center"/>
          </w:tcPr>
          <w:p>
            <w:pPr>
              <w:pStyle w:val="28"/>
              <w:bidi w:val="0"/>
              <w:rPr>
                <w:color w:val="auto"/>
                <w:highlight w:val="none"/>
              </w:rPr>
            </w:pPr>
            <w:r>
              <w:rPr>
                <w:color w:val="auto"/>
                <w:highlight w:val="none"/>
              </w:rPr>
              <w:t>0.0392</w:t>
            </w:r>
          </w:p>
        </w:tc>
        <w:tc>
          <w:tcPr>
            <w:tcW w:w="1757" w:type="dxa"/>
            <w:tcBorders>
              <w:tl2br w:val="nil"/>
              <w:tr2bl w:val="nil"/>
            </w:tcBorders>
            <w:vAlign w:val="center"/>
          </w:tcPr>
          <w:p>
            <w:pPr>
              <w:pStyle w:val="28"/>
              <w:bidi w:val="0"/>
              <w:rPr>
                <w:color w:val="auto"/>
                <w:highlight w:val="none"/>
              </w:rPr>
            </w:pPr>
            <w:r>
              <w:rPr>
                <w:color w:val="auto"/>
                <w:highlight w:val="none"/>
              </w:rPr>
              <w:t>0.3922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500.0</w:t>
            </w:r>
          </w:p>
        </w:tc>
        <w:tc>
          <w:tcPr>
            <w:tcW w:w="1988" w:type="dxa"/>
            <w:tcBorders>
              <w:tl2br w:val="nil"/>
              <w:tr2bl w:val="nil"/>
            </w:tcBorders>
            <w:vAlign w:val="center"/>
          </w:tcPr>
          <w:p>
            <w:pPr>
              <w:pStyle w:val="28"/>
              <w:bidi w:val="0"/>
              <w:rPr>
                <w:color w:val="auto"/>
                <w:highlight w:val="none"/>
              </w:rPr>
            </w:pPr>
            <w:r>
              <w:rPr>
                <w:color w:val="auto"/>
                <w:highlight w:val="none"/>
              </w:rPr>
              <w:t>0.3033</w:t>
            </w:r>
          </w:p>
        </w:tc>
        <w:tc>
          <w:tcPr>
            <w:tcW w:w="1988" w:type="dxa"/>
            <w:tcBorders>
              <w:tl2br w:val="nil"/>
              <w:tr2bl w:val="nil"/>
            </w:tcBorders>
            <w:vAlign w:val="center"/>
          </w:tcPr>
          <w:p>
            <w:pPr>
              <w:pStyle w:val="28"/>
              <w:bidi w:val="0"/>
              <w:rPr>
                <w:color w:val="auto"/>
                <w:highlight w:val="none"/>
              </w:rPr>
            </w:pPr>
            <w:r>
              <w:rPr>
                <w:color w:val="auto"/>
                <w:highlight w:val="none"/>
              </w:rPr>
              <w:t>0.1517</w:t>
            </w:r>
          </w:p>
        </w:tc>
        <w:tc>
          <w:tcPr>
            <w:tcW w:w="1899" w:type="dxa"/>
            <w:tcBorders>
              <w:tl2br w:val="nil"/>
              <w:tr2bl w:val="nil"/>
            </w:tcBorders>
            <w:vAlign w:val="center"/>
          </w:tcPr>
          <w:p>
            <w:pPr>
              <w:pStyle w:val="28"/>
              <w:bidi w:val="0"/>
              <w:rPr>
                <w:color w:val="auto"/>
                <w:highlight w:val="none"/>
              </w:rPr>
            </w:pPr>
            <w:r>
              <w:rPr>
                <w:color w:val="auto"/>
                <w:highlight w:val="none"/>
              </w:rPr>
              <w:t>0.0303</w:t>
            </w:r>
          </w:p>
        </w:tc>
        <w:tc>
          <w:tcPr>
            <w:tcW w:w="1757" w:type="dxa"/>
            <w:tcBorders>
              <w:tl2br w:val="nil"/>
              <w:tr2bl w:val="nil"/>
            </w:tcBorders>
            <w:vAlign w:val="center"/>
          </w:tcPr>
          <w:p>
            <w:pPr>
              <w:pStyle w:val="28"/>
              <w:bidi w:val="0"/>
              <w:rPr>
                <w:color w:val="auto"/>
                <w:highlight w:val="none"/>
              </w:rPr>
            </w:pPr>
            <w:r>
              <w:rPr>
                <w:color w:val="auto"/>
                <w:highlight w:val="none"/>
              </w:rPr>
              <w:t>0.3033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600.0</w:t>
            </w:r>
          </w:p>
        </w:tc>
        <w:tc>
          <w:tcPr>
            <w:tcW w:w="1988" w:type="dxa"/>
            <w:tcBorders>
              <w:tl2br w:val="nil"/>
              <w:tr2bl w:val="nil"/>
            </w:tcBorders>
            <w:vAlign w:val="center"/>
          </w:tcPr>
          <w:p>
            <w:pPr>
              <w:pStyle w:val="28"/>
              <w:bidi w:val="0"/>
              <w:rPr>
                <w:color w:val="auto"/>
                <w:highlight w:val="none"/>
              </w:rPr>
            </w:pPr>
            <w:r>
              <w:rPr>
                <w:color w:val="auto"/>
                <w:highlight w:val="none"/>
              </w:rPr>
              <w:t>0.2472</w:t>
            </w:r>
          </w:p>
        </w:tc>
        <w:tc>
          <w:tcPr>
            <w:tcW w:w="1988" w:type="dxa"/>
            <w:tcBorders>
              <w:tl2br w:val="nil"/>
              <w:tr2bl w:val="nil"/>
            </w:tcBorders>
            <w:vAlign w:val="center"/>
          </w:tcPr>
          <w:p>
            <w:pPr>
              <w:pStyle w:val="28"/>
              <w:bidi w:val="0"/>
              <w:rPr>
                <w:color w:val="auto"/>
                <w:highlight w:val="none"/>
              </w:rPr>
            </w:pPr>
            <w:r>
              <w:rPr>
                <w:color w:val="auto"/>
                <w:highlight w:val="none"/>
              </w:rPr>
              <w:t>0.1236</w:t>
            </w:r>
          </w:p>
        </w:tc>
        <w:tc>
          <w:tcPr>
            <w:tcW w:w="1899" w:type="dxa"/>
            <w:tcBorders>
              <w:tl2br w:val="nil"/>
              <w:tr2bl w:val="nil"/>
            </w:tcBorders>
            <w:vAlign w:val="center"/>
          </w:tcPr>
          <w:p>
            <w:pPr>
              <w:pStyle w:val="28"/>
              <w:bidi w:val="0"/>
              <w:rPr>
                <w:color w:val="auto"/>
                <w:highlight w:val="none"/>
              </w:rPr>
            </w:pPr>
            <w:r>
              <w:rPr>
                <w:color w:val="auto"/>
                <w:highlight w:val="none"/>
              </w:rPr>
              <w:t>0.0247</w:t>
            </w:r>
          </w:p>
        </w:tc>
        <w:tc>
          <w:tcPr>
            <w:tcW w:w="1757" w:type="dxa"/>
            <w:tcBorders>
              <w:tl2br w:val="nil"/>
              <w:tr2bl w:val="nil"/>
            </w:tcBorders>
            <w:vAlign w:val="center"/>
          </w:tcPr>
          <w:p>
            <w:pPr>
              <w:pStyle w:val="28"/>
              <w:bidi w:val="0"/>
              <w:rPr>
                <w:color w:val="auto"/>
                <w:highlight w:val="none"/>
              </w:rPr>
            </w:pPr>
            <w:r>
              <w:rPr>
                <w:color w:val="auto"/>
                <w:highlight w:val="none"/>
              </w:rPr>
              <w:t>0.2472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700.0</w:t>
            </w:r>
          </w:p>
        </w:tc>
        <w:tc>
          <w:tcPr>
            <w:tcW w:w="1988" w:type="dxa"/>
            <w:tcBorders>
              <w:tl2br w:val="nil"/>
              <w:tr2bl w:val="nil"/>
            </w:tcBorders>
            <w:vAlign w:val="center"/>
          </w:tcPr>
          <w:p>
            <w:pPr>
              <w:pStyle w:val="28"/>
              <w:bidi w:val="0"/>
              <w:rPr>
                <w:color w:val="auto"/>
                <w:highlight w:val="none"/>
              </w:rPr>
            </w:pPr>
            <w:r>
              <w:rPr>
                <w:color w:val="auto"/>
                <w:highlight w:val="none"/>
              </w:rPr>
              <w:t>0.2092</w:t>
            </w:r>
          </w:p>
        </w:tc>
        <w:tc>
          <w:tcPr>
            <w:tcW w:w="1988" w:type="dxa"/>
            <w:tcBorders>
              <w:tl2br w:val="nil"/>
              <w:tr2bl w:val="nil"/>
            </w:tcBorders>
            <w:vAlign w:val="center"/>
          </w:tcPr>
          <w:p>
            <w:pPr>
              <w:pStyle w:val="28"/>
              <w:bidi w:val="0"/>
              <w:rPr>
                <w:color w:val="auto"/>
                <w:highlight w:val="none"/>
              </w:rPr>
            </w:pPr>
            <w:r>
              <w:rPr>
                <w:color w:val="auto"/>
                <w:highlight w:val="none"/>
              </w:rPr>
              <w:t>0.1046</w:t>
            </w:r>
          </w:p>
        </w:tc>
        <w:tc>
          <w:tcPr>
            <w:tcW w:w="1899" w:type="dxa"/>
            <w:tcBorders>
              <w:tl2br w:val="nil"/>
              <w:tr2bl w:val="nil"/>
            </w:tcBorders>
            <w:vAlign w:val="center"/>
          </w:tcPr>
          <w:p>
            <w:pPr>
              <w:pStyle w:val="28"/>
              <w:bidi w:val="0"/>
              <w:rPr>
                <w:color w:val="auto"/>
                <w:highlight w:val="none"/>
              </w:rPr>
            </w:pPr>
            <w:r>
              <w:rPr>
                <w:color w:val="auto"/>
                <w:highlight w:val="none"/>
              </w:rPr>
              <w:t>0.0209</w:t>
            </w:r>
          </w:p>
        </w:tc>
        <w:tc>
          <w:tcPr>
            <w:tcW w:w="1757" w:type="dxa"/>
            <w:tcBorders>
              <w:tl2br w:val="nil"/>
              <w:tr2bl w:val="nil"/>
            </w:tcBorders>
            <w:vAlign w:val="center"/>
          </w:tcPr>
          <w:p>
            <w:pPr>
              <w:pStyle w:val="28"/>
              <w:bidi w:val="0"/>
              <w:rPr>
                <w:color w:val="auto"/>
                <w:highlight w:val="none"/>
              </w:rPr>
            </w:pPr>
            <w:r>
              <w:rPr>
                <w:color w:val="auto"/>
                <w:highlight w:val="none"/>
              </w:rPr>
              <w:t>0.2092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800.0</w:t>
            </w:r>
          </w:p>
        </w:tc>
        <w:tc>
          <w:tcPr>
            <w:tcW w:w="1988" w:type="dxa"/>
            <w:tcBorders>
              <w:tl2br w:val="nil"/>
              <w:tr2bl w:val="nil"/>
            </w:tcBorders>
            <w:vAlign w:val="center"/>
          </w:tcPr>
          <w:p>
            <w:pPr>
              <w:pStyle w:val="28"/>
              <w:bidi w:val="0"/>
              <w:rPr>
                <w:color w:val="auto"/>
                <w:highlight w:val="none"/>
              </w:rPr>
            </w:pPr>
            <w:r>
              <w:rPr>
                <w:color w:val="auto"/>
                <w:highlight w:val="none"/>
              </w:rPr>
              <w:t>0.1836</w:t>
            </w:r>
          </w:p>
        </w:tc>
        <w:tc>
          <w:tcPr>
            <w:tcW w:w="1988" w:type="dxa"/>
            <w:tcBorders>
              <w:tl2br w:val="nil"/>
              <w:tr2bl w:val="nil"/>
            </w:tcBorders>
            <w:vAlign w:val="center"/>
          </w:tcPr>
          <w:p>
            <w:pPr>
              <w:pStyle w:val="28"/>
              <w:bidi w:val="0"/>
              <w:rPr>
                <w:color w:val="auto"/>
                <w:highlight w:val="none"/>
              </w:rPr>
            </w:pPr>
            <w:r>
              <w:rPr>
                <w:color w:val="auto"/>
                <w:highlight w:val="none"/>
              </w:rPr>
              <w:t>0.0918</w:t>
            </w:r>
          </w:p>
        </w:tc>
        <w:tc>
          <w:tcPr>
            <w:tcW w:w="1899" w:type="dxa"/>
            <w:tcBorders>
              <w:tl2br w:val="nil"/>
              <w:tr2bl w:val="nil"/>
            </w:tcBorders>
            <w:vAlign w:val="center"/>
          </w:tcPr>
          <w:p>
            <w:pPr>
              <w:pStyle w:val="28"/>
              <w:bidi w:val="0"/>
              <w:rPr>
                <w:color w:val="auto"/>
                <w:highlight w:val="none"/>
              </w:rPr>
            </w:pPr>
            <w:r>
              <w:rPr>
                <w:color w:val="auto"/>
                <w:highlight w:val="none"/>
              </w:rPr>
              <w:t>0.0184</w:t>
            </w:r>
          </w:p>
        </w:tc>
        <w:tc>
          <w:tcPr>
            <w:tcW w:w="1757" w:type="dxa"/>
            <w:tcBorders>
              <w:tl2br w:val="nil"/>
              <w:tr2bl w:val="nil"/>
            </w:tcBorders>
            <w:vAlign w:val="center"/>
          </w:tcPr>
          <w:p>
            <w:pPr>
              <w:pStyle w:val="28"/>
              <w:bidi w:val="0"/>
              <w:rPr>
                <w:color w:val="auto"/>
                <w:highlight w:val="none"/>
              </w:rPr>
            </w:pPr>
            <w:r>
              <w:rPr>
                <w:color w:val="auto"/>
                <w:highlight w:val="none"/>
              </w:rPr>
              <w:t>0.1836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900.0</w:t>
            </w:r>
          </w:p>
        </w:tc>
        <w:tc>
          <w:tcPr>
            <w:tcW w:w="1988" w:type="dxa"/>
            <w:tcBorders>
              <w:tl2br w:val="nil"/>
              <w:tr2bl w:val="nil"/>
            </w:tcBorders>
            <w:vAlign w:val="center"/>
          </w:tcPr>
          <w:p>
            <w:pPr>
              <w:pStyle w:val="28"/>
              <w:bidi w:val="0"/>
              <w:rPr>
                <w:color w:val="auto"/>
                <w:highlight w:val="none"/>
              </w:rPr>
            </w:pPr>
            <w:r>
              <w:rPr>
                <w:color w:val="auto"/>
                <w:highlight w:val="none"/>
              </w:rPr>
              <w:t>0.1642</w:t>
            </w:r>
          </w:p>
        </w:tc>
        <w:tc>
          <w:tcPr>
            <w:tcW w:w="1988" w:type="dxa"/>
            <w:tcBorders>
              <w:tl2br w:val="nil"/>
              <w:tr2bl w:val="nil"/>
            </w:tcBorders>
            <w:vAlign w:val="center"/>
          </w:tcPr>
          <w:p>
            <w:pPr>
              <w:pStyle w:val="28"/>
              <w:bidi w:val="0"/>
              <w:rPr>
                <w:color w:val="auto"/>
                <w:highlight w:val="none"/>
              </w:rPr>
            </w:pPr>
            <w:r>
              <w:rPr>
                <w:color w:val="auto"/>
                <w:highlight w:val="none"/>
              </w:rPr>
              <w:t>0.0821</w:t>
            </w:r>
          </w:p>
        </w:tc>
        <w:tc>
          <w:tcPr>
            <w:tcW w:w="1899" w:type="dxa"/>
            <w:tcBorders>
              <w:tl2br w:val="nil"/>
              <w:tr2bl w:val="nil"/>
            </w:tcBorders>
            <w:vAlign w:val="center"/>
          </w:tcPr>
          <w:p>
            <w:pPr>
              <w:pStyle w:val="28"/>
              <w:bidi w:val="0"/>
              <w:rPr>
                <w:color w:val="auto"/>
                <w:highlight w:val="none"/>
              </w:rPr>
            </w:pPr>
            <w:r>
              <w:rPr>
                <w:color w:val="auto"/>
                <w:highlight w:val="none"/>
              </w:rPr>
              <w:t>0.0164</w:t>
            </w:r>
          </w:p>
        </w:tc>
        <w:tc>
          <w:tcPr>
            <w:tcW w:w="1757" w:type="dxa"/>
            <w:tcBorders>
              <w:tl2br w:val="nil"/>
              <w:tr2bl w:val="nil"/>
            </w:tcBorders>
            <w:vAlign w:val="center"/>
          </w:tcPr>
          <w:p>
            <w:pPr>
              <w:pStyle w:val="28"/>
              <w:bidi w:val="0"/>
              <w:rPr>
                <w:color w:val="auto"/>
                <w:highlight w:val="none"/>
              </w:rPr>
            </w:pPr>
            <w:r>
              <w:rPr>
                <w:color w:val="auto"/>
                <w:highlight w:val="none"/>
              </w:rPr>
              <w:t>0.1642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1000.0</w:t>
            </w:r>
          </w:p>
        </w:tc>
        <w:tc>
          <w:tcPr>
            <w:tcW w:w="1988" w:type="dxa"/>
            <w:tcBorders>
              <w:tl2br w:val="nil"/>
              <w:tr2bl w:val="nil"/>
            </w:tcBorders>
            <w:vAlign w:val="center"/>
          </w:tcPr>
          <w:p>
            <w:pPr>
              <w:pStyle w:val="28"/>
              <w:bidi w:val="0"/>
              <w:rPr>
                <w:color w:val="auto"/>
                <w:highlight w:val="none"/>
              </w:rPr>
            </w:pPr>
            <w:r>
              <w:rPr>
                <w:color w:val="auto"/>
                <w:highlight w:val="none"/>
              </w:rPr>
              <w:t>0.1439</w:t>
            </w:r>
          </w:p>
        </w:tc>
        <w:tc>
          <w:tcPr>
            <w:tcW w:w="1988" w:type="dxa"/>
            <w:tcBorders>
              <w:tl2br w:val="nil"/>
              <w:tr2bl w:val="nil"/>
            </w:tcBorders>
            <w:vAlign w:val="center"/>
          </w:tcPr>
          <w:p>
            <w:pPr>
              <w:pStyle w:val="28"/>
              <w:bidi w:val="0"/>
              <w:rPr>
                <w:color w:val="auto"/>
                <w:highlight w:val="none"/>
              </w:rPr>
            </w:pPr>
            <w:r>
              <w:rPr>
                <w:color w:val="auto"/>
                <w:highlight w:val="none"/>
              </w:rPr>
              <w:t>0.0720</w:t>
            </w:r>
          </w:p>
        </w:tc>
        <w:tc>
          <w:tcPr>
            <w:tcW w:w="1899" w:type="dxa"/>
            <w:tcBorders>
              <w:tl2br w:val="nil"/>
              <w:tr2bl w:val="nil"/>
            </w:tcBorders>
            <w:vAlign w:val="center"/>
          </w:tcPr>
          <w:p>
            <w:pPr>
              <w:pStyle w:val="28"/>
              <w:bidi w:val="0"/>
              <w:rPr>
                <w:color w:val="auto"/>
                <w:highlight w:val="none"/>
              </w:rPr>
            </w:pPr>
            <w:r>
              <w:rPr>
                <w:color w:val="auto"/>
                <w:highlight w:val="none"/>
              </w:rPr>
              <w:t>0.0144</w:t>
            </w:r>
          </w:p>
        </w:tc>
        <w:tc>
          <w:tcPr>
            <w:tcW w:w="1757" w:type="dxa"/>
            <w:tcBorders>
              <w:tl2br w:val="nil"/>
              <w:tr2bl w:val="nil"/>
            </w:tcBorders>
            <w:vAlign w:val="center"/>
          </w:tcPr>
          <w:p>
            <w:pPr>
              <w:pStyle w:val="28"/>
              <w:bidi w:val="0"/>
              <w:rPr>
                <w:color w:val="auto"/>
                <w:highlight w:val="none"/>
              </w:rPr>
            </w:pPr>
            <w:r>
              <w:rPr>
                <w:color w:val="auto"/>
                <w:highlight w:val="none"/>
              </w:rPr>
              <w:t>0.1439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1200.0</w:t>
            </w:r>
          </w:p>
        </w:tc>
        <w:tc>
          <w:tcPr>
            <w:tcW w:w="1988" w:type="dxa"/>
            <w:tcBorders>
              <w:tl2br w:val="nil"/>
              <w:tr2bl w:val="nil"/>
            </w:tcBorders>
            <w:vAlign w:val="center"/>
          </w:tcPr>
          <w:p>
            <w:pPr>
              <w:pStyle w:val="28"/>
              <w:bidi w:val="0"/>
              <w:rPr>
                <w:color w:val="auto"/>
                <w:highlight w:val="none"/>
              </w:rPr>
            </w:pPr>
            <w:r>
              <w:rPr>
                <w:color w:val="auto"/>
                <w:highlight w:val="none"/>
              </w:rPr>
              <w:t>0.1259</w:t>
            </w:r>
          </w:p>
        </w:tc>
        <w:tc>
          <w:tcPr>
            <w:tcW w:w="1988" w:type="dxa"/>
            <w:tcBorders>
              <w:tl2br w:val="nil"/>
              <w:tr2bl w:val="nil"/>
            </w:tcBorders>
            <w:vAlign w:val="center"/>
          </w:tcPr>
          <w:p>
            <w:pPr>
              <w:pStyle w:val="28"/>
              <w:bidi w:val="0"/>
              <w:rPr>
                <w:color w:val="auto"/>
                <w:highlight w:val="none"/>
              </w:rPr>
            </w:pPr>
            <w:r>
              <w:rPr>
                <w:color w:val="auto"/>
                <w:highlight w:val="none"/>
              </w:rPr>
              <w:t>0.0630</w:t>
            </w:r>
          </w:p>
        </w:tc>
        <w:tc>
          <w:tcPr>
            <w:tcW w:w="1899" w:type="dxa"/>
            <w:tcBorders>
              <w:tl2br w:val="nil"/>
              <w:tr2bl w:val="nil"/>
            </w:tcBorders>
            <w:vAlign w:val="center"/>
          </w:tcPr>
          <w:p>
            <w:pPr>
              <w:pStyle w:val="28"/>
              <w:bidi w:val="0"/>
              <w:rPr>
                <w:color w:val="auto"/>
                <w:highlight w:val="none"/>
              </w:rPr>
            </w:pPr>
            <w:r>
              <w:rPr>
                <w:color w:val="auto"/>
                <w:highlight w:val="none"/>
              </w:rPr>
              <w:t>0.0126</w:t>
            </w:r>
          </w:p>
        </w:tc>
        <w:tc>
          <w:tcPr>
            <w:tcW w:w="1757" w:type="dxa"/>
            <w:tcBorders>
              <w:tl2br w:val="nil"/>
              <w:tr2bl w:val="nil"/>
            </w:tcBorders>
            <w:vAlign w:val="center"/>
          </w:tcPr>
          <w:p>
            <w:pPr>
              <w:pStyle w:val="28"/>
              <w:bidi w:val="0"/>
              <w:rPr>
                <w:color w:val="auto"/>
                <w:highlight w:val="none"/>
              </w:rPr>
            </w:pPr>
            <w:r>
              <w:rPr>
                <w:color w:val="auto"/>
                <w:highlight w:val="none"/>
              </w:rPr>
              <w:t>0.1259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1400.0</w:t>
            </w:r>
          </w:p>
        </w:tc>
        <w:tc>
          <w:tcPr>
            <w:tcW w:w="1988" w:type="dxa"/>
            <w:tcBorders>
              <w:tl2br w:val="nil"/>
              <w:tr2bl w:val="nil"/>
            </w:tcBorders>
            <w:vAlign w:val="center"/>
          </w:tcPr>
          <w:p>
            <w:pPr>
              <w:pStyle w:val="28"/>
              <w:bidi w:val="0"/>
              <w:rPr>
                <w:color w:val="auto"/>
                <w:highlight w:val="none"/>
              </w:rPr>
            </w:pPr>
            <w:r>
              <w:rPr>
                <w:color w:val="auto"/>
                <w:highlight w:val="none"/>
              </w:rPr>
              <w:t>0.1072</w:t>
            </w:r>
          </w:p>
        </w:tc>
        <w:tc>
          <w:tcPr>
            <w:tcW w:w="1988" w:type="dxa"/>
            <w:tcBorders>
              <w:tl2br w:val="nil"/>
              <w:tr2bl w:val="nil"/>
            </w:tcBorders>
            <w:vAlign w:val="center"/>
          </w:tcPr>
          <w:p>
            <w:pPr>
              <w:pStyle w:val="28"/>
              <w:bidi w:val="0"/>
              <w:rPr>
                <w:color w:val="auto"/>
                <w:highlight w:val="none"/>
              </w:rPr>
            </w:pPr>
            <w:r>
              <w:rPr>
                <w:color w:val="auto"/>
                <w:highlight w:val="none"/>
              </w:rPr>
              <w:t>0.0536</w:t>
            </w:r>
          </w:p>
        </w:tc>
        <w:tc>
          <w:tcPr>
            <w:tcW w:w="1899" w:type="dxa"/>
            <w:tcBorders>
              <w:tl2br w:val="nil"/>
              <w:tr2bl w:val="nil"/>
            </w:tcBorders>
            <w:vAlign w:val="center"/>
          </w:tcPr>
          <w:p>
            <w:pPr>
              <w:pStyle w:val="28"/>
              <w:bidi w:val="0"/>
              <w:rPr>
                <w:color w:val="auto"/>
                <w:highlight w:val="none"/>
              </w:rPr>
            </w:pPr>
            <w:r>
              <w:rPr>
                <w:color w:val="auto"/>
                <w:highlight w:val="none"/>
              </w:rPr>
              <w:t>0.0107</w:t>
            </w:r>
          </w:p>
        </w:tc>
        <w:tc>
          <w:tcPr>
            <w:tcW w:w="1757" w:type="dxa"/>
            <w:tcBorders>
              <w:tl2br w:val="nil"/>
              <w:tr2bl w:val="nil"/>
            </w:tcBorders>
            <w:vAlign w:val="center"/>
          </w:tcPr>
          <w:p>
            <w:pPr>
              <w:pStyle w:val="28"/>
              <w:bidi w:val="0"/>
              <w:rPr>
                <w:color w:val="auto"/>
                <w:highlight w:val="none"/>
              </w:rPr>
            </w:pPr>
            <w:r>
              <w:rPr>
                <w:color w:val="auto"/>
                <w:highlight w:val="none"/>
              </w:rPr>
              <w:t>0.1072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1600.0</w:t>
            </w:r>
          </w:p>
        </w:tc>
        <w:tc>
          <w:tcPr>
            <w:tcW w:w="1988" w:type="dxa"/>
            <w:tcBorders>
              <w:tl2br w:val="nil"/>
              <w:tr2bl w:val="nil"/>
            </w:tcBorders>
            <w:vAlign w:val="center"/>
          </w:tcPr>
          <w:p>
            <w:pPr>
              <w:pStyle w:val="28"/>
              <w:bidi w:val="0"/>
              <w:rPr>
                <w:color w:val="auto"/>
                <w:highlight w:val="none"/>
              </w:rPr>
            </w:pPr>
            <w:r>
              <w:rPr>
                <w:color w:val="auto"/>
                <w:highlight w:val="none"/>
              </w:rPr>
              <w:t>0.0957</w:t>
            </w:r>
          </w:p>
        </w:tc>
        <w:tc>
          <w:tcPr>
            <w:tcW w:w="1988" w:type="dxa"/>
            <w:tcBorders>
              <w:tl2br w:val="nil"/>
              <w:tr2bl w:val="nil"/>
            </w:tcBorders>
            <w:vAlign w:val="center"/>
          </w:tcPr>
          <w:p>
            <w:pPr>
              <w:pStyle w:val="28"/>
              <w:bidi w:val="0"/>
              <w:rPr>
                <w:color w:val="auto"/>
                <w:highlight w:val="none"/>
              </w:rPr>
            </w:pPr>
            <w:r>
              <w:rPr>
                <w:color w:val="auto"/>
                <w:highlight w:val="none"/>
              </w:rPr>
              <w:t>0.0478</w:t>
            </w:r>
          </w:p>
        </w:tc>
        <w:tc>
          <w:tcPr>
            <w:tcW w:w="1899" w:type="dxa"/>
            <w:tcBorders>
              <w:tl2br w:val="nil"/>
              <w:tr2bl w:val="nil"/>
            </w:tcBorders>
            <w:vAlign w:val="center"/>
          </w:tcPr>
          <w:p>
            <w:pPr>
              <w:pStyle w:val="28"/>
              <w:bidi w:val="0"/>
              <w:rPr>
                <w:color w:val="auto"/>
                <w:highlight w:val="none"/>
              </w:rPr>
            </w:pPr>
            <w:r>
              <w:rPr>
                <w:color w:val="auto"/>
                <w:highlight w:val="none"/>
              </w:rPr>
              <w:t>0.0096</w:t>
            </w:r>
          </w:p>
        </w:tc>
        <w:tc>
          <w:tcPr>
            <w:tcW w:w="1757" w:type="dxa"/>
            <w:tcBorders>
              <w:tl2br w:val="nil"/>
              <w:tr2bl w:val="nil"/>
            </w:tcBorders>
            <w:vAlign w:val="center"/>
          </w:tcPr>
          <w:p>
            <w:pPr>
              <w:pStyle w:val="28"/>
              <w:bidi w:val="0"/>
              <w:rPr>
                <w:color w:val="auto"/>
                <w:highlight w:val="none"/>
              </w:rPr>
            </w:pPr>
            <w:r>
              <w:rPr>
                <w:color w:val="auto"/>
                <w:highlight w:val="none"/>
              </w:rPr>
              <w:t>0.0957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1800.0</w:t>
            </w:r>
          </w:p>
        </w:tc>
        <w:tc>
          <w:tcPr>
            <w:tcW w:w="1988" w:type="dxa"/>
            <w:tcBorders>
              <w:tl2br w:val="nil"/>
              <w:tr2bl w:val="nil"/>
            </w:tcBorders>
            <w:vAlign w:val="center"/>
          </w:tcPr>
          <w:p>
            <w:pPr>
              <w:pStyle w:val="28"/>
              <w:bidi w:val="0"/>
              <w:rPr>
                <w:color w:val="auto"/>
                <w:highlight w:val="none"/>
              </w:rPr>
            </w:pPr>
            <w:r>
              <w:rPr>
                <w:color w:val="auto"/>
                <w:highlight w:val="none"/>
              </w:rPr>
              <w:t>0.0874</w:t>
            </w:r>
          </w:p>
        </w:tc>
        <w:tc>
          <w:tcPr>
            <w:tcW w:w="1988" w:type="dxa"/>
            <w:tcBorders>
              <w:tl2br w:val="nil"/>
              <w:tr2bl w:val="nil"/>
            </w:tcBorders>
            <w:vAlign w:val="center"/>
          </w:tcPr>
          <w:p>
            <w:pPr>
              <w:pStyle w:val="28"/>
              <w:bidi w:val="0"/>
              <w:rPr>
                <w:color w:val="auto"/>
                <w:highlight w:val="none"/>
              </w:rPr>
            </w:pPr>
            <w:r>
              <w:rPr>
                <w:color w:val="auto"/>
                <w:highlight w:val="none"/>
              </w:rPr>
              <w:t>0.0437</w:t>
            </w:r>
          </w:p>
        </w:tc>
        <w:tc>
          <w:tcPr>
            <w:tcW w:w="1899" w:type="dxa"/>
            <w:tcBorders>
              <w:tl2br w:val="nil"/>
              <w:tr2bl w:val="nil"/>
            </w:tcBorders>
            <w:vAlign w:val="center"/>
          </w:tcPr>
          <w:p>
            <w:pPr>
              <w:pStyle w:val="28"/>
              <w:bidi w:val="0"/>
              <w:rPr>
                <w:color w:val="auto"/>
                <w:highlight w:val="none"/>
              </w:rPr>
            </w:pPr>
            <w:r>
              <w:rPr>
                <w:color w:val="auto"/>
                <w:highlight w:val="none"/>
              </w:rPr>
              <w:t>0.0087</w:t>
            </w:r>
          </w:p>
        </w:tc>
        <w:tc>
          <w:tcPr>
            <w:tcW w:w="1757" w:type="dxa"/>
            <w:tcBorders>
              <w:tl2br w:val="nil"/>
              <w:tr2bl w:val="nil"/>
            </w:tcBorders>
            <w:vAlign w:val="center"/>
          </w:tcPr>
          <w:p>
            <w:pPr>
              <w:pStyle w:val="28"/>
              <w:bidi w:val="0"/>
              <w:rPr>
                <w:color w:val="auto"/>
                <w:highlight w:val="none"/>
              </w:rPr>
            </w:pPr>
            <w:r>
              <w:rPr>
                <w:color w:val="auto"/>
                <w:highlight w:val="none"/>
              </w:rPr>
              <w:t>0.0874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2000.0</w:t>
            </w:r>
          </w:p>
        </w:tc>
        <w:tc>
          <w:tcPr>
            <w:tcW w:w="1988" w:type="dxa"/>
            <w:tcBorders>
              <w:tl2br w:val="nil"/>
              <w:tr2bl w:val="nil"/>
            </w:tcBorders>
            <w:vAlign w:val="center"/>
          </w:tcPr>
          <w:p>
            <w:pPr>
              <w:pStyle w:val="28"/>
              <w:bidi w:val="0"/>
              <w:rPr>
                <w:color w:val="auto"/>
                <w:highlight w:val="none"/>
              </w:rPr>
            </w:pPr>
            <w:r>
              <w:rPr>
                <w:color w:val="auto"/>
                <w:highlight w:val="none"/>
              </w:rPr>
              <w:t>0.0802</w:t>
            </w:r>
          </w:p>
        </w:tc>
        <w:tc>
          <w:tcPr>
            <w:tcW w:w="1988" w:type="dxa"/>
            <w:tcBorders>
              <w:tl2br w:val="nil"/>
              <w:tr2bl w:val="nil"/>
            </w:tcBorders>
            <w:vAlign w:val="center"/>
          </w:tcPr>
          <w:p>
            <w:pPr>
              <w:pStyle w:val="28"/>
              <w:bidi w:val="0"/>
              <w:rPr>
                <w:color w:val="auto"/>
                <w:highlight w:val="none"/>
              </w:rPr>
            </w:pPr>
            <w:r>
              <w:rPr>
                <w:color w:val="auto"/>
                <w:highlight w:val="none"/>
              </w:rPr>
              <w:t>0.0401</w:t>
            </w:r>
          </w:p>
        </w:tc>
        <w:tc>
          <w:tcPr>
            <w:tcW w:w="1899" w:type="dxa"/>
            <w:tcBorders>
              <w:tl2br w:val="nil"/>
              <w:tr2bl w:val="nil"/>
            </w:tcBorders>
            <w:vAlign w:val="center"/>
          </w:tcPr>
          <w:p>
            <w:pPr>
              <w:pStyle w:val="28"/>
              <w:bidi w:val="0"/>
              <w:rPr>
                <w:color w:val="auto"/>
                <w:highlight w:val="none"/>
              </w:rPr>
            </w:pPr>
            <w:r>
              <w:rPr>
                <w:color w:val="auto"/>
                <w:highlight w:val="none"/>
              </w:rPr>
              <w:t>0.0080</w:t>
            </w:r>
          </w:p>
        </w:tc>
        <w:tc>
          <w:tcPr>
            <w:tcW w:w="1757" w:type="dxa"/>
            <w:tcBorders>
              <w:tl2br w:val="nil"/>
              <w:tr2bl w:val="nil"/>
            </w:tcBorders>
            <w:vAlign w:val="center"/>
          </w:tcPr>
          <w:p>
            <w:pPr>
              <w:pStyle w:val="28"/>
              <w:bidi w:val="0"/>
              <w:rPr>
                <w:color w:val="auto"/>
                <w:highlight w:val="none"/>
              </w:rPr>
            </w:pPr>
            <w:r>
              <w:rPr>
                <w:color w:val="auto"/>
                <w:highlight w:val="none"/>
              </w:rPr>
              <w:t>0.0802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2500.0</w:t>
            </w:r>
          </w:p>
        </w:tc>
        <w:tc>
          <w:tcPr>
            <w:tcW w:w="1988" w:type="dxa"/>
            <w:tcBorders>
              <w:tl2br w:val="nil"/>
              <w:tr2bl w:val="nil"/>
            </w:tcBorders>
            <w:vAlign w:val="center"/>
          </w:tcPr>
          <w:p>
            <w:pPr>
              <w:pStyle w:val="28"/>
              <w:bidi w:val="0"/>
              <w:rPr>
                <w:color w:val="auto"/>
                <w:highlight w:val="none"/>
              </w:rPr>
            </w:pPr>
            <w:r>
              <w:rPr>
                <w:color w:val="auto"/>
                <w:highlight w:val="none"/>
              </w:rPr>
              <w:t>0.0655</w:t>
            </w:r>
          </w:p>
        </w:tc>
        <w:tc>
          <w:tcPr>
            <w:tcW w:w="1988" w:type="dxa"/>
            <w:tcBorders>
              <w:tl2br w:val="nil"/>
              <w:tr2bl w:val="nil"/>
            </w:tcBorders>
            <w:vAlign w:val="center"/>
          </w:tcPr>
          <w:p>
            <w:pPr>
              <w:pStyle w:val="28"/>
              <w:bidi w:val="0"/>
              <w:rPr>
                <w:color w:val="auto"/>
                <w:highlight w:val="none"/>
              </w:rPr>
            </w:pPr>
            <w:r>
              <w:rPr>
                <w:color w:val="auto"/>
                <w:highlight w:val="none"/>
              </w:rPr>
              <w:t>0.0328</w:t>
            </w:r>
          </w:p>
        </w:tc>
        <w:tc>
          <w:tcPr>
            <w:tcW w:w="1899" w:type="dxa"/>
            <w:tcBorders>
              <w:tl2br w:val="nil"/>
              <w:tr2bl w:val="nil"/>
            </w:tcBorders>
            <w:vAlign w:val="center"/>
          </w:tcPr>
          <w:p>
            <w:pPr>
              <w:pStyle w:val="28"/>
              <w:bidi w:val="0"/>
              <w:rPr>
                <w:color w:val="auto"/>
                <w:highlight w:val="none"/>
              </w:rPr>
            </w:pPr>
            <w:r>
              <w:rPr>
                <w:color w:val="auto"/>
                <w:highlight w:val="none"/>
              </w:rPr>
              <w:t>0.0066</w:t>
            </w:r>
          </w:p>
        </w:tc>
        <w:tc>
          <w:tcPr>
            <w:tcW w:w="1757" w:type="dxa"/>
            <w:tcBorders>
              <w:tl2br w:val="nil"/>
              <w:tr2bl w:val="nil"/>
            </w:tcBorders>
            <w:vAlign w:val="center"/>
          </w:tcPr>
          <w:p>
            <w:pPr>
              <w:pStyle w:val="28"/>
              <w:bidi w:val="0"/>
              <w:rPr>
                <w:color w:val="auto"/>
                <w:highlight w:val="none"/>
              </w:rPr>
            </w:pPr>
            <w:r>
              <w:rPr>
                <w:color w:val="auto"/>
                <w:highlight w:val="none"/>
              </w:rPr>
              <w:t>0.0655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3000.0</w:t>
            </w:r>
          </w:p>
        </w:tc>
        <w:tc>
          <w:tcPr>
            <w:tcW w:w="1988" w:type="dxa"/>
            <w:tcBorders>
              <w:tl2br w:val="nil"/>
              <w:tr2bl w:val="nil"/>
            </w:tcBorders>
            <w:vAlign w:val="center"/>
          </w:tcPr>
          <w:p>
            <w:pPr>
              <w:pStyle w:val="28"/>
              <w:bidi w:val="0"/>
              <w:rPr>
                <w:color w:val="auto"/>
                <w:highlight w:val="none"/>
              </w:rPr>
            </w:pPr>
            <w:r>
              <w:rPr>
                <w:color w:val="auto"/>
                <w:highlight w:val="none"/>
              </w:rPr>
              <w:t>0.0550</w:t>
            </w:r>
          </w:p>
        </w:tc>
        <w:tc>
          <w:tcPr>
            <w:tcW w:w="1988" w:type="dxa"/>
            <w:tcBorders>
              <w:tl2br w:val="nil"/>
              <w:tr2bl w:val="nil"/>
            </w:tcBorders>
            <w:vAlign w:val="center"/>
          </w:tcPr>
          <w:p>
            <w:pPr>
              <w:pStyle w:val="28"/>
              <w:bidi w:val="0"/>
              <w:rPr>
                <w:color w:val="auto"/>
                <w:highlight w:val="none"/>
              </w:rPr>
            </w:pPr>
            <w:r>
              <w:rPr>
                <w:color w:val="auto"/>
                <w:highlight w:val="none"/>
              </w:rPr>
              <w:t>0.0275</w:t>
            </w:r>
          </w:p>
        </w:tc>
        <w:tc>
          <w:tcPr>
            <w:tcW w:w="1899" w:type="dxa"/>
            <w:tcBorders>
              <w:tl2br w:val="nil"/>
              <w:tr2bl w:val="nil"/>
            </w:tcBorders>
            <w:vAlign w:val="center"/>
          </w:tcPr>
          <w:p>
            <w:pPr>
              <w:pStyle w:val="28"/>
              <w:bidi w:val="0"/>
              <w:rPr>
                <w:color w:val="auto"/>
                <w:highlight w:val="none"/>
              </w:rPr>
            </w:pPr>
            <w:r>
              <w:rPr>
                <w:color w:val="auto"/>
                <w:highlight w:val="none"/>
              </w:rPr>
              <w:t>0.0055</w:t>
            </w:r>
          </w:p>
        </w:tc>
        <w:tc>
          <w:tcPr>
            <w:tcW w:w="1757" w:type="dxa"/>
            <w:tcBorders>
              <w:tl2br w:val="nil"/>
              <w:tr2bl w:val="nil"/>
            </w:tcBorders>
            <w:vAlign w:val="center"/>
          </w:tcPr>
          <w:p>
            <w:pPr>
              <w:pStyle w:val="28"/>
              <w:bidi w:val="0"/>
              <w:rPr>
                <w:color w:val="auto"/>
                <w:highlight w:val="none"/>
              </w:rPr>
            </w:pPr>
            <w:r>
              <w:rPr>
                <w:color w:val="auto"/>
                <w:highlight w:val="none"/>
              </w:rPr>
              <w:t>0.0550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3500.0</w:t>
            </w:r>
          </w:p>
        </w:tc>
        <w:tc>
          <w:tcPr>
            <w:tcW w:w="1988" w:type="dxa"/>
            <w:tcBorders>
              <w:tl2br w:val="nil"/>
              <w:tr2bl w:val="nil"/>
            </w:tcBorders>
            <w:vAlign w:val="center"/>
          </w:tcPr>
          <w:p>
            <w:pPr>
              <w:pStyle w:val="28"/>
              <w:bidi w:val="0"/>
              <w:rPr>
                <w:color w:val="auto"/>
                <w:highlight w:val="none"/>
              </w:rPr>
            </w:pPr>
            <w:r>
              <w:rPr>
                <w:color w:val="auto"/>
                <w:highlight w:val="none"/>
              </w:rPr>
              <w:t>0.0454</w:t>
            </w:r>
          </w:p>
        </w:tc>
        <w:tc>
          <w:tcPr>
            <w:tcW w:w="1988" w:type="dxa"/>
            <w:tcBorders>
              <w:tl2br w:val="nil"/>
              <w:tr2bl w:val="nil"/>
            </w:tcBorders>
            <w:vAlign w:val="center"/>
          </w:tcPr>
          <w:p>
            <w:pPr>
              <w:pStyle w:val="28"/>
              <w:bidi w:val="0"/>
              <w:rPr>
                <w:color w:val="auto"/>
                <w:highlight w:val="none"/>
              </w:rPr>
            </w:pPr>
            <w:r>
              <w:rPr>
                <w:color w:val="auto"/>
                <w:highlight w:val="none"/>
              </w:rPr>
              <w:t>0.0227</w:t>
            </w:r>
          </w:p>
        </w:tc>
        <w:tc>
          <w:tcPr>
            <w:tcW w:w="1899" w:type="dxa"/>
            <w:tcBorders>
              <w:tl2br w:val="nil"/>
              <w:tr2bl w:val="nil"/>
            </w:tcBorders>
            <w:vAlign w:val="center"/>
          </w:tcPr>
          <w:p>
            <w:pPr>
              <w:pStyle w:val="28"/>
              <w:bidi w:val="0"/>
              <w:rPr>
                <w:color w:val="auto"/>
                <w:highlight w:val="none"/>
              </w:rPr>
            </w:pPr>
            <w:r>
              <w:rPr>
                <w:color w:val="auto"/>
                <w:highlight w:val="none"/>
              </w:rPr>
              <w:t>0.0045</w:t>
            </w:r>
          </w:p>
        </w:tc>
        <w:tc>
          <w:tcPr>
            <w:tcW w:w="1757" w:type="dxa"/>
            <w:tcBorders>
              <w:tl2br w:val="nil"/>
              <w:tr2bl w:val="nil"/>
            </w:tcBorders>
            <w:vAlign w:val="center"/>
          </w:tcPr>
          <w:p>
            <w:pPr>
              <w:pStyle w:val="28"/>
              <w:bidi w:val="0"/>
              <w:rPr>
                <w:color w:val="auto"/>
                <w:highlight w:val="none"/>
              </w:rPr>
            </w:pPr>
            <w:r>
              <w:rPr>
                <w:color w:val="auto"/>
                <w:highlight w:val="none"/>
              </w:rPr>
              <w:t>0.0454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4000.0</w:t>
            </w:r>
          </w:p>
        </w:tc>
        <w:tc>
          <w:tcPr>
            <w:tcW w:w="1988" w:type="dxa"/>
            <w:tcBorders>
              <w:tl2br w:val="nil"/>
              <w:tr2bl w:val="nil"/>
            </w:tcBorders>
            <w:vAlign w:val="center"/>
          </w:tcPr>
          <w:p>
            <w:pPr>
              <w:pStyle w:val="28"/>
              <w:bidi w:val="0"/>
              <w:rPr>
                <w:color w:val="auto"/>
                <w:highlight w:val="none"/>
              </w:rPr>
            </w:pPr>
            <w:r>
              <w:rPr>
                <w:color w:val="auto"/>
                <w:highlight w:val="none"/>
              </w:rPr>
              <w:t>0.0414</w:t>
            </w:r>
          </w:p>
        </w:tc>
        <w:tc>
          <w:tcPr>
            <w:tcW w:w="1988" w:type="dxa"/>
            <w:tcBorders>
              <w:tl2br w:val="nil"/>
              <w:tr2bl w:val="nil"/>
            </w:tcBorders>
            <w:vAlign w:val="center"/>
          </w:tcPr>
          <w:p>
            <w:pPr>
              <w:pStyle w:val="28"/>
              <w:bidi w:val="0"/>
              <w:rPr>
                <w:color w:val="auto"/>
                <w:highlight w:val="none"/>
              </w:rPr>
            </w:pPr>
            <w:r>
              <w:rPr>
                <w:color w:val="auto"/>
                <w:highlight w:val="none"/>
              </w:rPr>
              <w:t>0.0207</w:t>
            </w:r>
          </w:p>
        </w:tc>
        <w:tc>
          <w:tcPr>
            <w:tcW w:w="1899" w:type="dxa"/>
            <w:tcBorders>
              <w:tl2br w:val="nil"/>
              <w:tr2bl w:val="nil"/>
            </w:tcBorders>
            <w:vAlign w:val="center"/>
          </w:tcPr>
          <w:p>
            <w:pPr>
              <w:pStyle w:val="28"/>
              <w:bidi w:val="0"/>
              <w:rPr>
                <w:color w:val="auto"/>
                <w:highlight w:val="none"/>
              </w:rPr>
            </w:pPr>
            <w:r>
              <w:rPr>
                <w:color w:val="auto"/>
                <w:highlight w:val="none"/>
              </w:rPr>
              <w:t>0.0041</w:t>
            </w:r>
          </w:p>
        </w:tc>
        <w:tc>
          <w:tcPr>
            <w:tcW w:w="1757" w:type="dxa"/>
            <w:tcBorders>
              <w:tl2br w:val="nil"/>
              <w:tr2bl w:val="nil"/>
            </w:tcBorders>
            <w:vAlign w:val="center"/>
          </w:tcPr>
          <w:p>
            <w:pPr>
              <w:pStyle w:val="28"/>
              <w:bidi w:val="0"/>
              <w:rPr>
                <w:color w:val="auto"/>
                <w:highlight w:val="none"/>
              </w:rPr>
            </w:pPr>
            <w:r>
              <w:rPr>
                <w:color w:val="auto"/>
                <w:highlight w:val="none"/>
              </w:rPr>
              <w:t>0.0414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4500.0</w:t>
            </w:r>
          </w:p>
        </w:tc>
        <w:tc>
          <w:tcPr>
            <w:tcW w:w="1988" w:type="dxa"/>
            <w:tcBorders>
              <w:tl2br w:val="nil"/>
              <w:tr2bl w:val="nil"/>
            </w:tcBorders>
            <w:vAlign w:val="center"/>
          </w:tcPr>
          <w:p>
            <w:pPr>
              <w:pStyle w:val="28"/>
              <w:bidi w:val="0"/>
              <w:rPr>
                <w:color w:val="auto"/>
                <w:highlight w:val="none"/>
              </w:rPr>
            </w:pPr>
            <w:r>
              <w:rPr>
                <w:color w:val="auto"/>
                <w:highlight w:val="none"/>
              </w:rPr>
              <w:t>0.0363</w:t>
            </w:r>
          </w:p>
        </w:tc>
        <w:tc>
          <w:tcPr>
            <w:tcW w:w="1988" w:type="dxa"/>
            <w:tcBorders>
              <w:tl2br w:val="nil"/>
              <w:tr2bl w:val="nil"/>
            </w:tcBorders>
            <w:vAlign w:val="center"/>
          </w:tcPr>
          <w:p>
            <w:pPr>
              <w:pStyle w:val="28"/>
              <w:bidi w:val="0"/>
              <w:rPr>
                <w:color w:val="auto"/>
                <w:highlight w:val="none"/>
              </w:rPr>
            </w:pPr>
            <w:r>
              <w:rPr>
                <w:color w:val="auto"/>
                <w:highlight w:val="none"/>
              </w:rPr>
              <w:t>0.0182</w:t>
            </w:r>
          </w:p>
        </w:tc>
        <w:tc>
          <w:tcPr>
            <w:tcW w:w="1899" w:type="dxa"/>
            <w:tcBorders>
              <w:tl2br w:val="nil"/>
              <w:tr2bl w:val="nil"/>
            </w:tcBorders>
            <w:vAlign w:val="center"/>
          </w:tcPr>
          <w:p>
            <w:pPr>
              <w:pStyle w:val="28"/>
              <w:bidi w:val="0"/>
              <w:rPr>
                <w:color w:val="auto"/>
                <w:highlight w:val="none"/>
              </w:rPr>
            </w:pPr>
            <w:r>
              <w:rPr>
                <w:color w:val="auto"/>
                <w:highlight w:val="none"/>
              </w:rPr>
              <w:t>0.0036</w:t>
            </w:r>
          </w:p>
        </w:tc>
        <w:tc>
          <w:tcPr>
            <w:tcW w:w="1757" w:type="dxa"/>
            <w:tcBorders>
              <w:tl2br w:val="nil"/>
              <w:tr2bl w:val="nil"/>
            </w:tcBorders>
            <w:vAlign w:val="center"/>
          </w:tcPr>
          <w:p>
            <w:pPr>
              <w:pStyle w:val="28"/>
              <w:bidi w:val="0"/>
              <w:rPr>
                <w:color w:val="auto"/>
                <w:highlight w:val="none"/>
              </w:rPr>
            </w:pPr>
            <w:r>
              <w:rPr>
                <w:color w:val="auto"/>
                <w:highlight w:val="none"/>
              </w:rPr>
              <w:t>0.0363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5000.0</w:t>
            </w:r>
          </w:p>
        </w:tc>
        <w:tc>
          <w:tcPr>
            <w:tcW w:w="1988" w:type="dxa"/>
            <w:tcBorders>
              <w:tl2br w:val="nil"/>
              <w:tr2bl w:val="nil"/>
            </w:tcBorders>
            <w:vAlign w:val="center"/>
          </w:tcPr>
          <w:p>
            <w:pPr>
              <w:pStyle w:val="28"/>
              <w:bidi w:val="0"/>
              <w:rPr>
                <w:color w:val="auto"/>
                <w:highlight w:val="none"/>
              </w:rPr>
            </w:pPr>
            <w:r>
              <w:rPr>
                <w:color w:val="auto"/>
                <w:highlight w:val="none"/>
              </w:rPr>
              <w:t>0.0328</w:t>
            </w:r>
          </w:p>
        </w:tc>
        <w:tc>
          <w:tcPr>
            <w:tcW w:w="1988" w:type="dxa"/>
            <w:tcBorders>
              <w:tl2br w:val="nil"/>
              <w:tr2bl w:val="nil"/>
            </w:tcBorders>
            <w:vAlign w:val="center"/>
          </w:tcPr>
          <w:p>
            <w:pPr>
              <w:pStyle w:val="28"/>
              <w:bidi w:val="0"/>
              <w:rPr>
                <w:color w:val="auto"/>
                <w:highlight w:val="none"/>
              </w:rPr>
            </w:pPr>
            <w:r>
              <w:rPr>
                <w:color w:val="auto"/>
                <w:highlight w:val="none"/>
              </w:rPr>
              <w:t>0.0164</w:t>
            </w:r>
          </w:p>
        </w:tc>
        <w:tc>
          <w:tcPr>
            <w:tcW w:w="1899" w:type="dxa"/>
            <w:tcBorders>
              <w:tl2br w:val="nil"/>
              <w:tr2bl w:val="nil"/>
            </w:tcBorders>
            <w:vAlign w:val="center"/>
          </w:tcPr>
          <w:p>
            <w:pPr>
              <w:pStyle w:val="28"/>
              <w:bidi w:val="0"/>
              <w:rPr>
                <w:color w:val="auto"/>
                <w:highlight w:val="none"/>
              </w:rPr>
            </w:pPr>
            <w:r>
              <w:rPr>
                <w:color w:val="auto"/>
                <w:highlight w:val="none"/>
              </w:rPr>
              <w:t>0.0033</w:t>
            </w:r>
          </w:p>
        </w:tc>
        <w:tc>
          <w:tcPr>
            <w:tcW w:w="1757" w:type="dxa"/>
            <w:tcBorders>
              <w:tl2br w:val="nil"/>
              <w:tr2bl w:val="nil"/>
            </w:tcBorders>
            <w:vAlign w:val="center"/>
          </w:tcPr>
          <w:p>
            <w:pPr>
              <w:pStyle w:val="28"/>
              <w:bidi w:val="0"/>
              <w:rPr>
                <w:color w:val="auto"/>
                <w:highlight w:val="none"/>
              </w:rPr>
            </w:pPr>
            <w:r>
              <w:rPr>
                <w:color w:val="auto"/>
                <w:highlight w:val="none"/>
              </w:rPr>
              <w:t>0.0328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10000.0</w:t>
            </w:r>
          </w:p>
        </w:tc>
        <w:tc>
          <w:tcPr>
            <w:tcW w:w="1988" w:type="dxa"/>
            <w:tcBorders>
              <w:tl2br w:val="nil"/>
              <w:tr2bl w:val="nil"/>
            </w:tcBorders>
            <w:vAlign w:val="center"/>
          </w:tcPr>
          <w:p>
            <w:pPr>
              <w:pStyle w:val="28"/>
              <w:bidi w:val="0"/>
              <w:rPr>
                <w:color w:val="auto"/>
                <w:highlight w:val="none"/>
              </w:rPr>
            </w:pPr>
            <w:r>
              <w:rPr>
                <w:color w:val="auto"/>
                <w:highlight w:val="none"/>
              </w:rPr>
              <w:t>0.0142</w:t>
            </w:r>
          </w:p>
        </w:tc>
        <w:tc>
          <w:tcPr>
            <w:tcW w:w="1988" w:type="dxa"/>
            <w:tcBorders>
              <w:tl2br w:val="nil"/>
              <w:tr2bl w:val="nil"/>
            </w:tcBorders>
            <w:vAlign w:val="center"/>
          </w:tcPr>
          <w:p>
            <w:pPr>
              <w:pStyle w:val="28"/>
              <w:bidi w:val="0"/>
              <w:rPr>
                <w:color w:val="auto"/>
                <w:highlight w:val="none"/>
              </w:rPr>
            </w:pPr>
            <w:r>
              <w:rPr>
                <w:color w:val="auto"/>
                <w:highlight w:val="none"/>
              </w:rPr>
              <w:t>0.0071</w:t>
            </w:r>
          </w:p>
        </w:tc>
        <w:tc>
          <w:tcPr>
            <w:tcW w:w="1899" w:type="dxa"/>
            <w:tcBorders>
              <w:tl2br w:val="nil"/>
              <w:tr2bl w:val="nil"/>
            </w:tcBorders>
            <w:vAlign w:val="center"/>
          </w:tcPr>
          <w:p>
            <w:pPr>
              <w:pStyle w:val="28"/>
              <w:bidi w:val="0"/>
              <w:rPr>
                <w:color w:val="auto"/>
                <w:highlight w:val="none"/>
              </w:rPr>
            </w:pPr>
            <w:r>
              <w:rPr>
                <w:color w:val="auto"/>
                <w:highlight w:val="none"/>
              </w:rPr>
              <w:t>0.0014</w:t>
            </w:r>
          </w:p>
        </w:tc>
        <w:tc>
          <w:tcPr>
            <w:tcW w:w="1757" w:type="dxa"/>
            <w:tcBorders>
              <w:tl2br w:val="nil"/>
              <w:tr2bl w:val="nil"/>
            </w:tcBorders>
            <w:vAlign w:val="center"/>
          </w:tcPr>
          <w:p>
            <w:pPr>
              <w:pStyle w:val="28"/>
              <w:bidi w:val="0"/>
              <w:rPr>
                <w:color w:val="auto"/>
                <w:highlight w:val="none"/>
              </w:rPr>
            </w:pPr>
            <w:r>
              <w:rPr>
                <w:color w:val="auto"/>
                <w:highlight w:val="none"/>
              </w:rPr>
              <w:t>0.0142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11000.0</w:t>
            </w:r>
          </w:p>
        </w:tc>
        <w:tc>
          <w:tcPr>
            <w:tcW w:w="1988" w:type="dxa"/>
            <w:tcBorders>
              <w:tl2br w:val="nil"/>
              <w:tr2bl w:val="nil"/>
            </w:tcBorders>
            <w:vAlign w:val="center"/>
          </w:tcPr>
          <w:p>
            <w:pPr>
              <w:pStyle w:val="28"/>
              <w:bidi w:val="0"/>
              <w:rPr>
                <w:color w:val="auto"/>
                <w:highlight w:val="none"/>
              </w:rPr>
            </w:pPr>
            <w:r>
              <w:rPr>
                <w:color w:val="auto"/>
                <w:highlight w:val="none"/>
              </w:rPr>
              <w:t>0.0132</w:t>
            </w:r>
          </w:p>
        </w:tc>
        <w:tc>
          <w:tcPr>
            <w:tcW w:w="1988" w:type="dxa"/>
            <w:tcBorders>
              <w:tl2br w:val="nil"/>
              <w:tr2bl w:val="nil"/>
            </w:tcBorders>
            <w:vAlign w:val="center"/>
          </w:tcPr>
          <w:p>
            <w:pPr>
              <w:pStyle w:val="28"/>
              <w:bidi w:val="0"/>
              <w:rPr>
                <w:color w:val="auto"/>
                <w:highlight w:val="none"/>
              </w:rPr>
            </w:pPr>
            <w:r>
              <w:rPr>
                <w:color w:val="auto"/>
                <w:highlight w:val="none"/>
              </w:rPr>
              <w:t>0.0066</w:t>
            </w:r>
          </w:p>
        </w:tc>
        <w:tc>
          <w:tcPr>
            <w:tcW w:w="1899" w:type="dxa"/>
            <w:tcBorders>
              <w:tl2br w:val="nil"/>
              <w:tr2bl w:val="nil"/>
            </w:tcBorders>
            <w:vAlign w:val="center"/>
          </w:tcPr>
          <w:p>
            <w:pPr>
              <w:pStyle w:val="28"/>
              <w:bidi w:val="0"/>
              <w:rPr>
                <w:color w:val="auto"/>
                <w:highlight w:val="none"/>
              </w:rPr>
            </w:pPr>
            <w:r>
              <w:rPr>
                <w:color w:val="auto"/>
                <w:highlight w:val="none"/>
              </w:rPr>
              <w:t>0.0013</w:t>
            </w:r>
          </w:p>
        </w:tc>
        <w:tc>
          <w:tcPr>
            <w:tcW w:w="1757" w:type="dxa"/>
            <w:tcBorders>
              <w:tl2br w:val="nil"/>
              <w:tr2bl w:val="nil"/>
            </w:tcBorders>
            <w:vAlign w:val="center"/>
          </w:tcPr>
          <w:p>
            <w:pPr>
              <w:pStyle w:val="28"/>
              <w:bidi w:val="0"/>
              <w:rPr>
                <w:color w:val="auto"/>
                <w:highlight w:val="none"/>
              </w:rPr>
            </w:pPr>
            <w:r>
              <w:rPr>
                <w:color w:val="auto"/>
                <w:highlight w:val="none"/>
              </w:rPr>
              <w:t>0.0132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12000.0</w:t>
            </w:r>
          </w:p>
        </w:tc>
        <w:tc>
          <w:tcPr>
            <w:tcW w:w="1988" w:type="dxa"/>
            <w:tcBorders>
              <w:tl2br w:val="nil"/>
              <w:tr2bl w:val="nil"/>
            </w:tcBorders>
            <w:vAlign w:val="center"/>
          </w:tcPr>
          <w:p>
            <w:pPr>
              <w:pStyle w:val="28"/>
              <w:bidi w:val="0"/>
              <w:rPr>
                <w:color w:val="auto"/>
                <w:highlight w:val="none"/>
              </w:rPr>
            </w:pPr>
            <w:r>
              <w:rPr>
                <w:color w:val="auto"/>
                <w:highlight w:val="none"/>
              </w:rPr>
              <w:t>0.0118</w:t>
            </w:r>
          </w:p>
        </w:tc>
        <w:tc>
          <w:tcPr>
            <w:tcW w:w="1988" w:type="dxa"/>
            <w:tcBorders>
              <w:tl2br w:val="nil"/>
              <w:tr2bl w:val="nil"/>
            </w:tcBorders>
            <w:vAlign w:val="center"/>
          </w:tcPr>
          <w:p>
            <w:pPr>
              <w:pStyle w:val="28"/>
              <w:bidi w:val="0"/>
              <w:rPr>
                <w:color w:val="auto"/>
                <w:highlight w:val="none"/>
              </w:rPr>
            </w:pPr>
            <w:r>
              <w:rPr>
                <w:color w:val="auto"/>
                <w:highlight w:val="none"/>
              </w:rPr>
              <w:t>0.0059</w:t>
            </w:r>
          </w:p>
        </w:tc>
        <w:tc>
          <w:tcPr>
            <w:tcW w:w="1899" w:type="dxa"/>
            <w:tcBorders>
              <w:tl2br w:val="nil"/>
              <w:tr2bl w:val="nil"/>
            </w:tcBorders>
            <w:vAlign w:val="center"/>
          </w:tcPr>
          <w:p>
            <w:pPr>
              <w:pStyle w:val="28"/>
              <w:bidi w:val="0"/>
              <w:rPr>
                <w:color w:val="auto"/>
                <w:highlight w:val="none"/>
              </w:rPr>
            </w:pPr>
            <w:r>
              <w:rPr>
                <w:color w:val="auto"/>
                <w:highlight w:val="none"/>
              </w:rPr>
              <w:t>0.0012</w:t>
            </w:r>
          </w:p>
        </w:tc>
        <w:tc>
          <w:tcPr>
            <w:tcW w:w="1757" w:type="dxa"/>
            <w:tcBorders>
              <w:tl2br w:val="nil"/>
              <w:tr2bl w:val="nil"/>
            </w:tcBorders>
            <w:vAlign w:val="center"/>
          </w:tcPr>
          <w:p>
            <w:pPr>
              <w:pStyle w:val="28"/>
              <w:bidi w:val="0"/>
              <w:rPr>
                <w:color w:val="auto"/>
                <w:highlight w:val="none"/>
              </w:rPr>
            </w:pPr>
            <w:r>
              <w:rPr>
                <w:color w:val="auto"/>
                <w:highlight w:val="none"/>
              </w:rPr>
              <w:t>0.0118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13000.0</w:t>
            </w:r>
          </w:p>
        </w:tc>
        <w:tc>
          <w:tcPr>
            <w:tcW w:w="1988" w:type="dxa"/>
            <w:tcBorders>
              <w:tl2br w:val="nil"/>
              <w:tr2bl w:val="nil"/>
            </w:tcBorders>
            <w:vAlign w:val="center"/>
          </w:tcPr>
          <w:p>
            <w:pPr>
              <w:pStyle w:val="28"/>
              <w:bidi w:val="0"/>
              <w:rPr>
                <w:color w:val="auto"/>
                <w:highlight w:val="none"/>
              </w:rPr>
            </w:pPr>
            <w:r>
              <w:rPr>
                <w:color w:val="auto"/>
                <w:highlight w:val="none"/>
              </w:rPr>
              <w:t>0.0097</w:t>
            </w:r>
          </w:p>
        </w:tc>
        <w:tc>
          <w:tcPr>
            <w:tcW w:w="1988" w:type="dxa"/>
            <w:tcBorders>
              <w:tl2br w:val="nil"/>
              <w:tr2bl w:val="nil"/>
            </w:tcBorders>
            <w:vAlign w:val="center"/>
          </w:tcPr>
          <w:p>
            <w:pPr>
              <w:pStyle w:val="28"/>
              <w:bidi w:val="0"/>
              <w:rPr>
                <w:color w:val="auto"/>
                <w:highlight w:val="none"/>
              </w:rPr>
            </w:pPr>
            <w:r>
              <w:rPr>
                <w:color w:val="auto"/>
                <w:highlight w:val="none"/>
              </w:rPr>
              <w:t>0.0048</w:t>
            </w:r>
          </w:p>
        </w:tc>
        <w:tc>
          <w:tcPr>
            <w:tcW w:w="1899" w:type="dxa"/>
            <w:tcBorders>
              <w:tl2br w:val="nil"/>
              <w:tr2bl w:val="nil"/>
            </w:tcBorders>
            <w:vAlign w:val="center"/>
          </w:tcPr>
          <w:p>
            <w:pPr>
              <w:pStyle w:val="28"/>
              <w:bidi w:val="0"/>
              <w:rPr>
                <w:color w:val="auto"/>
                <w:highlight w:val="none"/>
              </w:rPr>
            </w:pPr>
            <w:r>
              <w:rPr>
                <w:color w:val="auto"/>
                <w:highlight w:val="none"/>
              </w:rPr>
              <w:t>0.0010</w:t>
            </w:r>
          </w:p>
        </w:tc>
        <w:tc>
          <w:tcPr>
            <w:tcW w:w="1757" w:type="dxa"/>
            <w:tcBorders>
              <w:tl2br w:val="nil"/>
              <w:tr2bl w:val="nil"/>
            </w:tcBorders>
            <w:vAlign w:val="center"/>
          </w:tcPr>
          <w:p>
            <w:pPr>
              <w:pStyle w:val="28"/>
              <w:bidi w:val="0"/>
              <w:rPr>
                <w:color w:val="auto"/>
                <w:highlight w:val="none"/>
              </w:rPr>
            </w:pPr>
            <w:r>
              <w:rPr>
                <w:color w:val="auto"/>
                <w:highlight w:val="none"/>
              </w:rPr>
              <w:t>0.0097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14000.0</w:t>
            </w:r>
          </w:p>
        </w:tc>
        <w:tc>
          <w:tcPr>
            <w:tcW w:w="1988" w:type="dxa"/>
            <w:tcBorders>
              <w:tl2br w:val="nil"/>
              <w:tr2bl w:val="nil"/>
            </w:tcBorders>
            <w:vAlign w:val="center"/>
          </w:tcPr>
          <w:p>
            <w:pPr>
              <w:pStyle w:val="28"/>
              <w:bidi w:val="0"/>
              <w:rPr>
                <w:color w:val="auto"/>
                <w:highlight w:val="none"/>
              </w:rPr>
            </w:pPr>
            <w:r>
              <w:rPr>
                <w:color w:val="auto"/>
                <w:highlight w:val="none"/>
              </w:rPr>
              <w:t>0.0096</w:t>
            </w:r>
          </w:p>
        </w:tc>
        <w:tc>
          <w:tcPr>
            <w:tcW w:w="1988" w:type="dxa"/>
            <w:tcBorders>
              <w:tl2br w:val="nil"/>
              <w:tr2bl w:val="nil"/>
            </w:tcBorders>
            <w:vAlign w:val="center"/>
          </w:tcPr>
          <w:p>
            <w:pPr>
              <w:pStyle w:val="28"/>
              <w:bidi w:val="0"/>
              <w:rPr>
                <w:color w:val="auto"/>
                <w:highlight w:val="none"/>
              </w:rPr>
            </w:pPr>
            <w:r>
              <w:rPr>
                <w:color w:val="auto"/>
                <w:highlight w:val="none"/>
              </w:rPr>
              <w:t>0.0048</w:t>
            </w:r>
          </w:p>
        </w:tc>
        <w:tc>
          <w:tcPr>
            <w:tcW w:w="1899" w:type="dxa"/>
            <w:tcBorders>
              <w:tl2br w:val="nil"/>
              <w:tr2bl w:val="nil"/>
            </w:tcBorders>
            <w:vAlign w:val="center"/>
          </w:tcPr>
          <w:p>
            <w:pPr>
              <w:pStyle w:val="28"/>
              <w:bidi w:val="0"/>
              <w:rPr>
                <w:color w:val="auto"/>
                <w:highlight w:val="none"/>
              </w:rPr>
            </w:pPr>
            <w:r>
              <w:rPr>
                <w:color w:val="auto"/>
                <w:highlight w:val="none"/>
              </w:rPr>
              <w:t>0.0010</w:t>
            </w:r>
          </w:p>
        </w:tc>
        <w:tc>
          <w:tcPr>
            <w:tcW w:w="1757" w:type="dxa"/>
            <w:tcBorders>
              <w:tl2br w:val="nil"/>
              <w:tr2bl w:val="nil"/>
            </w:tcBorders>
            <w:vAlign w:val="center"/>
          </w:tcPr>
          <w:p>
            <w:pPr>
              <w:pStyle w:val="28"/>
              <w:bidi w:val="0"/>
              <w:rPr>
                <w:color w:val="auto"/>
                <w:highlight w:val="none"/>
              </w:rPr>
            </w:pPr>
            <w:r>
              <w:rPr>
                <w:color w:val="auto"/>
                <w:highlight w:val="none"/>
              </w:rPr>
              <w:t>0.0096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15000.0</w:t>
            </w:r>
          </w:p>
        </w:tc>
        <w:tc>
          <w:tcPr>
            <w:tcW w:w="1988" w:type="dxa"/>
            <w:tcBorders>
              <w:tl2br w:val="nil"/>
              <w:tr2bl w:val="nil"/>
            </w:tcBorders>
            <w:vAlign w:val="center"/>
          </w:tcPr>
          <w:p>
            <w:pPr>
              <w:pStyle w:val="28"/>
              <w:bidi w:val="0"/>
              <w:rPr>
                <w:color w:val="auto"/>
                <w:highlight w:val="none"/>
              </w:rPr>
            </w:pPr>
            <w:r>
              <w:rPr>
                <w:color w:val="auto"/>
                <w:highlight w:val="none"/>
              </w:rPr>
              <w:t>0.0087</w:t>
            </w:r>
          </w:p>
        </w:tc>
        <w:tc>
          <w:tcPr>
            <w:tcW w:w="1988" w:type="dxa"/>
            <w:tcBorders>
              <w:tl2br w:val="nil"/>
              <w:tr2bl w:val="nil"/>
            </w:tcBorders>
            <w:vAlign w:val="center"/>
          </w:tcPr>
          <w:p>
            <w:pPr>
              <w:pStyle w:val="28"/>
              <w:bidi w:val="0"/>
              <w:rPr>
                <w:color w:val="auto"/>
                <w:highlight w:val="none"/>
              </w:rPr>
            </w:pPr>
            <w:r>
              <w:rPr>
                <w:color w:val="auto"/>
                <w:highlight w:val="none"/>
              </w:rPr>
              <w:t>0.0043</w:t>
            </w:r>
          </w:p>
        </w:tc>
        <w:tc>
          <w:tcPr>
            <w:tcW w:w="1899" w:type="dxa"/>
            <w:tcBorders>
              <w:tl2br w:val="nil"/>
              <w:tr2bl w:val="nil"/>
            </w:tcBorders>
            <w:vAlign w:val="center"/>
          </w:tcPr>
          <w:p>
            <w:pPr>
              <w:pStyle w:val="28"/>
              <w:bidi w:val="0"/>
              <w:rPr>
                <w:color w:val="auto"/>
                <w:highlight w:val="none"/>
              </w:rPr>
            </w:pPr>
            <w:r>
              <w:rPr>
                <w:color w:val="auto"/>
                <w:highlight w:val="none"/>
              </w:rPr>
              <w:t>0.0009</w:t>
            </w:r>
          </w:p>
        </w:tc>
        <w:tc>
          <w:tcPr>
            <w:tcW w:w="1757" w:type="dxa"/>
            <w:tcBorders>
              <w:tl2br w:val="nil"/>
              <w:tr2bl w:val="nil"/>
            </w:tcBorders>
            <w:vAlign w:val="center"/>
          </w:tcPr>
          <w:p>
            <w:pPr>
              <w:pStyle w:val="28"/>
              <w:bidi w:val="0"/>
              <w:rPr>
                <w:color w:val="auto"/>
                <w:highlight w:val="none"/>
              </w:rPr>
            </w:pPr>
            <w:r>
              <w:rPr>
                <w:color w:val="auto"/>
                <w:highlight w:val="none"/>
              </w:rPr>
              <w:t>0.0087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20000.0</w:t>
            </w:r>
          </w:p>
        </w:tc>
        <w:tc>
          <w:tcPr>
            <w:tcW w:w="1988" w:type="dxa"/>
            <w:tcBorders>
              <w:tl2br w:val="nil"/>
              <w:tr2bl w:val="nil"/>
            </w:tcBorders>
            <w:vAlign w:val="center"/>
          </w:tcPr>
          <w:p>
            <w:pPr>
              <w:pStyle w:val="28"/>
              <w:bidi w:val="0"/>
              <w:rPr>
                <w:color w:val="auto"/>
                <w:highlight w:val="none"/>
              </w:rPr>
            </w:pPr>
            <w:r>
              <w:rPr>
                <w:color w:val="auto"/>
                <w:highlight w:val="none"/>
              </w:rPr>
              <w:t>0.0062</w:t>
            </w:r>
          </w:p>
        </w:tc>
        <w:tc>
          <w:tcPr>
            <w:tcW w:w="1988" w:type="dxa"/>
            <w:tcBorders>
              <w:tl2br w:val="nil"/>
              <w:tr2bl w:val="nil"/>
            </w:tcBorders>
            <w:vAlign w:val="center"/>
          </w:tcPr>
          <w:p>
            <w:pPr>
              <w:pStyle w:val="28"/>
              <w:bidi w:val="0"/>
              <w:rPr>
                <w:color w:val="auto"/>
                <w:highlight w:val="none"/>
              </w:rPr>
            </w:pPr>
            <w:r>
              <w:rPr>
                <w:color w:val="auto"/>
                <w:highlight w:val="none"/>
              </w:rPr>
              <w:t>0.0031</w:t>
            </w:r>
          </w:p>
        </w:tc>
        <w:tc>
          <w:tcPr>
            <w:tcW w:w="1899" w:type="dxa"/>
            <w:tcBorders>
              <w:tl2br w:val="nil"/>
              <w:tr2bl w:val="nil"/>
            </w:tcBorders>
            <w:vAlign w:val="center"/>
          </w:tcPr>
          <w:p>
            <w:pPr>
              <w:pStyle w:val="28"/>
              <w:bidi w:val="0"/>
              <w:rPr>
                <w:color w:val="auto"/>
                <w:highlight w:val="none"/>
              </w:rPr>
            </w:pPr>
            <w:r>
              <w:rPr>
                <w:color w:val="auto"/>
                <w:highlight w:val="none"/>
              </w:rPr>
              <w:t>0.0006</w:t>
            </w:r>
          </w:p>
        </w:tc>
        <w:tc>
          <w:tcPr>
            <w:tcW w:w="1757" w:type="dxa"/>
            <w:tcBorders>
              <w:tl2br w:val="nil"/>
              <w:tr2bl w:val="nil"/>
            </w:tcBorders>
            <w:vAlign w:val="center"/>
          </w:tcPr>
          <w:p>
            <w:pPr>
              <w:pStyle w:val="28"/>
              <w:bidi w:val="0"/>
              <w:rPr>
                <w:color w:val="auto"/>
                <w:highlight w:val="none"/>
              </w:rPr>
            </w:pPr>
            <w:r>
              <w:rPr>
                <w:color w:val="auto"/>
                <w:highlight w:val="none"/>
              </w:rPr>
              <w:t>0.0062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25000.0</w:t>
            </w:r>
          </w:p>
        </w:tc>
        <w:tc>
          <w:tcPr>
            <w:tcW w:w="1988" w:type="dxa"/>
            <w:tcBorders>
              <w:tl2br w:val="nil"/>
              <w:tr2bl w:val="nil"/>
            </w:tcBorders>
            <w:vAlign w:val="center"/>
          </w:tcPr>
          <w:p>
            <w:pPr>
              <w:pStyle w:val="28"/>
              <w:bidi w:val="0"/>
              <w:rPr>
                <w:color w:val="auto"/>
                <w:highlight w:val="none"/>
              </w:rPr>
            </w:pPr>
            <w:r>
              <w:rPr>
                <w:color w:val="auto"/>
                <w:highlight w:val="none"/>
              </w:rPr>
              <w:t>0.0046</w:t>
            </w:r>
          </w:p>
        </w:tc>
        <w:tc>
          <w:tcPr>
            <w:tcW w:w="1988" w:type="dxa"/>
            <w:tcBorders>
              <w:tl2br w:val="nil"/>
              <w:tr2bl w:val="nil"/>
            </w:tcBorders>
            <w:vAlign w:val="center"/>
          </w:tcPr>
          <w:p>
            <w:pPr>
              <w:pStyle w:val="28"/>
              <w:bidi w:val="0"/>
              <w:rPr>
                <w:color w:val="auto"/>
                <w:highlight w:val="none"/>
              </w:rPr>
            </w:pPr>
            <w:r>
              <w:rPr>
                <w:color w:val="auto"/>
                <w:highlight w:val="none"/>
              </w:rPr>
              <w:t>0.0023</w:t>
            </w:r>
          </w:p>
        </w:tc>
        <w:tc>
          <w:tcPr>
            <w:tcW w:w="1899" w:type="dxa"/>
            <w:tcBorders>
              <w:tl2br w:val="nil"/>
              <w:tr2bl w:val="nil"/>
            </w:tcBorders>
            <w:vAlign w:val="center"/>
          </w:tcPr>
          <w:p>
            <w:pPr>
              <w:pStyle w:val="28"/>
              <w:bidi w:val="0"/>
              <w:rPr>
                <w:color w:val="auto"/>
                <w:highlight w:val="none"/>
              </w:rPr>
            </w:pPr>
            <w:r>
              <w:rPr>
                <w:color w:val="auto"/>
                <w:highlight w:val="none"/>
              </w:rPr>
              <w:t>0.0005</w:t>
            </w:r>
          </w:p>
        </w:tc>
        <w:tc>
          <w:tcPr>
            <w:tcW w:w="1757" w:type="dxa"/>
            <w:tcBorders>
              <w:tl2br w:val="nil"/>
              <w:tr2bl w:val="nil"/>
            </w:tcBorders>
            <w:vAlign w:val="center"/>
          </w:tcPr>
          <w:p>
            <w:pPr>
              <w:pStyle w:val="28"/>
              <w:bidi w:val="0"/>
              <w:rPr>
                <w:color w:val="auto"/>
                <w:highlight w:val="none"/>
              </w:rPr>
            </w:pPr>
            <w:r>
              <w:rPr>
                <w:color w:val="auto"/>
                <w:highlight w:val="none"/>
              </w:rPr>
              <w:t>0.0046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下风向最大浓度</w:t>
            </w:r>
          </w:p>
        </w:tc>
        <w:tc>
          <w:tcPr>
            <w:tcW w:w="1988" w:type="dxa"/>
            <w:tcBorders>
              <w:tl2br w:val="nil"/>
              <w:tr2bl w:val="nil"/>
            </w:tcBorders>
            <w:vAlign w:val="center"/>
          </w:tcPr>
          <w:p>
            <w:pPr>
              <w:pStyle w:val="28"/>
              <w:bidi w:val="0"/>
              <w:rPr>
                <w:color w:val="auto"/>
                <w:highlight w:val="none"/>
              </w:rPr>
            </w:pPr>
            <w:r>
              <w:rPr>
                <w:color w:val="auto"/>
                <w:highlight w:val="none"/>
              </w:rPr>
              <w:t>1.9856</w:t>
            </w:r>
          </w:p>
        </w:tc>
        <w:tc>
          <w:tcPr>
            <w:tcW w:w="1988" w:type="dxa"/>
            <w:tcBorders>
              <w:tl2br w:val="nil"/>
              <w:tr2bl w:val="nil"/>
            </w:tcBorders>
            <w:vAlign w:val="center"/>
          </w:tcPr>
          <w:p>
            <w:pPr>
              <w:pStyle w:val="28"/>
              <w:bidi w:val="0"/>
              <w:rPr>
                <w:color w:val="auto"/>
                <w:highlight w:val="none"/>
              </w:rPr>
            </w:pPr>
            <w:r>
              <w:rPr>
                <w:color w:val="auto"/>
                <w:highlight w:val="none"/>
              </w:rPr>
              <w:t>0.9928</w:t>
            </w:r>
          </w:p>
        </w:tc>
        <w:tc>
          <w:tcPr>
            <w:tcW w:w="1899" w:type="dxa"/>
            <w:tcBorders>
              <w:tl2br w:val="nil"/>
              <w:tr2bl w:val="nil"/>
            </w:tcBorders>
            <w:vAlign w:val="center"/>
          </w:tcPr>
          <w:p>
            <w:pPr>
              <w:pStyle w:val="28"/>
              <w:bidi w:val="0"/>
              <w:rPr>
                <w:color w:val="auto"/>
                <w:highlight w:val="none"/>
              </w:rPr>
            </w:pPr>
            <w:r>
              <w:rPr>
                <w:color w:val="auto"/>
                <w:highlight w:val="none"/>
              </w:rPr>
              <w:t>0.1986</w:t>
            </w:r>
          </w:p>
        </w:tc>
        <w:tc>
          <w:tcPr>
            <w:tcW w:w="1757" w:type="dxa"/>
            <w:tcBorders>
              <w:tl2br w:val="nil"/>
              <w:tr2bl w:val="nil"/>
            </w:tcBorders>
            <w:vAlign w:val="center"/>
          </w:tcPr>
          <w:p>
            <w:pPr>
              <w:pStyle w:val="28"/>
              <w:bidi w:val="0"/>
              <w:rPr>
                <w:color w:val="auto"/>
                <w:highlight w:val="none"/>
              </w:rPr>
            </w:pPr>
            <w:r>
              <w:rPr>
                <w:color w:val="auto"/>
                <w:highlight w:val="none"/>
              </w:rPr>
              <w:t>1.9856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988" w:type="dxa"/>
            <w:tcBorders>
              <w:tl2br w:val="nil"/>
              <w:tr2bl w:val="nil"/>
            </w:tcBorders>
            <w:vAlign w:val="center"/>
          </w:tcPr>
          <w:p>
            <w:pPr>
              <w:pStyle w:val="28"/>
              <w:bidi w:val="0"/>
              <w:rPr>
                <w:color w:val="auto"/>
                <w:highlight w:val="none"/>
              </w:rPr>
            </w:pPr>
            <w:r>
              <w:rPr>
                <w:color w:val="auto"/>
                <w:highlight w:val="none"/>
              </w:rPr>
              <w:t>124.0</w:t>
            </w:r>
          </w:p>
        </w:tc>
        <w:tc>
          <w:tcPr>
            <w:tcW w:w="1988" w:type="dxa"/>
            <w:tcBorders>
              <w:tl2br w:val="nil"/>
              <w:tr2bl w:val="nil"/>
            </w:tcBorders>
            <w:vAlign w:val="center"/>
          </w:tcPr>
          <w:p>
            <w:pPr>
              <w:pStyle w:val="28"/>
              <w:bidi w:val="0"/>
              <w:rPr>
                <w:color w:val="auto"/>
                <w:highlight w:val="none"/>
              </w:rPr>
            </w:pPr>
            <w:r>
              <w:rPr>
                <w:color w:val="auto"/>
                <w:highlight w:val="none"/>
              </w:rPr>
              <w:t>124.0</w:t>
            </w:r>
          </w:p>
        </w:tc>
        <w:tc>
          <w:tcPr>
            <w:tcW w:w="1899" w:type="dxa"/>
            <w:tcBorders>
              <w:tl2br w:val="nil"/>
              <w:tr2bl w:val="nil"/>
            </w:tcBorders>
            <w:vAlign w:val="center"/>
          </w:tcPr>
          <w:p>
            <w:pPr>
              <w:pStyle w:val="28"/>
              <w:bidi w:val="0"/>
              <w:rPr>
                <w:color w:val="auto"/>
                <w:highlight w:val="none"/>
              </w:rPr>
            </w:pPr>
            <w:r>
              <w:rPr>
                <w:color w:val="auto"/>
                <w:highlight w:val="none"/>
              </w:rPr>
              <w:t>124.0</w:t>
            </w:r>
          </w:p>
        </w:tc>
        <w:tc>
          <w:tcPr>
            <w:tcW w:w="1757" w:type="dxa"/>
            <w:tcBorders>
              <w:tl2br w:val="nil"/>
              <w:tr2bl w:val="nil"/>
            </w:tcBorders>
            <w:vAlign w:val="center"/>
          </w:tcPr>
          <w:p>
            <w:pPr>
              <w:pStyle w:val="28"/>
              <w:bidi w:val="0"/>
              <w:rPr>
                <w:color w:val="auto"/>
                <w:highlight w:val="none"/>
              </w:rPr>
            </w:pPr>
            <w:r>
              <w:rPr>
                <w:color w:val="auto"/>
                <w:highlight w:val="none"/>
              </w:rPr>
              <w:t>124.0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988" w:type="dxa"/>
            <w:tcBorders>
              <w:tl2br w:val="nil"/>
              <w:tr2bl w:val="nil"/>
            </w:tcBorders>
            <w:vAlign w:val="center"/>
          </w:tcPr>
          <w:p>
            <w:pPr>
              <w:pStyle w:val="28"/>
              <w:widowControl w:val="0"/>
              <w:rPr>
                <w:color w:val="auto"/>
                <w:highlight w:val="none"/>
              </w:rPr>
            </w:pPr>
            <w:r>
              <w:rPr>
                <w:color w:val="auto"/>
                <w:highlight w:val="none"/>
              </w:rPr>
              <w:t>D10%最远距离</w:t>
            </w:r>
          </w:p>
        </w:tc>
        <w:tc>
          <w:tcPr>
            <w:tcW w:w="1988" w:type="dxa"/>
            <w:tcBorders>
              <w:tl2br w:val="nil"/>
              <w:tr2bl w:val="nil"/>
            </w:tcBorders>
            <w:vAlign w:val="center"/>
          </w:tcPr>
          <w:p>
            <w:pPr>
              <w:pStyle w:val="28"/>
              <w:bidi w:val="0"/>
              <w:rPr>
                <w:color w:val="auto"/>
                <w:highlight w:val="none"/>
              </w:rPr>
            </w:pPr>
            <w:r>
              <w:rPr>
                <w:color w:val="auto"/>
                <w:highlight w:val="none"/>
              </w:rPr>
              <w:t>/</w:t>
            </w:r>
          </w:p>
        </w:tc>
        <w:tc>
          <w:tcPr>
            <w:tcW w:w="1988" w:type="dxa"/>
            <w:tcBorders>
              <w:tl2br w:val="nil"/>
              <w:tr2bl w:val="nil"/>
            </w:tcBorders>
            <w:vAlign w:val="center"/>
          </w:tcPr>
          <w:p>
            <w:pPr>
              <w:pStyle w:val="28"/>
              <w:bidi w:val="0"/>
              <w:rPr>
                <w:color w:val="auto"/>
                <w:highlight w:val="none"/>
              </w:rPr>
            </w:pPr>
            <w:r>
              <w:rPr>
                <w:color w:val="auto"/>
                <w:highlight w:val="none"/>
              </w:rPr>
              <w:t>/</w:t>
            </w:r>
          </w:p>
        </w:tc>
        <w:tc>
          <w:tcPr>
            <w:tcW w:w="1899" w:type="dxa"/>
            <w:tcBorders>
              <w:tl2br w:val="nil"/>
              <w:tr2bl w:val="nil"/>
            </w:tcBorders>
            <w:vAlign w:val="center"/>
          </w:tcPr>
          <w:p>
            <w:pPr>
              <w:pStyle w:val="28"/>
              <w:bidi w:val="0"/>
              <w:rPr>
                <w:color w:val="auto"/>
                <w:highlight w:val="none"/>
              </w:rPr>
            </w:pPr>
            <w:r>
              <w:rPr>
                <w:color w:val="auto"/>
                <w:highlight w:val="none"/>
              </w:rPr>
              <w:t>/</w:t>
            </w:r>
          </w:p>
        </w:tc>
        <w:tc>
          <w:tcPr>
            <w:tcW w:w="1757" w:type="dxa"/>
            <w:tcBorders>
              <w:tl2br w:val="nil"/>
              <w:tr2bl w:val="nil"/>
            </w:tcBorders>
            <w:vAlign w:val="center"/>
          </w:tcPr>
          <w:p>
            <w:pPr>
              <w:pStyle w:val="28"/>
              <w:bidi w:val="0"/>
              <w:rPr>
                <w:color w:val="auto"/>
                <w:highlight w:val="none"/>
              </w:rPr>
            </w:pPr>
            <w:r>
              <w:rPr>
                <w:color w:val="auto"/>
                <w:highlight w:val="none"/>
              </w:rPr>
              <w:t>/</w:t>
            </w:r>
          </w:p>
        </w:tc>
      </w:tr>
    </w:tbl>
    <w:p>
      <w:pPr>
        <w:pStyle w:val="27"/>
        <w:widowControl w:val="0"/>
        <w:rPr>
          <w:color w:val="auto"/>
          <w:highlight w:val="none"/>
        </w:rPr>
      </w:pPr>
      <w:r>
        <w:rPr>
          <w:rFonts w:hint="eastAsia"/>
          <w:color w:val="auto"/>
          <w:highlight w:val="none"/>
        </w:rPr>
        <w:t>恶臭有组织（排气筒P2）排放预测计算结果</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0"/>
        <w:gridCol w:w="1801"/>
        <w:gridCol w:w="1676"/>
        <w:gridCol w:w="1784"/>
        <w:gridCol w:w="16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0" w:type="auto"/>
            <w:gridSpan w:val="4"/>
            <w:tcBorders>
              <w:tl2br w:val="nil"/>
              <w:tr2bl w:val="nil"/>
            </w:tcBorders>
            <w:vAlign w:val="center"/>
          </w:tcPr>
          <w:p>
            <w:pPr>
              <w:pStyle w:val="28"/>
              <w:widowControl w:val="0"/>
              <w:rPr>
                <w:b/>
                <w:bCs/>
                <w:color w:val="auto"/>
                <w:highlight w:val="none"/>
              </w:rPr>
            </w:pPr>
            <w:r>
              <w:rPr>
                <w:b/>
                <w:bCs/>
                <w:color w:val="auto"/>
                <w:highlight w:val="none"/>
              </w:rPr>
              <w:t>P2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b/>
                <w:bCs/>
                <w:color w:val="auto"/>
                <w:highlight w:val="none"/>
              </w:rPr>
            </w:pP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占标率(%)</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w:t>
            </w:r>
          </w:p>
        </w:tc>
        <w:tc>
          <w:tcPr>
            <w:tcW w:w="1801" w:type="dxa"/>
            <w:tcBorders>
              <w:tl2br w:val="nil"/>
              <w:tr2bl w:val="nil"/>
            </w:tcBorders>
            <w:vAlign w:val="center"/>
          </w:tcPr>
          <w:p>
            <w:pPr>
              <w:pStyle w:val="28"/>
              <w:bidi w:val="0"/>
              <w:rPr>
                <w:color w:val="auto"/>
                <w:highlight w:val="none"/>
              </w:rPr>
            </w:pPr>
            <w:r>
              <w:rPr>
                <w:color w:val="auto"/>
                <w:highlight w:val="none"/>
              </w:rPr>
              <w:t>0.4083</w:t>
            </w:r>
          </w:p>
        </w:tc>
        <w:tc>
          <w:tcPr>
            <w:tcW w:w="1676" w:type="dxa"/>
            <w:tcBorders>
              <w:tl2br w:val="nil"/>
              <w:tr2bl w:val="nil"/>
            </w:tcBorders>
            <w:vAlign w:val="center"/>
          </w:tcPr>
          <w:p>
            <w:pPr>
              <w:pStyle w:val="28"/>
              <w:bidi w:val="0"/>
              <w:rPr>
                <w:color w:val="auto"/>
                <w:highlight w:val="none"/>
              </w:rPr>
            </w:pPr>
            <w:r>
              <w:rPr>
                <w:color w:val="auto"/>
                <w:highlight w:val="none"/>
              </w:rPr>
              <w:t>0.2041</w:t>
            </w:r>
          </w:p>
        </w:tc>
        <w:tc>
          <w:tcPr>
            <w:tcW w:w="1784" w:type="dxa"/>
            <w:tcBorders>
              <w:tl2br w:val="nil"/>
              <w:tr2bl w:val="nil"/>
            </w:tcBorders>
            <w:vAlign w:val="center"/>
          </w:tcPr>
          <w:p>
            <w:pPr>
              <w:pStyle w:val="28"/>
              <w:bidi w:val="0"/>
              <w:rPr>
                <w:color w:val="auto"/>
                <w:highlight w:val="none"/>
              </w:rPr>
            </w:pPr>
            <w:r>
              <w:rPr>
                <w:color w:val="auto"/>
                <w:highlight w:val="none"/>
              </w:rPr>
              <w:t>0.0817</w:t>
            </w:r>
          </w:p>
        </w:tc>
        <w:tc>
          <w:tcPr>
            <w:tcW w:w="1657" w:type="dxa"/>
            <w:tcBorders>
              <w:tl2br w:val="nil"/>
              <w:tr2bl w:val="nil"/>
            </w:tcBorders>
            <w:vAlign w:val="center"/>
          </w:tcPr>
          <w:p>
            <w:pPr>
              <w:pStyle w:val="28"/>
              <w:bidi w:val="0"/>
              <w:rPr>
                <w:color w:val="auto"/>
                <w:highlight w:val="none"/>
              </w:rPr>
            </w:pPr>
            <w:r>
              <w:rPr>
                <w:color w:val="auto"/>
                <w:highlight w:val="none"/>
              </w:rPr>
              <w:t>0.8166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w:t>
            </w:r>
          </w:p>
        </w:tc>
        <w:tc>
          <w:tcPr>
            <w:tcW w:w="1801" w:type="dxa"/>
            <w:tcBorders>
              <w:tl2br w:val="nil"/>
              <w:tr2bl w:val="nil"/>
            </w:tcBorders>
            <w:vAlign w:val="center"/>
          </w:tcPr>
          <w:p>
            <w:pPr>
              <w:pStyle w:val="28"/>
              <w:bidi w:val="0"/>
              <w:rPr>
                <w:color w:val="auto"/>
                <w:highlight w:val="none"/>
              </w:rPr>
            </w:pPr>
            <w:r>
              <w:rPr>
                <w:color w:val="auto"/>
                <w:highlight w:val="none"/>
              </w:rPr>
              <w:t>0.7509</w:t>
            </w:r>
          </w:p>
        </w:tc>
        <w:tc>
          <w:tcPr>
            <w:tcW w:w="1676" w:type="dxa"/>
            <w:tcBorders>
              <w:tl2br w:val="nil"/>
              <w:tr2bl w:val="nil"/>
            </w:tcBorders>
            <w:vAlign w:val="center"/>
          </w:tcPr>
          <w:p>
            <w:pPr>
              <w:pStyle w:val="28"/>
              <w:bidi w:val="0"/>
              <w:rPr>
                <w:color w:val="auto"/>
                <w:highlight w:val="none"/>
              </w:rPr>
            </w:pPr>
            <w:r>
              <w:rPr>
                <w:color w:val="auto"/>
                <w:highlight w:val="none"/>
              </w:rPr>
              <w:t>0.3755</w:t>
            </w:r>
          </w:p>
        </w:tc>
        <w:tc>
          <w:tcPr>
            <w:tcW w:w="1784" w:type="dxa"/>
            <w:tcBorders>
              <w:tl2br w:val="nil"/>
              <w:tr2bl w:val="nil"/>
            </w:tcBorders>
            <w:vAlign w:val="center"/>
          </w:tcPr>
          <w:p>
            <w:pPr>
              <w:pStyle w:val="28"/>
              <w:bidi w:val="0"/>
              <w:rPr>
                <w:color w:val="auto"/>
                <w:highlight w:val="none"/>
              </w:rPr>
            </w:pPr>
            <w:r>
              <w:rPr>
                <w:color w:val="auto"/>
                <w:highlight w:val="none"/>
              </w:rPr>
              <w:t>0.1502</w:t>
            </w:r>
          </w:p>
        </w:tc>
        <w:tc>
          <w:tcPr>
            <w:tcW w:w="1657" w:type="dxa"/>
            <w:tcBorders>
              <w:tl2br w:val="nil"/>
              <w:tr2bl w:val="nil"/>
            </w:tcBorders>
            <w:vAlign w:val="center"/>
          </w:tcPr>
          <w:p>
            <w:pPr>
              <w:pStyle w:val="28"/>
              <w:bidi w:val="0"/>
              <w:rPr>
                <w:color w:val="auto"/>
                <w:highlight w:val="none"/>
              </w:rPr>
            </w:pPr>
            <w:r>
              <w:rPr>
                <w:color w:val="auto"/>
                <w:highlight w:val="none"/>
              </w:rPr>
              <w:t>1.5018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w:t>
            </w:r>
          </w:p>
        </w:tc>
        <w:tc>
          <w:tcPr>
            <w:tcW w:w="1801" w:type="dxa"/>
            <w:tcBorders>
              <w:tl2br w:val="nil"/>
              <w:tr2bl w:val="nil"/>
            </w:tcBorders>
            <w:vAlign w:val="center"/>
          </w:tcPr>
          <w:p>
            <w:pPr>
              <w:pStyle w:val="28"/>
              <w:bidi w:val="0"/>
              <w:rPr>
                <w:color w:val="auto"/>
                <w:highlight w:val="none"/>
              </w:rPr>
            </w:pPr>
            <w:r>
              <w:rPr>
                <w:color w:val="auto"/>
                <w:highlight w:val="none"/>
              </w:rPr>
              <w:t>1.1206</w:t>
            </w:r>
          </w:p>
        </w:tc>
        <w:tc>
          <w:tcPr>
            <w:tcW w:w="1676" w:type="dxa"/>
            <w:tcBorders>
              <w:tl2br w:val="nil"/>
              <w:tr2bl w:val="nil"/>
            </w:tcBorders>
            <w:vAlign w:val="center"/>
          </w:tcPr>
          <w:p>
            <w:pPr>
              <w:pStyle w:val="28"/>
              <w:bidi w:val="0"/>
              <w:rPr>
                <w:color w:val="auto"/>
                <w:highlight w:val="none"/>
              </w:rPr>
            </w:pPr>
            <w:r>
              <w:rPr>
                <w:color w:val="auto"/>
                <w:highlight w:val="none"/>
              </w:rPr>
              <w:t>0.5603</w:t>
            </w:r>
          </w:p>
        </w:tc>
        <w:tc>
          <w:tcPr>
            <w:tcW w:w="1784" w:type="dxa"/>
            <w:tcBorders>
              <w:tl2br w:val="nil"/>
              <w:tr2bl w:val="nil"/>
            </w:tcBorders>
            <w:vAlign w:val="center"/>
          </w:tcPr>
          <w:p>
            <w:pPr>
              <w:pStyle w:val="28"/>
              <w:bidi w:val="0"/>
              <w:rPr>
                <w:color w:val="auto"/>
                <w:highlight w:val="none"/>
              </w:rPr>
            </w:pPr>
            <w:r>
              <w:rPr>
                <w:color w:val="auto"/>
                <w:highlight w:val="none"/>
              </w:rPr>
              <w:t>0.2241</w:t>
            </w:r>
          </w:p>
        </w:tc>
        <w:tc>
          <w:tcPr>
            <w:tcW w:w="1657" w:type="dxa"/>
            <w:tcBorders>
              <w:tl2br w:val="nil"/>
              <w:tr2bl w:val="nil"/>
            </w:tcBorders>
            <w:vAlign w:val="center"/>
          </w:tcPr>
          <w:p>
            <w:pPr>
              <w:pStyle w:val="28"/>
              <w:bidi w:val="0"/>
              <w:rPr>
                <w:color w:val="auto"/>
                <w:highlight w:val="none"/>
              </w:rPr>
            </w:pPr>
            <w:r>
              <w:rPr>
                <w:color w:val="auto"/>
                <w:highlight w:val="none"/>
              </w:rPr>
              <w:t>2.2412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300.0</w:t>
            </w:r>
          </w:p>
        </w:tc>
        <w:tc>
          <w:tcPr>
            <w:tcW w:w="1801" w:type="dxa"/>
            <w:tcBorders>
              <w:tl2br w:val="nil"/>
              <w:tr2bl w:val="nil"/>
            </w:tcBorders>
            <w:vAlign w:val="center"/>
          </w:tcPr>
          <w:p>
            <w:pPr>
              <w:pStyle w:val="28"/>
              <w:bidi w:val="0"/>
              <w:rPr>
                <w:color w:val="auto"/>
                <w:highlight w:val="none"/>
              </w:rPr>
            </w:pPr>
            <w:r>
              <w:rPr>
                <w:color w:val="auto"/>
                <w:highlight w:val="none"/>
              </w:rPr>
              <w:t>0.6432</w:t>
            </w:r>
          </w:p>
        </w:tc>
        <w:tc>
          <w:tcPr>
            <w:tcW w:w="1676" w:type="dxa"/>
            <w:tcBorders>
              <w:tl2br w:val="nil"/>
              <w:tr2bl w:val="nil"/>
            </w:tcBorders>
            <w:vAlign w:val="center"/>
          </w:tcPr>
          <w:p>
            <w:pPr>
              <w:pStyle w:val="28"/>
              <w:bidi w:val="0"/>
              <w:rPr>
                <w:color w:val="auto"/>
                <w:highlight w:val="none"/>
              </w:rPr>
            </w:pPr>
            <w:r>
              <w:rPr>
                <w:color w:val="auto"/>
                <w:highlight w:val="none"/>
              </w:rPr>
              <w:t>0.3216</w:t>
            </w:r>
          </w:p>
        </w:tc>
        <w:tc>
          <w:tcPr>
            <w:tcW w:w="1784" w:type="dxa"/>
            <w:tcBorders>
              <w:tl2br w:val="nil"/>
              <w:tr2bl w:val="nil"/>
            </w:tcBorders>
            <w:vAlign w:val="center"/>
          </w:tcPr>
          <w:p>
            <w:pPr>
              <w:pStyle w:val="28"/>
              <w:bidi w:val="0"/>
              <w:rPr>
                <w:color w:val="auto"/>
                <w:highlight w:val="none"/>
              </w:rPr>
            </w:pPr>
            <w:r>
              <w:rPr>
                <w:color w:val="auto"/>
                <w:highlight w:val="none"/>
              </w:rPr>
              <w:t>0.1286</w:t>
            </w:r>
          </w:p>
        </w:tc>
        <w:tc>
          <w:tcPr>
            <w:tcW w:w="1657" w:type="dxa"/>
            <w:tcBorders>
              <w:tl2br w:val="nil"/>
              <w:tr2bl w:val="nil"/>
            </w:tcBorders>
            <w:vAlign w:val="center"/>
          </w:tcPr>
          <w:p>
            <w:pPr>
              <w:pStyle w:val="28"/>
              <w:bidi w:val="0"/>
              <w:rPr>
                <w:color w:val="auto"/>
                <w:highlight w:val="none"/>
              </w:rPr>
            </w:pPr>
            <w:r>
              <w:rPr>
                <w:color w:val="auto"/>
                <w:highlight w:val="none"/>
              </w:rPr>
              <w:t>1.2864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400.0</w:t>
            </w:r>
          </w:p>
        </w:tc>
        <w:tc>
          <w:tcPr>
            <w:tcW w:w="1801" w:type="dxa"/>
            <w:tcBorders>
              <w:tl2br w:val="nil"/>
              <w:tr2bl w:val="nil"/>
            </w:tcBorders>
            <w:vAlign w:val="center"/>
          </w:tcPr>
          <w:p>
            <w:pPr>
              <w:pStyle w:val="28"/>
              <w:bidi w:val="0"/>
              <w:rPr>
                <w:color w:val="auto"/>
                <w:highlight w:val="none"/>
              </w:rPr>
            </w:pPr>
            <w:r>
              <w:rPr>
                <w:color w:val="auto"/>
                <w:highlight w:val="none"/>
              </w:rPr>
              <w:t>0.4450</w:t>
            </w:r>
          </w:p>
        </w:tc>
        <w:tc>
          <w:tcPr>
            <w:tcW w:w="1676" w:type="dxa"/>
            <w:tcBorders>
              <w:tl2br w:val="nil"/>
              <w:tr2bl w:val="nil"/>
            </w:tcBorders>
            <w:vAlign w:val="center"/>
          </w:tcPr>
          <w:p>
            <w:pPr>
              <w:pStyle w:val="28"/>
              <w:bidi w:val="0"/>
              <w:rPr>
                <w:color w:val="auto"/>
                <w:highlight w:val="none"/>
              </w:rPr>
            </w:pPr>
            <w:r>
              <w:rPr>
                <w:color w:val="auto"/>
                <w:highlight w:val="none"/>
              </w:rPr>
              <w:t>0.2225</w:t>
            </w:r>
          </w:p>
        </w:tc>
        <w:tc>
          <w:tcPr>
            <w:tcW w:w="1784" w:type="dxa"/>
            <w:tcBorders>
              <w:tl2br w:val="nil"/>
              <w:tr2bl w:val="nil"/>
            </w:tcBorders>
            <w:vAlign w:val="center"/>
          </w:tcPr>
          <w:p>
            <w:pPr>
              <w:pStyle w:val="28"/>
              <w:bidi w:val="0"/>
              <w:rPr>
                <w:color w:val="auto"/>
                <w:highlight w:val="none"/>
              </w:rPr>
            </w:pPr>
            <w:r>
              <w:rPr>
                <w:color w:val="auto"/>
                <w:highlight w:val="none"/>
              </w:rPr>
              <w:t>0.0890</w:t>
            </w:r>
          </w:p>
        </w:tc>
        <w:tc>
          <w:tcPr>
            <w:tcW w:w="1657" w:type="dxa"/>
            <w:tcBorders>
              <w:tl2br w:val="nil"/>
              <w:tr2bl w:val="nil"/>
            </w:tcBorders>
            <w:vAlign w:val="center"/>
          </w:tcPr>
          <w:p>
            <w:pPr>
              <w:pStyle w:val="28"/>
              <w:bidi w:val="0"/>
              <w:rPr>
                <w:color w:val="auto"/>
                <w:highlight w:val="none"/>
              </w:rPr>
            </w:pPr>
            <w:r>
              <w:rPr>
                <w:color w:val="auto"/>
                <w:highlight w:val="none"/>
              </w:rPr>
              <w:t>0.8900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500.0</w:t>
            </w:r>
          </w:p>
        </w:tc>
        <w:tc>
          <w:tcPr>
            <w:tcW w:w="1801" w:type="dxa"/>
            <w:tcBorders>
              <w:tl2br w:val="nil"/>
              <w:tr2bl w:val="nil"/>
            </w:tcBorders>
            <w:vAlign w:val="center"/>
          </w:tcPr>
          <w:p>
            <w:pPr>
              <w:pStyle w:val="28"/>
              <w:bidi w:val="0"/>
              <w:rPr>
                <w:color w:val="auto"/>
                <w:highlight w:val="none"/>
              </w:rPr>
            </w:pPr>
            <w:r>
              <w:rPr>
                <w:color w:val="auto"/>
                <w:highlight w:val="none"/>
              </w:rPr>
              <w:t>0.3416</w:t>
            </w:r>
          </w:p>
        </w:tc>
        <w:tc>
          <w:tcPr>
            <w:tcW w:w="1676" w:type="dxa"/>
            <w:tcBorders>
              <w:tl2br w:val="nil"/>
              <w:tr2bl w:val="nil"/>
            </w:tcBorders>
            <w:vAlign w:val="center"/>
          </w:tcPr>
          <w:p>
            <w:pPr>
              <w:pStyle w:val="28"/>
              <w:bidi w:val="0"/>
              <w:rPr>
                <w:color w:val="auto"/>
                <w:highlight w:val="none"/>
              </w:rPr>
            </w:pPr>
            <w:r>
              <w:rPr>
                <w:color w:val="auto"/>
                <w:highlight w:val="none"/>
              </w:rPr>
              <w:t>0.1708</w:t>
            </w:r>
          </w:p>
        </w:tc>
        <w:tc>
          <w:tcPr>
            <w:tcW w:w="1784" w:type="dxa"/>
            <w:tcBorders>
              <w:tl2br w:val="nil"/>
              <w:tr2bl w:val="nil"/>
            </w:tcBorders>
            <w:vAlign w:val="center"/>
          </w:tcPr>
          <w:p>
            <w:pPr>
              <w:pStyle w:val="28"/>
              <w:bidi w:val="0"/>
              <w:rPr>
                <w:color w:val="auto"/>
                <w:highlight w:val="none"/>
              </w:rPr>
            </w:pPr>
            <w:r>
              <w:rPr>
                <w:color w:val="auto"/>
                <w:highlight w:val="none"/>
              </w:rPr>
              <w:t>0.0683</w:t>
            </w:r>
          </w:p>
        </w:tc>
        <w:tc>
          <w:tcPr>
            <w:tcW w:w="1657" w:type="dxa"/>
            <w:tcBorders>
              <w:tl2br w:val="nil"/>
              <w:tr2bl w:val="nil"/>
            </w:tcBorders>
            <w:vAlign w:val="center"/>
          </w:tcPr>
          <w:p>
            <w:pPr>
              <w:pStyle w:val="28"/>
              <w:bidi w:val="0"/>
              <w:rPr>
                <w:color w:val="auto"/>
                <w:highlight w:val="none"/>
              </w:rPr>
            </w:pPr>
            <w:r>
              <w:rPr>
                <w:color w:val="auto"/>
                <w:highlight w:val="none"/>
              </w:rPr>
              <w:t>0.6831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600.0</w:t>
            </w:r>
          </w:p>
        </w:tc>
        <w:tc>
          <w:tcPr>
            <w:tcW w:w="1801" w:type="dxa"/>
            <w:tcBorders>
              <w:tl2br w:val="nil"/>
              <w:tr2bl w:val="nil"/>
            </w:tcBorders>
            <w:vAlign w:val="center"/>
          </w:tcPr>
          <w:p>
            <w:pPr>
              <w:pStyle w:val="28"/>
              <w:bidi w:val="0"/>
              <w:rPr>
                <w:color w:val="auto"/>
                <w:highlight w:val="none"/>
              </w:rPr>
            </w:pPr>
            <w:r>
              <w:rPr>
                <w:color w:val="auto"/>
                <w:highlight w:val="none"/>
              </w:rPr>
              <w:t>0.2777</w:t>
            </w:r>
          </w:p>
        </w:tc>
        <w:tc>
          <w:tcPr>
            <w:tcW w:w="1676" w:type="dxa"/>
            <w:tcBorders>
              <w:tl2br w:val="nil"/>
              <w:tr2bl w:val="nil"/>
            </w:tcBorders>
            <w:vAlign w:val="center"/>
          </w:tcPr>
          <w:p>
            <w:pPr>
              <w:pStyle w:val="28"/>
              <w:bidi w:val="0"/>
              <w:rPr>
                <w:color w:val="auto"/>
                <w:highlight w:val="none"/>
              </w:rPr>
            </w:pPr>
            <w:r>
              <w:rPr>
                <w:color w:val="auto"/>
                <w:highlight w:val="none"/>
              </w:rPr>
              <w:t>0.1389</w:t>
            </w:r>
          </w:p>
        </w:tc>
        <w:tc>
          <w:tcPr>
            <w:tcW w:w="1784" w:type="dxa"/>
            <w:tcBorders>
              <w:tl2br w:val="nil"/>
              <w:tr2bl w:val="nil"/>
            </w:tcBorders>
            <w:vAlign w:val="center"/>
          </w:tcPr>
          <w:p>
            <w:pPr>
              <w:pStyle w:val="28"/>
              <w:bidi w:val="0"/>
              <w:rPr>
                <w:color w:val="auto"/>
                <w:highlight w:val="none"/>
              </w:rPr>
            </w:pPr>
            <w:r>
              <w:rPr>
                <w:color w:val="auto"/>
                <w:highlight w:val="none"/>
              </w:rPr>
              <w:t>0.0555</w:t>
            </w:r>
          </w:p>
        </w:tc>
        <w:tc>
          <w:tcPr>
            <w:tcW w:w="1657" w:type="dxa"/>
            <w:tcBorders>
              <w:tl2br w:val="nil"/>
              <w:tr2bl w:val="nil"/>
            </w:tcBorders>
            <w:vAlign w:val="center"/>
          </w:tcPr>
          <w:p>
            <w:pPr>
              <w:pStyle w:val="28"/>
              <w:bidi w:val="0"/>
              <w:rPr>
                <w:color w:val="auto"/>
                <w:highlight w:val="none"/>
              </w:rPr>
            </w:pPr>
            <w:r>
              <w:rPr>
                <w:color w:val="auto"/>
                <w:highlight w:val="none"/>
              </w:rPr>
              <w:t>0.5555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700.0</w:t>
            </w:r>
          </w:p>
        </w:tc>
        <w:tc>
          <w:tcPr>
            <w:tcW w:w="1801" w:type="dxa"/>
            <w:tcBorders>
              <w:tl2br w:val="nil"/>
              <w:tr2bl w:val="nil"/>
            </w:tcBorders>
            <w:vAlign w:val="center"/>
          </w:tcPr>
          <w:p>
            <w:pPr>
              <w:pStyle w:val="28"/>
              <w:bidi w:val="0"/>
              <w:rPr>
                <w:color w:val="auto"/>
                <w:highlight w:val="none"/>
              </w:rPr>
            </w:pPr>
            <w:r>
              <w:rPr>
                <w:color w:val="auto"/>
                <w:highlight w:val="none"/>
              </w:rPr>
              <w:t>0.2366</w:t>
            </w:r>
          </w:p>
        </w:tc>
        <w:tc>
          <w:tcPr>
            <w:tcW w:w="1676" w:type="dxa"/>
            <w:tcBorders>
              <w:tl2br w:val="nil"/>
              <w:tr2bl w:val="nil"/>
            </w:tcBorders>
            <w:vAlign w:val="center"/>
          </w:tcPr>
          <w:p>
            <w:pPr>
              <w:pStyle w:val="28"/>
              <w:bidi w:val="0"/>
              <w:rPr>
                <w:color w:val="auto"/>
                <w:highlight w:val="none"/>
              </w:rPr>
            </w:pPr>
            <w:r>
              <w:rPr>
                <w:color w:val="auto"/>
                <w:highlight w:val="none"/>
              </w:rPr>
              <w:t>0.1183</w:t>
            </w:r>
          </w:p>
        </w:tc>
        <w:tc>
          <w:tcPr>
            <w:tcW w:w="1784" w:type="dxa"/>
            <w:tcBorders>
              <w:tl2br w:val="nil"/>
              <w:tr2bl w:val="nil"/>
            </w:tcBorders>
            <w:vAlign w:val="center"/>
          </w:tcPr>
          <w:p>
            <w:pPr>
              <w:pStyle w:val="28"/>
              <w:bidi w:val="0"/>
              <w:rPr>
                <w:color w:val="auto"/>
                <w:highlight w:val="none"/>
              </w:rPr>
            </w:pPr>
            <w:r>
              <w:rPr>
                <w:color w:val="auto"/>
                <w:highlight w:val="none"/>
              </w:rPr>
              <w:t>0.0473</w:t>
            </w:r>
          </w:p>
        </w:tc>
        <w:tc>
          <w:tcPr>
            <w:tcW w:w="1657" w:type="dxa"/>
            <w:tcBorders>
              <w:tl2br w:val="nil"/>
              <w:tr2bl w:val="nil"/>
            </w:tcBorders>
            <w:vAlign w:val="center"/>
          </w:tcPr>
          <w:p>
            <w:pPr>
              <w:pStyle w:val="28"/>
              <w:bidi w:val="0"/>
              <w:rPr>
                <w:color w:val="auto"/>
                <w:highlight w:val="none"/>
              </w:rPr>
            </w:pPr>
            <w:r>
              <w:rPr>
                <w:color w:val="auto"/>
                <w:highlight w:val="none"/>
              </w:rPr>
              <w:t>0.4731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800.0</w:t>
            </w:r>
          </w:p>
        </w:tc>
        <w:tc>
          <w:tcPr>
            <w:tcW w:w="1801" w:type="dxa"/>
            <w:tcBorders>
              <w:tl2br w:val="nil"/>
              <w:tr2bl w:val="nil"/>
            </w:tcBorders>
            <w:vAlign w:val="center"/>
          </w:tcPr>
          <w:p>
            <w:pPr>
              <w:pStyle w:val="28"/>
              <w:bidi w:val="0"/>
              <w:rPr>
                <w:color w:val="auto"/>
                <w:highlight w:val="none"/>
              </w:rPr>
            </w:pPr>
            <w:r>
              <w:rPr>
                <w:color w:val="auto"/>
                <w:highlight w:val="none"/>
              </w:rPr>
              <w:t>0.2026</w:t>
            </w:r>
          </w:p>
        </w:tc>
        <w:tc>
          <w:tcPr>
            <w:tcW w:w="1676" w:type="dxa"/>
            <w:tcBorders>
              <w:tl2br w:val="nil"/>
              <w:tr2bl w:val="nil"/>
            </w:tcBorders>
            <w:vAlign w:val="center"/>
          </w:tcPr>
          <w:p>
            <w:pPr>
              <w:pStyle w:val="28"/>
              <w:bidi w:val="0"/>
              <w:rPr>
                <w:color w:val="auto"/>
                <w:highlight w:val="none"/>
              </w:rPr>
            </w:pPr>
            <w:r>
              <w:rPr>
                <w:color w:val="auto"/>
                <w:highlight w:val="none"/>
              </w:rPr>
              <w:t>0.1013</w:t>
            </w:r>
          </w:p>
        </w:tc>
        <w:tc>
          <w:tcPr>
            <w:tcW w:w="1784" w:type="dxa"/>
            <w:tcBorders>
              <w:tl2br w:val="nil"/>
              <w:tr2bl w:val="nil"/>
            </w:tcBorders>
            <w:vAlign w:val="center"/>
          </w:tcPr>
          <w:p>
            <w:pPr>
              <w:pStyle w:val="28"/>
              <w:bidi w:val="0"/>
              <w:rPr>
                <w:color w:val="auto"/>
                <w:highlight w:val="none"/>
              </w:rPr>
            </w:pPr>
            <w:r>
              <w:rPr>
                <w:color w:val="auto"/>
                <w:highlight w:val="none"/>
              </w:rPr>
              <w:t>0.0405</w:t>
            </w:r>
          </w:p>
        </w:tc>
        <w:tc>
          <w:tcPr>
            <w:tcW w:w="1657" w:type="dxa"/>
            <w:tcBorders>
              <w:tl2br w:val="nil"/>
              <w:tr2bl w:val="nil"/>
            </w:tcBorders>
            <w:vAlign w:val="center"/>
          </w:tcPr>
          <w:p>
            <w:pPr>
              <w:pStyle w:val="28"/>
              <w:bidi w:val="0"/>
              <w:rPr>
                <w:color w:val="auto"/>
                <w:highlight w:val="none"/>
              </w:rPr>
            </w:pPr>
            <w:r>
              <w:rPr>
                <w:color w:val="auto"/>
                <w:highlight w:val="none"/>
              </w:rPr>
              <w:t>0.4052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900.0</w:t>
            </w:r>
          </w:p>
        </w:tc>
        <w:tc>
          <w:tcPr>
            <w:tcW w:w="1801" w:type="dxa"/>
            <w:tcBorders>
              <w:tl2br w:val="nil"/>
              <w:tr2bl w:val="nil"/>
            </w:tcBorders>
            <w:vAlign w:val="center"/>
          </w:tcPr>
          <w:p>
            <w:pPr>
              <w:pStyle w:val="28"/>
              <w:bidi w:val="0"/>
              <w:rPr>
                <w:color w:val="auto"/>
                <w:highlight w:val="none"/>
              </w:rPr>
            </w:pPr>
            <w:r>
              <w:rPr>
                <w:color w:val="auto"/>
                <w:highlight w:val="none"/>
              </w:rPr>
              <w:t>0.1845</w:t>
            </w:r>
          </w:p>
        </w:tc>
        <w:tc>
          <w:tcPr>
            <w:tcW w:w="1676" w:type="dxa"/>
            <w:tcBorders>
              <w:tl2br w:val="nil"/>
              <w:tr2bl w:val="nil"/>
            </w:tcBorders>
            <w:vAlign w:val="center"/>
          </w:tcPr>
          <w:p>
            <w:pPr>
              <w:pStyle w:val="28"/>
              <w:bidi w:val="0"/>
              <w:rPr>
                <w:color w:val="auto"/>
                <w:highlight w:val="none"/>
              </w:rPr>
            </w:pPr>
            <w:r>
              <w:rPr>
                <w:color w:val="auto"/>
                <w:highlight w:val="none"/>
              </w:rPr>
              <w:t>0.0922</w:t>
            </w:r>
          </w:p>
        </w:tc>
        <w:tc>
          <w:tcPr>
            <w:tcW w:w="1784" w:type="dxa"/>
            <w:tcBorders>
              <w:tl2br w:val="nil"/>
              <w:tr2bl w:val="nil"/>
            </w:tcBorders>
            <w:vAlign w:val="center"/>
          </w:tcPr>
          <w:p>
            <w:pPr>
              <w:pStyle w:val="28"/>
              <w:bidi w:val="0"/>
              <w:rPr>
                <w:color w:val="auto"/>
                <w:highlight w:val="none"/>
              </w:rPr>
            </w:pPr>
            <w:r>
              <w:rPr>
                <w:color w:val="auto"/>
                <w:highlight w:val="none"/>
              </w:rPr>
              <w:t>0.0369</w:t>
            </w:r>
          </w:p>
        </w:tc>
        <w:tc>
          <w:tcPr>
            <w:tcW w:w="1657" w:type="dxa"/>
            <w:tcBorders>
              <w:tl2br w:val="nil"/>
              <w:tr2bl w:val="nil"/>
            </w:tcBorders>
            <w:vAlign w:val="center"/>
          </w:tcPr>
          <w:p>
            <w:pPr>
              <w:pStyle w:val="28"/>
              <w:bidi w:val="0"/>
              <w:rPr>
                <w:color w:val="auto"/>
                <w:highlight w:val="none"/>
              </w:rPr>
            </w:pPr>
            <w:r>
              <w:rPr>
                <w:color w:val="auto"/>
                <w:highlight w:val="none"/>
              </w:rPr>
              <w:t>0.3689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1000.0</w:t>
            </w:r>
          </w:p>
        </w:tc>
        <w:tc>
          <w:tcPr>
            <w:tcW w:w="1801" w:type="dxa"/>
            <w:tcBorders>
              <w:tl2br w:val="nil"/>
              <w:tr2bl w:val="nil"/>
            </w:tcBorders>
            <w:vAlign w:val="center"/>
          </w:tcPr>
          <w:p>
            <w:pPr>
              <w:pStyle w:val="28"/>
              <w:bidi w:val="0"/>
              <w:rPr>
                <w:color w:val="auto"/>
                <w:highlight w:val="none"/>
              </w:rPr>
            </w:pPr>
            <w:r>
              <w:rPr>
                <w:color w:val="auto"/>
                <w:highlight w:val="none"/>
              </w:rPr>
              <w:t>0.1677</w:t>
            </w:r>
          </w:p>
        </w:tc>
        <w:tc>
          <w:tcPr>
            <w:tcW w:w="1676" w:type="dxa"/>
            <w:tcBorders>
              <w:tl2br w:val="nil"/>
              <w:tr2bl w:val="nil"/>
            </w:tcBorders>
            <w:vAlign w:val="center"/>
          </w:tcPr>
          <w:p>
            <w:pPr>
              <w:pStyle w:val="28"/>
              <w:bidi w:val="0"/>
              <w:rPr>
                <w:color w:val="auto"/>
                <w:highlight w:val="none"/>
              </w:rPr>
            </w:pPr>
            <w:r>
              <w:rPr>
                <w:color w:val="auto"/>
                <w:highlight w:val="none"/>
              </w:rPr>
              <w:t>0.0839</w:t>
            </w:r>
          </w:p>
        </w:tc>
        <w:tc>
          <w:tcPr>
            <w:tcW w:w="1784" w:type="dxa"/>
            <w:tcBorders>
              <w:tl2br w:val="nil"/>
              <w:tr2bl w:val="nil"/>
            </w:tcBorders>
            <w:vAlign w:val="center"/>
          </w:tcPr>
          <w:p>
            <w:pPr>
              <w:pStyle w:val="28"/>
              <w:bidi w:val="0"/>
              <w:rPr>
                <w:color w:val="auto"/>
                <w:highlight w:val="none"/>
              </w:rPr>
            </w:pPr>
            <w:r>
              <w:rPr>
                <w:color w:val="auto"/>
                <w:highlight w:val="none"/>
              </w:rPr>
              <w:t>0.0335</w:t>
            </w:r>
          </w:p>
        </w:tc>
        <w:tc>
          <w:tcPr>
            <w:tcW w:w="1657" w:type="dxa"/>
            <w:tcBorders>
              <w:tl2br w:val="nil"/>
              <w:tr2bl w:val="nil"/>
            </w:tcBorders>
            <w:vAlign w:val="center"/>
          </w:tcPr>
          <w:p>
            <w:pPr>
              <w:pStyle w:val="28"/>
              <w:bidi w:val="0"/>
              <w:rPr>
                <w:color w:val="auto"/>
                <w:highlight w:val="none"/>
              </w:rPr>
            </w:pPr>
            <w:r>
              <w:rPr>
                <w:color w:val="auto"/>
                <w:highlight w:val="none"/>
              </w:rPr>
              <w:t>0.3354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1200.0</w:t>
            </w:r>
          </w:p>
        </w:tc>
        <w:tc>
          <w:tcPr>
            <w:tcW w:w="1801" w:type="dxa"/>
            <w:tcBorders>
              <w:tl2br w:val="nil"/>
              <w:tr2bl w:val="nil"/>
            </w:tcBorders>
            <w:vAlign w:val="center"/>
          </w:tcPr>
          <w:p>
            <w:pPr>
              <w:pStyle w:val="28"/>
              <w:bidi w:val="0"/>
              <w:rPr>
                <w:color w:val="auto"/>
                <w:highlight w:val="none"/>
              </w:rPr>
            </w:pPr>
            <w:r>
              <w:rPr>
                <w:color w:val="auto"/>
                <w:highlight w:val="none"/>
              </w:rPr>
              <w:t>0.1349</w:t>
            </w:r>
          </w:p>
        </w:tc>
        <w:tc>
          <w:tcPr>
            <w:tcW w:w="1676" w:type="dxa"/>
            <w:tcBorders>
              <w:tl2br w:val="nil"/>
              <w:tr2bl w:val="nil"/>
            </w:tcBorders>
            <w:vAlign w:val="center"/>
          </w:tcPr>
          <w:p>
            <w:pPr>
              <w:pStyle w:val="28"/>
              <w:bidi w:val="0"/>
              <w:rPr>
                <w:color w:val="auto"/>
                <w:highlight w:val="none"/>
              </w:rPr>
            </w:pPr>
            <w:r>
              <w:rPr>
                <w:color w:val="auto"/>
                <w:highlight w:val="none"/>
              </w:rPr>
              <w:t>0.0674</w:t>
            </w:r>
          </w:p>
        </w:tc>
        <w:tc>
          <w:tcPr>
            <w:tcW w:w="1784" w:type="dxa"/>
            <w:tcBorders>
              <w:tl2br w:val="nil"/>
              <w:tr2bl w:val="nil"/>
            </w:tcBorders>
            <w:vAlign w:val="center"/>
          </w:tcPr>
          <w:p>
            <w:pPr>
              <w:pStyle w:val="28"/>
              <w:bidi w:val="0"/>
              <w:rPr>
                <w:color w:val="auto"/>
                <w:highlight w:val="none"/>
              </w:rPr>
            </w:pPr>
            <w:r>
              <w:rPr>
                <w:color w:val="auto"/>
                <w:highlight w:val="none"/>
              </w:rPr>
              <w:t>0.0270</w:t>
            </w:r>
          </w:p>
        </w:tc>
        <w:tc>
          <w:tcPr>
            <w:tcW w:w="1657" w:type="dxa"/>
            <w:tcBorders>
              <w:tl2br w:val="nil"/>
              <w:tr2bl w:val="nil"/>
            </w:tcBorders>
            <w:vAlign w:val="center"/>
          </w:tcPr>
          <w:p>
            <w:pPr>
              <w:pStyle w:val="28"/>
              <w:bidi w:val="0"/>
              <w:rPr>
                <w:color w:val="auto"/>
                <w:highlight w:val="none"/>
              </w:rPr>
            </w:pPr>
            <w:r>
              <w:rPr>
                <w:color w:val="auto"/>
                <w:highlight w:val="none"/>
              </w:rPr>
              <w:t>0.2697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1400.0</w:t>
            </w:r>
          </w:p>
        </w:tc>
        <w:tc>
          <w:tcPr>
            <w:tcW w:w="1801" w:type="dxa"/>
            <w:tcBorders>
              <w:tl2br w:val="nil"/>
              <w:tr2bl w:val="nil"/>
            </w:tcBorders>
            <w:vAlign w:val="center"/>
          </w:tcPr>
          <w:p>
            <w:pPr>
              <w:pStyle w:val="28"/>
              <w:bidi w:val="0"/>
              <w:rPr>
                <w:color w:val="auto"/>
                <w:highlight w:val="none"/>
              </w:rPr>
            </w:pPr>
            <w:r>
              <w:rPr>
                <w:color w:val="auto"/>
                <w:highlight w:val="none"/>
              </w:rPr>
              <w:t>0.1221</w:t>
            </w:r>
          </w:p>
        </w:tc>
        <w:tc>
          <w:tcPr>
            <w:tcW w:w="1676" w:type="dxa"/>
            <w:tcBorders>
              <w:tl2br w:val="nil"/>
              <w:tr2bl w:val="nil"/>
            </w:tcBorders>
            <w:vAlign w:val="center"/>
          </w:tcPr>
          <w:p>
            <w:pPr>
              <w:pStyle w:val="28"/>
              <w:bidi w:val="0"/>
              <w:rPr>
                <w:color w:val="auto"/>
                <w:highlight w:val="none"/>
              </w:rPr>
            </w:pPr>
            <w:r>
              <w:rPr>
                <w:color w:val="auto"/>
                <w:highlight w:val="none"/>
              </w:rPr>
              <w:t>0.0611</w:t>
            </w:r>
          </w:p>
        </w:tc>
        <w:tc>
          <w:tcPr>
            <w:tcW w:w="1784" w:type="dxa"/>
            <w:tcBorders>
              <w:tl2br w:val="nil"/>
              <w:tr2bl w:val="nil"/>
            </w:tcBorders>
            <w:vAlign w:val="center"/>
          </w:tcPr>
          <w:p>
            <w:pPr>
              <w:pStyle w:val="28"/>
              <w:bidi w:val="0"/>
              <w:rPr>
                <w:color w:val="auto"/>
                <w:highlight w:val="none"/>
              </w:rPr>
            </w:pPr>
            <w:r>
              <w:rPr>
                <w:color w:val="auto"/>
                <w:highlight w:val="none"/>
              </w:rPr>
              <w:t>0.0244</w:t>
            </w:r>
          </w:p>
        </w:tc>
        <w:tc>
          <w:tcPr>
            <w:tcW w:w="1657" w:type="dxa"/>
            <w:tcBorders>
              <w:tl2br w:val="nil"/>
              <w:tr2bl w:val="nil"/>
            </w:tcBorders>
            <w:vAlign w:val="center"/>
          </w:tcPr>
          <w:p>
            <w:pPr>
              <w:pStyle w:val="28"/>
              <w:bidi w:val="0"/>
              <w:rPr>
                <w:color w:val="auto"/>
                <w:highlight w:val="none"/>
              </w:rPr>
            </w:pPr>
            <w:r>
              <w:rPr>
                <w:color w:val="auto"/>
                <w:highlight w:val="none"/>
              </w:rPr>
              <w:t>0.2443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1600.0</w:t>
            </w:r>
          </w:p>
        </w:tc>
        <w:tc>
          <w:tcPr>
            <w:tcW w:w="1801" w:type="dxa"/>
            <w:tcBorders>
              <w:tl2br w:val="nil"/>
              <w:tr2bl w:val="nil"/>
            </w:tcBorders>
            <w:vAlign w:val="center"/>
          </w:tcPr>
          <w:p>
            <w:pPr>
              <w:pStyle w:val="28"/>
              <w:bidi w:val="0"/>
              <w:rPr>
                <w:color w:val="auto"/>
                <w:highlight w:val="none"/>
              </w:rPr>
            </w:pPr>
            <w:r>
              <w:rPr>
                <w:color w:val="auto"/>
                <w:highlight w:val="none"/>
              </w:rPr>
              <w:t>0.1083</w:t>
            </w:r>
          </w:p>
        </w:tc>
        <w:tc>
          <w:tcPr>
            <w:tcW w:w="1676" w:type="dxa"/>
            <w:tcBorders>
              <w:tl2br w:val="nil"/>
              <w:tr2bl w:val="nil"/>
            </w:tcBorders>
            <w:vAlign w:val="center"/>
          </w:tcPr>
          <w:p>
            <w:pPr>
              <w:pStyle w:val="28"/>
              <w:bidi w:val="0"/>
              <w:rPr>
                <w:color w:val="auto"/>
                <w:highlight w:val="none"/>
              </w:rPr>
            </w:pPr>
            <w:r>
              <w:rPr>
                <w:color w:val="auto"/>
                <w:highlight w:val="none"/>
              </w:rPr>
              <w:t>0.0542</w:t>
            </w:r>
          </w:p>
        </w:tc>
        <w:tc>
          <w:tcPr>
            <w:tcW w:w="1784" w:type="dxa"/>
            <w:tcBorders>
              <w:tl2br w:val="nil"/>
              <w:tr2bl w:val="nil"/>
            </w:tcBorders>
            <w:vAlign w:val="center"/>
          </w:tcPr>
          <w:p>
            <w:pPr>
              <w:pStyle w:val="28"/>
              <w:bidi w:val="0"/>
              <w:rPr>
                <w:color w:val="auto"/>
                <w:highlight w:val="none"/>
              </w:rPr>
            </w:pPr>
            <w:r>
              <w:rPr>
                <w:color w:val="auto"/>
                <w:highlight w:val="none"/>
              </w:rPr>
              <w:t>0.0217</w:t>
            </w:r>
          </w:p>
        </w:tc>
        <w:tc>
          <w:tcPr>
            <w:tcW w:w="1657" w:type="dxa"/>
            <w:tcBorders>
              <w:tl2br w:val="nil"/>
              <w:tr2bl w:val="nil"/>
            </w:tcBorders>
            <w:vAlign w:val="center"/>
          </w:tcPr>
          <w:p>
            <w:pPr>
              <w:pStyle w:val="28"/>
              <w:bidi w:val="0"/>
              <w:rPr>
                <w:color w:val="auto"/>
                <w:highlight w:val="none"/>
              </w:rPr>
            </w:pPr>
            <w:r>
              <w:rPr>
                <w:color w:val="auto"/>
                <w:highlight w:val="none"/>
              </w:rPr>
              <w:t>0.2166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1800.0</w:t>
            </w:r>
          </w:p>
        </w:tc>
        <w:tc>
          <w:tcPr>
            <w:tcW w:w="1801" w:type="dxa"/>
            <w:tcBorders>
              <w:tl2br w:val="nil"/>
              <w:tr2bl w:val="nil"/>
            </w:tcBorders>
            <w:vAlign w:val="center"/>
          </w:tcPr>
          <w:p>
            <w:pPr>
              <w:pStyle w:val="28"/>
              <w:bidi w:val="0"/>
              <w:rPr>
                <w:color w:val="auto"/>
                <w:highlight w:val="none"/>
              </w:rPr>
            </w:pPr>
            <w:r>
              <w:rPr>
                <w:color w:val="auto"/>
                <w:highlight w:val="none"/>
              </w:rPr>
              <w:t>0.0982</w:t>
            </w:r>
          </w:p>
        </w:tc>
        <w:tc>
          <w:tcPr>
            <w:tcW w:w="1676" w:type="dxa"/>
            <w:tcBorders>
              <w:tl2br w:val="nil"/>
              <w:tr2bl w:val="nil"/>
            </w:tcBorders>
            <w:vAlign w:val="center"/>
          </w:tcPr>
          <w:p>
            <w:pPr>
              <w:pStyle w:val="28"/>
              <w:bidi w:val="0"/>
              <w:rPr>
                <w:color w:val="auto"/>
                <w:highlight w:val="none"/>
              </w:rPr>
            </w:pPr>
            <w:r>
              <w:rPr>
                <w:color w:val="auto"/>
                <w:highlight w:val="none"/>
              </w:rPr>
              <w:t>0.0491</w:t>
            </w:r>
          </w:p>
        </w:tc>
        <w:tc>
          <w:tcPr>
            <w:tcW w:w="1784" w:type="dxa"/>
            <w:tcBorders>
              <w:tl2br w:val="nil"/>
              <w:tr2bl w:val="nil"/>
            </w:tcBorders>
            <w:vAlign w:val="center"/>
          </w:tcPr>
          <w:p>
            <w:pPr>
              <w:pStyle w:val="28"/>
              <w:bidi w:val="0"/>
              <w:rPr>
                <w:color w:val="auto"/>
                <w:highlight w:val="none"/>
              </w:rPr>
            </w:pPr>
            <w:r>
              <w:rPr>
                <w:color w:val="auto"/>
                <w:highlight w:val="none"/>
              </w:rPr>
              <w:t>0.0196</w:t>
            </w:r>
          </w:p>
        </w:tc>
        <w:tc>
          <w:tcPr>
            <w:tcW w:w="1657" w:type="dxa"/>
            <w:tcBorders>
              <w:tl2br w:val="nil"/>
              <w:tr2bl w:val="nil"/>
            </w:tcBorders>
            <w:vAlign w:val="center"/>
          </w:tcPr>
          <w:p>
            <w:pPr>
              <w:pStyle w:val="28"/>
              <w:bidi w:val="0"/>
              <w:rPr>
                <w:color w:val="auto"/>
                <w:highlight w:val="none"/>
              </w:rPr>
            </w:pPr>
            <w:r>
              <w:rPr>
                <w:color w:val="auto"/>
                <w:highlight w:val="none"/>
              </w:rPr>
              <w:t>0.1964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2000.0</w:t>
            </w:r>
          </w:p>
        </w:tc>
        <w:tc>
          <w:tcPr>
            <w:tcW w:w="1801" w:type="dxa"/>
            <w:tcBorders>
              <w:tl2br w:val="nil"/>
              <w:tr2bl w:val="nil"/>
            </w:tcBorders>
            <w:vAlign w:val="center"/>
          </w:tcPr>
          <w:p>
            <w:pPr>
              <w:pStyle w:val="28"/>
              <w:bidi w:val="0"/>
              <w:rPr>
                <w:color w:val="auto"/>
                <w:highlight w:val="none"/>
              </w:rPr>
            </w:pPr>
            <w:r>
              <w:rPr>
                <w:color w:val="auto"/>
                <w:highlight w:val="none"/>
              </w:rPr>
              <w:t>0.0903</w:t>
            </w:r>
          </w:p>
        </w:tc>
        <w:tc>
          <w:tcPr>
            <w:tcW w:w="1676" w:type="dxa"/>
            <w:tcBorders>
              <w:tl2br w:val="nil"/>
              <w:tr2bl w:val="nil"/>
            </w:tcBorders>
            <w:vAlign w:val="center"/>
          </w:tcPr>
          <w:p>
            <w:pPr>
              <w:pStyle w:val="28"/>
              <w:bidi w:val="0"/>
              <w:rPr>
                <w:color w:val="auto"/>
                <w:highlight w:val="none"/>
              </w:rPr>
            </w:pPr>
            <w:r>
              <w:rPr>
                <w:color w:val="auto"/>
                <w:highlight w:val="none"/>
              </w:rPr>
              <w:t>0.0452</w:t>
            </w:r>
          </w:p>
        </w:tc>
        <w:tc>
          <w:tcPr>
            <w:tcW w:w="1784" w:type="dxa"/>
            <w:tcBorders>
              <w:tl2br w:val="nil"/>
              <w:tr2bl w:val="nil"/>
            </w:tcBorders>
            <w:vAlign w:val="center"/>
          </w:tcPr>
          <w:p>
            <w:pPr>
              <w:pStyle w:val="28"/>
              <w:bidi w:val="0"/>
              <w:rPr>
                <w:color w:val="auto"/>
                <w:highlight w:val="none"/>
              </w:rPr>
            </w:pPr>
            <w:r>
              <w:rPr>
                <w:color w:val="auto"/>
                <w:highlight w:val="none"/>
              </w:rPr>
              <w:t>0.0181</w:t>
            </w:r>
          </w:p>
        </w:tc>
        <w:tc>
          <w:tcPr>
            <w:tcW w:w="1657" w:type="dxa"/>
            <w:tcBorders>
              <w:tl2br w:val="nil"/>
              <w:tr2bl w:val="nil"/>
            </w:tcBorders>
            <w:vAlign w:val="center"/>
          </w:tcPr>
          <w:p>
            <w:pPr>
              <w:pStyle w:val="28"/>
              <w:bidi w:val="0"/>
              <w:rPr>
                <w:color w:val="auto"/>
                <w:highlight w:val="none"/>
              </w:rPr>
            </w:pPr>
            <w:r>
              <w:rPr>
                <w:color w:val="auto"/>
                <w:highlight w:val="none"/>
              </w:rPr>
              <w:t>0.1806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2500.0</w:t>
            </w:r>
          </w:p>
        </w:tc>
        <w:tc>
          <w:tcPr>
            <w:tcW w:w="1801" w:type="dxa"/>
            <w:tcBorders>
              <w:tl2br w:val="nil"/>
              <w:tr2bl w:val="nil"/>
            </w:tcBorders>
            <w:vAlign w:val="center"/>
          </w:tcPr>
          <w:p>
            <w:pPr>
              <w:pStyle w:val="28"/>
              <w:bidi w:val="0"/>
              <w:rPr>
                <w:color w:val="auto"/>
                <w:highlight w:val="none"/>
              </w:rPr>
            </w:pPr>
            <w:r>
              <w:rPr>
                <w:color w:val="auto"/>
                <w:highlight w:val="none"/>
              </w:rPr>
              <w:t>0.0741</w:t>
            </w:r>
          </w:p>
        </w:tc>
        <w:tc>
          <w:tcPr>
            <w:tcW w:w="1676" w:type="dxa"/>
            <w:tcBorders>
              <w:tl2br w:val="nil"/>
              <w:tr2bl w:val="nil"/>
            </w:tcBorders>
            <w:vAlign w:val="center"/>
          </w:tcPr>
          <w:p>
            <w:pPr>
              <w:pStyle w:val="28"/>
              <w:bidi w:val="0"/>
              <w:rPr>
                <w:color w:val="auto"/>
                <w:highlight w:val="none"/>
              </w:rPr>
            </w:pPr>
            <w:r>
              <w:rPr>
                <w:color w:val="auto"/>
                <w:highlight w:val="none"/>
              </w:rPr>
              <w:t>0.0371</w:t>
            </w:r>
          </w:p>
        </w:tc>
        <w:tc>
          <w:tcPr>
            <w:tcW w:w="1784" w:type="dxa"/>
            <w:tcBorders>
              <w:tl2br w:val="nil"/>
              <w:tr2bl w:val="nil"/>
            </w:tcBorders>
            <w:vAlign w:val="center"/>
          </w:tcPr>
          <w:p>
            <w:pPr>
              <w:pStyle w:val="28"/>
              <w:bidi w:val="0"/>
              <w:rPr>
                <w:color w:val="auto"/>
                <w:highlight w:val="none"/>
              </w:rPr>
            </w:pPr>
            <w:r>
              <w:rPr>
                <w:color w:val="auto"/>
                <w:highlight w:val="none"/>
              </w:rPr>
              <w:t>0.0148</w:t>
            </w:r>
          </w:p>
        </w:tc>
        <w:tc>
          <w:tcPr>
            <w:tcW w:w="1657" w:type="dxa"/>
            <w:tcBorders>
              <w:tl2br w:val="nil"/>
              <w:tr2bl w:val="nil"/>
            </w:tcBorders>
            <w:vAlign w:val="center"/>
          </w:tcPr>
          <w:p>
            <w:pPr>
              <w:pStyle w:val="28"/>
              <w:bidi w:val="0"/>
              <w:rPr>
                <w:color w:val="auto"/>
                <w:highlight w:val="none"/>
              </w:rPr>
            </w:pPr>
            <w:r>
              <w:rPr>
                <w:color w:val="auto"/>
                <w:highlight w:val="none"/>
              </w:rPr>
              <w:t>0.1482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3000.0</w:t>
            </w:r>
          </w:p>
        </w:tc>
        <w:tc>
          <w:tcPr>
            <w:tcW w:w="1801" w:type="dxa"/>
            <w:tcBorders>
              <w:tl2br w:val="nil"/>
              <w:tr2bl w:val="nil"/>
            </w:tcBorders>
            <w:vAlign w:val="center"/>
          </w:tcPr>
          <w:p>
            <w:pPr>
              <w:pStyle w:val="28"/>
              <w:bidi w:val="0"/>
              <w:rPr>
                <w:color w:val="auto"/>
                <w:highlight w:val="none"/>
              </w:rPr>
            </w:pPr>
            <w:r>
              <w:rPr>
                <w:color w:val="auto"/>
                <w:highlight w:val="none"/>
              </w:rPr>
              <w:t>0.0605</w:t>
            </w:r>
          </w:p>
        </w:tc>
        <w:tc>
          <w:tcPr>
            <w:tcW w:w="1676" w:type="dxa"/>
            <w:tcBorders>
              <w:tl2br w:val="nil"/>
              <w:tr2bl w:val="nil"/>
            </w:tcBorders>
            <w:vAlign w:val="center"/>
          </w:tcPr>
          <w:p>
            <w:pPr>
              <w:pStyle w:val="28"/>
              <w:bidi w:val="0"/>
              <w:rPr>
                <w:color w:val="auto"/>
                <w:highlight w:val="none"/>
              </w:rPr>
            </w:pPr>
            <w:r>
              <w:rPr>
                <w:color w:val="auto"/>
                <w:highlight w:val="none"/>
              </w:rPr>
              <w:t>0.0302</w:t>
            </w:r>
          </w:p>
        </w:tc>
        <w:tc>
          <w:tcPr>
            <w:tcW w:w="1784" w:type="dxa"/>
            <w:tcBorders>
              <w:tl2br w:val="nil"/>
              <w:tr2bl w:val="nil"/>
            </w:tcBorders>
            <w:vAlign w:val="center"/>
          </w:tcPr>
          <w:p>
            <w:pPr>
              <w:pStyle w:val="28"/>
              <w:bidi w:val="0"/>
              <w:rPr>
                <w:color w:val="auto"/>
                <w:highlight w:val="none"/>
              </w:rPr>
            </w:pPr>
            <w:r>
              <w:rPr>
                <w:color w:val="auto"/>
                <w:highlight w:val="none"/>
              </w:rPr>
              <w:t>0.0121</w:t>
            </w:r>
          </w:p>
        </w:tc>
        <w:tc>
          <w:tcPr>
            <w:tcW w:w="1657" w:type="dxa"/>
            <w:tcBorders>
              <w:tl2br w:val="nil"/>
              <w:tr2bl w:val="nil"/>
            </w:tcBorders>
            <w:vAlign w:val="center"/>
          </w:tcPr>
          <w:p>
            <w:pPr>
              <w:pStyle w:val="28"/>
              <w:bidi w:val="0"/>
              <w:rPr>
                <w:color w:val="auto"/>
                <w:highlight w:val="none"/>
              </w:rPr>
            </w:pPr>
            <w:r>
              <w:rPr>
                <w:color w:val="auto"/>
                <w:highlight w:val="none"/>
              </w:rPr>
              <w:t>0.1209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3500.0</w:t>
            </w:r>
          </w:p>
        </w:tc>
        <w:tc>
          <w:tcPr>
            <w:tcW w:w="1801" w:type="dxa"/>
            <w:tcBorders>
              <w:tl2br w:val="nil"/>
              <w:tr2bl w:val="nil"/>
            </w:tcBorders>
            <w:vAlign w:val="center"/>
          </w:tcPr>
          <w:p>
            <w:pPr>
              <w:pStyle w:val="28"/>
              <w:bidi w:val="0"/>
              <w:rPr>
                <w:color w:val="auto"/>
                <w:highlight w:val="none"/>
              </w:rPr>
            </w:pPr>
            <w:r>
              <w:rPr>
                <w:color w:val="auto"/>
                <w:highlight w:val="none"/>
              </w:rPr>
              <w:t>0.0537</w:t>
            </w:r>
          </w:p>
        </w:tc>
        <w:tc>
          <w:tcPr>
            <w:tcW w:w="1676" w:type="dxa"/>
            <w:tcBorders>
              <w:tl2br w:val="nil"/>
              <w:tr2bl w:val="nil"/>
            </w:tcBorders>
            <w:vAlign w:val="center"/>
          </w:tcPr>
          <w:p>
            <w:pPr>
              <w:pStyle w:val="28"/>
              <w:bidi w:val="0"/>
              <w:rPr>
                <w:color w:val="auto"/>
                <w:highlight w:val="none"/>
              </w:rPr>
            </w:pPr>
            <w:r>
              <w:rPr>
                <w:color w:val="auto"/>
                <w:highlight w:val="none"/>
              </w:rPr>
              <w:t>0.0268</w:t>
            </w:r>
          </w:p>
        </w:tc>
        <w:tc>
          <w:tcPr>
            <w:tcW w:w="1784" w:type="dxa"/>
            <w:tcBorders>
              <w:tl2br w:val="nil"/>
              <w:tr2bl w:val="nil"/>
            </w:tcBorders>
            <w:vAlign w:val="center"/>
          </w:tcPr>
          <w:p>
            <w:pPr>
              <w:pStyle w:val="28"/>
              <w:bidi w:val="0"/>
              <w:rPr>
                <w:color w:val="auto"/>
                <w:highlight w:val="none"/>
              </w:rPr>
            </w:pPr>
            <w:r>
              <w:rPr>
                <w:color w:val="auto"/>
                <w:highlight w:val="none"/>
              </w:rPr>
              <w:t>0.0107</w:t>
            </w:r>
          </w:p>
        </w:tc>
        <w:tc>
          <w:tcPr>
            <w:tcW w:w="1657" w:type="dxa"/>
            <w:tcBorders>
              <w:tl2br w:val="nil"/>
              <w:tr2bl w:val="nil"/>
            </w:tcBorders>
            <w:vAlign w:val="center"/>
          </w:tcPr>
          <w:p>
            <w:pPr>
              <w:pStyle w:val="28"/>
              <w:bidi w:val="0"/>
              <w:rPr>
                <w:color w:val="auto"/>
                <w:highlight w:val="none"/>
              </w:rPr>
            </w:pPr>
            <w:r>
              <w:rPr>
                <w:color w:val="auto"/>
                <w:highlight w:val="none"/>
              </w:rPr>
              <w:t>0.1074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4000.0</w:t>
            </w:r>
          </w:p>
        </w:tc>
        <w:tc>
          <w:tcPr>
            <w:tcW w:w="1801" w:type="dxa"/>
            <w:tcBorders>
              <w:tl2br w:val="nil"/>
              <w:tr2bl w:val="nil"/>
            </w:tcBorders>
            <w:vAlign w:val="center"/>
          </w:tcPr>
          <w:p>
            <w:pPr>
              <w:pStyle w:val="28"/>
              <w:bidi w:val="0"/>
              <w:rPr>
                <w:color w:val="auto"/>
                <w:highlight w:val="none"/>
              </w:rPr>
            </w:pPr>
            <w:r>
              <w:rPr>
                <w:color w:val="auto"/>
                <w:highlight w:val="none"/>
              </w:rPr>
              <w:t>0.0427</w:t>
            </w:r>
          </w:p>
        </w:tc>
        <w:tc>
          <w:tcPr>
            <w:tcW w:w="1676" w:type="dxa"/>
            <w:tcBorders>
              <w:tl2br w:val="nil"/>
              <w:tr2bl w:val="nil"/>
            </w:tcBorders>
            <w:vAlign w:val="center"/>
          </w:tcPr>
          <w:p>
            <w:pPr>
              <w:pStyle w:val="28"/>
              <w:bidi w:val="0"/>
              <w:rPr>
                <w:color w:val="auto"/>
                <w:highlight w:val="none"/>
              </w:rPr>
            </w:pPr>
            <w:r>
              <w:rPr>
                <w:color w:val="auto"/>
                <w:highlight w:val="none"/>
              </w:rPr>
              <w:t>0.0213</w:t>
            </w:r>
          </w:p>
        </w:tc>
        <w:tc>
          <w:tcPr>
            <w:tcW w:w="1784" w:type="dxa"/>
            <w:tcBorders>
              <w:tl2br w:val="nil"/>
              <w:tr2bl w:val="nil"/>
            </w:tcBorders>
            <w:vAlign w:val="center"/>
          </w:tcPr>
          <w:p>
            <w:pPr>
              <w:pStyle w:val="28"/>
              <w:bidi w:val="0"/>
              <w:rPr>
                <w:color w:val="auto"/>
                <w:highlight w:val="none"/>
              </w:rPr>
            </w:pPr>
            <w:r>
              <w:rPr>
                <w:color w:val="auto"/>
                <w:highlight w:val="none"/>
              </w:rPr>
              <w:t>0.0085</w:t>
            </w:r>
          </w:p>
        </w:tc>
        <w:tc>
          <w:tcPr>
            <w:tcW w:w="1657" w:type="dxa"/>
            <w:tcBorders>
              <w:tl2br w:val="nil"/>
              <w:tr2bl w:val="nil"/>
            </w:tcBorders>
            <w:vAlign w:val="center"/>
          </w:tcPr>
          <w:p>
            <w:pPr>
              <w:pStyle w:val="28"/>
              <w:bidi w:val="0"/>
              <w:rPr>
                <w:color w:val="auto"/>
                <w:highlight w:val="none"/>
              </w:rPr>
            </w:pPr>
            <w:r>
              <w:rPr>
                <w:color w:val="auto"/>
                <w:highlight w:val="none"/>
              </w:rPr>
              <w:t>0.0853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4500.0</w:t>
            </w:r>
          </w:p>
        </w:tc>
        <w:tc>
          <w:tcPr>
            <w:tcW w:w="1801" w:type="dxa"/>
            <w:tcBorders>
              <w:tl2br w:val="nil"/>
              <w:tr2bl w:val="nil"/>
            </w:tcBorders>
            <w:vAlign w:val="center"/>
          </w:tcPr>
          <w:p>
            <w:pPr>
              <w:pStyle w:val="28"/>
              <w:bidi w:val="0"/>
              <w:rPr>
                <w:color w:val="auto"/>
                <w:highlight w:val="none"/>
              </w:rPr>
            </w:pPr>
            <w:r>
              <w:rPr>
                <w:color w:val="auto"/>
                <w:highlight w:val="none"/>
              </w:rPr>
              <w:t>0.0389</w:t>
            </w:r>
          </w:p>
        </w:tc>
        <w:tc>
          <w:tcPr>
            <w:tcW w:w="1676" w:type="dxa"/>
            <w:tcBorders>
              <w:tl2br w:val="nil"/>
              <w:tr2bl w:val="nil"/>
            </w:tcBorders>
            <w:vAlign w:val="center"/>
          </w:tcPr>
          <w:p>
            <w:pPr>
              <w:pStyle w:val="28"/>
              <w:bidi w:val="0"/>
              <w:rPr>
                <w:color w:val="auto"/>
                <w:highlight w:val="none"/>
              </w:rPr>
            </w:pPr>
            <w:r>
              <w:rPr>
                <w:color w:val="auto"/>
                <w:highlight w:val="none"/>
              </w:rPr>
              <w:t>0.0195</w:t>
            </w:r>
          </w:p>
        </w:tc>
        <w:tc>
          <w:tcPr>
            <w:tcW w:w="1784" w:type="dxa"/>
            <w:tcBorders>
              <w:tl2br w:val="nil"/>
              <w:tr2bl w:val="nil"/>
            </w:tcBorders>
            <w:vAlign w:val="center"/>
          </w:tcPr>
          <w:p>
            <w:pPr>
              <w:pStyle w:val="28"/>
              <w:bidi w:val="0"/>
              <w:rPr>
                <w:color w:val="auto"/>
                <w:highlight w:val="none"/>
              </w:rPr>
            </w:pPr>
            <w:r>
              <w:rPr>
                <w:color w:val="auto"/>
                <w:highlight w:val="none"/>
              </w:rPr>
              <w:t>0.0078</w:t>
            </w:r>
          </w:p>
        </w:tc>
        <w:tc>
          <w:tcPr>
            <w:tcW w:w="1657" w:type="dxa"/>
            <w:tcBorders>
              <w:tl2br w:val="nil"/>
              <w:tr2bl w:val="nil"/>
            </w:tcBorders>
            <w:vAlign w:val="center"/>
          </w:tcPr>
          <w:p>
            <w:pPr>
              <w:pStyle w:val="28"/>
              <w:bidi w:val="0"/>
              <w:rPr>
                <w:color w:val="auto"/>
                <w:highlight w:val="none"/>
              </w:rPr>
            </w:pPr>
            <w:r>
              <w:rPr>
                <w:color w:val="auto"/>
                <w:highlight w:val="none"/>
              </w:rPr>
              <w:t>0.0779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5000.0</w:t>
            </w:r>
          </w:p>
        </w:tc>
        <w:tc>
          <w:tcPr>
            <w:tcW w:w="1801" w:type="dxa"/>
            <w:tcBorders>
              <w:tl2br w:val="nil"/>
              <w:tr2bl w:val="nil"/>
            </w:tcBorders>
            <w:vAlign w:val="center"/>
          </w:tcPr>
          <w:p>
            <w:pPr>
              <w:pStyle w:val="28"/>
              <w:bidi w:val="0"/>
              <w:rPr>
                <w:color w:val="auto"/>
                <w:highlight w:val="none"/>
              </w:rPr>
            </w:pPr>
            <w:r>
              <w:rPr>
                <w:color w:val="auto"/>
                <w:highlight w:val="none"/>
              </w:rPr>
              <w:t>0.0363</w:t>
            </w:r>
          </w:p>
        </w:tc>
        <w:tc>
          <w:tcPr>
            <w:tcW w:w="1676" w:type="dxa"/>
            <w:tcBorders>
              <w:tl2br w:val="nil"/>
              <w:tr2bl w:val="nil"/>
            </w:tcBorders>
            <w:vAlign w:val="center"/>
          </w:tcPr>
          <w:p>
            <w:pPr>
              <w:pStyle w:val="28"/>
              <w:bidi w:val="0"/>
              <w:rPr>
                <w:color w:val="auto"/>
                <w:highlight w:val="none"/>
              </w:rPr>
            </w:pPr>
            <w:r>
              <w:rPr>
                <w:color w:val="auto"/>
                <w:highlight w:val="none"/>
              </w:rPr>
              <w:t>0.0182</w:t>
            </w:r>
          </w:p>
        </w:tc>
        <w:tc>
          <w:tcPr>
            <w:tcW w:w="1784" w:type="dxa"/>
            <w:tcBorders>
              <w:tl2br w:val="nil"/>
              <w:tr2bl w:val="nil"/>
            </w:tcBorders>
            <w:vAlign w:val="center"/>
          </w:tcPr>
          <w:p>
            <w:pPr>
              <w:pStyle w:val="28"/>
              <w:bidi w:val="0"/>
              <w:rPr>
                <w:color w:val="auto"/>
                <w:highlight w:val="none"/>
              </w:rPr>
            </w:pPr>
            <w:r>
              <w:rPr>
                <w:color w:val="auto"/>
                <w:highlight w:val="none"/>
              </w:rPr>
              <w:t>0.0073</w:t>
            </w:r>
          </w:p>
        </w:tc>
        <w:tc>
          <w:tcPr>
            <w:tcW w:w="1657" w:type="dxa"/>
            <w:tcBorders>
              <w:tl2br w:val="nil"/>
              <w:tr2bl w:val="nil"/>
            </w:tcBorders>
            <w:vAlign w:val="center"/>
          </w:tcPr>
          <w:p>
            <w:pPr>
              <w:pStyle w:val="28"/>
              <w:bidi w:val="0"/>
              <w:rPr>
                <w:color w:val="auto"/>
                <w:highlight w:val="none"/>
              </w:rPr>
            </w:pPr>
            <w:r>
              <w:rPr>
                <w:color w:val="auto"/>
                <w:highlight w:val="none"/>
              </w:rPr>
              <w:t>0.0726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10000.0</w:t>
            </w:r>
          </w:p>
        </w:tc>
        <w:tc>
          <w:tcPr>
            <w:tcW w:w="1801" w:type="dxa"/>
            <w:tcBorders>
              <w:tl2br w:val="nil"/>
              <w:tr2bl w:val="nil"/>
            </w:tcBorders>
            <w:vAlign w:val="center"/>
          </w:tcPr>
          <w:p>
            <w:pPr>
              <w:pStyle w:val="28"/>
              <w:bidi w:val="0"/>
              <w:rPr>
                <w:color w:val="auto"/>
                <w:highlight w:val="none"/>
              </w:rPr>
            </w:pPr>
            <w:r>
              <w:rPr>
                <w:color w:val="auto"/>
                <w:highlight w:val="none"/>
              </w:rPr>
              <w:t>0.0164</w:t>
            </w:r>
          </w:p>
        </w:tc>
        <w:tc>
          <w:tcPr>
            <w:tcW w:w="1676" w:type="dxa"/>
            <w:tcBorders>
              <w:tl2br w:val="nil"/>
              <w:tr2bl w:val="nil"/>
            </w:tcBorders>
            <w:vAlign w:val="center"/>
          </w:tcPr>
          <w:p>
            <w:pPr>
              <w:pStyle w:val="28"/>
              <w:bidi w:val="0"/>
              <w:rPr>
                <w:color w:val="auto"/>
                <w:highlight w:val="none"/>
              </w:rPr>
            </w:pPr>
            <w:r>
              <w:rPr>
                <w:color w:val="auto"/>
                <w:highlight w:val="none"/>
              </w:rPr>
              <w:t>0.0082</w:t>
            </w:r>
          </w:p>
        </w:tc>
        <w:tc>
          <w:tcPr>
            <w:tcW w:w="1784" w:type="dxa"/>
            <w:tcBorders>
              <w:tl2br w:val="nil"/>
              <w:tr2bl w:val="nil"/>
            </w:tcBorders>
            <w:vAlign w:val="center"/>
          </w:tcPr>
          <w:p>
            <w:pPr>
              <w:pStyle w:val="28"/>
              <w:bidi w:val="0"/>
              <w:rPr>
                <w:color w:val="auto"/>
                <w:highlight w:val="none"/>
              </w:rPr>
            </w:pPr>
            <w:r>
              <w:rPr>
                <w:color w:val="auto"/>
                <w:highlight w:val="none"/>
              </w:rPr>
              <w:t>0.0033</w:t>
            </w:r>
          </w:p>
        </w:tc>
        <w:tc>
          <w:tcPr>
            <w:tcW w:w="1657" w:type="dxa"/>
            <w:tcBorders>
              <w:tl2br w:val="nil"/>
              <w:tr2bl w:val="nil"/>
            </w:tcBorders>
            <w:vAlign w:val="center"/>
          </w:tcPr>
          <w:p>
            <w:pPr>
              <w:pStyle w:val="28"/>
              <w:bidi w:val="0"/>
              <w:rPr>
                <w:color w:val="auto"/>
                <w:highlight w:val="none"/>
              </w:rPr>
            </w:pPr>
            <w:r>
              <w:rPr>
                <w:color w:val="auto"/>
                <w:highlight w:val="none"/>
              </w:rPr>
              <w:t>0.0328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11000.0</w:t>
            </w:r>
          </w:p>
        </w:tc>
        <w:tc>
          <w:tcPr>
            <w:tcW w:w="1801" w:type="dxa"/>
            <w:tcBorders>
              <w:tl2br w:val="nil"/>
              <w:tr2bl w:val="nil"/>
            </w:tcBorders>
            <w:vAlign w:val="center"/>
          </w:tcPr>
          <w:p>
            <w:pPr>
              <w:pStyle w:val="28"/>
              <w:bidi w:val="0"/>
              <w:rPr>
                <w:color w:val="auto"/>
                <w:highlight w:val="none"/>
              </w:rPr>
            </w:pPr>
            <w:r>
              <w:rPr>
                <w:color w:val="auto"/>
                <w:highlight w:val="none"/>
              </w:rPr>
              <w:t>0.0106</w:t>
            </w:r>
          </w:p>
        </w:tc>
        <w:tc>
          <w:tcPr>
            <w:tcW w:w="1676" w:type="dxa"/>
            <w:tcBorders>
              <w:tl2br w:val="nil"/>
              <w:tr2bl w:val="nil"/>
            </w:tcBorders>
            <w:vAlign w:val="center"/>
          </w:tcPr>
          <w:p>
            <w:pPr>
              <w:pStyle w:val="28"/>
              <w:bidi w:val="0"/>
              <w:rPr>
                <w:color w:val="auto"/>
                <w:highlight w:val="none"/>
              </w:rPr>
            </w:pPr>
            <w:r>
              <w:rPr>
                <w:color w:val="auto"/>
                <w:highlight w:val="none"/>
              </w:rPr>
              <w:t>0.0053</w:t>
            </w:r>
          </w:p>
        </w:tc>
        <w:tc>
          <w:tcPr>
            <w:tcW w:w="1784" w:type="dxa"/>
            <w:tcBorders>
              <w:tl2br w:val="nil"/>
              <w:tr2bl w:val="nil"/>
            </w:tcBorders>
            <w:vAlign w:val="center"/>
          </w:tcPr>
          <w:p>
            <w:pPr>
              <w:pStyle w:val="28"/>
              <w:bidi w:val="0"/>
              <w:rPr>
                <w:color w:val="auto"/>
                <w:highlight w:val="none"/>
              </w:rPr>
            </w:pPr>
            <w:r>
              <w:rPr>
                <w:color w:val="auto"/>
                <w:highlight w:val="none"/>
              </w:rPr>
              <w:t>0.0021</w:t>
            </w:r>
          </w:p>
        </w:tc>
        <w:tc>
          <w:tcPr>
            <w:tcW w:w="1657" w:type="dxa"/>
            <w:tcBorders>
              <w:tl2br w:val="nil"/>
              <w:tr2bl w:val="nil"/>
            </w:tcBorders>
            <w:vAlign w:val="center"/>
          </w:tcPr>
          <w:p>
            <w:pPr>
              <w:pStyle w:val="28"/>
              <w:bidi w:val="0"/>
              <w:rPr>
                <w:color w:val="auto"/>
                <w:highlight w:val="none"/>
              </w:rPr>
            </w:pPr>
            <w:r>
              <w:rPr>
                <w:color w:val="auto"/>
                <w:highlight w:val="none"/>
              </w:rPr>
              <w:t>0.0212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12000.0</w:t>
            </w:r>
          </w:p>
        </w:tc>
        <w:tc>
          <w:tcPr>
            <w:tcW w:w="1801" w:type="dxa"/>
            <w:tcBorders>
              <w:tl2br w:val="nil"/>
              <w:tr2bl w:val="nil"/>
            </w:tcBorders>
            <w:vAlign w:val="center"/>
          </w:tcPr>
          <w:p>
            <w:pPr>
              <w:pStyle w:val="28"/>
              <w:bidi w:val="0"/>
              <w:rPr>
                <w:color w:val="auto"/>
                <w:highlight w:val="none"/>
              </w:rPr>
            </w:pPr>
            <w:r>
              <w:rPr>
                <w:color w:val="auto"/>
                <w:highlight w:val="none"/>
              </w:rPr>
              <w:t>0.0132</w:t>
            </w:r>
          </w:p>
        </w:tc>
        <w:tc>
          <w:tcPr>
            <w:tcW w:w="1676" w:type="dxa"/>
            <w:tcBorders>
              <w:tl2br w:val="nil"/>
              <w:tr2bl w:val="nil"/>
            </w:tcBorders>
            <w:vAlign w:val="center"/>
          </w:tcPr>
          <w:p>
            <w:pPr>
              <w:pStyle w:val="28"/>
              <w:bidi w:val="0"/>
              <w:rPr>
                <w:color w:val="auto"/>
                <w:highlight w:val="none"/>
              </w:rPr>
            </w:pPr>
            <w:r>
              <w:rPr>
                <w:color w:val="auto"/>
                <w:highlight w:val="none"/>
              </w:rPr>
              <w:t>0.0066</w:t>
            </w:r>
          </w:p>
        </w:tc>
        <w:tc>
          <w:tcPr>
            <w:tcW w:w="1784" w:type="dxa"/>
            <w:tcBorders>
              <w:tl2br w:val="nil"/>
              <w:tr2bl w:val="nil"/>
            </w:tcBorders>
            <w:vAlign w:val="center"/>
          </w:tcPr>
          <w:p>
            <w:pPr>
              <w:pStyle w:val="28"/>
              <w:bidi w:val="0"/>
              <w:rPr>
                <w:color w:val="auto"/>
                <w:highlight w:val="none"/>
              </w:rPr>
            </w:pPr>
            <w:r>
              <w:rPr>
                <w:color w:val="auto"/>
                <w:highlight w:val="none"/>
              </w:rPr>
              <w:t>0.0026</w:t>
            </w:r>
          </w:p>
        </w:tc>
        <w:tc>
          <w:tcPr>
            <w:tcW w:w="1657" w:type="dxa"/>
            <w:tcBorders>
              <w:tl2br w:val="nil"/>
              <w:tr2bl w:val="nil"/>
            </w:tcBorders>
            <w:vAlign w:val="center"/>
          </w:tcPr>
          <w:p>
            <w:pPr>
              <w:pStyle w:val="28"/>
              <w:bidi w:val="0"/>
              <w:rPr>
                <w:color w:val="auto"/>
                <w:highlight w:val="none"/>
              </w:rPr>
            </w:pPr>
            <w:r>
              <w:rPr>
                <w:color w:val="auto"/>
                <w:highlight w:val="none"/>
              </w:rPr>
              <w:t>0.0263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13000.0</w:t>
            </w:r>
          </w:p>
        </w:tc>
        <w:tc>
          <w:tcPr>
            <w:tcW w:w="1801" w:type="dxa"/>
            <w:tcBorders>
              <w:tl2br w:val="nil"/>
              <w:tr2bl w:val="nil"/>
            </w:tcBorders>
            <w:vAlign w:val="center"/>
          </w:tcPr>
          <w:p>
            <w:pPr>
              <w:pStyle w:val="28"/>
              <w:bidi w:val="0"/>
              <w:rPr>
                <w:color w:val="auto"/>
                <w:highlight w:val="none"/>
              </w:rPr>
            </w:pPr>
            <w:r>
              <w:rPr>
                <w:color w:val="auto"/>
                <w:highlight w:val="none"/>
              </w:rPr>
              <w:t>0.0120</w:t>
            </w:r>
          </w:p>
        </w:tc>
        <w:tc>
          <w:tcPr>
            <w:tcW w:w="1676" w:type="dxa"/>
            <w:tcBorders>
              <w:tl2br w:val="nil"/>
              <w:tr2bl w:val="nil"/>
            </w:tcBorders>
            <w:vAlign w:val="center"/>
          </w:tcPr>
          <w:p>
            <w:pPr>
              <w:pStyle w:val="28"/>
              <w:bidi w:val="0"/>
              <w:rPr>
                <w:color w:val="auto"/>
                <w:highlight w:val="none"/>
              </w:rPr>
            </w:pPr>
            <w:r>
              <w:rPr>
                <w:color w:val="auto"/>
                <w:highlight w:val="none"/>
              </w:rPr>
              <w:t>0.0060</w:t>
            </w:r>
          </w:p>
        </w:tc>
        <w:tc>
          <w:tcPr>
            <w:tcW w:w="1784" w:type="dxa"/>
            <w:tcBorders>
              <w:tl2br w:val="nil"/>
              <w:tr2bl w:val="nil"/>
            </w:tcBorders>
            <w:vAlign w:val="center"/>
          </w:tcPr>
          <w:p>
            <w:pPr>
              <w:pStyle w:val="28"/>
              <w:bidi w:val="0"/>
              <w:rPr>
                <w:color w:val="auto"/>
                <w:highlight w:val="none"/>
              </w:rPr>
            </w:pPr>
            <w:r>
              <w:rPr>
                <w:color w:val="auto"/>
                <w:highlight w:val="none"/>
              </w:rPr>
              <w:t>0.0024</w:t>
            </w:r>
          </w:p>
        </w:tc>
        <w:tc>
          <w:tcPr>
            <w:tcW w:w="1657" w:type="dxa"/>
            <w:tcBorders>
              <w:tl2br w:val="nil"/>
              <w:tr2bl w:val="nil"/>
            </w:tcBorders>
            <w:vAlign w:val="center"/>
          </w:tcPr>
          <w:p>
            <w:pPr>
              <w:pStyle w:val="28"/>
              <w:bidi w:val="0"/>
              <w:rPr>
                <w:color w:val="auto"/>
                <w:highlight w:val="none"/>
              </w:rPr>
            </w:pPr>
            <w:r>
              <w:rPr>
                <w:color w:val="auto"/>
                <w:highlight w:val="none"/>
              </w:rPr>
              <w:t>0.0240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14000.0</w:t>
            </w:r>
          </w:p>
        </w:tc>
        <w:tc>
          <w:tcPr>
            <w:tcW w:w="1801" w:type="dxa"/>
            <w:tcBorders>
              <w:tl2br w:val="nil"/>
              <w:tr2bl w:val="nil"/>
            </w:tcBorders>
            <w:vAlign w:val="center"/>
          </w:tcPr>
          <w:p>
            <w:pPr>
              <w:pStyle w:val="28"/>
              <w:bidi w:val="0"/>
              <w:rPr>
                <w:color w:val="auto"/>
                <w:highlight w:val="none"/>
              </w:rPr>
            </w:pPr>
            <w:r>
              <w:rPr>
                <w:color w:val="auto"/>
                <w:highlight w:val="none"/>
              </w:rPr>
              <w:t>0.0101</w:t>
            </w:r>
          </w:p>
        </w:tc>
        <w:tc>
          <w:tcPr>
            <w:tcW w:w="1676" w:type="dxa"/>
            <w:tcBorders>
              <w:tl2br w:val="nil"/>
              <w:tr2bl w:val="nil"/>
            </w:tcBorders>
            <w:vAlign w:val="center"/>
          </w:tcPr>
          <w:p>
            <w:pPr>
              <w:pStyle w:val="28"/>
              <w:bidi w:val="0"/>
              <w:rPr>
                <w:color w:val="auto"/>
                <w:highlight w:val="none"/>
              </w:rPr>
            </w:pPr>
            <w:r>
              <w:rPr>
                <w:color w:val="auto"/>
                <w:highlight w:val="none"/>
              </w:rPr>
              <w:t>0.0050</w:t>
            </w:r>
          </w:p>
        </w:tc>
        <w:tc>
          <w:tcPr>
            <w:tcW w:w="1784" w:type="dxa"/>
            <w:tcBorders>
              <w:tl2br w:val="nil"/>
              <w:tr2bl w:val="nil"/>
            </w:tcBorders>
            <w:vAlign w:val="center"/>
          </w:tcPr>
          <w:p>
            <w:pPr>
              <w:pStyle w:val="28"/>
              <w:bidi w:val="0"/>
              <w:rPr>
                <w:color w:val="auto"/>
                <w:highlight w:val="none"/>
              </w:rPr>
            </w:pPr>
            <w:r>
              <w:rPr>
                <w:color w:val="auto"/>
                <w:highlight w:val="none"/>
              </w:rPr>
              <w:t>0.0020</w:t>
            </w:r>
          </w:p>
        </w:tc>
        <w:tc>
          <w:tcPr>
            <w:tcW w:w="1657" w:type="dxa"/>
            <w:tcBorders>
              <w:tl2br w:val="nil"/>
              <w:tr2bl w:val="nil"/>
            </w:tcBorders>
            <w:vAlign w:val="center"/>
          </w:tcPr>
          <w:p>
            <w:pPr>
              <w:pStyle w:val="28"/>
              <w:bidi w:val="0"/>
              <w:rPr>
                <w:color w:val="auto"/>
                <w:highlight w:val="none"/>
              </w:rPr>
            </w:pPr>
            <w:r>
              <w:rPr>
                <w:color w:val="auto"/>
                <w:highlight w:val="none"/>
              </w:rPr>
              <w:t>0.0201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15000.0</w:t>
            </w:r>
          </w:p>
        </w:tc>
        <w:tc>
          <w:tcPr>
            <w:tcW w:w="1801" w:type="dxa"/>
            <w:tcBorders>
              <w:tl2br w:val="nil"/>
              <w:tr2bl w:val="nil"/>
            </w:tcBorders>
            <w:vAlign w:val="center"/>
          </w:tcPr>
          <w:p>
            <w:pPr>
              <w:pStyle w:val="28"/>
              <w:bidi w:val="0"/>
              <w:rPr>
                <w:color w:val="auto"/>
                <w:highlight w:val="none"/>
              </w:rPr>
            </w:pPr>
            <w:r>
              <w:rPr>
                <w:color w:val="auto"/>
                <w:highlight w:val="none"/>
              </w:rPr>
              <w:t>0.0100</w:t>
            </w:r>
          </w:p>
        </w:tc>
        <w:tc>
          <w:tcPr>
            <w:tcW w:w="1676" w:type="dxa"/>
            <w:tcBorders>
              <w:tl2br w:val="nil"/>
              <w:tr2bl w:val="nil"/>
            </w:tcBorders>
            <w:vAlign w:val="center"/>
          </w:tcPr>
          <w:p>
            <w:pPr>
              <w:pStyle w:val="28"/>
              <w:bidi w:val="0"/>
              <w:rPr>
                <w:color w:val="auto"/>
                <w:highlight w:val="none"/>
              </w:rPr>
            </w:pPr>
            <w:r>
              <w:rPr>
                <w:color w:val="auto"/>
                <w:highlight w:val="none"/>
              </w:rPr>
              <w:t>0.0050</w:t>
            </w:r>
          </w:p>
        </w:tc>
        <w:tc>
          <w:tcPr>
            <w:tcW w:w="1784" w:type="dxa"/>
            <w:tcBorders>
              <w:tl2br w:val="nil"/>
              <w:tr2bl w:val="nil"/>
            </w:tcBorders>
            <w:vAlign w:val="center"/>
          </w:tcPr>
          <w:p>
            <w:pPr>
              <w:pStyle w:val="28"/>
              <w:bidi w:val="0"/>
              <w:rPr>
                <w:color w:val="auto"/>
                <w:highlight w:val="none"/>
              </w:rPr>
            </w:pPr>
            <w:r>
              <w:rPr>
                <w:color w:val="auto"/>
                <w:highlight w:val="none"/>
              </w:rPr>
              <w:t>0.0020</w:t>
            </w:r>
          </w:p>
        </w:tc>
        <w:tc>
          <w:tcPr>
            <w:tcW w:w="1657" w:type="dxa"/>
            <w:tcBorders>
              <w:tl2br w:val="nil"/>
              <w:tr2bl w:val="nil"/>
            </w:tcBorders>
            <w:vAlign w:val="center"/>
          </w:tcPr>
          <w:p>
            <w:pPr>
              <w:pStyle w:val="28"/>
              <w:bidi w:val="0"/>
              <w:rPr>
                <w:color w:val="auto"/>
                <w:highlight w:val="none"/>
              </w:rPr>
            </w:pPr>
            <w:r>
              <w:rPr>
                <w:color w:val="auto"/>
                <w:highlight w:val="none"/>
              </w:rPr>
              <w:t>0.0200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20000.0</w:t>
            </w:r>
          </w:p>
        </w:tc>
        <w:tc>
          <w:tcPr>
            <w:tcW w:w="1801" w:type="dxa"/>
            <w:tcBorders>
              <w:tl2br w:val="nil"/>
              <w:tr2bl w:val="nil"/>
            </w:tcBorders>
            <w:vAlign w:val="center"/>
          </w:tcPr>
          <w:p>
            <w:pPr>
              <w:pStyle w:val="28"/>
              <w:bidi w:val="0"/>
              <w:rPr>
                <w:color w:val="auto"/>
                <w:highlight w:val="none"/>
              </w:rPr>
            </w:pPr>
            <w:r>
              <w:rPr>
                <w:color w:val="auto"/>
                <w:highlight w:val="none"/>
              </w:rPr>
              <w:t>0.0070</w:t>
            </w:r>
          </w:p>
        </w:tc>
        <w:tc>
          <w:tcPr>
            <w:tcW w:w="1676" w:type="dxa"/>
            <w:tcBorders>
              <w:tl2br w:val="nil"/>
              <w:tr2bl w:val="nil"/>
            </w:tcBorders>
            <w:vAlign w:val="center"/>
          </w:tcPr>
          <w:p>
            <w:pPr>
              <w:pStyle w:val="28"/>
              <w:bidi w:val="0"/>
              <w:rPr>
                <w:color w:val="auto"/>
                <w:highlight w:val="none"/>
              </w:rPr>
            </w:pPr>
            <w:r>
              <w:rPr>
                <w:color w:val="auto"/>
                <w:highlight w:val="none"/>
              </w:rPr>
              <w:t>0.0035</w:t>
            </w:r>
          </w:p>
        </w:tc>
        <w:tc>
          <w:tcPr>
            <w:tcW w:w="1784" w:type="dxa"/>
            <w:tcBorders>
              <w:tl2br w:val="nil"/>
              <w:tr2bl w:val="nil"/>
            </w:tcBorders>
            <w:vAlign w:val="center"/>
          </w:tcPr>
          <w:p>
            <w:pPr>
              <w:pStyle w:val="28"/>
              <w:bidi w:val="0"/>
              <w:rPr>
                <w:color w:val="auto"/>
                <w:highlight w:val="none"/>
              </w:rPr>
            </w:pPr>
            <w:r>
              <w:rPr>
                <w:color w:val="auto"/>
                <w:highlight w:val="none"/>
              </w:rPr>
              <w:t>0.0014</w:t>
            </w:r>
          </w:p>
        </w:tc>
        <w:tc>
          <w:tcPr>
            <w:tcW w:w="1657" w:type="dxa"/>
            <w:tcBorders>
              <w:tl2br w:val="nil"/>
              <w:tr2bl w:val="nil"/>
            </w:tcBorders>
            <w:vAlign w:val="center"/>
          </w:tcPr>
          <w:p>
            <w:pPr>
              <w:pStyle w:val="28"/>
              <w:bidi w:val="0"/>
              <w:rPr>
                <w:color w:val="auto"/>
                <w:highlight w:val="none"/>
              </w:rPr>
            </w:pPr>
            <w:r>
              <w:rPr>
                <w:color w:val="auto"/>
                <w:highlight w:val="none"/>
              </w:rPr>
              <w:t>0.0140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25000.0</w:t>
            </w:r>
          </w:p>
        </w:tc>
        <w:tc>
          <w:tcPr>
            <w:tcW w:w="1801" w:type="dxa"/>
            <w:tcBorders>
              <w:tl2br w:val="nil"/>
              <w:tr2bl w:val="nil"/>
            </w:tcBorders>
            <w:vAlign w:val="center"/>
          </w:tcPr>
          <w:p>
            <w:pPr>
              <w:pStyle w:val="28"/>
              <w:bidi w:val="0"/>
              <w:rPr>
                <w:color w:val="auto"/>
                <w:highlight w:val="none"/>
              </w:rPr>
            </w:pPr>
            <w:r>
              <w:rPr>
                <w:color w:val="auto"/>
                <w:highlight w:val="none"/>
              </w:rPr>
              <w:t>0.0053</w:t>
            </w:r>
          </w:p>
        </w:tc>
        <w:tc>
          <w:tcPr>
            <w:tcW w:w="1676" w:type="dxa"/>
            <w:tcBorders>
              <w:tl2br w:val="nil"/>
              <w:tr2bl w:val="nil"/>
            </w:tcBorders>
            <w:vAlign w:val="center"/>
          </w:tcPr>
          <w:p>
            <w:pPr>
              <w:pStyle w:val="28"/>
              <w:bidi w:val="0"/>
              <w:rPr>
                <w:color w:val="auto"/>
                <w:highlight w:val="none"/>
              </w:rPr>
            </w:pPr>
            <w:r>
              <w:rPr>
                <w:color w:val="auto"/>
                <w:highlight w:val="none"/>
              </w:rPr>
              <w:t>0.0026</w:t>
            </w:r>
          </w:p>
        </w:tc>
        <w:tc>
          <w:tcPr>
            <w:tcW w:w="1784" w:type="dxa"/>
            <w:tcBorders>
              <w:tl2br w:val="nil"/>
              <w:tr2bl w:val="nil"/>
            </w:tcBorders>
            <w:vAlign w:val="center"/>
          </w:tcPr>
          <w:p>
            <w:pPr>
              <w:pStyle w:val="28"/>
              <w:bidi w:val="0"/>
              <w:rPr>
                <w:color w:val="auto"/>
                <w:highlight w:val="none"/>
              </w:rPr>
            </w:pPr>
            <w:r>
              <w:rPr>
                <w:color w:val="auto"/>
                <w:highlight w:val="none"/>
              </w:rPr>
              <w:t>0.0011</w:t>
            </w:r>
          </w:p>
        </w:tc>
        <w:tc>
          <w:tcPr>
            <w:tcW w:w="1657" w:type="dxa"/>
            <w:tcBorders>
              <w:tl2br w:val="nil"/>
              <w:tr2bl w:val="nil"/>
            </w:tcBorders>
            <w:vAlign w:val="center"/>
          </w:tcPr>
          <w:p>
            <w:pPr>
              <w:pStyle w:val="28"/>
              <w:bidi w:val="0"/>
              <w:rPr>
                <w:color w:val="auto"/>
                <w:highlight w:val="none"/>
              </w:rPr>
            </w:pPr>
            <w:r>
              <w:rPr>
                <w:color w:val="auto"/>
                <w:highlight w:val="none"/>
              </w:rPr>
              <w:t>0.0105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下风向最大浓度</w:t>
            </w:r>
          </w:p>
        </w:tc>
        <w:tc>
          <w:tcPr>
            <w:tcW w:w="1801" w:type="dxa"/>
            <w:tcBorders>
              <w:tl2br w:val="nil"/>
              <w:tr2bl w:val="nil"/>
            </w:tcBorders>
            <w:vAlign w:val="center"/>
          </w:tcPr>
          <w:p>
            <w:pPr>
              <w:pStyle w:val="28"/>
              <w:bidi w:val="0"/>
              <w:rPr>
                <w:color w:val="auto"/>
                <w:highlight w:val="none"/>
              </w:rPr>
            </w:pPr>
            <w:r>
              <w:rPr>
                <w:color w:val="auto"/>
                <w:highlight w:val="none"/>
              </w:rPr>
              <w:t>1.8613</w:t>
            </w:r>
          </w:p>
        </w:tc>
        <w:tc>
          <w:tcPr>
            <w:tcW w:w="1676" w:type="dxa"/>
            <w:tcBorders>
              <w:tl2br w:val="nil"/>
              <w:tr2bl w:val="nil"/>
            </w:tcBorders>
            <w:vAlign w:val="center"/>
          </w:tcPr>
          <w:p>
            <w:pPr>
              <w:pStyle w:val="28"/>
              <w:bidi w:val="0"/>
              <w:rPr>
                <w:color w:val="auto"/>
                <w:highlight w:val="none"/>
              </w:rPr>
            </w:pPr>
            <w:r>
              <w:rPr>
                <w:color w:val="auto"/>
                <w:highlight w:val="none"/>
              </w:rPr>
              <w:t>0.9307</w:t>
            </w:r>
          </w:p>
        </w:tc>
        <w:tc>
          <w:tcPr>
            <w:tcW w:w="1784" w:type="dxa"/>
            <w:tcBorders>
              <w:tl2br w:val="nil"/>
              <w:tr2bl w:val="nil"/>
            </w:tcBorders>
            <w:vAlign w:val="center"/>
          </w:tcPr>
          <w:p>
            <w:pPr>
              <w:pStyle w:val="28"/>
              <w:bidi w:val="0"/>
              <w:rPr>
                <w:color w:val="auto"/>
                <w:highlight w:val="none"/>
              </w:rPr>
            </w:pPr>
            <w:r>
              <w:rPr>
                <w:color w:val="auto"/>
                <w:highlight w:val="none"/>
              </w:rPr>
              <w:t>0.3723</w:t>
            </w:r>
          </w:p>
        </w:tc>
        <w:tc>
          <w:tcPr>
            <w:tcW w:w="1657" w:type="dxa"/>
            <w:tcBorders>
              <w:tl2br w:val="nil"/>
              <w:tr2bl w:val="nil"/>
            </w:tcBorders>
            <w:vAlign w:val="center"/>
          </w:tcPr>
          <w:p>
            <w:pPr>
              <w:pStyle w:val="28"/>
              <w:bidi w:val="0"/>
              <w:rPr>
                <w:color w:val="auto"/>
                <w:highlight w:val="none"/>
              </w:rPr>
            </w:pPr>
            <w:r>
              <w:rPr>
                <w:color w:val="auto"/>
                <w:highlight w:val="none"/>
              </w:rPr>
              <w:t>3.7226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801" w:type="dxa"/>
            <w:tcBorders>
              <w:tl2br w:val="nil"/>
              <w:tr2bl w:val="nil"/>
            </w:tcBorders>
            <w:vAlign w:val="center"/>
          </w:tcPr>
          <w:p>
            <w:pPr>
              <w:pStyle w:val="28"/>
              <w:bidi w:val="0"/>
              <w:rPr>
                <w:color w:val="auto"/>
                <w:highlight w:val="none"/>
              </w:rPr>
            </w:pPr>
            <w:r>
              <w:rPr>
                <w:color w:val="auto"/>
                <w:highlight w:val="none"/>
              </w:rPr>
              <w:t>132.0</w:t>
            </w:r>
          </w:p>
        </w:tc>
        <w:tc>
          <w:tcPr>
            <w:tcW w:w="1676" w:type="dxa"/>
            <w:tcBorders>
              <w:tl2br w:val="nil"/>
              <w:tr2bl w:val="nil"/>
            </w:tcBorders>
            <w:vAlign w:val="center"/>
          </w:tcPr>
          <w:p>
            <w:pPr>
              <w:pStyle w:val="28"/>
              <w:bidi w:val="0"/>
              <w:rPr>
                <w:color w:val="auto"/>
                <w:highlight w:val="none"/>
              </w:rPr>
            </w:pPr>
            <w:r>
              <w:rPr>
                <w:color w:val="auto"/>
                <w:highlight w:val="none"/>
              </w:rPr>
              <w:t>132.0</w:t>
            </w:r>
          </w:p>
        </w:tc>
        <w:tc>
          <w:tcPr>
            <w:tcW w:w="1784" w:type="dxa"/>
            <w:tcBorders>
              <w:tl2br w:val="nil"/>
              <w:tr2bl w:val="nil"/>
            </w:tcBorders>
            <w:vAlign w:val="center"/>
          </w:tcPr>
          <w:p>
            <w:pPr>
              <w:pStyle w:val="28"/>
              <w:bidi w:val="0"/>
              <w:rPr>
                <w:color w:val="auto"/>
                <w:highlight w:val="none"/>
              </w:rPr>
            </w:pPr>
            <w:r>
              <w:rPr>
                <w:color w:val="auto"/>
                <w:highlight w:val="none"/>
              </w:rPr>
              <w:t>132.0</w:t>
            </w:r>
          </w:p>
        </w:tc>
        <w:tc>
          <w:tcPr>
            <w:tcW w:w="1657" w:type="dxa"/>
            <w:tcBorders>
              <w:tl2br w:val="nil"/>
              <w:tr2bl w:val="nil"/>
            </w:tcBorders>
            <w:vAlign w:val="center"/>
          </w:tcPr>
          <w:p>
            <w:pPr>
              <w:pStyle w:val="28"/>
              <w:bidi w:val="0"/>
              <w:rPr>
                <w:color w:val="auto"/>
                <w:highlight w:val="none"/>
              </w:rPr>
            </w:pPr>
            <w:r>
              <w:rPr>
                <w:color w:val="auto"/>
                <w:highlight w:val="none"/>
              </w:rPr>
              <w:t>132.0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D10%最远距离</w:t>
            </w:r>
          </w:p>
        </w:tc>
        <w:tc>
          <w:tcPr>
            <w:tcW w:w="1801" w:type="dxa"/>
            <w:tcBorders>
              <w:tl2br w:val="nil"/>
              <w:tr2bl w:val="nil"/>
            </w:tcBorders>
            <w:vAlign w:val="center"/>
          </w:tcPr>
          <w:p>
            <w:pPr>
              <w:pStyle w:val="28"/>
              <w:bidi w:val="0"/>
              <w:rPr>
                <w:color w:val="auto"/>
                <w:highlight w:val="none"/>
              </w:rPr>
            </w:pPr>
            <w:r>
              <w:rPr>
                <w:color w:val="auto"/>
                <w:highlight w:val="none"/>
              </w:rPr>
              <w:t>/</w:t>
            </w:r>
          </w:p>
        </w:tc>
        <w:tc>
          <w:tcPr>
            <w:tcW w:w="1676" w:type="dxa"/>
            <w:tcBorders>
              <w:tl2br w:val="nil"/>
              <w:tr2bl w:val="nil"/>
            </w:tcBorders>
            <w:vAlign w:val="center"/>
          </w:tcPr>
          <w:p>
            <w:pPr>
              <w:pStyle w:val="28"/>
              <w:bidi w:val="0"/>
              <w:rPr>
                <w:color w:val="auto"/>
                <w:highlight w:val="none"/>
              </w:rPr>
            </w:pPr>
            <w:r>
              <w:rPr>
                <w:color w:val="auto"/>
                <w:highlight w:val="none"/>
              </w:rPr>
              <w:t>/</w:t>
            </w:r>
          </w:p>
        </w:tc>
        <w:tc>
          <w:tcPr>
            <w:tcW w:w="1784" w:type="dxa"/>
            <w:tcBorders>
              <w:tl2br w:val="nil"/>
              <w:tr2bl w:val="nil"/>
            </w:tcBorders>
            <w:vAlign w:val="center"/>
          </w:tcPr>
          <w:p>
            <w:pPr>
              <w:pStyle w:val="28"/>
              <w:bidi w:val="0"/>
              <w:rPr>
                <w:color w:val="auto"/>
                <w:highlight w:val="none"/>
              </w:rPr>
            </w:pPr>
            <w:r>
              <w:rPr>
                <w:color w:val="auto"/>
                <w:highlight w:val="none"/>
              </w:rPr>
              <w:t>/</w:t>
            </w:r>
          </w:p>
        </w:tc>
        <w:tc>
          <w:tcPr>
            <w:tcW w:w="1657" w:type="dxa"/>
            <w:tcBorders>
              <w:tl2br w:val="nil"/>
              <w:tr2bl w:val="nil"/>
            </w:tcBorders>
            <w:vAlign w:val="center"/>
          </w:tcPr>
          <w:p>
            <w:pPr>
              <w:pStyle w:val="28"/>
              <w:bidi w:val="0"/>
              <w:rPr>
                <w:color w:val="auto"/>
                <w:highlight w:val="none"/>
              </w:rPr>
            </w:pPr>
            <w:r>
              <w:rPr>
                <w:color w:val="auto"/>
                <w:highlight w:val="none"/>
              </w:rPr>
              <w:t>/</w:t>
            </w:r>
          </w:p>
        </w:tc>
      </w:tr>
    </w:tbl>
    <w:p>
      <w:pPr>
        <w:pStyle w:val="27"/>
        <w:widowControl w:val="0"/>
        <w:rPr>
          <w:color w:val="auto"/>
          <w:highlight w:val="none"/>
        </w:rPr>
      </w:pPr>
      <w:r>
        <w:rPr>
          <w:rFonts w:hint="eastAsia"/>
          <w:color w:val="auto"/>
          <w:highlight w:val="none"/>
        </w:rPr>
        <w:t>天然气燃烧废气有组织排放预测计算结果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66"/>
        <w:gridCol w:w="1280"/>
        <w:gridCol w:w="1188"/>
        <w:gridCol w:w="1376"/>
        <w:gridCol w:w="1265"/>
        <w:gridCol w:w="1419"/>
        <w:gridCol w:w="132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0" w:type="auto"/>
            <w:gridSpan w:val="6"/>
            <w:tcBorders>
              <w:tl2br w:val="nil"/>
              <w:tr2bl w:val="nil"/>
            </w:tcBorders>
            <w:vAlign w:val="center"/>
          </w:tcPr>
          <w:p>
            <w:pPr>
              <w:pStyle w:val="28"/>
              <w:widowControl w:val="0"/>
              <w:rPr>
                <w:b/>
                <w:bCs/>
                <w:color w:val="auto"/>
                <w:highlight w:val="none"/>
              </w:rPr>
            </w:pPr>
            <w:r>
              <w:rPr>
                <w:b/>
                <w:bCs/>
                <w:color w:val="auto"/>
                <w:highlight w:val="none"/>
              </w:rPr>
              <w:t>点源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b/>
                <w:bCs/>
                <w:color w:val="auto"/>
                <w:highlight w:val="none"/>
              </w:rPr>
            </w:pPr>
          </w:p>
        </w:tc>
        <w:tc>
          <w:tcPr>
            <w:tcW w:w="0" w:type="auto"/>
            <w:tcBorders>
              <w:tl2br w:val="nil"/>
              <w:tr2bl w:val="nil"/>
            </w:tcBorders>
            <w:vAlign w:val="center"/>
          </w:tcPr>
          <w:p>
            <w:pPr>
              <w:pStyle w:val="28"/>
              <w:widowControl w:val="0"/>
              <w:rPr>
                <w:b/>
                <w:bCs/>
                <w:color w:val="auto"/>
                <w:highlight w:val="none"/>
              </w:rPr>
            </w:pPr>
            <w:r>
              <w:rPr>
                <w:b/>
                <w:bCs/>
                <w:color w:val="auto"/>
                <w:highlight w:val="none"/>
              </w:rPr>
              <w:t>SO</w:t>
            </w:r>
            <w:r>
              <w:rPr>
                <w:b/>
                <w:bCs/>
                <w:color w:val="auto"/>
                <w:highlight w:val="none"/>
                <w:vertAlign w:val="subscript"/>
              </w:rPr>
              <w:t>2</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SO</w:t>
            </w:r>
            <w:r>
              <w:rPr>
                <w:b/>
                <w:bCs/>
                <w:color w:val="auto"/>
                <w:highlight w:val="none"/>
                <w:vertAlign w:val="subscript"/>
              </w:rPr>
              <w:t>2</w:t>
            </w:r>
            <w:r>
              <w:rPr>
                <w:b/>
                <w:bCs/>
                <w:color w:val="auto"/>
                <w:highlight w:val="none"/>
              </w:rPr>
              <w:t>占标率(%)</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NOx浓度(μg/m³)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NOx占标率(%)</w:t>
            </w:r>
          </w:p>
        </w:tc>
        <w:tc>
          <w:tcPr>
            <w:tcW w:w="0" w:type="auto"/>
            <w:tcBorders>
              <w:tl2br w:val="nil"/>
              <w:tr2bl w:val="nil"/>
            </w:tcBorders>
            <w:vAlign w:val="center"/>
          </w:tcPr>
          <w:p>
            <w:pPr>
              <w:pStyle w:val="28"/>
              <w:widowControl w:val="0"/>
              <w:rPr>
                <w:b/>
                <w:bCs/>
                <w:color w:val="auto"/>
                <w:highlight w:val="none"/>
              </w:rPr>
            </w:pPr>
            <w:r>
              <w:rPr>
                <w:rFonts w:hint="eastAsia"/>
                <w:b/>
                <w:bCs/>
                <w:color w:val="auto"/>
                <w:highlight w:val="none"/>
              </w:rPr>
              <w:t>颗粒物</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rFonts w:hint="eastAsia"/>
                <w:b/>
                <w:bCs/>
                <w:color w:val="auto"/>
                <w:highlight w:val="none"/>
              </w:rPr>
              <w:t>颗粒物</w:t>
            </w:r>
            <w:r>
              <w:rPr>
                <w:b/>
                <w:bCs/>
                <w:color w:val="auto"/>
                <w:highlight w:val="none"/>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w:t>
            </w:r>
          </w:p>
        </w:tc>
        <w:tc>
          <w:tcPr>
            <w:tcW w:w="1280" w:type="dxa"/>
            <w:tcBorders>
              <w:tl2br w:val="nil"/>
              <w:tr2bl w:val="nil"/>
            </w:tcBorders>
            <w:vAlign w:val="center"/>
          </w:tcPr>
          <w:p>
            <w:pPr>
              <w:pStyle w:val="28"/>
              <w:widowControl w:val="0"/>
              <w:rPr>
                <w:color w:val="auto"/>
                <w:highlight w:val="none"/>
              </w:rPr>
            </w:pPr>
            <w:r>
              <w:rPr>
                <w:color w:val="auto"/>
                <w:highlight w:val="none"/>
              </w:rPr>
              <w:t>1.0676</w:t>
            </w:r>
          </w:p>
        </w:tc>
        <w:tc>
          <w:tcPr>
            <w:tcW w:w="1188" w:type="dxa"/>
            <w:tcBorders>
              <w:tl2br w:val="nil"/>
              <w:tr2bl w:val="nil"/>
            </w:tcBorders>
            <w:vAlign w:val="center"/>
          </w:tcPr>
          <w:p>
            <w:pPr>
              <w:pStyle w:val="28"/>
              <w:widowControl w:val="0"/>
              <w:rPr>
                <w:color w:val="auto"/>
                <w:highlight w:val="none"/>
              </w:rPr>
            </w:pPr>
            <w:r>
              <w:rPr>
                <w:color w:val="auto"/>
                <w:highlight w:val="none"/>
              </w:rPr>
              <w:t>0.2135</w:t>
            </w:r>
          </w:p>
        </w:tc>
        <w:tc>
          <w:tcPr>
            <w:tcW w:w="1376" w:type="dxa"/>
            <w:tcBorders>
              <w:tl2br w:val="nil"/>
              <w:tr2bl w:val="nil"/>
            </w:tcBorders>
            <w:vAlign w:val="center"/>
          </w:tcPr>
          <w:p>
            <w:pPr>
              <w:pStyle w:val="28"/>
              <w:widowControl w:val="0"/>
              <w:rPr>
                <w:color w:val="auto"/>
                <w:highlight w:val="none"/>
              </w:rPr>
            </w:pPr>
            <w:r>
              <w:rPr>
                <w:color w:val="auto"/>
                <w:highlight w:val="none"/>
              </w:rPr>
              <w:t>3.1494</w:t>
            </w:r>
          </w:p>
        </w:tc>
        <w:tc>
          <w:tcPr>
            <w:tcW w:w="1265" w:type="dxa"/>
            <w:tcBorders>
              <w:tl2br w:val="nil"/>
              <w:tr2bl w:val="nil"/>
            </w:tcBorders>
            <w:vAlign w:val="center"/>
          </w:tcPr>
          <w:p>
            <w:pPr>
              <w:pStyle w:val="28"/>
              <w:widowControl w:val="0"/>
              <w:rPr>
                <w:color w:val="auto"/>
                <w:highlight w:val="none"/>
              </w:rPr>
            </w:pPr>
            <w:r>
              <w:rPr>
                <w:color w:val="auto"/>
                <w:highlight w:val="none"/>
              </w:rPr>
              <w:t>1.2598</w:t>
            </w:r>
          </w:p>
        </w:tc>
        <w:tc>
          <w:tcPr>
            <w:tcW w:w="1419" w:type="dxa"/>
            <w:tcBorders>
              <w:tl2br w:val="nil"/>
              <w:tr2bl w:val="nil"/>
            </w:tcBorders>
            <w:vAlign w:val="center"/>
          </w:tcPr>
          <w:p>
            <w:pPr>
              <w:pStyle w:val="28"/>
              <w:widowControl w:val="0"/>
              <w:rPr>
                <w:color w:val="auto"/>
                <w:highlight w:val="none"/>
              </w:rPr>
            </w:pPr>
            <w:r>
              <w:rPr>
                <w:color w:val="auto"/>
                <w:highlight w:val="none"/>
              </w:rPr>
              <w:t>0.6406</w:t>
            </w:r>
          </w:p>
        </w:tc>
        <w:tc>
          <w:tcPr>
            <w:tcW w:w="1326" w:type="dxa"/>
            <w:tcBorders>
              <w:tl2br w:val="nil"/>
              <w:tr2bl w:val="nil"/>
            </w:tcBorders>
            <w:vAlign w:val="center"/>
          </w:tcPr>
          <w:p>
            <w:pPr>
              <w:pStyle w:val="28"/>
              <w:widowControl w:val="0"/>
              <w:rPr>
                <w:color w:val="auto"/>
                <w:highlight w:val="none"/>
              </w:rPr>
            </w:pPr>
            <w:r>
              <w:rPr>
                <w:color w:val="auto"/>
                <w:highlight w:val="none"/>
              </w:rPr>
              <w:t>0.0712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w:t>
            </w:r>
          </w:p>
        </w:tc>
        <w:tc>
          <w:tcPr>
            <w:tcW w:w="1280" w:type="dxa"/>
            <w:tcBorders>
              <w:tl2br w:val="nil"/>
              <w:tr2bl w:val="nil"/>
            </w:tcBorders>
            <w:vAlign w:val="center"/>
          </w:tcPr>
          <w:p>
            <w:pPr>
              <w:pStyle w:val="28"/>
              <w:widowControl w:val="0"/>
              <w:rPr>
                <w:color w:val="auto"/>
                <w:highlight w:val="none"/>
              </w:rPr>
            </w:pPr>
            <w:r>
              <w:rPr>
                <w:color w:val="auto"/>
                <w:highlight w:val="none"/>
              </w:rPr>
              <w:t>1.1178</w:t>
            </w:r>
          </w:p>
        </w:tc>
        <w:tc>
          <w:tcPr>
            <w:tcW w:w="1188" w:type="dxa"/>
            <w:tcBorders>
              <w:tl2br w:val="nil"/>
              <w:tr2bl w:val="nil"/>
            </w:tcBorders>
            <w:vAlign w:val="center"/>
          </w:tcPr>
          <w:p>
            <w:pPr>
              <w:pStyle w:val="28"/>
              <w:widowControl w:val="0"/>
              <w:rPr>
                <w:color w:val="auto"/>
                <w:highlight w:val="none"/>
              </w:rPr>
            </w:pPr>
            <w:r>
              <w:rPr>
                <w:color w:val="auto"/>
                <w:highlight w:val="none"/>
              </w:rPr>
              <w:t>0.2236</w:t>
            </w:r>
          </w:p>
        </w:tc>
        <w:tc>
          <w:tcPr>
            <w:tcW w:w="1376" w:type="dxa"/>
            <w:tcBorders>
              <w:tl2br w:val="nil"/>
              <w:tr2bl w:val="nil"/>
            </w:tcBorders>
            <w:vAlign w:val="center"/>
          </w:tcPr>
          <w:p>
            <w:pPr>
              <w:pStyle w:val="28"/>
              <w:widowControl w:val="0"/>
              <w:rPr>
                <w:color w:val="auto"/>
                <w:highlight w:val="none"/>
              </w:rPr>
            </w:pPr>
            <w:r>
              <w:rPr>
                <w:color w:val="auto"/>
                <w:highlight w:val="none"/>
              </w:rPr>
              <w:t>3.2975</w:t>
            </w:r>
          </w:p>
        </w:tc>
        <w:tc>
          <w:tcPr>
            <w:tcW w:w="1265" w:type="dxa"/>
            <w:tcBorders>
              <w:tl2br w:val="nil"/>
              <w:tr2bl w:val="nil"/>
            </w:tcBorders>
            <w:vAlign w:val="center"/>
          </w:tcPr>
          <w:p>
            <w:pPr>
              <w:pStyle w:val="28"/>
              <w:widowControl w:val="0"/>
              <w:rPr>
                <w:color w:val="auto"/>
                <w:highlight w:val="none"/>
              </w:rPr>
            </w:pPr>
            <w:r>
              <w:rPr>
                <w:color w:val="auto"/>
                <w:highlight w:val="none"/>
              </w:rPr>
              <w:t>1.3190</w:t>
            </w:r>
          </w:p>
        </w:tc>
        <w:tc>
          <w:tcPr>
            <w:tcW w:w="1419" w:type="dxa"/>
            <w:tcBorders>
              <w:tl2br w:val="nil"/>
              <w:tr2bl w:val="nil"/>
            </w:tcBorders>
            <w:vAlign w:val="center"/>
          </w:tcPr>
          <w:p>
            <w:pPr>
              <w:pStyle w:val="28"/>
              <w:widowControl w:val="0"/>
              <w:rPr>
                <w:color w:val="auto"/>
                <w:highlight w:val="none"/>
              </w:rPr>
            </w:pPr>
            <w:r>
              <w:rPr>
                <w:color w:val="auto"/>
                <w:highlight w:val="none"/>
              </w:rPr>
              <w:t>0.6707</w:t>
            </w:r>
          </w:p>
        </w:tc>
        <w:tc>
          <w:tcPr>
            <w:tcW w:w="1326" w:type="dxa"/>
            <w:tcBorders>
              <w:tl2br w:val="nil"/>
              <w:tr2bl w:val="nil"/>
            </w:tcBorders>
            <w:vAlign w:val="center"/>
          </w:tcPr>
          <w:p>
            <w:pPr>
              <w:pStyle w:val="28"/>
              <w:widowControl w:val="0"/>
              <w:rPr>
                <w:color w:val="auto"/>
                <w:highlight w:val="none"/>
              </w:rPr>
            </w:pPr>
            <w:r>
              <w:rPr>
                <w:color w:val="auto"/>
                <w:highlight w:val="none"/>
              </w:rPr>
              <w:t>0.0745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w:t>
            </w:r>
          </w:p>
        </w:tc>
        <w:tc>
          <w:tcPr>
            <w:tcW w:w="1280" w:type="dxa"/>
            <w:tcBorders>
              <w:tl2br w:val="nil"/>
              <w:tr2bl w:val="nil"/>
            </w:tcBorders>
            <w:vAlign w:val="center"/>
          </w:tcPr>
          <w:p>
            <w:pPr>
              <w:pStyle w:val="28"/>
              <w:widowControl w:val="0"/>
              <w:rPr>
                <w:color w:val="auto"/>
                <w:highlight w:val="none"/>
              </w:rPr>
            </w:pPr>
            <w:r>
              <w:rPr>
                <w:color w:val="auto"/>
                <w:highlight w:val="none"/>
              </w:rPr>
              <w:t>1.0732</w:t>
            </w:r>
          </w:p>
        </w:tc>
        <w:tc>
          <w:tcPr>
            <w:tcW w:w="1188" w:type="dxa"/>
            <w:tcBorders>
              <w:tl2br w:val="nil"/>
              <w:tr2bl w:val="nil"/>
            </w:tcBorders>
            <w:vAlign w:val="center"/>
          </w:tcPr>
          <w:p>
            <w:pPr>
              <w:pStyle w:val="28"/>
              <w:widowControl w:val="0"/>
              <w:rPr>
                <w:color w:val="auto"/>
                <w:highlight w:val="none"/>
              </w:rPr>
            </w:pPr>
            <w:r>
              <w:rPr>
                <w:color w:val="auto"/>
                <w:highlight w:val="none"/>
              </w:rPr>
              <w:t>0.2146</w:t>
            </w:r>
          </w:p>
        </w:tc>
        <w:tc>
          <w:tcPr>
            <w:tcW w:w="1376" w:type="dxa"/>
            <w:tcBorders>
              <w:tl2br w:val="nil"/>
              <w:tr2bl w:val="nil"/>
            </w:tcBorders>
            <w:vAlign w:val="center"/>
          </w:tcPr>
          <w:p>
            <w:pPr>
              <w:pStyle w:val="28"/>
              <w:widowControl w:val="0"/>
              <w:rPr>
                <w:color w:val="auto"/>
                <w:highlight w:val="none"/>
              </w:rPr>
            </w:pPr>
            <w:r>
              <w:rPr>
                <w:color w:val="auto"/>
                <w:highlight w:val="none"/>
              </w:rPr>
              <w:t>3.1659</w:t>
            </w:r>
          </w:p>
        </w:tc>
        <w:tc>
          <w:tcPr>
            <w:tcW w:w="1265" w:type="dxa"/>
            <w:tcBorders>
              <w:tl2br w:val="nil"/>
              <w:tr2bl w:val="nil"/>
            </w:tcBorders>
            <w:vAlign w:val="center"/>
          </w:tcPr>
          <w:p>
            <w:pPr>
              <w:pStyle w:val="28"/>
              <w:widowControl w:val="0"/>
              <w:rPr>
                <w:color w:val="auto"/>
                <w:highlight w:val="none"/>
              </w:rPr>
            </w:pPr>
            <w:r>
              <w:rPr>
                <w:color w:val="auto"/>
                <w:highlight w:val="none"/>
              </w:rPr>
              <w:t>1.2664</w:t>
            </w:r>
          </w:p>
        </w:tc>
        <w:tc>
          <w:tcPr>
            <w:tcW w:w="1419" w:type="dxa"/>
            <w:tcBorders>
              <w:tl2br w:val="nil"/>
              <w:tr2bl w:val="nil"/>
            </w:tcBorders>
            <w:vAlign w:val="center"/>
          </w:tcPr>
          <w:p>
            <w:pPr>
              <w:pStyle w:val="28"/>
              <w:widowControl w:val="0"/>
              <w:rPr>
                <w:color w:val="auto"/>
                <w:highlight w:val="none"/>
              </w:rPr>
            </w:pPr>
            <w:r>
              <w:rPr>
                <w:color w:val="auto"/>
                <w:highlight w:val="none"/>
              </w:rPr>
              <w:t>0.6439</w:t>
            </w:r>
          </w:p>
        </w:tc>
        <w:tc>
          <w:tcPr>
            <w:tcW w:w="1326" w:type="dxa"/>
            <w:tcBorders>
              <w:tl2br w:val="nil"/>
              <w:tr2bl w:val="nil"/>
            </w:tcBorders>
            <w:vAlign w:val="center"/>
          </w:tcPr>
          <w:p>
            <w:pPr>
              <w:pStyle w:val="28"/>
              <w:widowControl w:val="0"/>
              <w:rPr>
                <w:color w:val="auto"/>
                <w:highlight w:val="none"/>
              </w:rPr>
            </w:pPr>
            <w:r>
              <w:rPr>
                <w:color w:val="auto"/>
                <w:highlight w:val="none"/>
              </w:rPr>
              <w:t>0.0715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300.0</w:t>
            </w:r>
          </w:p>
        </w:tc>
        <w:tc>
          <w:tcPr>
            <w:tcW w:w="1280" w:type="dxa"/>
            <w:tcBorders>
              <w:tl2br w:val="nil"/>
              <w:tr2bl w:val="nil"/>
            </w:tcBorders>
            <w:vAlign w:val="center"/>
          </w:tcPr>
          <w:p>
            <w:pPr>
              <w:pStyle w:val="28"/>
              <w:widowControl w:val="0"/>
              <w:rPr>
                <w:color w:val="auto"/>
                <w:highlight w:val="none"/>
              </w:rPr>
            </w:pPr>
            <w:r>
              <w:rPr>
                <w:color w:val="auto"/>
                <w:highlight w:val="none"/>
              </w:rPr>
              <w:t>2.7490</w:t>
            </w:r>
          </w:p>
        </w:tc>
        <w:tc>
          <w:tcPr>
            <w:tcW w:w="1188" w:type="dxa"/>
            <w:tcBorders>
              <w:tl2br w:val="nil"/>
              <w:tr2bl w:val="nil"/>
            </w:tcBorders>
            <w:vAlign w:val="center"/>
          </w:tcPr>
          <w:p>
            <w:pPr>
              <w:pStyle w:val="28"/>
              <w:widowControl w:val="0"/>
              <w:rPr>
                <w:color w:val="auto"/>
                <w:highlight w:val="none"/>
              </w:rPr>
            </w:pPr>
            <w:r>
              <w:rPr>
                <w:color w:val="auto"/>
                <w:highlight w:val="none"/>
              </w:rPr>
              <w:t>0.5498</w:t>
            </w:r>
          </w:p>
        </w:tc>
        <w:tc>
          <w:tcPr>
            <w:tcW w:w="1376" w:type="dxa"/>
            <w:tcBorders>
              <w:tl2br w:val="nil"/>
              <w:tr2bl w:val="nil"/>
            </w:tcBorders>
            <w:vAlign w:val="center"/>
          </w:tcPr>
          <w:p>
            <w:pPr>
              <w:pStyle w:val="28"/>
              <w:widowControl w:val="0"/>
              <w:rPr>
                <w:color w:val="auto"/>
                <w:highlight w:val="none"/>
              </w:rPr>
            </w:pPr>
            <w:r>
              <w:rPr>
                <w:color w:val="auto"/>
                <w:highlight w:val="none"/>
              </w:rPr>
              <w:t>8.1095</w:t>
            </w:r>
          </w:p>
        </w:tc>
        <w:tc>
          <w:tcPr>
            <w:tcW w:w="1265" w:type="dxa"/>
            <w:tcBorders>
              <w:tl2br w:val="nil"/>
              <w:tr2bl w:val="nil"/>
            </w:tcBorders>
            <w:vAlign w:val="center"/>
          </w:tcPr>
          <w:p>
            <w:pPr>
              <w:pStyle w:val="28"/>
              <w:widowControl w:val="0"/>
              <w:rPr>
                <w:color w:val="auto"/>
                <w:highlight w:val="none"/>
              </w:rPr>
            </w:pPr>
            <w:r>
              <w:rPr>
                <w:color w:val="auto"/>
                <w:highlight w:val="none"/>
              </w:rPr>
              <w:t>3.2438</w:t>
            </w:r>
          </w:p>
        </w:tc>
        <w:tc>
          <w:tcPr>
            <w:tcW w:w="1419" w:type="dxa"/>
            <w:tcBorders>
              <w:tl2br w:val="nil"/>
              <w:tr2bl w:val="nil"/>
            </w:tcBorders>
            <w:vAlign w:val="center"/>
          </w:tcPr>
          <w:p>
            <w:pPr>
              <w:pStyle w:val="28"/>
              <w:widowControl w:val="0"/>
              <w:rPr>
                <w:color w:val="auto"/>
                <w:highlight w:val="none"/>
              </w:rPr>
            </w:pPr>
            <w:r>
              <w:rPr>
                <w:color w:val="auto"/>
                <w:highlight w:val="none"/>
              </w:rPr>
              <w:t>1.6494</w:t>
            </w:r>
          </w:p>
        </w:tc>
        <w:tc>
          <w:tcPr>
            <w:tcW w:w="1326" w:type="dxa"/>
            <w:tcBorders>
              <w:tl2br w:val="nil"/>
              <w:tr2bl w:val="nil"/>
            </w:tcBorders>
            <w:vAlign w:val="center"/>
          </w:tcPr>
          <w:p>
            <w:pPr>
              <w:pStyle w:val="28"/>
              <w:widowControl w:val="0"/>
              <w:rPr>
                <w:color w:val="auto"/>
                <w:highlight w:val="none"/>
              </w:rPr>
            </w:pPr>
            <w:r>
              <w:rPr>
                <w:color w:val="auto"/>
                <w:highlight w:val="none"/>
              </w:rPr>
              <w:t>0.1833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400.0</w:t>
            </w:r>
          </w:p>
        </w:tc>
        <w:tc>
          <w:tcPr>
            <w:tcW w:w="1280" w:type="dxa"/>
            <w:tcBorders>
              <w:tl2br w:val="nil"/>
              <w:tr2bl w:val="nil"/>
            </w:tcBorders>
            <w:vAlign w:val="center"/>
          </w:tcPr>
          <w:p>
            <w:pPr>
              <w:pStyle w:val="28"/>
              <w:widowControl w:val="0"/>
              <w:rPr>
                <w:color w:val="auto"/>
                <w:highlight w:val="none"/>
              </w:rPr>
            </w:pPr>
            <w:r>
              <w:rPr>
                <w:color w:val="auto"/>
                <w:highlight w:val="none"/>
              </w:rPr>
              <w:t>1.7810</w:t>
            </w:r>
          </w:p>
        </w:tc>
        <w:tc>
          <w:tcPr>
            <w:tcW w:w="1188" w:type="dxa"/>
            <w:tcBorders>
              <w:tl2br w:val="nil"/>
              <w:tr2bl w:val="nil"/>
            </w:tcBorders>
            <w:vAlign w:val="center"/>
          </w:tcPr>
          <w:p>
            <w:pPr>
              <w:pStyle w:val="28"/>
              <w:widowControl w:val="0"/>
              <w:rPr>
                <w:color w:val="auto"/>
                <w:highlight w:val="none"/>
              </w:rPr>
            </w:pPr>
            <w:r>
              <w:rPr>
                <w:color w:val="auto"/>
                <w:highlight w:val="none"/>
              </w:rPr>
              <w:t>0.3562</w:t>
            </w:r>
          </w:p>
        </w:tc>
        <w:tc>
          <w:tcPr>
            <w:tcW w:w="1376" w:type="dxa"/>
            <w:tcBorders>
              <w:tl2br w:val="nil"/>
              <w:tr2bl w:val="nil"/>
            </w:tcBorders>
            <w:vAlign w:val="center"/>
          </w:tcPr>
          <w:p>
            <w:pPr>
              <w:pStyle w:val="28"/>
              <w:widowControl w:val="0"/>
              <w:rPr>
                <w:color w:val="auto"/>
                <w:highlight w:val="none"/>
              </w:rPr>
            </w:pPr>
            <w:r>
              <w:rPr>
                <w:color w:val="auto"/>
                <w:highlight w:val="none"/>
              </w:rPr>
              <w:t>5.2539</w:t>
            </w:r>
          </w:p>
        </w:tc>
        <w:tc>
          <w:tcPr>
            <w:tcW w:w="1265" w:type="dxa"/>
            <w:tcBorders>
              <w:tl2br w:val="nil"/>
              <w:tr2bl w:val="nil"/>
            </w:tcBorders>
            <w:vAlign w:val="center"/>
          </w:tcPr>
          <w:p>
            <w:pPr>
              <w:pStyle w:val="28"/>
              <w:widowControl w:val="0"/>
              <w:rPr>
                <w:color w:val="auto"/>
                <w:highlight w:val="none"/>
              </w:rPr>
            </w:pPr>
            <w:r>
              <w:rPr>
                <w:color w:val="auto"/>
                <w:highlight w:val="none"/>
              </w:rPr>
              <w:t>2.1016</w:t>
            </w:r>
          </w:p>
        </w:tc>
        <w:tc>
          <w:tcPr>
            <w:tcW w:w="1419" w:type="dxa"/>
            <w:tcBorders>
              <w:tl2br w:val="nil"/>
              <w:tr2bl w:val="nil"/>
            </w:tcBorders>
            <w:vAlign w:val="center"/>
          </w:tcPr>
          <w:p>
            <w:pPr>
              <w:pStyle w:val="28"/>
              <w:widowControl w:val="0"/>
              <w:rPr>
                <w:color w:val="auto"/>
                <w:highlight w:val="none"/>
              </w:rPr>
            </w:pPr>
            <w:r>
              <w:rPr>
                <w:color w:val="auto"/>
                <w:highlight w:val="none"/>
              </w:rPr>
              <w:t>1.0686</w:t>
            </w:r>
          </w:p>
        </w:tc>
        <w:tc>
          <w:tcPr>
            <w:tcW w:w="1326" w:type="dxa"/>
            <w:tcBorders>
              <w:tl2br w:val="nil"/>
              <w:tr2bl w:val="nil"/>
            </w:tcBorders>
            <w:vAlign w:val="center"/>
          </w:tcPr>
          <w:p>
            <w:pPr>
              <w:pStyle w:val="28"/>
              <w:widowControl w:val="0"/>
              <w:rPr>
                <w:color w:val="auto"/>
                <w:highlight w:val="none"/>
              </w:rPr>
            </w:pPr>
            <w:r>
              <w:rPr>
                <w:color w:val="auto"/>
                <w:highlight w:val="none"/>
              </w:rPr>
              <w:t>0.1187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500.0</w:t>
            </w:r>
          </w:p>
        </w:tc>
        <w:tc>
          <w:tcPr>
            <w:tcW w:w="1280" w:type="dxa"/>
            <w:tcBorders>
              <w:tl2br w:val="nil"/>
              <w:tr2bl w:val="nil"/>
            </w:tcBorders>
            <w:vAlign w:val="center"/>
          </w:tcPr>
          <w:p>
            <w:pPr>
              <w:pStyle w:val="28"/>
              <w:widowControl w:val="0"/>
              <w:rPr>
                <w:color w:val="auto"/>
                <w:highlight w:val="none"/>
              </w:rPr>
            </w:pPr>
            <w:r>
              <w:rPr>
                <w:color w:val="auto"/>
                <w:highlight w:val="none"/>
              </w:rPr>
              <w:t>1.4666</w:t>
            </w:r>
          </w:p>
        </w:tc>
        <w:tc>
          <w:tcPr>
            <w:tcW w:w="1188" w:type="dxa"/>
            <w:tcBorders>
              <w:tl2br w:val="nil"/>
              <w:tr2bl w:val="nil"/>
            </w:tcBorders>
            <w:vAlign w:val="center"/>
          </w:tcPr>
          <w:p>
            <w:pPr>
              <w:pStyle w:val="28"/>
              <w:widowControl w:val="0"/>
              <w:rPr>
                <w:color w:val="auto"/>
                <w:highlight w:val="none"/>
              </w:rPr>
            </w:pPr>
            <w:r>
              <w:rPr>
                <w:color w:val="auto"/>
                <w:highlight w:val="none"/>
              </w:rPr>
              <w:t>0.2933</w:t>
            </w:r>
          </w:p>
        </w:tc>
        <w:tc>
          <w:tcPr>
            <w:tcW w:w="1376" w:type="dxa"/>
            <w:tcBorders>
              <w:tl2br w:val="nil"/>
              <w:tr2bl w:val="nil"/>
            </w:tcBorders>
            <w:vAlign w:val="center"/>
          </w:tcPr>
          <w:p>
            <w:pPr>
              <w:pStyle w:val="28"/>
              <w:widowControl w:val="0"/>
              <w:rPr>
                <w:color w:val="auto"/>
                <w:highlight w:val="none"/>
              </w:rPr>
            </w:pPr>
            <w:r>
              <w:rPr>
                <w:color w:val="auto"/>
                <w:highlight w:val="none"/>
              </w:rPr>
              <w:t>4.3265</w:t>
            </w:r>
          </w:p>
        </w:tc>
        <w:tc>
          <w:tcPr>
            <w:tcW w:w="1265" w:type="dxa"/>
            <w:tcBorders>
              <w:tl2br w:val="nil"/>
              <w:tr2bl w:val="nil"/>
            </w:tcBorders>
            <w:vAlign w:val="center"/>
          </w:tcPr>
          <w:p>
            <w:pPr>
              <w:pStyle w:val="28"/>
              <w:widowControl w:val="0"/>
              <w:rPr>
                <w:color w:val="auto"/>
                <w:highlight w:val="none"/>
              </w:rPr>
            </w:pPr>
            <w:r>
              <w:rPr>
                <w:color w:val="auto"/>
                <w:highlight w:val="none"/>
              </w:rPr>
              <w:t>1.7306</w:t>
            </w:r>
          </w:p>
        </w:tc>
        <w:tc>
          <w:tcPr>
            <w:tcW w:w="1419" w:type="dxa"/>
            <w:tcBorders>
              <w:tl2br w:val="nil"/>
              <w:tr2bl w:val="nil"/>
            </w:tcBorders>
            <w:vAlign w:val="center"/>
          </w:tcPr>
          <w:p>
            <w:pPr>
              <w:pStyle w:val="28"/>
              <w:widowControl w:val="0"/>
              <w:rPr>
                <w:color w:val="auto"/>
                <w:highlight w:val="none"/>
              </w:rPr>
            </w:pPr>
            <w:r>
              <w:rPr>
                <w:color w:val="auto"/>
                <w:highlight w:val="none"/>
              </w:rPr>
              <w:t>0.8800</w:t>
            </w:r>
          </w:p>
        </w:tc>
        <w:tc>
          <w:tcPr>
            <w:tcW w:w="1326" w:type="dxa"/>
            <w:tcBorders>
              <w:tl2br w:val="nil"/>
              <w:tr2bl w:val="nil"/>
            </w:tcBorders>
            <w:vAlign w:val="center"/>
          </w:tcPr>
          <w:p>
            <w:pPr>
              <w:pStyle w:val="28"/>
              <w:widowControl w:val="0"/>
              <w:rPr>
                <w:color w:val="auto"/>
                <w:highlight w:val="none"/>
              </w:rPr>
            </w:pPr>
            <w:r>
              <w:rPr>
                <w:color w:val="auto"/>
                <w:highlight w:val="none"/>
              </w:rPr>
              <w:t>0.0978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600.0</w:t>
            </w:r>
          </w:p>
        </w:tc>
        <w:tc>
          <w:tcPr>
            <w:tcW w:w="1280" w:type="dxa"/>
            <w:tcBorders>
              <w:tl2br w:val="nil"/>
              <w:tr2bl w:val="nil"/>
            </w:tcBorders>
            <w:vAlign w:val="center"/>
          </w:tcPr>
          <w:p>
            <w:pPr>
              <w:pStyle w:val="28"/>
              <w:widowControl w:val="0"/>
              <w:rPr>
                <w:color w:val="auto"/>
                <w:highlight w:val="none"/>
              </w:rPr>
            </w:pPr>
            <w:r>
              <w:rPr>
                <w:color w:val="auto"/>
                <w:highlight w:val="none"/>
              </w:rPr>
              <w:t>1.1343</w:t>
            </w:r>
          </w:p>
        </w:tc>
        <w:tc>
          <w:tcPr>
            <w:tcW w:w="1188" w:type="dxa"/>
            <w:tcBorders>
              <w:tl2br w:val="nil"/>
              <w:tr2bl w:val="nil"/>
            </w:tcBorders>
            <w:vAlign w:val="center"/>
          </w:tcPr>
          <w:p>
            <w:pPr>
              <w:pStyle w:val="28"/>
              <w:widowControl w:val="0"/>
              <w:rPr>
                <w:color w:val="auto"/>
                <w:highlight w:val="none"/>
              </w:rPr>
            </w:pPr>
            <w:r>
              <w:rPr>
                <w:color w:val="auto"/>
                <w:highlight w:val="none"/>
              </w:rPr>
              <w:t>0.2269</w:t>
            </w:r>
          </w:p>
        </w:tc>
        <w:tc>
          <w:tcPr>
            <w:tcW w:w="1376" w:type="dxa"/>
            <w:tcBorders>
              <w:tl2br w:val="nil"/>
              <w:tr2bl w:val="nil"/>
            </w:tcBorders>
            <w:vAlign w:val="center"/>
          </w:tcPr>
          <w:p>
            <w:pPr>
              <w:pStyle w:val="28"/>
              <w:widowControl w:val="0"/>
              <w:rPr>
                <w:color w:val="auto"/>
                <w:highlight w:val="none"/>
              </w:rPr>
            </w:pPr>
            <w:r>
              <w:rPr>
                <w:color w:val="auto"/>
                <w:highlight w:val="none"/>
              </w:rPr>
              <w:t>3.3462</w:t>
            </w:r>
          </w:p>
        </w:tc>
        <w:tc>
          <w:tcPr>
            <w:tcW w:w="1265" w:type="dxa"/>
            <w:tcBorders>
              <w:tl2br w:val="nil"/>
              <w:tr2bl w:val="nil"/>
            </w:tcBorders>
            <w:vAlign w:val="center"/>
          </w:tcPr>
          <w:p>
            <w:pPr>
              <w:pStyle w:val="28"/>
              <w:widowControl w:val="0"/>
              <w:rPr>
                <w:color w:val="auto"/>
                <w:highlight w:val="none"/>
              </w:rPr>
            </w:pPr>
            <w:r>
              <w:rPr>
                <w:color w:val="auto"/>
                <w:highlight w:val="none"/>
              </w:rPr>
              <w:t>1.3385</w:t>
            </w:r>
          </w:p>
        </w:tc>
        <w:tc>
          <w:tcPr>
            <w:tcW w:w="1419" w:type="dxa"/>
            <w:tcBorders>
              <w:tl2br w:val="nil"/>
              <w:tr2bl w:val="nil"/>
            </w:tcBorders>
            <w:vAlign w:val="center"/>
          </w:tcPr>
          <w:p>
            <w:pPr>
              <w:pStyle w:val="28"/>
              <w:widowControl w:val="0"/>
              <w:rPr>
                <w:color w:val="auto"/>
                <w:highlight w:val="none"/>
              </w:rPr>
            </w:pPr>
            <w:r>
              <w:rPr>
                <w:color w:val="auto"/>
                <w:highlight w:val="none"/>
              </w:rPr>
              <w:t>0.6806</w:t>
            </w:r>
          </w:p>
        </w:tc>
        <w:tc>
          <w:tcPr>
            <w:tcW w:w="1326" w:type="dxa"/>
            <w:tcBorders>
              <w:tl2br w:val="nil"/>
              <w:tr2bl w:val="nil"/>
            </w:tcBorders>
            <w:vAlign w:val="center"/>
          </w:tcPr>
          <w:p>
            <w:pPr>
              <w:pStyle w:val="28"/>
              <w:widowControl w:val="0"/>
              <w:rPr>
                <w:color w:val="auto"/>
                <w:highlight w:val="none"/>
              </w:rPr>
            </w:pPr>
            <w:r>
              <w:rPr>
                <w:color w:val="auto"/>
                <w:highlight w:val="none"/>
              </w:rPr>
              <w:t>0.0756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700.0</w:t>
            </w:r>
          </w:p>
        </w:tc>
        <w:tc>
          <w:tcPr>
            <w:tcW w:w="1280" w:type="dxa"/>
            <w:tcBorders>
              <w:tl2br w:val="nil"/>
              <w:tr2bl w:val="nil"/>
            </w:tcBorders>
            <w:vAlign w:val="center"/>
          </w:tcPr>
          <w:p>
            <w:pPr>
              <w:pStyle w:val="28"/>
              <w:widowControl w:val="0"/>
              <w:rPr>
                <w:color w:val="auto"/>
                <w:highlight w:val="none"/>
              </w:rPr>
            </w:pPr>
            <w:r>
              <w:rPr>
                <w:color w:val="auto"/>
                <w:highlight w:val="none"/>
              </w:rPr>
              <w:t>0.9430</w:t>
            </w:r>
          </w:p>
        </w:tc>
        <w:tc>
          <w:tcPr>
            <w:tcW w:w="1188" w:type="dxa"/>
            <w:tcBorders>
              <w:tl2br w:val="nil"/>
              <w:tr2bl w:val="nil"/>
            </w:tcBorders>
            <w:vAlign w:val="center"/>
          </w:tcPr>
          <w:p>
            <w:pPr>
              <w:pStyle w:val="28"/>
              <w:widowControl w:val="0"/>
              <w:rPr>
                <w:color w:val="auto"/>
                <w:highlight w:val="none"/>
              </w:rPr>
            </w:pPr>
            <w:r>
              <w:rPr>
                <w:color w:val="auto"/>
                <w:highlight w:val="none"/>
              </w:rPr>
              <w:t>0.1886</w:t>
            </w:r>
          </w:p>
        </w:tc>
        <w:tc>
          <w:tcPr>
            <w:tcW w:w="1376" w:type="dxa"/>
            <w:tcBorders>
              <w:tl2br w:val="nil"/>
              <w:tr2bl w:val="nil"/>
            </w:tcBorders>
            <w:vAlign w:val="center"/>
          </w:tcPr>
          <w:p>
            <w:pPr>
              <w:pStyle w:val="28"/>
              <w:widowControl w:val="0"/>
              <w:rPr>
                <w:color w:val="auto"/>
                <w:highlight w:val="none"/>
              </w:rPr>
            </w:pPr>
            <w:r>
              <w:rPr>
                <w:color w:val="auto"/>
                <w:highlight w:val="none"/>
              </w:rPr>
              <w:t>2.7819</w:t>
            </w:r>
          </w:p>
        </w:tc>
        <w:tc>
          <w:tcPr>
            <w:tcW w:w="1265" w:type="dxa"/>
            <w:tcBorders>
              <w:tl2br w:val="nil"/>
              <w:tr2bl w:val="nil"/>
            </w:tcBorders>
            <w:vAlign w:val="center"/>
          </w:tcPr>
          <w:p>
            <w:pPr>
              <w:pStyle w:val="28"/>
              <w:widowControl w:val="0"/>
              <w:rPr>
                <w:color w:val="auto"/>
                <w:highlight w:val="none"/>
              </w:rPr>
            </w:pPr>
            <w:r>
              <w:rPr>
                <w:color w:val="auto"/>
                <w:highlight w:val="none"/>
              </w:rPr>
              <w:t>1.1128</w:t>
            </w:r>
          </w:p>
        </w:tc>
        <w:tc>
          <w:tcPr>
            <w:tcW w:w="1419" w:type="dxa"/>
            <w:tcBorders>
              <w:tl2br w:val="nil"/>
              <w:tr2bl w:val="nil"/>
            </w:tcBorders>
            <w:vAlign w:val="center"/>
          </w:tcPr>
          <w:p>
            <w:pPr>
              <w:pStyle w:val="28"/>
              <w:widowControl w:val="0"/>
              <w:rPr>
                <w:color w:val="auto"/>
                <w:highlight w:val="none"/>
              </w:rPr>
            </w:pPr>
            <w:r>
              <w:rPr>
                <w:color w:val="auto"/>
                <w:highlight w:val="none"/>
              </w:rPr>
              <w:t>0.5658</w:t>
            </w:r>
          </w:p>
        </w:tc>
        <w:tc>
          <w:tcPr>
            <w:tcW w:w="1326" w:type="dxa"/>
            <w:tcBorders>
              <w:tl2br w:val="nil"/>
              <w:tr2bl w:val="nil"/>
            </w:tcBorders>
            <w:vAlign w:val="center"/>
          </w:tcPr>
          <w:p>
            <w:pPr>
              <w:pStyle w:val="28"/>
              <w:widowControl w:val="0"/>
              <w:rPr>
                <w:color w:val="auto"/>
                <w:highlight w:val="none"/>
              </w:rPr>
            </w:pPr>
            <w:r>
              <w:rPr>
                <w:color w:val="auto"/>
                <w:highlight w:val="none"/>
              </w:rPr>
              <w:t>0.0629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800.0</w:t>
            </w:r>
          </w:p>
        </w:tc>
        <w:tc>
          <w:tcPr>
            <w:tcW w:w="1280" w:type="dxa"/>
            <w:tcBorders>
              <w:tl2br w:val="nil"/>
              <w:tr2bl w:val="nil"/>
            </w:tcBorders>
            <w:vAlign w:val="center"/>
          </w:tcPr>
          <w:p>
            <w:pPr>
              <w:pStyle w:val="28"/>
              <w:widowControl w:val="0"/>
              <w:rPr>
                <w:color w:val="auto"/>
                <w:highlight w:val="none"/>
              </w:rPr>
            </w:pPr>
            <w:r>
              <w:rPr>
                <w:color w:val="auto"/>
                <w:highlight w:val="none"/>
              </w:rPr>
              <w:t>0.8146</w:t>
            </w:r>
          </w:p>
        </w:tc>
        <w:tc>
          <w:tcPr>
            <w:tcW w:w="1188" w:type="dxa"/>
            <w:tcBorders>
              <w:tl2br w:val="nil"/>
              <w:tr2bl w:val="nil"/>
            </w:tcBorders>
            <w:vAlign w:val="center"/>
          </w:tcPr>
          <w:p>
            <w:pPr>
              <w:pStyle w:val="28"/>
              <w:widowControl w:val="0"/>
              <w:rPr>
                <w:color w:val="auto"/>
                <w:highlight w:val="none"/>
              </w:rPr>
            </w:pPr>
            <w:r>
              <w:rPr>
                <w:color w:val="auto"/>
                <w:highlight w:val="none"/>
              </w:rPr>
              <w:t>0.1629</w:t>
            </w:r>
          </w:p>
        </w:tc>
        <w:tc>
          <w:tcPr>
            <w:tcW w:w="1376" w:type="dxa"/>
            <w:tcBorders>
              <w:tl2br w:val="nil"/>
              <w:tr2bl w:val="nil"/>
            </w:tcBorders>
            <w:vAlign w:val="center"/>
          </w:tcPr>
          <w:p>
            <w:pPr>
              <w:pStyle w:val="28"/>
              <w:widowControl w:val="0"/>
              <w:rPr>
                <w:color w:val="auto"/>
                <w:highlight w:val="none"/>
              </w:rPr>
            </w:pPr>
            <w:r>
              <w:rPr>
                <w:color w:val="auto"/>
                <w:highlight w:val="none"/>
              </w:rPr>
              <w:t>2.4032</w:t>
            </w:r>
          </w:p>
        </w:tc>
        <w:tc>
          <w:tcPr>
            <w:tcW w:w="1265" w:type="dxa"/>
            <w:tcBorders>
              <w:tl2br w:val="nil"/>
              <w:tr2bl w:val="nil"/>
            </w:tcBorders>
            <w:vAlign w:val="center"/>
          </w:tcPr>
          <w:p>
            <w:pPr>
              <w:pStyle w:val="28"/>
              <w:widowControl w:val="0"/>
              <w:rPr>
                <w:color w:val="auto"/>
                <w:highlight w:val="none"/>
              </w:rPr>
            </w:pPr>
            <w:r>
              <w:rPr>
                <w:color w:val="auto"/>
                <w:highlight w:val="none"/>
              </w:rPr>
              <w:t>0.9613</w:t>
            </w:r>
          </w:p>
        </w:tc>
        <w:tc>
          <w:tcPr>
            <w:tcW w:w="1419" w:type="dxa"/>
            <w:tcBorders>
              <w:tl2br w:val="nil"/>
              <w:tr2bl w:val="nil"/>
            </w:tcBorders>
            <w:vAlign w:val="center"/>
          </w:tcPr>
          <w:p>
            <w:pPr>
              <w:pStyle w:val="28"/>
              <w:widowControl w:val="0"/>
              <w:rPr>
                <w:color w:val="auto"/>
                <w:highlight w:val="none"/>
              </w:rPr>
            </w:pPr>
            <w:r>
              <w:rPr>
                <w:color w:val="auto"/>
                <w:highlight w:val="none"/>
              </w:rPr>
              <w:t>0.4888</w:t>
            </w:r>
          </w:p>
        </w:tc>
        <w:tc>
          <w:tcPr>
            <w:tcW w:w="1326" w:type="dxa"/>
            <w:tcBorders>
              <w:tl2br w:val="nil"/>
              <w:tr2bl w:val="nil"/>
            </w:tcBorders>
            <w:vAlign w:val="center"/>
          </w:tcPr>
          <w:p>
            <w:pPr>
              <w:pStyle w:val="28"/>
              <w:widowControl w:val="0"/>
              <w:rPr>
                <w:color w:val="auto"/>
                <w:highlight w:val="none"/>
              </w:rPr>
            </w:pPr>
            <w:r>
              <w:rPr>
                <w:color w:val="auto"/>
                <w:highlight w:val="none"/>
              </w:rPr>
              <w:t>0.0543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900.0</w:t>
            </w:r>
          </w:p>
        </w:tc>
        <w:tc>
          <w:tcPr>
            <w:tcW w:w="1280" w:type="dxa"/>
            <w:tcBorders>
              <w:tl2br w:val="nil"/>
              <w:tr2bl w:val="nil"/>
            </w:tcBorders>
            <w:vAlign w:val="center"/>
          </w:tcPr>
          <w:p>
            <w:pPr>
              <w:pStyle w:val="28"/>
              <w:widowControl w:val="0"/>
              <w:rPr>
                <w:color w:val="auto"/>
                <w:highlight w:val="none"/>
              </w:rPr>
            </w:pPr>
            <w:r>
              <w:rPr>
                <w:color w:val="auto"/>
                <w:highlight w:val="none"/>
              </w:rPr>
              <w:t>0.7088</w:t>
            </w:r>
          </w:p>
        </w:tc>
        <w:tc>
          <w:tcPr>
            <w:tcW w:w="1188" w:type="dxa"/>
            <w:tcBorders>
              <w:tl2br w:val="nil"/>
              <w:tr2bl w:val="nil"/>
            </w:tcBorders>
            <w:vAlign w:val="center"/>
          </w:tcPr>
          <w:p>
            <w:pPr>
              <w:pStyle w:val="28"/>
              <w:widowControl w:val="0"/>
              <w:rPr>
                <w:color w:val="auto"/>
                <w:highlight w:val="none"/>
              </w:rPr>
            </w:pPr>
            <w:r>
              <w:rPr>
                <w:color w:val="auto"/>
                <w:highlight w:val="none"/>
              </w:rPr>
              <w:t>0.1418</w:t>
            </w:r>
          </w:p>
        </w:tc>
        <w:tc>
          <w:tcPr>
            <w:tcW w:w="1376" w:type="dxa"/>
            <w:tcBorders>
              <w:tl2br w:val="nil"/>
              <w:tr2bl w:val="nil"/>
            </w:tcBorders>
            <w:vAlign w:val="center"/>
          </w:tcPr>
          <w:p>
            <w:pPr>
              <w:pStyle w:val="28"/>
              <w:widowControl w:val="0"/>
              <w:rPr>
                <w:color w:val="auto"/>
                <w:highlight w:val="none"/>
              </w:rPr>
            </w:pPr>
            <w:r>
              <w:rPr>
                <w:color w:val="auto"/>
                <w:highlight w:val="none"/>
              </w:rPr>
              <w:t>2.0909</w:t>
            </w:r>
          </w:p>
        </w:tc>
        <w:tc>
          <w:tcPr>
            <w:tcW w:w="1265" w:type="dxa"/>
            <w:tcBorders>
              <w:tl2br w:val="nil"/>
              <w:tr2bl w:val="nil"/>
            </w:tcBorders>
            <w:vAlign w:val="center"/>
          </w:tcPr>
          <w:p>
            <w:pPr>
              <w:pStyle w:val="28"/>
              <w:widowControl w:val="0"/>
              <w:rPr>
                <w:color w:val="auto"/>
                <w:highlight w:val="none"/>
              </w:rPr>
            </w:pPr>
            <w:r>
              <w:rPr>
                <w:color w:val="auto"/>
                <w:highlight w:val="none"/>
              </w:rPr>
              <w:t>0.8363</w:t>
            </w:r>
          </w:p>
        </w:tc>
        <w:tc>
          <w:tcPr>
            <w:tcW w:w="1419" w:type="dxa"/>
            <w:tcBorders>
              <w:tl2br w:val="nil"/>
              <w:tr2bl w:val="nil"/>
            </w:tcBorders>
            <w:vAlign w:val="center"/>
          </w:tcPr>
          <w:p>
            <w:pPr>
              <w:pStyle w:val="28"/>
              <w:widowControl w:val="0"/>
              <w:rPr>
                <w:color w:val="auto"/>
                <w:highlight w:val="none"/>
              </w:rPr>
            </w:pPr>
            <w:r>
              <w:rPr>
                <w:color w:val="auto"/>
                <w:highlight w:val="none"/>
              </w:rPr>
              <w:t>0.4253</w:t>
            </w:r>
          </w:p>
        </w:tc>
        <w:tc>
          <w:tcPr>
            <w:tcW w:w="1326" w:type="dxa"/>
            <w:tcBorders>
              <w:tl2br w:val="nil"/>
              <w:tr2bl w:val="nil"/>
            </w:tcBorders>
            <w:vAlign w:val="center"/>
          </w:tcPr>
          <w:p>
            <w:pPr>
              <w:pStyle w:val="28"/>
              <w:widowControl w:val="0"/>
              <w:rPr>
                <w:color w:val="auto"/>
                <w:highlight w:val="none"/>
              </w:rPr>
            </w:pPr>
            <w:r>
              <w:rPr>
                <w:color w:val="auto"/>
                <w:highlight w:val="none"/>
              </w:rPr>
              <w:t>0.0473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1000.0</w:t>
            </w:r>
          </w:p>
        </w:tc>
        <w:tc>
          <w:tcPr>
            <w:tcW w:w="1280" w:type="dxa"/>
            <w:tcBorders>
              <w:tl2br w:val="nil"/>
              <w:tr2bl w:val="nil"/>
            </w:tcBorders>
            <w:vAlign w:val="center"/>
          </w:tcPr>
          <w:p>
            <w:pPr>
              <w:pStyle w:val="28"/>
              <w:widowControl w:val="0"/>
              <w:rPr>
                <w:color w:val="auto"/>
                <w:highlight w:val="none"/>
              </w:rPr>
            </w:pPr>
            <w:r>
              <w:rPr>
                <w:color w:val="auto"/>
                <w:highlight w:val="none"/>
              </w:rPr>
              <w:t>0.6047</w:t>
            </w:r>
          </w:p>
        </w:tc>
        <w:tc>
          <w:tcPr>
            <w:tcW w:w="1188" w:type="dxa"/>
            <w:tcBorders>
              <w:tl2br w:val="nil"/>
              <w:tr2bl w:val="nil"/>
            </w:tcBorders>
            <w:vAlign w:val="center"/>
          </w:tcPr>
          <w:p>
            <w:pPr>
              <w:pStyle w:val="28"/>
              <w:widowControl w:val="0"/>
              <w:rPr>
                <w:color w:val="auto"/>
                <w:highlight w:val="none"/>
              </w:rPr>
            </w:pPr>
            <w:r>
              <w:rPr>
                <w:color w:val="auto"/>
                <w:highlight w:val="none"/>
              </w:rPr>
              <w:t>0.1209</w:t>
            </w:r>
          </w:p>
        </w:tc>
        <w:tc>
          <w:tcPr>
            <w:tcW w:w="1376" w:type="dxa"/>
            <w:tcBorders>
              <w:tl2br w:val="nil"/>
              <w:tr2bl w:val="nil"/>
            </w:tcBorders>
            <w:vAlign w:val="center"/>
          </w:tcPr>
          <w:p>
            <w:pPr>
              <w:pStyle w:val="28"/>
              <w:widowControl w:val="0"/>
              <w:rPr>
                <w:color w:val="auto"/>
                <w:highlight w:val="none"/>
              </w:rPr>
            </w:pPr>
            <w:r>
              <w:rPr>
                <w:color w:val="auto"/>
                <w:highlight w:val="none"/>
              </w:rPr>
              <w:t>1.7837</w:t>
            </w:r>
          </w:p>
        </w:tc>
        <w:tc>
          <w:tcPr>
            <w:tcW w:w="1265" w:type="dxa"/>
            <w:tcBorders>
              <w:tl2br w:val="nil"/>
              <w:tr2bl w:val="nil"/>
            </w:tcBorders>
            <w:vAlign w:val="center"/>
          </w:tcPr>
          <w:p>
            <w:pPr>
              <w:pStyle w:val="28"/>
              <w:widowControl w:val="0"/>
              <w:rPr>
                <w:color w:val="auto"/>
                <w:highlight w:val="none"/>
              </w:rPr>
            </w:pPr>
            <w:r>
              <w:rPr>
                <w:color w:val="auto"/>
                <w:highlight w:val="none"/>
              </w:rPr>
              <w:t>0.7135</w:t>
            </w:r>
          </w:p>
        </w:tc>
        <w:tc>
          <w:tcPr>
            <w:tcW w:w="1419" w:type="dxa"/>
            <w:tcBorders>
              <w:tl2br w:val="nil"/>
              <w:tr2bl w:val="nil"/>
            </w:tcBorders>
            <w:vAlign w:val="center"/>
          </w:tcPr>
          <w:p>
            <w:pPr>
              <w:pStyle w:val="28"/>
              <w:widowControl w:val="0"/>
              <w:rPr>
                <w:color w:val="auto"/>
                <w:highlight w:val="none"/>
              </w:rPr>
            </w:pPr>
            <w:r>
              <w:rPr>
                <w:color w:val="auto"/>
                <w:highlight w:val="none"/>
              </w:rPr>
              <w:t>0.3628</w:t>
            </w:r>
          </w:p>
        </w:tc>
        <w:tc>
          <w:tcPr>
            <w:tcW w:w="1326" w:type="dxa"/>
            <w:tcBorders>
              <w:tl2br w:val="nil"/>
              <w:tr2bl w:val="nil"/>
            </w:tcBorders>
            <w:vAlign w:val="center"/>
          </w:tcPr>
          <w:p>
            <w:pPr>
              <w:pStyle w:val="28"/>
              <w:widowControl w:val="0"/>
              <w:rPr>
                <w:color w:val="auto"/>
                <w:highlight w:val="none"/>
              </w:rPr>
            </w:pPr>
            <w:r>
              <w:rPr>
                <w:color w:val="auto"/>
                <w:highlight w:val="none"/>
              </w:rPr>
              <w:t>0.0403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1200.0</w:t>
            </w:r>
          </w:p>
        </w:tc>
        <w:tc>
          <w:tcPr>
            <w:tcW w:w="1280" w:type="dxa"/>
            <w:tcBorders>
              <w:tl2br w:val="nil"/>
              <w:tr2bl w:val="nil"/>
            </w:tcBorders>
            <w:vAlign w:val="center"/>
          </w:tcPr>
          <w:p>
            <w:pPr>
              <w:pStyle w:val="28"/>
              <w:widowControl w:val="0"/>
              <w:rPr>
                <w:color w:val="auto"/>
                <w:highlight w:val="none"/>
              </w:rPr>
            </w:pPr>
            <w:r>
              <w:rPr>
                <w:color w:val="auto"/>
                <w:highlight w:val="none"/>
              </w:rPr>
              <w:t>0.5172</w:t>
            </w:r>
          </w:p>
        </w:tc>
        <w:tc>
          <w:tcPr>
            <w:tcW w:w="1188" w:type="dxa"/>
            <w:tcBorders>
              <w:tl2br w:val="nil"/>
              <w:tr2bl w:val="nil"/>
            </w:tcBorders>
            <w:vAlign w:val="center"/>
          </w:tcPr>
          <w:p>
            <w:pPr>
              <w:pStyle w:val="28"/>
              <w:widowControl w:val="0"/>
              <w:rPr>
                <w:color w:val="auto"/>
                <w:highlight w:val="none"/>
              </w:rPr>
            </w:pPr>
            <w:r>
              <w:rPr>
                <w:color w:val="auto"/>
                <w:highlight w:val="none"/>
              </w:rPr>
              <w:t>0.1034</w:t>
            </w:r>
          </w:p>
        </w:tc>
        <w:tc>
          <w:tcPr>
            <w:tcW w:w="1376" w:type="dxa"/>
            <w:tcBorders>
              <w:tl2br w:val="nil"/>
              <w:tr2bl w:val="nil"/>
            </w:tcBorders>
            <w:vAlign w:val="center"/>
          </w:tcPr>
          <w:p>
            <w:pPr>
              <w:pStyle w:val="28"/>
              <w:widowControl w:val="0"/>
              <w:rPr>
                <w:color w:val="auto"/>
                <w:highlight w:val="none"/>
              </w:rPr>
            </w:pPr>
            <w:r>
              <w:rPr>
                <w:color w:val="auto"/>
                <w:highlight w:val="none"/>
              </w:rPr>
              <w:t>1.5258</w:t>
            </w:r>
          </w:p>
        </w:tc>
        <w:tc>
          <w:tcPr>
            <w:tcW w:w="1265" w:type="dxa"/>
            <w:tcBorders>
              <w:tl2br w:val="nil"/>
              <w:tr2bl w:val="nil"/>
            </w:tcBorders>
            <w:vAlign w:val="center"/>
          </w:tcPr>
          <w:p>
            <w:pPr>
              <w:pStyle w:val="28"/>
              <w:widowControl w:val="0"/>
              <w:rPr>
                <w:color w:val="auto"/>
                <w:highlight w:val="none"/>
              </w:rPr>
            </w:pPr>
            <w:r>
              <w:rPr>
                <w:color w:val="auto"/>
                <w:highlight w:val="none"/>
              </w:rPr>
              <w:t>0.6103</w:t>
            </w:r>
          </w:p>
        </w:tc>
        <w:tc>
          <w:tcPr>
            <w:tcW w:w="1419" w:type="dxa"/>
            <w:tcBorders>
              <w:tl2br w:val="nil"/>
              <w:tr2bl w:val="nil"/>
            </w:tcBorders>
            <w:vAlign w:val="center"/>
          </w:tcPr>
          <w:p>
            <w:pPr>
              <w:pStyle w:val="28"/>
              <w:widowControl w:val="0"/>
              <w:rPr>
                <w:color w:val="auto"/>
                <w:highlight w:val="none"/>
              </w:rPr>
            </w:pPr>
            <w:r>
              <w:rPr>
                <w:color w:val="auto"/>
                <w:highlight w:val="none"/>
              </w:rPr>
              <w:t>0.3103</w:t>
            </w:r>
          </w:p>
        </w:tc>
        <w:tc>
          <w:tcPr>
            <w:tcW w:w="1326" w:type="dxa"/>
            <w:tcBorders>
              <w:tl2br w:val="nil"/>
              <w:tr2bl w:val="nil"/>
            </w:tcBorders>
            <w:vAlign w:val="center"/>
          </w:tcPr>
          <w:p>
            <w:pPr>
              <w:pStyle w:val="28"/>
              <w:widowControl w:val="0"/>
              <w:rPr>
                <w:color w:val="auto"/>
                <w:highlight w:val="none"/>
              </w:rPr>
            </w:pPr>
            <w:r>
              <w:rPr>
                <w:color w:val="auto"/>
                <w:highlight w:val="none"/>
              </w:rPr>
              <w:t>0.0345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1400.0</w:t>
            </w:r>
          </w:p>
        </w:tc>
        <w:tc>
          <w:tcPr>
            <w:tcW w:w="1280" w:type="dxa"/>
            <w:tcBorders>
              <w:tl2br w:val="nil"/>
              <w:tr2bl w:val="nil"/>
            </w:tcBorders>
            <w:vAlign w:val="center"/>
          </w:tcPr>
          <w:p>
            <w:pPr>
              <w:pStyle w:val="28"/>
              <w:widowControl w:val="0"/>
              <w:rPr>
                <w:color w:val="auto"/>
                <w:highlight w:val="none"/>
              </w:rPr>
            </w:pPr>
            <w:r>
              <w:rPr>
                <w:color w:val="auto"/>
                <w:highlight w:val="none"/>
              </w:rPr>
              <w:t>0.4427</w:t>
            </w:r>
          </w:p>
        </w:tc>
        <w:tc>
          <w:tcPr>
            <w:tcW w:w="1188" w:type="dxa"/>
            <w:tcBorders>
              <w:tl2br w:val="nil"/>
              <w:tr2bl w:val="nil"/>
            </w:tcBorders>
            <w:vAlign w:val="center"/>
          </w:tcPr>
          <w:p>
            <w:pPr>
              <w:pStyle w:val="28"/>
              <w:widowControl w:val="0"/>
              <w:rPr>
                <w:color w:val="auto"/>
                <w:highlight w:val="none"/>
              </w:rPr>
            </w:pPr>
            <w:r>
              <w:rPr>
                <w:color w:val="auto"/>
                <w:highlight w:val="none"/>
              </w:rPr>
              <w:t>0.0885</w:t>
            </w:r>
          </w:p>
        </w:tc>
        <w:tc>
          <w:tcPr>
            <w:tcW w:w="1376" w:type="dxa"/>
            <w:tcBorders>
              <w:tl2br w:val="nil"/>
              <w:tr2bl w:val="nil"/>
            </w:tcBorders>
            <w:vAlign w:val="center"/>
          </w:tcPr>
          <w:p>
            <w:pPr>
              <w:pStyle w:val="28"/>
              <w:widowControl w:val="0"/>
              <w:rPr>
                <w:color w:val="auto"/>
                <w:highlight w:val="none"/>
              </w:rPr>
            </w:pPr>
            <w:r>
              <w:rPr>
                <w:color w:val="auto"/>
                <w:highlight w:val="none"/>
              </w:rPr>
              <w:t>1.3059</w:t>
            </w:r>
          </w:p>
        </w:tc>
        <w:tc>
          <w:tcPr>
            <w:tcW w:w="1265" w:type="dxa"/>
            <w:tcBorders>
              <w:tl2br w:val="nil"/>
              <w:tr2bl w:val="nil"/>
            </w:tcBorders>
            <w:vAlign w:val="center"/>
          </w:tcPr>
          <w:p>
            <w:pPr>
              <w:pStyle w:val="28"/>
              <w:widowControl w:val="0"/>
              <w:rPr>
                <w:color w:val="auto"/>
                <w:highlight w:val="none"/>
              </w:rPr>
            </w:pPr>
            <w:r>
              <w:rPr>
                <w:color w:val="auto"/>
                <w:highlight w:val="none"/>
              </w:rPr>
              <w:t>0.5224</w:t>
            </w:r>
          </w:p>
        </w:tc>
        <w:tc>
          <w:tcPr>
            <w:tcW w:w="1419" w:type="dxa"/>
            <w:tcBorders>
              <w:tl2br w:val="nil"/>
              <w:tr2bl w:val="nil"/>
            </w:tcBorders>
            <w:vAlign w:val="center"/>
          </w:tcPr>
          <w:p>
            <w:pPr>
              <w:pStyle w:val="28"/>
              <w:widowControl w:val="0"/>
              <w:rPr>
                <w:color w:val="auto"/>
                <w:highlight w:val="none"/>
              </w:rPr>
            </w:pPr>
            <w:r>
              <w:rPr>
                <w:color w:val="auto"/>
                <w:highlight w:val="none"/>
              </w:rPr>
              <w:t>0.2656</w:t>
            </w:r>
          </w:p>
        </w:tc>
        <w:tc>
          <w:tcPr>
            <w:tcW w:w="1326" w:type="dxa"/>
            <w:tcBorders>
              <w:tl2br w:val="nil"/>
              <w:tr2bl w:val="nil"/>
            </w:tcBorders>
            <w:vAlign w:val="center"/>
          </w:tcPr>
          <w:p>
            <w:pPr>
              <w:pStyle w:val="28"/>
              <w:widowControl w:val="0"/>
              <w:rPr>
                <w:color w:val="auto"/>
                <w:highlight w:val="none"/>
              </w:rPr>
            </w:pPr>
            <w:r>
              <w:rPr>
                <w:color w:val="auto"/>
                <w:highlight w:val="none"/>
              </w:rPr>
              <w:t>0.0295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1600.0</w:t>
            </w:r>
          </w:p>
        </w:tc>
        <w:tc>
          <w:tcPr>
            <w:tcW w:w="1280" w:type="dxa"/>
            <w:tcBorders>
              <w:tl2br w:val="nil"/>
              <w:tr2bl w:val="nil"/>
            </w:tcBorders>
            <w:vAlign w:val="center"/>
          </w:tcPr>
          <w:p>
            <w:pPr>
              <w:pStyle w:val="28"/>
              <w:widowControl w:val="0"/>
              <w:rPr>
                <w:color w:val="auto"/>
                <w:highlight w:val="none"/>
              </w:rPr>
            </w:pPr>
            <w:r>
              <w:rPr>
                <w:color w:val="auto"/>
                <w:highlight w:val="none"/>
              </w:rPr>
              <w:t>0.3686</w:t>
            </w:r>
          </w:p>
        </w:tc>
        <w:tc>
          <w:tcPr>
            <w:tcW w:w="1188" w:type="dxa"/>
            <w:tcBorders>
              <w:tl2br w:val="nil"/>
              <w:tr2bl w:val="nil"/>
            </w:tcBorders>
            <w:vAlign w:val="center"/>
          </w:tcPr>
          <w:p>
            <w:pPr>
              <w:pStyle w:val="28"/>
              <w:widowControl w:val="0"/>
              <w:rPr>
                <w:color w:val="auto"/>
                <w:highlight w:val="none"/>
              </w:rPr>
            </w:pPr>
            <w:r>
              <w:rPr>
                <w:color w:val="auto"/>
                <w:highlight w:val="none"/>
              </w:rPr>
              <w:t>0.0737</w:t>
            </w:r>
          </w:p>
        </w:tc>
        <w:tc>
          <w:tcPr>
            <w:tcW w:w="1376" w:type="dxa"/>
            <w:tcBorders>
              <w:tl2br w:val="nil"/>
              <w:tr2bl w:val="nil"/>
            </w:tcBorders>
            <w:vAlign w:val="center"/>
          </w:tcPr>
          <w:p>
            <w:pPr>
              <w:pStyle w:val="28"/>
              <w:widowControl w:val="0"/>
              <w:rPr>
                <w:color w:val="auto"/>
                <w:highlight w:val="none"/>
              </w:rPr>
            </w:pPr>
            <w:r>
              <w:rPr>
                <w:color w:val="auto"/>
                <w:highlight w:val="none"/>
              </w:rPr>
              <w:t>1.0875</w:t>
            </w:r>
          </w:p>
        </w:tc>
        <w:tc>
          <w:tcPr>
            <w:tcW w:w="1265" w:type="dxa"/>
            <w:tcBorders>
              <w:tl2br w:val="nil"/>
              <w:tr2bl w:val="nil"/>
            </w:tcBorders>
            <w:vAlign w:val="center"/>
          </w:tcPr>
          <w:p>
            <w:pPr>
              <w:pStyle w:val="28"/>
              <w:widowControl w:val="0"/>
              <w:rPr>
                <w:color w:val="auto"/>
                <w:highlight w:val="none"/>
              </w:rPr>
            </w:pPr>
            <w:r>
              <w:rPr>
                <w:color w:val="auto"/>
                <w:highlight w:val="none"/>
              </w:rPr>
              <w:t>0.4350</w:t>
            </w:r>
          </w:p>
        </w:tc>
        <w:tc>
          <w:tcPr>
            <w:tcW w:w="1419" w:type="dxa"/>
            <w:tcBorders>
              <w:tl2br w:val="nil"/>
              <w:tr2bl w:val="nil"/>
            </w:tcBorders>
            <w:vAlign w:val="center"/>
          </w:tcPr>
          <w:p>
            <w:pPr>
              <w:pStyle w:val="28"/>
              <w:widowControl w:val="0"/>
              <w:rPr>
                <w:color w:val="auto"/>
                <w:highlight w:val="none"/>
              </w:rPr>
            </w:pPr>
            <w:r>
              <w:rPr>
                <w:color w:val="auto"/>
                <w:highlight w:val="none"/>
              </w:rPr>
              <w:t>0.2212</w:t>
            </w:r>
          </w:p>
        </w:tc>
        <w:tc>
          <w:tcPr>
            <w:tcW w:w="1326" w:type="dxa"/>
            <w:tcBorders>
              <w:tl2br w:val="nil"/>
              <w:tr2bl w:val="nil"/>
            </w:tcBorders>
            <w:vAlign w:val="center"/>
          </w:tcPr>
          <w:p>
            <w:pPr>
              <w:pStyle w:val="28"/>
              <w:widowControl w:val="0"/>
              <w:rPr>
                <w:color w:val="auto"/>
                <w:highlight w:val="none"/>
              </w:rPr>
            </w:pPr>
            <w:r>
              <w:rPr>
                <w:color w:val="auto"/>
                <w:highlight w:val="none"/>
              </w:rPr>
              <w:t>0.0246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1800.0</w:t>
            </w:r>
          </w:p>
        </w:tc>
        <w:tc>
          <w:tcPr>
            <w:tcW w:w="1280" w:type="dxa"/>
            <w:tcBorders>
              <w:tl2br w:val="nil"/>
              <w:tr2bl w:val="nil"/>
            </w:tcBorders>
            <w:vAlign w:val="center"/>
          </w:tcPr>
          <w:p>
            <w:pPr>
              <w:pStyle w:val="28"/>
              <w:widowControl w:val="0"/>
              <w:rPr>
                <w:color w:val="auto"/>
                <w:highlight w:val="none"/>
              </w:rPr>
            </w:pPr>
            <w:r>
              <w:rPr>
                <w:color w:val="auto"/>
                <w:highlight w:val="none"/>
              </w:rPr>
              <w:t>0.3462</w:t>
            </w:r>
          </w:p>
        </w:tc>
        <w:tc>
          <w:tcPr>
            <w:tcW w:w="1188" w:type="dxa"/>
            <w:tcBorders>
              <w:tl2br w:val="nil"/>
              <w:tr2bl w:val="nil"/>
            </w:tcBorders>
            <w:vAlign w:val="center"/>
          </w:tcPr>
          <w:p>
            <w:pPr>
              <w:pStyle w:val="28"/>
              <w:widowControl w:val="0"/>
              <w:rPr>
                <w:color w:val="auto"/>
                <w:highlight w:val="none"/>
              </w:rPr>
            </w:pPr>
            <w:r>
              <w:rPr>
                <w:color w:val="auto"/>
                <w:highlight w:val="none"/>
              </w:rPr>
              <w:t>0.0692</w:t>
            </w:r>
          </w:p>
        </w:tc>
        <w:tc>
          <w:tcPr>
            <w:tcW w:w="1376" w:type="dxa"/>
            <w:tcBorders>
              <w:tl2br w:val="nil"/>
              <w:tr2bl w:val="nil"/>
            </w:tcBorders>
            <w:vAlign w:val="center"/>
          </w:tcPr>
          <w:p>
            <w:pPr>
              <w:pStyle w:val="28"/>
              <w:widowControl w:val="0"/>
              <w:rPr>
                <w:color w:val="auto"/>
                <w:highlight w:val="none"/>
              </w:rPr>
            </w:pPr>
            <w:r>
              <w:rPr>
                <w:color w:val="auto"/>
                <w:highlight w:val="none"/>
              </w:rPr>
              <w:t>1.0213</w:t>
            </w:r>
          </w:p>
        </w:tc>
        <w:tc>
          <w:tcPr>
            <w:tcW w:w="1265" w:type="dxa"/>
            <w:tcBorders>
              <w:tl2br w:val="nil"/>
              <w:tr2bl w:val="nil"/>
            </w:tcBorders>
            <w:vAlign w:val="center"/>
          </w:tcPr>
          <w:p>
            <w:pPr>
              <w:pStyle w:val="28"/>
              <w:widowControl w:val="0"/>
              <w:rPr>
                <w:color w:val="auto"/>
                <w:highlight w:val="none"/>
              </w:rPr>
            </w:pPr>
            <w:r>
              <w:rPr>
                <w:color w:val="auto"/>
                <w:highlight w:val="none"/>
              </w:rPr>
              <w:t>0.4085</w:t>
            </w:r>
          </w:p>
        </w:tc>
        <w:tc>
          <w:tcPr>
            <w:tcW w:w="1419" w:type="dxa"/>
            <w:tcBorders>
              <w:tl2br w:val="nil"/>
              <w:tr2bl w:val="nil"/>
            </w:tcBorders>
            <w:vAlign w:val="center"/>
          </w:tcPr>
          <w:p>
            <w:pPr>
              <w:pStyle w:val="28"/>
              <w:widowControl w:val="0"/>
              <w:rPr>
                <w:color w:val="auto"/>
                <w:highlight w:val="none"/>
              </w:rPr>
            </w:pPr>
            <w:r>
              <w:rPr>
                <w:color w:val="auto"/>
                <w:highlight w:val="none"/>
              </w:rPr>
              <w:t>0.2077</w:t>
            </w:r>
          </w:p>
        </w:tc>
        <w:tc>
          <w:tcPr>
            <w:tcW w:w="1326" w:type="dxa"/>
            <w:tcBorders>
              <w:tl2br w:val="nil"/>
              <w:tr2bl w:val="nil"/>
            </w:tcBorders>
            <w:vAlign w:val="center"/>
          </w:tcPr>
          <w:p>
            <w:pPr>
              <w:pStyle w:val="28"/>
              <w:widowControl w:val="0"/>
              <w:rPr>
                <w:color w:val="auto"/>
                <w:highlight w:val="none"/>
              </w:rPr>
            </w:pPr>
            <w:r>
              <w:rPr>
                <w:color w:val="auto"/>
                <w:highlight w:val="none"/>
              </w:rPr>
              <w:t>0.0231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2000.0</w:t>
            </w:r>
          </w:p>
        </w:tc>
        <w:tc>
          <w:tcPr>
            <w:tcW w:w="1280" w:type="dxa"/>
            <w:tcBorders>
              <w:tl2br w:val="nil"/>
              <w:tr2bl w:val="nil"/>
            </w:tcBorders>
            <w:vAlign w:val="center"/>
          </w:tcPr>
          <w:p>
            <w:pPr>
              <w:pStyle w:val="28"/>
              <w:widowControl w:val="0"/>
              <w:rPr>
                <w:color w:val="auto"/>
                <w:highlight w:val="none"/>
              </w:rPr>
            </w:pPr>
            <w:r>
              <w:rPr>
                <w:color w:val="auto"/>
                <w:highlight w:val="none"/>
              </w:rPr>
              <w:t>0.3161</w:t>
            </w:r>
          </w:p>
        </w:tc>
        <w:tc>
          <w:tcPr>
            <w:tcW w:w="1188" w:type="dxa"/>
            <w:tcBorders>
              <w:tl2br w:val="nil"/>
              <w:tr2bl w:val="nil"/>
            </w:tcBorders>
            <w:vAlign w:val="center"/>
          </w:tcPr>
          <w:p>
            <w:pPr>
              <w:pStyle w:val="28"/>
              <w:widowControl w:val="0"/>
              <w:rPr>
                <w:color w:val="auto"/>
                <w:highlight w:val="none"/>
              </w:rPr>
            </w:pPr>
            <w:r>
              <w:rPr>
                <w:color w:val="auto"/>
                <w:highlight w:val="none"/>
              </w:rPr>
              <w:t>0.0632</w:t>
            </w:r>
          </w:p>
        </w:tc>
        <w:tc>
          <w:tcPr>
            <w:tcW w:w="1376" w:type="dxa"/>
            <w:tcBorders>
              <w:tl2br w:val="nil"/>
              <w:tr2bl w:val="nil"/>
            </w:tcBorders>
            <w:vAlign w:val="center"/>
          </w:tcPr>
          <w:p>
            <w:pPr>
              <w:pStyle w:val="28"/>
              <w:widowControl w:val="0"/>
              <w:rPr>
                <w:color w:val="auto"/>
                <w:highlight w:val="none"/>
              </w:rPr>
            </w:pPr>
            <w:r>
              <w:rPr>
                <w:color w:val="auto"/>
                <w:highlight w:val="none"/>
              </w:rPr>
              <w:t>0.9326</w:t>
            </w:r>
          </w:p>
        </w:tc>
        <w:tc>
          <w:tcPr>
            <w:tcW w:w="1265" w:type="dxa"/>
            <w:tcBorders>
              <w:tl2br w:val="nil"/>
              <w:tr2bl w:val="nil"/>
            </w:tcBorders>
            <w:vAlign w:val="center"/>
          </w:tcPr>
          <w:p>
            <w:pPr>
              <w:pStyle w:val="28"/>
              <w:widowControl w:val="0"/>
              <w:rPr>
                <w:color w:val="auto"/>
                <w:highlight w:val="none"/>
              </w:rPr>
            </w:pPr>
            <w:r>
              <w:rPr>
                <w:color w:val="auto"/>
                <w:highlight w:val="none"/>
              </w:rPr>
              <w:t>0.3730</w:t>
            </w:r>
          </w:p>
        </w:tc>
        <w:tc>
          <w:tcPr>
            <w:tcW w:w="1419" w:type="dxa"/>
            <w:tcBorders>
              <w:tl2br w:val="nil"/>
              <w:tr2bl w:val="nil"/>
            </w:tcBorders>
            <w:vAlign w:val="center"/>
          </w:tcPr>
          <w:p>
            <w:pPr>
              <w:pStyle w:val="28"/>
              <w:widowControl w:val="0"/>
              <w:rPr>
                <w:color w:val="auto"/>
                <w:highlight w:val="none"/>
              </w:rPr>
            </w:pPr>
            <w:r>
              <w:rPr>
                <w:color w:val="auto"/>
                <w:highlight w:val="none"/>
              </w:rPr>
              <w:t>0.1897</w:t>
            </w:r>
          </w:p>
        </w:tc>
        <w:tc>
          <w:tcPr>
            <w:tcW w:w="1326" w:type="dxa"/>
            <w:tcBorders>
              <w:tl2br w:val="nil"/>
              <w:tr2bl w:val="nil"/>
            </w:tcBorders>
            <w:vAlign w:val="center"/>
          </w:tcPr>
          <w:p>
            <w:pPr>
              <w:pStyle w:val="28"/>
              <w:widowControl w:val="0"/>
              <w:rPr>
                <w:color w:val="auto"/>
                <w:highlight w:val="none"/>
              </w:rPr>
            </w:pPr>
            <w:r>
              <w:rPr>
                <w:color w:val="auto"/>
                <w:highlight w:val="none"/>
              </w:rPr>
              <w:t>0.0211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2500.0</w:t>
            </w:r>
          </w:p>
        </w:tc>
        <w:tc>
          <w:tcPr>
            <w:tcW w:w="1280" w:type="dxa"/>
            <w:tcBorders>
              <w:tl2br w:val="nil"/>
              <w:tr2bl w:val="nil"/>
            </w:tcBorders>
            <w:vAlign w:val="center"/>
          </w:tcPr>
          <w:p>
            <w:pPr>
              <w:pStyle w:val="28"/>
              <w:widowControl w:val="0"/>
              <w:rPr>
                <w:color w:val="auto"/>
                <w:highlight w:val="none"/>
              </w:rPr>
            </w:pPr>
            <w:r>
              <w:rPr>
                <w:color w:val="auto"/>
                <w:highlight w:val="none"/>
              </w:rPr>
              <w:t>0.2564</w:t>
            </w:r>
          </w:p>
        </w:tc>
        <w:tc>
          <w:tcPr>
            <w:tcW w:w="1188" w:type="dxa"/>
            <w:tcBorders>
              <w:tl2br w:val="nil"/>
              <w:tr2bl w:val="nil"/>
            </w:tcBorders>
            <w:vAlign w:val="center"/>
          </w:tcPr>
          <w:p>
            <w:pPr>
              <w:pStyle w:val="28"/>
              <w:widowControl w:val="0"/>
              <w:rPr>
                <w:color w:val="auto"/>
                <w:highlight w:val="none"/>
              </w:rPr>
            </w:pPr>
            <w:r>
              <w:rPr>
                <w:color w:val="auto"/>
                <w:highlight w:val="none"/>
              </w:rPr>
              <w:t>0.0513</w:t>
            </w:r>
          </w:p>
        </w:tc>
        <w:tc>
          <w:tcPr>
            <w:tcW w:w="1376" w:type="dxa"/>
            <w:tcBorders>
              <w:tl2br w:val="nil"/>
              <w:tr2bl w:val="nil"/>
            </w:tcBorders>
            <w:vAlign w:val="center"/>
          </w:tcPr>
          <w:p>
            <w:pPr>
              <w:pStyle w:val="28"/>
              <w:widowControl w:val="0"/>
              <w:rPr>
                <w:color w:val="auto"/>
                <w:highlight w:val="none"/>
              </w:rPr>
            </w:pPr>
            <w:r>
              <w:rPr>
                <w:color w:val="auto"/>
                <w:highlight w:val="none"/>
              </w:rPr>
              <w:t>0.7565</w:t>
            </w:r>
          </w:p>
        </w:tc>
        <w:tc>
          <w:tcPr>
            <w:tcW w:w="1265" w:type="dxa"/>
            <w:tcBorders>
              <w:tl2br w:val="nil"/>
              <w:tr2bl w:val="nil"/>
            </w:tcBorders>
            <w:vAlign w:val="center"/>
          </w:tcPr>
          <w:p>
            <w:pPr>
              <w:pStyle w:val="28"/>
              <w:widowControl w:val="0"/>
              <w:rPr>
                <w:color w:val="auto"/>
                <w:highlight w:val="none"/>
              </w:rPr>
            </w:pPr>
            <w:r>
              <w:rPr>
                <w:color w:val="auto"/>
                <w:highlight w:val="none"/>
              </w:rPr>
              <w:t>0.3026</w:t>
            </w:r>
          </w:p>
        </w:tc>
        <w:tc>
          <w:tcPr>
            <w:tcW w:w="1419" w:type="dxa"/>
            <w:tcBorders>
              <w:tl2br w:val="nil"/>
              <w:tr2bl w:val="nil"/>
            </w:tcBorders>
            <w:vAlign w:val="center"/>
          </w:tcPr>
          <w:p>
            <w:pPr>
              <w:pStyle w:val="28"/>
              <w:widowControl w:val="0"/>
              <w:rPr>
                <w:color w:val="auto"/>
                <w:highlight w:val="none"/>
              </w:rPr>
            </w:pPr>
            <w:r>
              <w:rPr>
                <w:color w:val="auto"/>
                <w:highlight w:val="none"/>
              </w:rPr>
              <w:t>0.1539</w:t>
            </w:r>
          </w:p>
        </w:tc>
        <w:tc>
          <w:tcPr>
            <w:tcW w:w="1326" w:type="dxa"/>
            <w:tcBorders>
              <w:tl2br w:val="nil"/>
              <w:tr2bl w:val="nil"/>
            </w:tcBorders>
            <w:vAlign w:val="center"/>
          </w:tcPr>
          <w:p>
            <w:pPr>
              <w:pStyle w:val="28"/>
              <w:widowControl w:val="0"/>
              <w:rPr>
                <w:color w:val="auto"/>
                <w:highlight w:val="none"/>
              </w:rPr>
            </w:pPr>
            <w:r>
              <w:rPr>
                <w:color w:val="auto"/>
                <w:highlight w:val="none"/>
              </w:rPr>
              <w:t>0.0171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3000.0</w:t>
            </w:r>
          </w:p>
        </w:tc>
        <w:tc>
          <w:tcPr>
            <w:tcW w:w="1280" w:type="dxa"/>
            <w:tcBorders>
              <w:tl2br w:val="nil"/>
              <w:tr2bl w:val="nil"/>
            </w:tcBorders>
            <w:vAlign w:val="center"/>
          </w:tcPr>
          <w:p>
            <w:pPr>
              <w:pStyle w:val="28"/>
              <w:widowControl w:val="0"/>
              <w:rPr>
                <w:color w:val="auto"/>
                <w:highlight w:val="none"/>
              </w:rPr>
            </w:pPr>
            <w:r>
              <w:rPr>
                <w:color w:val="auto"/>
                <w:highlight w:val="none"/>
              </w:rPr>
              <w:t>0.2116</w:t>
            </w:r>
          </w:p>
        </w:tc>
        <w:tc>
          <w:tcPr>
            <w:tcW w:w="1188" w:type="dxa"/>
            <w:tcBorders>
              <w:tl2br w:val="nil"/>
              <w:tr2bl w:val="nil"/>
            </w:tcBorders>
            <w:vAlign w:val="center"/>
          </w:tcPr>
          <w:p>
            <w:pPr>
              <w:pStyle w:val="28"/>
              <w:widowControl w:val="0"/>
              <w:rPr>
                <w:color w:val="auto"/>
                <w:highlight w:val="none"/>
              </w:rPr>
            </w:pPr>
            <w:r>
              <w:rPr>
                <w:color w:val="auto"/>
                <w:highlight w:val="none"/>
              </w:rPr>
              <w:t>0.0423</w:t>
            </w:r>
          </w:p>
        </w:tc>
        <w:tc>
          <w:tcPr>
            <w:tcW w:w="1376" w:type="dxa"/>
            <w:tcBorders>
              <w:tl2br w:val="nil"/>
              <w:tr2bl w:val="nil"/>
            </w:tcBorders>
            <w:vAlign w:val="center"/>
          </w:tcPr>
          <w:p>
            <w:pPr>
              <w:pStyle w:val="28"/>
              <w:widowControl w:val="0"/>
              <w:rPr>
                <w:color w:val="auto"/>
                <w:highlight w:val="none"/>
              </w:rPr>
            </w:pPr>
            <w:r>
              <w:rPr>
                <w:color w:val="auto"/>
                <w:highlight w:val="none"/>
              </w:rPr>
              <w:t>0.6242</w:t>
            </w:r>
          </w:p>
        </w:tc>
        <w:tc>
          <w:tcPr>
            <w:tcW w:w="1265" w:type="dxa"/>
            <w:tcBorders>
              <w:tl2br w:val="nil"/>
              <w:tr2bl w:val="nil"/>
            </w:tcBorders>
            <w:vAlign w:val="center"/>
          </w:tcPr>
          <w:p>
            <w:pPr>
              <w:pStyle w:val="28"/>
              <w:widowControl w:val="0"/>
              <w:rPr>
                <w:color w:val="auto"/>
                <w:highlight w:val="none"/>
              </w:rPr>
            </w:pPr>
            <w:r>
              <w:rPr>
                <w:color w:val="auto"/>
                <w:highlight w:val="none"/>
              </w:rPr>
              <w:t>0.2497</w:t>
            </w:r>
          </w:p>
        </w:tc>
        <w:tc>
          <w:tcPr>
            <w:tcW w:w="1419" w:type="dxa"/>
            <w:tcBorders>
              <w:tl2br w:val="nil"/>
              <w:tr2bl w:val="nil"/>
            </w:tcBorders>
            <w:vAlign w:val="center"/>
          </w:tcPr>
          <w:p>
            <w:pPr>
              <w:pStyle w:val="28"/>
              <w:widowControl w:val="0"/>
              <w:rPr>
                <w:color w:val="auto"/>
                <w:highlight w:val="none"/>
              </w:rPr>
            </w:pPr>
            <w:r>
              <w:rPr>
                <w:color w:val="auto"/>
                <w:highlight w:val="none"/>
              </w:rPr>
              <w:t>0.1270</w:t>
            </w:r>
          </w:p>
        </w:tc>
        <w:tc>
          <w:tcPr>
            <w:tcW w:w="1326" w:type="dxa"/>
            <w:tcBorders>
              <w:tl2br w:val="nil"/>
              <w:tr2bl w:val="nil"/>
            </w:tcBorders>
            <w:vAlign w:val="center"/>
          </w:tcPr>
          <w:p>
            <w:pPr>
              <w:pStyle w:val="28"/>
              <w:widowControl w:val="0"/>
              <w:rPr>
                <w:color w:val="auto"/>
                <w:highlight w:val="none"/>
              </w:rPr>
            </w:pPr>
            <w:r>
              <w:rPr>
                <w:color w:val="auto"/>
                <w:highlight w:val="none"/>
              </w:rPr>
              <w:t>0.0141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3500.0</w:t>
            </w:r>
          </w:p>
        </w:tc>
        <w:tc>
          <w:tcPr>
            <w:tcW w:w="1280" w:type="dxa"/>
            <w:tcBorders>
              <w:tl2br w:val="nil"/>
              <w:tr2bl w:val="nil"/>
            </w:tcBorders>
            <w:vAlign w:val="center"/>
          </w:tcPr>
          <w:p>
            <w:pPr>
              <w:pStyle w:val="28"/>
              <w:widowControl w:val="0"/>
              <w:rPr>
                <w:color w:val="auto"/>
                <w:highlight w:val="none"/>
              </w:rPr>
            </w:pPr>
            <w:r>
              <w:rPr>
                <w:color w:val="auto"/>
                <w:highlight w:val="none"/>
              </w:rPr>
              <w:t>0.1908</w:t>
            </w:r>
          </w:p>
        </w:tc>
        <w:tc>
          <w:tcPr>
            <w:tcW w:w="1188" w:type="dxa"/>
            <w:tcBorders>
              <w:tl2br w:val="nil"/>
              <w:tr2bl w:val="nil"/>
            </w:tcBorders>
            <w:vAlign w:val="center"/>
          </w:tcPr>
          <w:p>
            <w:pPr>
              <w:pStyle w:val="28"/>
              <w:widowControl w:val="0"/>
              <w:rPr>
                <w:color w:val="auto"/>
                <w:highlight w:val="none"/>
              </w:rPr>
            </w:pPr>
            <w:r>
              <w:rPr>
                <w:color w:val="auto"/>
                <w:highlight w:val="none"/>
              </w:rPr>
              <w:t>0.0382</w:t>
            </w:r>
          </w:p>
        </w:tc>
        <w:tc>
          <w:tcPr>
            <w:tcW w:w="1376" w:type="dxa"/>
            <w:tcBorders>
              <w:tl2br w:val="nil"/>
              <w:tr2bl w:val="nil"/>
            </w:tcBorders>
            <w:vAlign w:val="center"/>
          </w:tcPr>
          <w:p>
            <w:pPr>
              <w:pStyle w:val="28"/>
              <w:widowControl w:val="0"/>
              <w:rPr>
                <w:color w:val="auto"/>
                <w:highlight w:val="none"/>
              </w:rPr>
            </w:pPr>
            <w:r>
              <w:rPr>
                <w:color w:val="auto"/>
                <w:highlight w:val="none"/>
              </w:rPr>
              <w:t>0.5630</w:t>
            </w:r>
          </w:p>
        </w:tc>
        <w:tc>
          <w:tcPr>
            <w:tcW w:w="1265" w:type="dxa"/>
            <w:tcBorders>
              <w:tl2br w:val="nil"/>
              <w:tr2bl w:val="nil"/>
            </w:tcBorders>
            <w:vAlign w:val="center"/>
          </w:tcPr>
          <w:p>
            <w:pPr>
              <w:pStyle w:val="28"/>
              <w:widowControl w:val="0"/>
              <w:rPr>
                <w:color w:val="auto"/>
                <w:highlight w:val="none"/>
              </w:rPr>
            </w:pPr>
            <w:r>
              <w:rPr>
                <w:color w:val="auto"/>
                <w:highlight w:val="none"/>
              </w:rPr>
              <w:t>0.2252</w:t>
            </w:r>
          </w:p>
        </w:tc>
        <w:tc>
          <w:tcPr>
            <w:tcW w:w="1419" w:type="dxa"/>
            <w:tcBorders>
              <w:tl2br w:val="nil"/>
              <w:tr2bl w:val="nil"/>
            </w:tcBorders>
            <w:vAlign w:val="center"/>
          </w:tcPr>
          <w:p>
            <w:pPr>
              <w:pStyle w:val="28"/>
              <w:widowControl w:val="0"/>
              <w:rPr>
                <w:color w:val="auto"/>
                <w:highlight w:val="none"/>
              </w:rPr>
            </w:pPr>
            <w:r>
              <w:rPr>
                <w:color w:val="auto"/>
                <w:highlight w:val="none"/>
              </w:rPr>
              <w:t>0.1145</w:t>
            </w:r>
          </w:p>
        </w:tc>
        <w:tc>
          <w:tcPr>
            <w:tcW w:w="1326" w:type="dxa"/>
            <w:tcBorders>
              <w:tl2br w:val="nil"/>
              <w:tr2bl w:val="nil"/>
            </w:tcBorders>
            <w:vAlign w:val="center"/>
          </w:tcPr>
          <w:p>
            <w:pPr>
              <w:pStyle w:val="28"/>
              <w:widowControl w:val="0"/>
              <w:rPr>
                <w:color w:val="auto"/>
                <w:highlight w:val="none"/>
              </w:rPr>
            </w:pPr>
            <w:r>
              <w:rPr>
                <w:color w:val="auto"/>
                <w:highlight w:val="none"/>
              </w:rPr>
              <w:t>0.0127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4000.0</w:t>
            </w:r>
          </w:p>
        </w:tc>
        <w:tc>
          <w:tcPr>
            <w:tcW w:w="1280" w:type="dxa"/>
            <w:tcBorders>
              <w:tl2br w:val="nil"/>
              <w:tr2bl w:val="nil"/>
            </w:tcBorders>
            <w:vAlign w:val="center"/>
          </w:tcPr>
          <w:p>
            <w:pPr>
              <w:pStyle w:val="28"/>
              <w:widowControl w:val="0"/>
              <w:rPr>
                <w:color w:val="auto"/>
                <w:highlight w:val="none"/>
              </w:rPr>
            </w:pPr>
            <w:r>
              <w:rPr>
                <w:color w:val="auto"/>
                <w:highlight w:val="none"/>
              </w:rPr>
              <w:t>0.1685</w:t>
            </w:r>
          </w:p>
        </w:tc>
        <w:tc>
          <w:tcPr>
            <w:tcW w:w="1188" w:type="dxa"/>
            <w:tcBorders>
              <w:tl2br w:val="nil"/>
              <w:tr2bl w:val="nil"/>
            </w:tcBorders>
            <w:vAlign w:val="center"/>
          </w:tcPr>
          <w:p>
            <w:pPr>
              <w:pStyle w:val="28"/>
              <w:widowControl w:val="0"/>
              <w:rPr>
                <w:color w:val="auto"/>
                <w:highlight w:val="none"/>
              </w:rPr>
            </w:pPr>
            <w:r>
              <w:rPr>
                <w:color w:val="auto"/>
                <w:highlight w:val="none"/>
              </w:rPr>
              <w:t>0.0337</w:t>
            </w:r>
          </w:p>
        </w:tc>
        <w:tc>
          <w:tcPr>
            <w:tcW w:w="1376" w:type="dxa"/>
            <w:tcBorders>
              <w:tl2br w:val="nil"/>
              <w:tr2bl w:val="nil"/>
            </w:tcBorders>
            <w:vAlign w:val="center"/>
          </w:tcPr>
          <w:p>
            <w:pPr>
              <w:pStyle w:val="28"/>
              <w:widowControl w:val="0"/>
              <w:rPr>
                <w:color w:val="auto"/>
                <w:highlight w:val="none"/>
              </w:rPr>
            </w:pPr>
            <w:r>
              <w:rPr>
                <w:color w:val="auto"/>
                <w:highlight w:val="none"/>
              </w:rPr>
              <w:t>0.4970</w:t>
            </w:r>
          </w:p>
        </w:tc>
        <w:tc>
          <w:tcPr>
            <w:tcW w:w="1265" w:type="dxa"/>
            <w:tcBorders>
              <w:tl2br w:val="nil"/>
              <w:tr2bl w:val="nil"/>
            </w:tcBorders>
            <w:vAlign w:val="center"/>
          </w:tcPr>
          <w:p>
            <w:pPr>
              <w:pStyle w:val="28"/>
              <w:widowControl w:val="0"/>
              <w:rPr>
                <w:color w:val="auto"/>
                <w:highlight w:val="none"/>
              </w:rPr>
            </w:pPr>
            <w:r>
              <w:rPr>
                <w:color w:val="auto"/>
                <w:highlight w:val="none"/>
              </w:rPr>
              <w:t>0.1988</w:t>
            </w:r>
          </w:p>
        </w:tc>
        <w:tc>
          <w:tcPr>
            <w:tcW w:w="1419" w:type="dxa"/>
            <w:tcBorders>
              <w:tl2br w:val="nil"/>
              <w:tr2bl w:val="nil"/>
            </w:tcBorders>
            <w:vAlign w:val="center"/>
          </w:tcPr>
          <w:p>
            <w:pPr>
              <w:pStyle w:val="28"/>
              <w:widowControl w:val="0"/>
              <w:rPr>
                <w:color w:val="auto"/>
                <w:highlight w:val="none"/>
              </w:rPr>
            </w:pPr>
            <w:r>
              <w:rPr>
                <w:color w:val="auto"/>
                <w:highlight w:val="none"/>
              </w:rPr>
              <w:t>0.1011</w:t>
            </w:r>
          </w:p>
        </w:tc>
        <w:tc>
          <w:tcPr>
            <w:tcW w:w="1326" w:type="dxa"/>
            <w:tcBorders>
              <w:tl2br w:val="nil"/>
              <w:tr2bl w:val="nil"/>
            </w:tcBorders>
            <w:vAlign w:val="center"/>
          </w:tcPr>
          <w:p>
            <w:pPr>
              <w:pStyle w:val="28"/>
              <w:widowControl w:val="0"/>
              <w:rPr>
                <w:color w:val="auto"/>
                <w:highlight w:val="none"/>
              </w:rPr>
            </w:pPr>
            <w:r>
              <w:rPr>
                <w:color w:val="auto"/>
                <w:highlight w:val="none"/>
              </w:rPr>
              <w:t>0.0112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4500.0</w:t>
            </w:r>
          </w:p>
        </w:tc>
        <w:tc>
          <w:tcPr>
            <w:tcW w:w="1280" w:type="dxa"/>
            <w:tcBorders>
              <w:tl2br w:val="nil"/>
              <w:tr2bl w:val="nil"/>
            </w:tcBorders>
            <w:vAlign w:val="center"/>
          </w:tcPr>
          <w:p>
            <w:pPr>
              <w:pStyle w:val="28"/>
              <w:widowControl w:val="0"/>
              <w:rPr>
                <w:color w:val="auto"/>
                <w:highlight w:val="none"/>
              </w:rPr>
            </w:pPr>
            <w:r>
              <w:rPr>
                <w:color w:val="auto"/>
                <w:highlight w:val="none"/>
              </w:rPr>
              <w:t>0.1532</w:t>
            </w:r>
          </w:p>
        </w:tc>
        <w:tc>
          <w:tcPr>
            <w:tcW w:w="1188" w:type="dxa"/>
            <w:tcBorders>
              <w:tl2br w:val="nil"/>
              <w:tr2bl w:val="nil"/>
            </w:tcBorders>
            <w:vAlign w:val="center"/>
          </w:tcPr>
          <w:p>
            <w:pPr>
              <w:pStyle w:val="28"/>
              <w:widowControl w:val="0"/>
              <w:rPr>
                <w:color w:val="auto"/>
                <w:highlight w:val="none"/>
              </w:rPr>
            </w:pPr>
            <w:r>
              <w:rPr>
                <w:color w:val="auto"/>
                <w:highlight w:val="none"/>
              </w:rPr>
              <w:t>0.0306</w:t>
            </w:r>
          </w:p>
        </w:tc>
        <w:tc>
          <w:tcPr>
            <w:tcW w:w="1376" w:type="dxa"/>
            <w:tcBorders>
              <w:tl2br w:val="nil"/>
              <w:tr2bl w:val="nil"/>
            </w:tcBorders>
            <w:vAlign w:val="center"/>
          </w:tcPr>
          <w:p>
            <w:pPr>
              <w:pStyle w:val="28"/>
              <w:widowControl w:val="0"/>
              <w:rPr>
                <w:color w:val="auto"/>
                <w:highlight w:val="none"/>
              </w:rPr>
            </w:pPr>
            <w:r>
              <w:rPr>
                <w:color w:val="auto"/>
                <w:highlight w:val="none"/>
              </w:rPr>
              <w:t>0.4519</w:t>
            </w:r>
          </w:p>
        </w:tc>
        <w:tc>
          <w:tcPr>
            <w:tcW w:w="1265" w:type="dxa"/>
            <w:tcBorders>
              <w:tl2br w:val="nil"/>
              <w:tr2bl w:val="nil"/>
            </w:tcBorders>
            <w:vAlign w:val="center"/>
          </w:tcPr>
          <w:p>
            <w:pPr>
              <w:pStyle w:val="28"/>
              <w:widowControl w:val="0"/>
              <w:rPr>
                <w:color w:val="auto"/>
                <w:highlight w:val="none"/>
              </w:rPr>
            </w:pPr>
            <w:r>
              <w:rPr>
                <w:color w:val="auto"/>
                <w:highlight w:val="none"/>
              </w:rPr>
              <w:t>0.1807</w:t>
            </w:r>
          </w:p>
        </w:tc>
        <w:tc>
          <w:tcPr>
            <w:tcW w:w="1419" w:type="dxa"/>
            <w:tcBorders>
              <w:tl2br w:val="nil"/>
              <w:tr2bl w:val="nil"/>
            </w:tcBorders>
            <w:vAlign w:val="center"/>
          </w:tcPr>
          <w:p>
            <w:pPr>
              <w:pStyle w:val="28"/>
              <w:widowControl w:val="0"/>
              <w:rPr>
                <w:color w:val="auto"/>
                <w:highlight w:val="none"/>
              </w:rPr>
            </w:pPr>
            <w:r>
              <w:rPr>
                <w:color w:val="auto"/>
                <w:highlight w:val="none"/>
              </w:rPr>
              <w:t>0.0919</w:t>
            </w:r>
          </w:p>
        </w:tc>
        <w:tc>
          <w:tcPr>
            <w:tcW w:w="1326" w:type="dxa"/>
            <w:tcBorders>
              <w:tl2br w:val="nil"/>
              <w:tr2bl w:val="nil"/>
            </w:tcBorders>
            <w:vAlign w:val="center"/>
          </w:tcPr>
          <w:p>
            <w:pPr>
              <w:pStyle w:val="28"/>
              <w:widowControl w:val="0"/>
              <w:rPr>
                <w:color w:val="auto"/>
                <w:highlight w:val="none"/>
              </w:rPr>
            </w:pPr>
            <w:r>
              <w:rPr>
                <w:color w:val="auto"/>
                <w:highlight w:val="none"/>
              </w:rPr>
              <w:t>0.0102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5000.0</w:t>
            </w:r>
          </w:p>
        </w:tc>
        <w:tc>
          <w:tcPr>
            <w:tcW w:w="1280" w:type="dxa"/>
            <w:tcBorders>
              <w:tl2br w:val="nil"/>
              <w:tr2bl w:val="nil"/>
            </w:tcBorders>
            <w:vAlign w:val="center"/>
          </w:tcPr>
          <w:p>
            <w:pPr>
              <w:pStyle w:val="28"/>
              <w:widowControl w:val="0"/>
              <w:rPr>
                <w:color w:val="auto"/>
                <w:highlight w:val="none"/>
              </w:rPr>
            </w:pPr>
            <w:r>
              <w:rPr>
                <w:color w:val="auto"/>
                <w:highlight w:val="none"/>
              </w:rPr>
              <w:t>0.1393</w:t>
            </w:r>
          </w:p>
        </w:tc>
        <w:tc>
          <w:tcPr>
            <w:tcW w:w="1188" w:type="dxa"/>
            <w:tcBorders>
              <w:tl2br w:val="nil"/>
              <w:tr2bl w:val="nil"/>
            </w:tcBorders>
            <w:vAlign w:val="center"/>
          </w:tcPr>
          <w:p>
            <w:pPr>
              <w:pStyle w:val="28"/>
              <w:widowControl w:val="0"/>
              <w:rPr>
                <w:color w:val="auto"/>
                <w:highlight w:val="none"/>
              </w:rPr>
            </w:pPr>
            <w:r>
              <w:rPr>
                <w:color w:val="auto"/>
                <w:highlight w:val="none"/>
              </w:rPr>
              <w:t>0.0279</w:t>
            </w:r>
          </w:p>
        </w:tc>
        <w:tc>
          <w:tcPr>
            <w:tcW w:w="1376" w:type="dxa"/>
            <w:tcBorders>
              <w:tl2br w:val="nil"/>
              <w:tr2bl w:val="nil"/>
            </w:tcBorders>
            <w:vAlign w:val="center"/>
          </w:tcPr>
          <w:p>
            <w:pPr>
              <w:pStyle w:val="28"/>
              <w:widowControl w:val="0"/>
              <w:rPr>
                <w:color w:val="auto"/>
                <w:highlight w:val="none"/>
              </w:rPr>
            </w:pPr>
            <w:r>
              <w:rPr>
                <w:color w:val="auto"/>
                <w:highlight w:val="none"/>
              </w:rPr>
              <w:t>0.4111</w:t>
            </w:r>
          </w:p>
        </w:tc>
        <w:tc>
          <w:tcPr>
            <w:tcW w:w="1265" w:type="dxa"/>
            <w:tcBorders>
              <w:tl2br w:val="nil"/>
              <w:tr2bl w:val="nil"/>
            </w:tcBorders>
            <w:vAlign w:val="center"/>
          </w:tcPr>
          <w:p>
            <w:pPr>
              <w:pStyle w:val="28"/>
              <w:widowControl w:val="0"/>
              <w:rPr>
                <w:color w:val="auto"/>
                <w:highlight w:val="none"/>
              </w:rPr>
            </w:pPr>
            <w:r>
              <w:rPr>
                <w:color w:val="auto"/>
                <w:highlight w:val="none"/>
              </w:rPr>
              <w:t>0.1644</w:t>
            </w:r>
          </w:p>
        </w:tc>
        <w:tc>
          <w:tcPr>
            <w:tcW w:w="1419" w:type="dxa"/>
            <w:tcBorders>
              <w:tl2br w:val="nil"/>
              <w:tr2bl w:val="nil"/>
            </w:tcBorders>
            <w:vAlign w:val="center"/>
          </w:tcPr>
          <w:p>
            <w:pPr>
              <w:pStyle w:val="28"/>
              <w:widowControl w:val="0"/>
              <w:rPr>
                <w:color w:val="auto"/>
                <w:highlight w:val="none"/>
              </w:rPr>
            </w:pPr>
            <w:r>
              <w:rPr>
                <w:color w:val="auto"/>
                <w:highlight w:val="none"/>
              </w:rPr>
              <w:t>0.0836</w:t>
            </w:r>
          </w:p>
        </w:tc>
        <w:tc>
          <w:tcPr>
            <w:tcW w:w="1326" w:type="dxa"/>
            <w:tcBorders>
              <w:tl2br w:val="nil"/>
              <w:tr2bl w:val="nil"/>
            </w:tcBorders>
            <w:vAlign w:val="center"/>
          </w:tcPr>
          <w:p>
            <w:pPr>
              <w:pStyle w:val="28"/>
              <w:widowControl w:val="0"/>
              <w:rPr>
                <w:color w:val="auto"/>
                <w:highlight w:val="none"/>
              </w:rPr>
            </w:pPr>
            <w:r>
              <w:rPr>
                <w:color w:val="auto"/>
                <w:highlight w:val="none"/>
              </w:rPr>
              <w:t>0.0093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10000.0</w:t>
            </w:r>
          </w:p>
        </w:tc>
        <w:tc>
          <w:tcPr>
            <w:tcW w:w="1280" w:type="dxa"/>
            <w:tcBorders>
              <w:tl2br w:val="nil"/>
              <w:tr2bl w:val="nil"/>
            </w:tcBorders>
            <w:vAlign w:val="center"/>
          </w:tcPr>
          <w:p>
            <w:pPr>
              <w:pStyle w:val="28"/>
              <w:widowControl w:val="0"/>
              <w:rPr>
                <w:color w:val="auto"/>
                <w:highlight w:val="none"/>
              </w:rPr>
            </w:pPr>
            <w:r>
              <w:rPr>
                <w:color w:val="auto"/>
                <w:highlight w:val="none"/>
              </w:rPr>
              <w:t>0.0684</w:t>
            </w:r>
          </w:p>
        </w:tc>
        <w:tc>
          <w:tcPr>
            <w:tcW w:w="1188" w:type="dxa"/>
            <w:tcBorders>
              <w:tl2br w:val="nil"/>
              <w:tr2bl w:val="nil"/>
            </w:tcBorders>
            <w:vAlign w:val="center"/>
          </w:tcPr>
          <w:p>
            <w:pPr>
              <w:pStyle w:val="28"/>
              <w:widowControl w:val="0"/>
              <w:rPr>
                <w:color w:val="auto"/>
                <w:highlight w:val="none"/>
              </w:rPr>
            </w:pPr>
            <w:r>
              <w:rPr>
                <w:color w:val="auto"/>
                <w:highlight w:val="none"/>
              </w:rPr>
              <w:t>0.0137</w:t>
            </w:r>
          </w:p>
        </w:tc>
        <w:tc>
          <w:tcPr>
            <w:tcW w:w="1376" w:type="dxa"/>
            <w:tcBorders>
              <w:tl2br w:val="nil"/>
              <w:tr2bl w:val="nil"/>
            </w:tcBorders>
            <w:vAlign w:val="center"/>
          </w:tcPr>
          <w:p>
            <w:pPr>
              <w:pStyle w:val="28"/>
              <w:widowControl w:val="0"/>
              <w:rPr>
                <w:color w:val="auto"/>
                <w:highlight w:val="none"/>
              </w:rPr>
            </w:pPr>
            <w:r>
              <w:rPr>
                <w:color w:val="auto"/>
                <w:highlight w:val="none"/>
              </w:rPr>
              <w:t>0.2018</w:t>
            </w:r>
          </w:p>
        </w:tc>
        <w:tc>
          <w:tcPr>
            <w:tcW w:w="1265" w:type="dxa"/>
            <w:tcBorders>
              <w:tl2br w:val="nil"/>
              <w:tr2bl w:val="nil"/>
            </w:tcBorders>
            <w:vAlign w:val="center"/>
          </w:tcPr>
          <w:p>
            <w:pPr>
              <w:pStyle w:val="28"/>
              <w:widowControl w:val="0"/>
              <w:rPr>
                <w:color w:val="auto"/>
                <w:highlight w:val="none"/>
              </w:rPr>
            </w:pPr>
            <w:r>
              <w:rPr>
                <w:color w:val="auto"/>
                <w:highlight w:val="none"/>
              </w:rPr>
              <w:t>0.0807</w:t>
            </w:r>
          </w:p>
        </w:tc>
        <w:tc>
          <w:tcPr>
            <w:tcW w:w="1419" w:type="dxa"/>
            <w:tcBorders>
              <w:tl2br w:val="nil"/>
              <w:tr2bl w:val="nil"/>
            </w:tcBorders>
            <w:vAlign w:val="center"/>
          </w:tcPr>
          <w:p>
            <w:pPr>
              <w:pStyle w:val="28"/>
              <w:widowControl w:val="0"/>
              <w:rPr>
                <w:color w:val="auto"/>
                <w:highlight w:val="none"/>
              </w:rPr>
            </w:pPr>
            <w:r>
              <w:rPr>
                <w:color w:val="auto"/>
                <w:highlight w:val="none"/>
              </w:rPr>
              <w:t>0.0410</w:t>
            </w:r>
          </w:p>
        </w:tc>
        <w:tc>
          <w:tcPr>
            <w:tcW w:w="1326" w:type="dxa"/>
            <w:tcBorders>
              <w:tl2br w:val="nil"/>
              <w:tr2bl w:val="nil"/>
            </w:tcBorders>
            <w:vAlign w:val="center"/>
          </w:tcPr>
          <w:p>
            <w:pPr>
              <w:pStyle w:val="28"/>
              <w:widowControl w:val="0"/>
              <w:rPr>
                <w:color w:val="auto"/>
                <w:highlight w:val="none"/>
              </w:rPr>
            </w:pPr>
            <w:r>
              <w:rPr>
                <w:color w:val="auto"/>
                <w:highlight w:val="none"/>
              </w:rPr>
              <w:t>0.0046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11000.0</w:t>
            </w:r>
          </w:p>
        </w:tc>
        <w:tc>
          <w:tcPr>
            <w:tcW w:w="1280" w:type="dxa"/>
            <w:tcBorders>
              <w:tl2br w:val="nil"/>
              <w:tr2bl w:val="nil"/>
            </w:tcBorders>
            <w:vAlign w:val="center"/>
          </w:tcPr>
          <w:p>
            <w:pPr>
              <w:pStyle w:val="28"/>
              <w:widowControl w:val="0"/>
              <w:rPr>
                <w:color w:val="auto"/>
                <w:highlight w:val="none"/>
              </w:rPr>
            </w:pPr>
            <w:r>
              <w:rPr>
                <w:color w:val="auto"/>
                <w:highlight w:val="none"/>
              </w:rPr>
              <w:t>0.0617</w:t>
            </w:r>
          </w:p>
        </w:tc>
        <w:tc>
          <w:tcPr>
            <w:tcW w:w="1188" w:type="dxa"/>
            <w:tcBorders>
              <w:tl2br w:val="nil"/>
              <w:tr2bl w:val="nil"/>
            </w:tcBorders>
            <w:vAlign w:val="center"/>
          </w:tcPr>
          <w:p>
            <w:pPr>
              <w:pStyle w:val="28"/>
              <w:widowControl w:val="0"/>
              <w:rPr>
                <w:color w:val="auto"/>
                <w:highlight w:val="none"/>
              </w:rPr>
            </w:pPr>
            <w:r>
              <w:rPr>
                <w:color w:val="auto"/>
                <w:highlight w:val="none"/>
              </w:rPr>
              <w:t>0.0123</w:t>
            </w:r>
          </w:p>
        </w:tc>
        <w:tc>
          <w:tcPr>
            <w:tcW w:w="1376" w:type="dxa"/>
            <w:tcBorders>
              <w:tl2br w:val="nil"/>
              <w:tr2bl w:val="nil"/>
            </w:tcBorders>
            <w:vAlign w:val="center"/>
          </w:tcPr>
          <w:p>
            <w:pPr>
              <w:pStyle w:val="28"/>
              <w:widowControl w:val="0"/>
              <w:rPr>
                <w:color w:val="auto"/>
                <w:highlight w:val="none"/>
              </w:rPr>
            </w:pPr>
            <w:r>
              <w:rPr>
                <w:color w:val="auto"/>
                <w:highlight w:val="none"/>
              </w:rPr>
              <w:t>0.1819</w:t>
            </w:r>
          </w:p>
        </w:tc>
        <w:tc>
          <w:tcPr>
            <w:tcW w:w="1265" w:type="dxa"/>
            <w:tcBorders>
              <w:tl2br w:val="nil"/>
              <w:tr2bl w:val="nil"/>
            </w:tcBorders>
            <w:vAlign w:val="center"/>
          </w:tcPr>
          <w:p>
            <w:pPr>
              <w:pStyle w:val="28"/>
              <w:widowControl w:val="0"/>
              <w:rPr>
                <w:color w:val="auto"/>
                <w:highlight w:val="none"/>
              </w:rPr>
            </w:pPr>
            <w:r>
              <w:rPr>
                <w:color w:val="auto"/>
                <w:highlight w:val="none"/>
              </w:rPr>
              <w:t>0.0728</w:t>
            </w:r>
          </w:p>
        </w:tc>
        <w:tc>
          <w:tcPr>
            <w:tcW w:w="1419" w:type="dxa"/>
            <w:tcBorders>
              <w:tl2br w:val="nil"/>
              <w:tr2bl w:val="nil"/>
            </w:tcBorders>
            <w:vAlign w:val="center"/>
          </w:tcPr>
          <w:p>
            <w:pPr>
              <w:pStyle w:val="28"/>
              <w:widowControl w:val="0"/>
              <w:rPr>
                <w:color w:val="auto"/>
                <w:highlight w:val="none"/>
              </w:rPr>
            </w:pPr>
            <w:r>
              <w:rPr>
                <w:color w:val="auto"/>
                <w:highlight w:val="none"/>
              </w:rPr>
              <w:t>0.0370</w:t>
            </w:r>
          </w:p>
        </w:tc>
        <w:tc>
          <w:tcPr>
            <w:tcW w:w="1326" w:type="dxa"/>
            <w:tcBorders>
              <w:tl2br w:val="nil"/>
              <w:tr2bl w:val="nil"/>
            </w:tcBorders>
            <w:vAlign w:val="center"/>
          </w:tcPr>
          <w:p>
            <w:pPr>
              <w:pStyle w:val="28"/>
              <w:widowControl w:val="0"/>
              <w:rPr>
                <w:color w:val="auto"/>
                <w:highlight w:val="none"/>
              </w:rPr>
            </w:pPr>
            <w:r>
              <w:rPr>
                <w:color w:val="auto"/>
                <w:highlight w:val="none"/>
              </w:rPr>
              <w:t>0.0041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12000.0</w:t>
            </w:r>
          </w:p>
        </w:tc>
        <w:tc>
          <w:tcPr>
            <w:tcW w:w="1280" w:type="dxa"/>
            <w:tcBorders>
              <w:tl2br w:val="nil"/>
              <w:tr2bl w:val="nil"/>
            </w:tcBorders>
            <w:vAlign w:val="center"/>
          </w:tcPr>
          <w:p>
            <w:pPr>
              <w:pStyle w:val="28"/>
              <w:widowControl w:val="0"/>
              <w:rPr>
                <w:color w:val="auto"/>
                <w:highlight w:val="none"/>
              </w:rPr>
            </w:pPr>
            <w:r>
              <w:rPr>
                <w:color w:val="auto"/>
                <w:highlight w:val="none"/>
              </w:rPr>
              <w:t>0.0481</w:t>
            </w:r>
          </w:p>
        </w:tc>
        <w:tc>
          <w:tcPr>
            <w:tcW w:w="1188" w:type="dxa"/>
            <w:tcBorders>
              <w:tl2br w:val="nil"/>
              <w:tr2bl w:val="nil"/>
            </w:tcBorders>
            <w:vAlign w:val="center"/>
          </w:tcPr>
          <w:p>
            <w:pPr>
              <w:pStyle w:val="28"/>
              <w:widowControl w:val="0"/>
              <w:rPr>
                <w:color w:val="auto"/>
                <w:highlight w:val="none"/>
              </w:rPr>
            </w:pPr>
            <w:r>
              <w:rPr>
                <w:color w:val="auto"/>
                <w:highlight w:val="none"/>
              </w:rPr>
              <w:t>0.0096</w:t>
            </w:r>
          </w:p>
        </w:tc>
        <w:tc>
          <w:tcPr>
            <w:tcW w:w="1376" w:type="dxa"/>
            <w:tcBorders>
              <w:tl2br w:val="nil"/>
              <w:tr2bl w:val="nil"/>
            </w:tcBorders>
            <w:vAlign w:val="center"/>
          </w:tcPr>
          <w:p>
            <w:pPr>
              <w:pStyle w:val="28"/>
              <w:widowControl w:val="0"/>
              <w:rPr>
                <w:color w:val="auto"/>
                <w:highlight w:val="none"/>
              </w:rPr>
            </w:pPr>
            <w:r>
              <w:rPr>
                <w:color w:val="auto"/>
                <w:highlight w:val="none"/>
              </w:rPr>
              <w:t>0.1418</w:t>
            </w:r>
          </w:p>
        </w:tc>
        <w:tc>
          <w:tcPr>
            <w:tcW w:w="1265" w:type="dxa"/>
            <w:tcBorders>
              <w:tl2br w:val="nil"/>
              <w:tr2bl w:val="nil"/>
            </w:tcBorders>
            <w:vAlign w:val="center"/>
          </w:tcPr>
          <w:p>
            <w:pPr>
              <w:pStyle w:val="28"/>
              <w:widowControl w:val="0"/>
              <w:rPr>
                <w:color w:val="auto"/>
                <w:highlight w:val="none"/>
              </w:rPr>
            </w:pPr>
            <w:r>
              <w:rPr>
                <w:color w:val="auto"/>
                <w:highlight w:val="none"/>
              </w:rPr>
              <w:t>0.0567</w:t>
            </w:r>
          </w:p>
        </w:tc>
        <w:tc>
          <w:tcPr>
            <w:tcW w:w="1419" w:type="dxa"/>
            <w:tcBorders>
              <w:tl2br w:val="nil"/>
              <w:tr2bl w:val="nil"/>
            </w:tcBorders>
            <w:vAlign w:val="center"/>
          </w:tcPr>
          <w:p>
            <w:pPr>
              <w:pStyle w:val="28"/>
              <w:widowControl w:val="0"/>
              <w:rPr>
                <w:color w:val="auto"/>
                <w:highlight w:val="none"/>
              </w:rPr>
            </w:pPr>
            <w:r>
              <w:rPr>
                <w:color w:val="auto"/>
                <w:highlight w:val="none"/>
              </w:rPr>
              <w:t>0.0288</w:t>
            </w:r>
          </w:p>
        </w:tc>
        <w:tc>
          <w:tcPr>
            <w:tcW w:w="1326" w:type="dxa"/>
            <w:tcBorders>
              <w:tl2br w:val="nil"/>
              <w:tr2bl w:val="nil"/>
            </w:tcBorders>
            <w:vAlign w:val="center"/>
          </w:tcPr>
          <w:p>
            <w:pPr>
              <w:pStyle w:val="28"/>
              <w:widowControl w:val="0"/>
              <w:rPr>
                <w:color w:val="auto"/>
                <w:highlight w:val="none"/>
              </w:rPr>
            </w:pPr>
            <w:r>
              <w:rPr>
                <w:color w:val="auto"/>
                <w:highlight w:val="none"/>
              </w:rPr>
              <w:t>0.0032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13000.0</w:t>
            </w:r>
          </w:p>
        </w:tc>
        <w:tc>
          <w:tcPr>
            <w:tcW w:w="1280" w:type="dxa"/>
            <w:tcBorders>
              <w:tl2br w:val="nil"/>
              <w:tr2bl w:val="nil"/>
            </w:tcBorders>
            <w:vAlign w:val="center"/>
          </w:tcPr>
          <w:p>
            <w:pPr>
              <w:pStyle w:val="28"/>
              <w:widowControl w:val="0"/>
              <w:rPr>
                <w:color w:val="auto"/>
                <w:highlight w:val="none"/>
              </w:rPr>
            </w:pPr>
            <w:r>
              <w:rPr>
                <w:color w:val="auto"/>
                <w:highlight w:val="none"/>
              </w:rPr>
              <w:t>0.0495</w:t>
            </w:r>
          </w:p>
        </w:tc>
        <w:tc>
          <w:tcPr>
            <w:tcW w:w="1188" w:type="dxa"/>
            <w:tcBorders>
              <w:tl2br w:val="nil"/>
              <w:tr2bl w:val="nil"/>
            </w:tcBorders>
            <w:vAlign w:val="center"/>
          </w:tcPr>
          <w:p>
            <w:pPr>
              <w:pStyle w:val="28"/>
              <w:widowControl w:val="0"/>
              <w:rPr>
                <w:color w:val="auto"/>
                <w:highlight w:val="none"/>
              </w:rPr>
            </w:pPr>
            <w:r>
              <w:rPr>
                <w:color w:val="auto"/>
                <w:highlight w:val="none"/>
              </w:rPr>
              <w:t>0.0099</w:t>
            </w:r>
          </w:p>
        </w:tc>
        <w:tc>
          <w:tcPr>
            <w:tcW w:w="1376" w:type="dxa"/>
            <w:tcBorders>
              <w:tl2br w:val="nil"/>
              <w:tr2bl w:val="nil"/>
            </w:tcBorders>
            <w:vAlign w:val="center"/>
          </w:tcPr>
          <w:p>
            <w:pPr>
              <w:pStyle w:val="28"/>
              <w:widowControl w:val="0"/>
              <w:rPr>
                <w:color w:val="auto"/>
                <w:highlight w:val="none"/>
              </w:rPr>
            </w:pPr>
            <w:r>
              <w:rPr>
                <w:color w:val="auto"/>
                <w:highlight w:val="none"/>
              </w:rPr>
              <w:t>0.1459</w:t>
            </w:r>
          </w:p>
        </w:tc>
        <w:tc>
          <w:tcPr>
            <w:tcW w:w="1265" w:type="dxa"/>
            <w:tcBorders>
              <w:tl2br w:val="nil"/>
              <w:tr2bl w:val="nil"/>
            </w:tcBorders>
            <w:vAlign w:val="center"/>
          </w:tcPr>
          <w:p>
            <w:pPr>
              <w:pStyle w:val="28"/>
              <w:widowControl w:val="0"/>
              <w:rPr>
                <w:color w:val="auto"/>
                <w:highlight w:val="none"/>
              </w:rPr>
            </w:pPr>
            <w:r>
              <w:rPr>
                <w:color w:val="auto"/>
                <w:highlight w:val="none"/>
              </w:rPr>
              <w:t>0.0584</w:t>
            </w:r>
          </w:p>
        </w:tc>
        <w:tc>
          <w:tcPr>
            <w:tcW w:w="1419" w:type="dxa"/>
            <w:tcBorders>
              <w:tl2br w:val="nil"/>
              <w:tr2bl w:val="nil"/>
            </w:tcBorders>
            <w:vAlign w:val="center"/>
          </w:tcPr>
          <w:p>
            <w:pPr>
              <w:pStyle w:val="28"/>
              <w:widowControl w:val="0"/>
              <w:rPr>
                <w:color w:val="auto"/>
                <w:highlight w:val="none"/>
              </w:rPr>
            </w:pPr>
            <w:r>
              <w:rPr>
                <w:color w:val="auto"/>
                <w:highlight w:val="none"/>
              </w:rPr>
              <w:t>0.0297</w:t>
            </w:r>
          </w:p>
        </w:tc>
        <w:tc>
          <w:tcPr>
            <w:tcW w:w="1326" w:type="dxa"/>
            <w:tcBorders>
              <w:tl2br w:val="nil"/>
              <w:tr2bl w:val="nil"/>
            </w:tcBorders>
            <w:vAlign w:val="center"/>
          </w:tcPr>
          <w:p>
            <w:pPr>
              <w:pStyle w:val="28"/>
              <w:widowControl w:val="0"/>
              <w:rPr>
                <w:color w:val="auto"/>
                <w:highlight w:val="none"/>
              </w:rPr>
            </w:pPr>
            <w:r>
              <w:rPr>
                <w:color w:val="auto"/>
                <w:highlight w:val="none"/>
              </w:rPr>
              <w:t>0.0033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14000.0</w:t>
            </w:r>
          </w:p>
        </w:tc>
        <w:tc>
          <w:tcPr>
            <w:tcW w:w="1280" w:type="dxa"/>
            <w:tcBorders>
              <w:tl2br w:val="nil"/>
              <w:tr2bl w:val="nil"/>
            </w:tcBorders>
            <w:vAlign w:val="center"/>
          </w:tcPr>
          <w:p>
            <w:pPr>
              <w:pStyle w:val="28"/>
              <w:widowControl w:val="0"/>
              <w:rPr>
                <w:color w:val="auto"/>
                <w:highlight w:val="none"/>
              </w:rPr>
            </w:pPr>
            <w:r>
              <w:rPr>
                <w:color w:val="auto"/>
                <w:highlight w:val="none"/>
              </w:rPr>
              <w:t>0.0452</w:t>
            </w:r>
          </w:p>
        </w:tc>
        <w:tc>
          <w:tcPr>
            <w:tcW w:w="1188" w:type="dxa"/>
            <w:tcBorders>
              <w:tl2br w:val="nil"/>
              <w:tr2bl w:val="nil"/>
            </w:tcBorders>
            <w:vAlign w:val="center"/>
          </w:tcPr>
          <w:p>
            <w:pPr>
              <w:pStyle w:val="28"/>
              <w:widowControl w:val="0"/>
              <w:rPr>
                <w:color w:val="auto"/>
                <w:highlight w:val="none"/>
              </w:rPr>
            </w:pPr>
            <w:r>
              <w:rPr>
                <w:color w:val="auto"/>
                <w:highlight w:val="none"/>
              </w:rPr>
              <w:t>0.0090</w:t>
            </w:r>
          </w:p>
        </w:tc>
        <w:tc>
          <w:tcPr>
            <w:tcW w:w="1376" w:type="dxa"/>
            <w:tcBorders>
              <w:tl2br w:val="nil"/>
              <w:tr2bl w:val="nil"/>
            </w:tcBorders>
            <w:vAlign w:val="center"/>
          </w:tcPr>
          <w:p>
            <w:pPr>
              <w:pStyle w:val="28"/>
              <w:widowControl w:val="0"/>
              <w:rPr>
                <w:color w:val="auto"/>
                <w:highlight w:val="none"/>
              </w:rPr>
            </w:pPr>
            <w:r>
              <w:rPr>
                <w:color w:val="auto"/>
                <w:highlight w:val="none"/>
              </w:rPr>
              <w:t>0.1332</w:t>
            </w:r>
          </w:p>
        </w:tc>
        <w:tc>
          <w:tcPr>
            <w:tcW w:w="1265" w:type="dxa"/>
            <w:tcBorders>
              <w:tl2br w:val="nil"/>
              <w:tr2bl w:val="nil"/>
            </w:tcBorders>
            <w:vAlign w:val="center"/>
          </w:tcPr>
          <w:p>
            <w:pPr>
              <w:pStyle w:val="28"/>
              <w:widowControl w:val="0"/>
              <w:rPr>
                <w:color w:val="auto"/>
                <w:highlight w:val="none"/>
              </w:rPr>
            </w:pPr>
            <w:r>
              <w:rPr>
                <w:color w:val="auto"/>
                <w:highlight w:val="none"/>
              </w:rPr>
              <w:t>0.0533</w:t>
            </w:r>
          </w:p>
        </w:tc>
        <w:tc>
          <w:tcPr>
            <w:tcW w:w="1419" w:type="dxa"/>
            <w:tcBorders>
              <w:tl2br w:val="nil"/>
              <w:tr2bl w:val="nil"/>
            </w:tcBorders>
            <w:vAlign w:val="center"/>
          </w:tcPr>
          <w:p>
            <w:pPr>
              <w:pStyle w:val="28"/>
              <w:widowControl w:val="0"/>
              <w:rPr>
                <w:color w:val="auto"/>
                <w:highlight w:val="none"/>
              </w:rPr>
            </w:pPr>
            <w:r>
              <w:rPr>
                <w:color w:val="auto"/>
                <w:highlight w:val="none"/>
              </w:rPr>
              <w:t>0.0271</w:t>
            </w:r>
          </w:p>
        </w:tc>
        <w:tc>
          <w:tcPr>
            <w:tcW w:w="1326" w:type="dxa"/>
            <w:tcBorders>
              <w:tl2br w:val="nil"/>
              <w:tr2bl w:val="nil"/>
            </w:tcBorders>
            <w:vAlign w:val="center"/>
          </w:tcPr>
          <w:p>
            <w:pPr>
              <w:pStyle w:val="28"/>
              <w:widowControl w:val="0"/>
              <w:rPr>
                <w:color w:val="auto"/>
                <w:highlight w:val="none"/>
              </w:rPr>
            </w:pPr>
            <w:r>
              <w:rPr>
                <w:color w:val="auto"/>
                <w:highlight w:val="none"/>
              </w:rPr>
              <w:t>0.0030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15000.0</w:t>
            </w:r>
          </w:p>
        </w:tc>
        <w:tc>
          <w:tcPr>
            <w:tcW w:w="1280" w:type="dxa"/>
            <w:tcBorders>
              <w:tl2br w:val="nil"/>
              <w:tr2bl w:val="nil"/>
            </w:tcBorders>
            <w:vAlign w:val="center"/>
          </w:tcPr>
          <w:p>
            <w:pPr>
              <w:pStyle w:val="28"/>
              <w:widowControl w:val="0"/>
              <w:rPr>
                <w:color w:val="auto"/>
                <w:highlight w:val="none"/>
              </w:rPr>
            </w:pPr>
            <w:r>
              <w:rPr>
                <w:color w:val="auto"/>
                <w:highlight w:val="none"/>
              </w:rPr>
              <w:t>0.0431</w:t>
            </w:r>
          </w:p>
        </w:tc>
        <w:tc>
          <w:tcPr>
            <w:tcW w:w="1188" w:type="dxa"/>
            <w:tcBorders>
              <w:tl2br w:val="nil"/>
              <w:tr2bl w:val="nil"/>
            </w:tcBorders>
            <w:vAlign w:val="center"/>
          </w:tcPr>
          <w:p>
            <w:pPr>
              <w:pStyle w:val="28"/>
              <w:widowControl w:val="0"/>
              <w:rPr>
                <w:color w:val="auto"/>
                <w:highlight w:val="none"/>
              </w:rPr>
            </w:pPr>
            <w:r>
              <w:rPr>
                <w:color w:val="auto"/>
                <w:highlight w:val="none"/>
              </w:rPr>
              <w:t>0.0086</w:t>
            </w:r>
          </w:p>
        </w:tc>
        <w:tc>
          <w:tcPr>
            <w:tcW w:w="1376" w:type="dxa"/>
            <w:tcBorders>
              <w:tl2br w:val="nil"/>
              <w:tr2bl w:val="nil"/>
            </w:tcBorders>
            <w:vAlign w:val="center"/>
          </w:tcPr>
          <w:p>
            <w:pPr>
              <w:pStyle w:val="28"/>
              <w:widowControl w:val="0"/>
              <w:rPr>
                <w:color w:val="auto"/>
                <w:highlight w:val="none"/>
              </w:rPr>
            </w:pPr>
            <w:r>
              <w:rPr>
                <w:color w:val="auto"/>
                <w:highlight w:val="none"/>
              </w:rPr>
              <w:t>0.1271</w:t>
            </w:r>
          </w:p>
        </w:tc>
        <w:tc>
          <w:tcPr>
            <w:tcW w:w="1265" w:type="dxa"/>
            <w:tcBorders>
              <w:tl2br w:val="nil"/>
              <w:tr2bl w:val="nil"/>
            </w:tcBorders>
            <w:vAlign w:val="center"/>
          </w:tcPr>
          <w:p>
            <w:pPr>
              <w:pStyle w:val="28"/>
              <w:widowControl w:val="0"/>
              <w:rPr>
                <w:color w:val="auto"/>
                <w:highlight w:val="none"/>
              </w:rPr>
            </w:pPr>
            <w:r>
              <w:rPr>
                <w:color w:val="auto"/>
                <w:highlight w:val="none"/>
              </w:rPr>
              <w:t>0.0509</w:t>
            </w:r>
          </w:p>
        </w:tc>
        <w:tc>
          <w:tcPr>
            <w:tcW w:w="1419" w:type="dxa"/>
            <w:tcBorders>
              <w:tl2br w:val="nil"/>
              <w:tr2bl w:val="nil"/>
            </w:tcBorders>
            <w:vAlign w:val="center"/>
          </w:tcPr>
          <w:p>
            <w:pPr>
              <w:pStyle w:val="28"/>
              <w:widowControl w:val="0"/>
              <w:rPr>
                <w:color w:val="auto"/>
                <w:highlight w:val="none"/>
              </w:rPr>
            </w:pPr>
            <w:r>
              <w:rPr>
                <w:color w:val="auto"/>
                <w:highlight w:val="none"/>
              </w:rPr>
              <w:t>0.0259</w:t>
            </w:r>
          </w:p>
        </w:tc>
        <w:tc>
          <w:tcPr>
            <w:tcW w:w="1326" w:type="dxa"/>
            <w:tcBorders>
              <w:tl2br w:val="nil"/>
              <w:tr2bl w:val="nil"/>
            </w:tcBorders>
            <w:vAlign w:val="center"/>
          </w:tcPr>
          <w:p>
            <w:pPr>
              <w:pStyle w:val="28"/>
              <w:widowControl w:val="0"/>
              <w:rPr>
                <w:color w:val="auto"/>
                <w:highlight w:val="none"/>
              </w:rPr>
            </w:pPr>
            <w:r>
              <w:rPr>
                <w:color w:val="auto"/>
                <w:highlight w:val="none"/>
              </w:rPr>
              <w:t>0.0029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20000.0</w:t>
            </w:r>
          </w:p>
        </w:tc>
        <w:tc>
          <w:tcPr>
            <w:tcW w:w="1280" w:type="dxa"/>
            <w:tcBorders>
              <w:tl2br w:val="nil"/>
              <w:tr2bl w:val="nil"/>
            </w:tcBorders>
            <w:vAlign w:val="center"/>
          </w:tcPr>
          <w:p>
            <w:pPr>
              <w:pStyle w:val="28"/>
              <w:widowControl w:val="0"/>
              <w:rPr>
                <w:color w:val="auto"/>
                <w:highlight w:val="none"/>
              </w:rPr>
            </w:pPr>
            <w:r>
              <w:rPr>
                <w:color w:val="auto"/>
                <w:highlight w:val="none"/>
              </w:rPr>
              <w:t>0.0265</w:t>
            </w:r>
          </w:p>
        </w:tc>
        <w:tc>
          <w:tcPr>
            <w:tcW w:w="1188" w:type="dxa"/>
            <w:tcBorders>
              <w:tl2br w:val="nil"/>
              <w:tr2bl w:val="nil"/>
            </w:tcBorders>
            <w:vAlign w:val="center"/>
          </w:tcPr>
          <w:p>
            <w:pPr>
              <w:pStyle w:val="28"/>
              <w:widowControl w:val="0"/>
              <w:rPr>
                <w:color w:val="auto"/>
                <w:highlight w:val="none"/>
              </w:rPr>
            </w:pPr>
            <w:r>
              <w:rPr>
                <w:color w:val="auto"/>
                <w:highlight w:val="none"/>
              </w:rPr>
              <w:t>0.0053</w:t>
            </w:r>
          </w:p>
        </w:tc>
        <w:tc>
          <w:tcPr>
            <w:tcW w:w="1376" w:type="dxa"/>
            <w:tcBorders>
              <w:tl2br w:val="nil"/>
              <w:tr2bl w:val="nil"/>
            </w:tcBorders>
            <w:vAlign w:val="center"/>
          </w:tcPr>
          <w:p>
            <w:pPr>
              <w:pStyle w:val="28"/>
              <w:widowControl w:val="0"/>
              <w:rPr>
                <w:color w:val="auto"/>
                <w:highlight w:val="none"/>
              </w:rPr>
            </w:pPr>
            <w:r>
              <w:rPr>
                <w:color w:val="auto"/>
                <w:highlight w:val="none"/>
              </w:rPr>
              <w:t>0.0782</w:t>
            </w:r>
          </w:p>
        </w:tc>
        <w:tc>
          <w:tcPr>
            <w:tcW w:w="1265" w:type="dxa"/>
            <w:tcBorders>
              <w:tl2br w:val="nil"/>
              <w:tr2bl w:val="nil"/>
            </w:tcBorders>
            <w:vAlign w:val="center"/>
          </w:tcPr>
          <w:p>
            <w:pPr>
              <w:pStyle w:val="28"/>
              <w:widowControl w:val="0"/>
              <w:rPr>
                <w:color w:val="auto"/>
                <w:highlight w:val="none"/>
              </w:rPr>
            </w:pPr>
            <w:r>
              <w:rPr>
                <w:color w:val="auto"/>
                <w:highlight w:val="none"/>
              </w:rPr>
              <w:t>0.0313</w:t>
            </w:r>
          </w:p>
        </w:tc>
        <w:tc>
          <w:tcPr>
            <w:tcW w:w="1419" w:type="dxa"/>
            <w:tcBorders>
              <w:tl2br w:val="nil"/>
              <w:tr2bl w:val="nil"/>
            </w:tcBorders>
            <w:vAlign w:val="center"/>
          </w:tcPr>
          <w:p>
            <w:pPr>
              <w:pStyle w:val="28"/>
              <w:widowControl w:val="0"/>
              <w:rPr>
                <w:color w:val="auto"/>
                <w:highlight w:val="none"/>
              </w:rPr>
            </w:pPr>
            <w:r>
              <w:rPr>
                <w:color w:val="auto"/>
                <w:highlight w:val="none"/>
              </w:rPr>
              <w:t>0.0159</w:t>
            </w:r>
          </w:p>
        </w:tc>
        <w:tc>
          <w:tcPr>
            <w:tcW w:w="1326" w:type="dxa"/>
            <w:tcBorders>
              <w:tl2br w:val="nil"/>
              <w:tr2bl w:val="nil"/>
            </w:tcBorders>
            <w:vAlign w:val="center"/>
          </w:tcPr>
          <w:p>
            <w:pPr>
              <w:pStyle w:val="28"/>
              <w:widowControl w:val="0"/>
              <w:rPr>
                <w:color w:val="auto"/>
                <w:highlight w:val="none"/>
              </w:rPr>
            </w:pPr>
            <w:r>
              <w:rPr>
                <w:color w:val="auto"/>
                <w:highlight w:val="none"/>
              </w:rPr>
              <w:t>0.0018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25000.0</w:t>
            </w:r>
          </w:p>
        </w:tc>
        <w:tc>
          <w:tcPr>
            <w:tcW w:w="1280" w:type="dxa"/>
            <w:tcBorders>
              <w:tl2br w:val="nil"/>
              <w:tr2bl w:val="nil"/>
            </w:tcBorders>
            <w:vAlign w:val="center"/>
          </w:tcPr>
          <w:p>
            <w:pPr>
              <w:pStyle w:val="28"/>
              <w:widowControl w:val="0"/>
              <w:rPr>
                <w:color w:val="auto"/>
                <w:highlight w:val="none"/>
              </w:rPr>
            </w:pPr>
            <w:r>
              <w:rPr>
                <w:color w:val="auto"/>
                <w:highlight w:val="none"/>
              </w:rPr>
              <w:t>0.0229</w:t>
            </w:r>
          </w:p>
        </w:tc>
        <w:tc>
          <w:tcPr>
            <w:tcW w:w="1188" w:type="dxa"/>
            <w:tcBorders>
              <w:tl2br w:val="nil"/>
              <w:tr2bl w:val="nil"/>
            </w:tcBorders>
            <w:vAlign w:val="center"/>
          </w:tcPr>
          <w:p>
            <w:pPr>
              <w:pStyle w:val="28"/>
              <w:widowControl w:val="0"/>
              <w:rPr>
                <w:color w:val="auto"/>
                <w:highlight w:val="none"/>
              </w:rPr>
            </w:pPr>
            <w:r>
              <w:rPr>
                <w:color w:val="auto"/>
                <w:highlight w:val="none"/>
              </w:rPr>
              <w:t>0.0046</w:t>
            </w:r>
          </w:p>
        </w:tc>
        <w:tc>
          <w:tcPr>
            <w:tcW w:w="1376" w:type="dxa"/>
            <w:tcBorders>
              <w:tl2br w:val="nil"/>
              <w:tr2bl w:val="nil"/>
            </w:tcBorders>
            <w:vAlign w:val="center"/>
          </w:tcPr>
          <w:p>
            <w:pPr>
              <w:pStyle w:val="28"/>
              <w:widowControl w:val="0"/>
              <w:rPr>
                <w:color w:val="auto"/>
                <w:highlight w:val="none"/>
              </w:rPr>
            </w:pPr>
            <w:r>
              <w:rPr>
                <w:color w:val="auto"/>
                <w:highlight w:val="none"/>
              </w:rPr>
              <w:t>0.0677</w:t>
            </w:r>
          </w:p>
        </w:tc>
        <w:tc>
          <w:tcPr>
            <w:tcW w:w="1265" w:type="dxa"/>
            <w:tcBorders>
              <w:tl2br w:val="nil"/>
              <w:tr2bl w:val="nil"/>
            </w:tcBorders>
            <w:vAlign w:val="center"/>
          </w:tcPr>
          <w:p>
            <w:pPr>
              <w:pStyle w:val="28"/>
              <w:widowControl w:val="0"/>
              <w:rPr>
                <w:color w:val="auto"/>
                <w:highlight w:val="none"/>
              </w:rPr>
            </w:pPr>
            <w:r>
              <w:rPr>
                <w:color w:val="auto"/>
                <w:highlight w:val="none"/>
              </w:rPr>
              <w:t>0.0271</w:t>
            </w:r>
          </w:p>
        </w:tc>
        <w:tc>
          <w:tcPr>
            <w:tcW w:w="1419" w:type="dxa"/>
            <w:tcBorders>
              <w:tl2br w:val="nil"/>
              <w:tr2bl w:val="nil"/>
            </w:tcBorders>
            <w:vAlign w:val="center"/>
          </w:tcPr>
          <w:p>
            <w:pPr>
              <w:pStyle w:val="28"/>
              <w:widowControl w:val="0"/>
              <w:rPr>
                <w:color w:val="auto"/>
                <w:highlight w:val="none"/>
              </w:rPr>
            </w:pPr>
            <w:r>
              <w:rPr>
                <w:color w:val="auto"/>
                <w:highlight w:val="none"/>
              </w:rPr>
              <w:t>0.0138</w:t>
            </w:r>
          </w:p>
        </w:tc>
        <w:tc>
          <w:tcPr>
            <w:tcW w:w="1326" w:type="dxa"/>
            <w:tcBorders>
              <w:tl2br w:val="nil"/>
              <w:tr2bl w:val="nil"/>
            </w:tcBorders>
            <w:vAlign w:val="center"/>
          </w:tcPr>
          <w:p>
            <w:pPr>
              <w:pStyle w:val="28"/>
              <w:widowControl w:val="0"/>
              <w:rPr>
                <w:color w:val="auto"/>
                <w:highlight w:val="none"/>
              </w:rPr>
            </w:pPr>
            <w:r>
              <w:rPr>
                <w:color w:val="auto"/>
                <w:highlight w:val="none"/>
              </w:rPr>
              <w:t>0.0015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下风向最大浓度</w:t>
            </w:r>
          </w:p>
        </w:tc>
        <w:tc>
          <w:tcPr>
            <w:tcW w:w="1280" w:type="dxa"/>
            <w:tcBorders>
              <w:tl2br w:val="nil"/>
              <w:tr2bl w:val="nil"/>
            </w:tcBorders>
            <w:vAlign w:val="center"/>
          </w:tcPr>
          <w:p>
            <w:pPr>
              <w:pStyle w:val="28"/>
              <w:widowControl w:val="0"/>
              <w:rPr>
                <w:color w:val="auto"/>
                <w:highlight w:val="none"/>
              </w:rPr>
            </w:pPr>
            <w:r>
              <w:rPr>
                <w:color w:val="auto"/>
                <w:highlight w:val="none"/>
              </w:rPr>
              <w:t>3.6054</w:t>
            </w:r>
          </w:p>
        </w:tc>
        <w:tc>
          <w:tcPr>
            <w:tcW w:w="1188" w:type="dxa"/>
            <w:tcBorders>
              <w:tl2br w:val="nil"/>
              <w:tr2bl w:val="nil"/>
            </w:tcBorders>
            <w:vAlign w:val="center"/>
          </w:tcPr>
          <w:p>
            <w:pPr>
              <w:pStyle w:val="28"/>
              <w:widowControl w:val="0"/>
              <w:rPr>
                <w:color w:val="auto"/>
                <w:highlight w:val="none"/>
              </w:rPr>
            </w:pPr>
            <w:r>
              <w:rPr>
                <w:color w:val="auto"/>
                <w:highlight w:val="none"/>
              </w:rPr>
              <w:t>0.7211</w:t>
            </w:r>
          </w:p>
        </w:tc>
        <w:tc>
          <w:tcPr>
            <w:tcW w:w="1376" w:type="dxa"/>
            <w:tcBorders>
              <w:tl2br w:val="nil"/>
              <w:tr2bl w:val="nil"/>
            </w:tcBorders>
            <w:vAlign w:val="center"/>
          </w:tcPr>
          <w:p>
            <w:pPr>
              <w:pStyle w:val="28"/>
              <w:widowControl w:val="0"/>
              <w:rPr>
                <w:color w:val="auto"/>
                <w:highlight w:val="none"/>
              </w:rPr>
            </w:pPr>
            <w:r>
              <w:rPr>
                <w:color w:val="auto"/>
                <w:highlight w:val="none"/>
              </w:rPr>
              <w:t>10.6359</w:t>
            </w:r>
          </w:p>
        </w:tc>
        <w:tc>
          <w:tcPr>
            <w:tcW w:w="1265" w:type="dxa"/>
            <w:tcBorders>
              <w:tl2br w:val="nil"/>
              <w:tr2bl w:val="nil"/>
            </w:tcBorders>
            <w:vAlign w:val="center"/>
          </w:tcPr>
          <w:p>
            <w:pPr>
              <w:pStyle w:val="28"/>
              <w:widowControl w:val="0"/>
              <w:rPr>
                <w:color w:val="auto"/>
                <w:highlight w:val="none"/>
              </w:rPr>
            </w:pPr>
            <w:r>
              <w:rPr>
                <w:color w:val="auto"/>
                <w:highlight w:val="none"/>
              </w:rPr>
              <w:t>4.2544</w:t>
            </w:r>
          </w:p>
        </w:tc>
        <w:tc>
          <w:tcPr>
            <w:tcW w:w="1419" w:type="dxa"/>
            <w:tcBorders>
              <w:tl2br w:val="nil"/>
              <w:tr2bl w:val="nil"/>
            </w:tcBorders>
            <w:vAlign w:val="center"/>
          </w:tcPr>
          <w:p>
            <w:pPr>
              <w:pStyle w:val="28"/>
              <w:widowControl w:val="0"/>
              <w:rPr>
                <w:color w:val="auto"/>
                <w:highlight w:val="none"/>
              </w:rPr>
            </w:pPr>
            <w:r>
              <w:rPr>
                <w:color w:val="auto"/>
                <w:highlight w:val="none"/>
              </w:rPr>
              <w:t>2.1632</w:t>
            </w:r>
          </w:p>
        </w:tc>
        <w:tc>
          <w:tcPr>
            <w:tcW w:w="1326" w:type="dxa"/>
            <w:tcBorders>
              <w:tl2br w:val="nil"/>
              <w:tr2bl w:val="nil"/>
            </w:tcBorders>
            <w:vAlign w:val="center"/>
          </w:tcPr>
          <w:p>
            <w:pPr>
              <w:pStyle w:val="28"/>
              <w:widowControl w:val="0"/>
              <w:rPr>
                <w:color w:val="auto"/>
                <w:highlight w:val="none"/>
              </w:rPr>
            </w:pPr>
            <w:r>
              <w:rPr>
                <w:color w:val="auto"/>
                <w:highlight w:val="none"/>
              </w:rPr>
              <w:t>0.2404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280" w:type="dxa"/>
            <w:tcBorders>
              <w:tl2br w:val="nil"/>
              <w:tr2bl w:val="nil"/>
            </w:tcBorders>
            <w:vAlign w:val="center"/>
          </w:tcPr>
          <w:p>
            <w:pPr>
              <w:pStyle w:val="28"/>
              <w:widowControl w:val="0"/>
              <w:rPr>
                <w:color w:val="auto"/>
                <w:highlight w:val="none"/>
              </w:rPr>
            </w:pPr>
            <w:r>
              <w:rPr>
                <w:color w:val="auto"/>
                <w:highlight w:val="none"/>
              </w:rPr>
              <w:t>248.0</w:t>
            </w:r>
          </w:p>
        </w:tc>
        <w:tc>
          <w:tcPr>
            <w:tcW w:w="1188" w:type="dxa"/>
            <w:tcBorders>
              <w:tl2br w:val="nil"/>
              <w:tr2bl w:val="nil"/>
            </w:tcBorders>
            <w:vAlign w:val="center"/>
          </w:tcPr>
          <w:p>
            <w:pPr>
              <w:pStyle w:val="28"/>
              <w:widowControl w:val="0"/>
              <w:rPr>
                <w:color w:val="auto"/>
                <w:highlight w:val="none"/>
              </w:rPr>
            </w:pPr>
            <w:r>
              <w:rPr>
                <w:color w:val="auto"/>
                <w:highlight w:val="none"/>
              </w:rPr>
              <w:t>248.0</w:t>
            </w:r>
          </w:p>
        </w:tc>
        <w:tc>
          <w:tcPr>
            <w:tcW w:w="1376" w:type="dxa"/>
            <w:tcBorders>
              <w:tl2br w:val="nil"/>
              <w:tr2bl w:val="nil"/>
            </w:tcBorders>
            <w:vAlign w:val="center"/>
          </w:tcPr>
          <w:p>
            <w:pPr>
              <w:pStyle w:val="28"/>
              <w:widowControl w:val="0"/>
              <w:rPr>
                <w:color w:val="auto"/>
                <w:highlight w:val="none"/>
              </w:rPr>
            </w:pPr>
            <w:r>
              <w:rPr>
                <w:color w:val="auto"/>
                <w:highlight w:val="none"/>
              </w:rPr>
              <w:t>248.0</w:t>
            </w:r>
          </w:p>
        </w:tc>
        <w:tc>
          <w:tcPr>
            <w:tcW w:w="1265" w:type="dxa"/>
            <w:tcBorders>
              <w:tl2br w:val="nil"/>
              <w:tr2bl w:val="nil"/>
            </w:tcBorders>
            <w:vAlign w:val="center"/>
          </w:tcPr>
          <w:p>
            <w:pPr>
              <w:pStyle w:val="28"/>
              <w:widowControl w:val="0"/>
              <w:rPr>
                <w:color w:val="auto"/>
                <w:highlight w:val="none"/>
              </w:rPr>
            </w:pPr>
            <w:r>
              <w:rPr>
                <w:color w:val="auto"/>
                <w:highlight w:val="none"/>
              </w:rPr>
              <w:t>248.0</w:t>
            </w:r>
          </w:p>
        </w:tc>
        <w:tc>
          <w:tcPr>
            <w:tcW w:w="1419" w:type="dxa"/>
            <w:tcBorders>
              <w:tl2br w:val="nil"/>
              <w:tr2bl w:val="nil"/>
            </w:tcBorders>
            <w:vAlign w:val="center"/>
          </w:tcPr>
          <w:p>
            <w:pPr>
              <w:pStyle w:val="28"/>
              <w:widowControl w:val="0"/>
              <w:rPr>
                <w:color w:val="auto"/>
                <w:highlight w:val="none"/>
              </w:rPr>
            </w:pPr>
            <w:r>
              <w:rPr>
                <w:color w:val="auto"/>
                <w:highlight w:val="none"/>
              </w:rPr>
              <w:t>248.0</w:t>
            </w:r>
          </w:p>
        </w:tc>
        <w:tc>
          <w:tcPr>
            <w:tcW w:w="1326" w:type="dxa"/>
            <w:tcBorders>
              <w:tl2br w:val="nil"/>
              <w:tr2bl w:val="nil"/>
            </w:tcBorders>
            <w:vAlign w:val="center"/>
          </w:tcPr>
          <w:p>
            <w:pPr>
              <w:pStyle w:val="28"/>
              <w:widowControl w:val="0"/>
              <w:rPr>
                <w:color w:val="auto"/>
                <w:highlight w:val="none"/>
              </w:rPr>
            </w:pPr>
            <w:r>
              <w:rPr>
                <w:color w:val="auto"/>
                <w:highlight w:val="none"/>
              </w:rPr>
              <w:t>248.0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tcBorders>
              <w:tl2br w:val="nil"/>
              <w:tr2bl w:val="nil"/>
            </w:tcBorders>
            <w:vAlign w:val="center"/>
          </w:tcPr>
          <w:p>
            <w:pPr>
              <w:pStyle w:val="28"/>
              <w:widowControl w:val="0"/>
              <w:rPr>
                <w:color w:val="auto"/>
                <w:highlight w:val="none"/>
              </w:rPr>
            </w:pPr>
            <w:r>
              <w:rPr>
                <w:color w:val="auto"/>
                <w:highlight w:val="none"/>
              </w:rPr>
              <w:t>D10%最远距离</w:t>
            </w:r>
          </w:p>
        </w:tc>
        <w:tc>
          <w:tcPr>
            <w:tcW w:w="1280" w:type="dxa"/>
            <w:tcBorders>
              <w:tl2br w:val="nil"/>
              <w:tr2bl w:val="nil"/>
            </w:tcBorders>
            <w:vAlign w:val="center"/>
          </w:tcPr>
          <w:p>
            <w:pPr>
              <w:pStyle w:val="28"/>
              <w:widowControl w:val="0"/>
              <w:rPr>
                <w:color w:val="auto"/>
                <w:highlight w:val="none"/>
              </w:rPr>
            </w:pPr>
            <w:r>
              <w:rPr>
                <w:color w:val="auto"/>
                <w:highlight w:val="none"/>
              </w:rPr>
              <w:t>/</w:t>
            </w:r>
          </w:p>
        </w:tc>
        <w:tc>
          <w:tcPr>
            <w:tcW w:w="1188" w:type="dxa"/>
            <w:tcBorders>
              <w:tl2br w:val="nil"/>
              <w:tr2bl w:val="nil"/>
            </w:tcBorders>
            <w:vAlign w:val="center"/>
          </w:tcPr>
          <w:p>
            <w:pPr>
              <w:pStyle w:val="28"/>
              <w:widowControl w:val="0"/>
              <w:rPr>
                <w:color w:val="auto"/>
                <w:highlight w:val="none"/>
              </w:rPr>
            </w:pPr>
            <w:r>
              <w:rPr>
                <w:color w:val="auto"/>
                <w:highlight w:val="none"/>
              </w:rPr>
              <w:t>/</w:t>
            </w:r>
          </w:p>
        </w:tc>
        <w:tc>
          <w:tcPr>
            <w:tcW w:w="1375" w:type="dxa"/>
            <w:tcBorders>
              <w:tl2br w:val="nil"/>
              <w:tr2bl w:val="nil"/>
            </w:tcBorders>
            <w:vAlign w:val="center"/>
          </w:tcPr>
          <w:p>
            <w:pPr>
              <w:pStyle w:val="28"/>
              <w:widowControl w:val="0"/>
              <w:rPr>
                <w:color w:val="auto"/>
                <w:highlight w:val="none"/>
              </w:rPr>
            </w:pPr>
            <w:r>
              <w:rPr>
                <w:color w:val="auto"/>
                <w:highlight w:val="none"/>
              </w:rPr>
              <w:t>/</w:t>
            </w:r>
          </w:p>
        </w:tc>
        <w:tc>
          <w:tcPr>
            <w:tcW w:w="1265" w:type="dxa"/>
            <w:tcBorders>
              <w:tl2br w:val="nil"/>
              <w:tr2bl w:val="nil"/>
            </w:tcBorders>
            <w:vAlign w:val="center"/>
          </w:tcPr>
          <w:p>
            <w:pPr>
              <w:pStyle w:val="28"/>
              <w:widowControl w:val="0"/>
              <w:rPr>
                <w:color w:val="auto"/>
                <w:highlight w:val="none"/>
              </w:rPr>
            </w:pPr>
            <w:r>
              <w:rPr>
                <w:color w:val="auto"/>
                <w:highlight w:val="none"/>
              </w:rPr>
              <w:t>/</w:t>
            </w:r>
          </w:p>
        </w:tc>
        <w:tc>
          <w:tcPr>
            <w:tcW w:w="1419" w:type="dxa"/>
            <w:tcBorders>
              <w:tl2br w:val="nil"/>
              <w:tr2bl w:val="nil"/>
            </w:tcBorders>
            <w:vAlign w:val="center"/>
          </w:tcPr>
          <w:p>
            <w:pPr>
              <w:pStyle w:val="28"/>
              <w:widowControl w:val="0"/>
              <w:rPr>
                <w:color w:val="auto"/>
                <w:highlight w:val="none"/>
              </w:rPr>
            </w:pPr>
            <w:r>
              <w:rPr>
                <w:color w:val="auto"/>
                <w:highlight w:val="none"/>
              </w:rPr>
              <w:t>/</w:t>
            </w:r>
          </w:p>
        </w:tc>
        <w:tc>
          <w:tcPr>
            <w:tcW w:w="1326" w:type="dxa"/>
            <w:tcBorders>
              <w:tl2br w:val="nil"/>
              <w:tr2bl w:val="nil"/>
            </w:tcBorders>
            <w:vAlign w:val="center"/>
          </w:tcPr>
          <w:p>
            <w:pPr>
              <w:pStyle w:val="28"/>
              <w:widowControl w:val="0"/>
              <w:rPr>
                <w:color w:val="auto"/>
                <w:highlight w:val="none"/>
              </w:rPr>
            </w:pPr>
            <w:r>
              <w:rPr>
                <w:color w:val="auto"/>
                <w:highlight w:val="none"/>
              </w:rPr>
              <w:t>/</w:t>
            </w:r>
          </w:p>
        </w:tc>
      </w:tr>
    </w:tbl>
    <w:p>
      <w:pPr>
        <w:pStyle w:val="27"/>
        <w:widowControl w:val="0"/>
        <w:rPr>
          <w:color w:val="auto"/>
          <w:highlight w:val="none"/>
        </w:rPr>
      </w:pPr>
      <w:r>
        <w:rPr>
          <w:rFonts w:hint="eastAsia"/>
          <w:color w:val="auto"/>
          <w:highlight w:val="none"/>
        </w:rPr>
        <w:t>恶臭无组织（待宰圈）排放预测计算结果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0" w:type="auto"/>
            <w:gridSpan w:val="4"/>
            <w:tcBorders>
              <w:tl2br w:val="nil"/>
              <w:tr2bl w:val="nil"/>
            </w:tcBorders>
            <w:vAlign w:val="center"/>
          </w:tcPr>
          <w:p>
            <w:pPr>
              <w:pStyle w:val="28"/>
              <w:widowControl w:val="0"/>
              <w:rPr>
                <w:b/>
                <w:bCs/>
                <w:color w:val="auto"/>
                <w:highlight w:val="none"/>
              </w:rPr>
            </w:pPr>
            <w:r>
              <w:rPr>
                <w:b/>
                <w:bCs/>
                <w:color w:val="auto"/>
                <w:highlight w:val="none"/>
              </w:rPr>
              <w:t>待宰圈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b/>
                <w:bCs/>
                <w:color w:val="auto"/>
                <w:highlight w:val="none"/>
              </w:rPr>
            </w:pP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占标率(%)</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w:t>
            </w:r>
          </w:p>
        </w:tc>
        <w:tc>
          <w:tcPr>
            <w:tcW w:w="1801" w:type="dxa"/>
            <w:tcBorders>
              <w:tl2br w:val="nil"/>
              <w:tr2bl w:val="nil"/>
            </w:tcBorders>
            <w:vAlign w:val="center"/>
          </w:tcPr>
          <w:p>
            <w:pPr>
              <w:pStyle w:val="28"/>
              <w:widowControl w:val="0"/>
              <w:rPr>
                <w:color w:val="auto"/>
                <w:highlight w:val="none"/>
              </w:rPr>
            </w:pPr>
            <w:r>
              <w:rPr>
                <w:color w:val="auto"/>
                <w:highlight w:val="none"/>
              </w:rPr>
              <w:t>1.4129</w:t>
            </w:r>
          </w:p>
        </w:tc>
        <w:tc>
          <w:tcPr>
            <w:tcW w:w="1676" w:type="dxa"/>
            <w:tcBorders>
              <w:tl2br w:val="nil"/>
              <w:tr2bl w:val="nil"/>
            </w:tcBorders>
            <w:vAlign w:val="center"/>
          </w:tcPr>
          <w:p>
            <w:pPr>
              <w:pStyle w:val="28"/>
              <w:widowControl w:val="0"/>
              <w:rPr>
                <w:color w:val="auto"/>
                <w:highlight w:val="none"/>
              </w:rPr>
            </w:pPr>
            <w:r>
              <w:rPr>
                <w:color w:val="auto"/>
                <w:highlight w:val="none"/>
              </w:rPr>
              <w:t>0.7065</w:t>
            </w:r>
          </w:p>
        </w:tc>
        <w:tc>
          <w:tcPr>
            <w:tcW w:w="1784" w:type="dxa"/>
            <w:tcBorders>
              <w:tl2br w:val="nil"/>
              <w:tr2bl w:val="nil"/>
            </w:tcBorders>
            <w:vAlign w:val="center"/>
          </w:tcPr>
          <w:p>
            <w:pPr>
              <w:pStyle w:val="28"/>
              <w:widowControl w:val="0"/>
              <w:rPr>
                <w:color w:val="auto"/>
                <w:highlight w:val="none"/>
              </w:rPr>
            </w:pPr>
            <w:r>
              <w:rPr>
                <w:color w:val="auto"/>
                <w:highlight w:val="none"/>
              </w:rPr>
              <w:t>0.1413</w:t>
            </w:r>
          </w:p>
        </w:tc>
        <w:tc>
          <w:tcPr>
            <w:tcW w:w="1658" w:type="dxa"/>
            <w:tcBorders>
              <w:tl2br w:val="nil"/>
              <w:tr2bl w:val="nil"/>
            </w:tcBorders>
            <w:vAlign w:val="center"/>
          </w:tcPr>
          <w:p>
            <w:pPr>
              <w:pStyle w:val="28"/>
              <w:widowControl w:val="0"/>
              <w:rPr>
                <w:color w:val="auto"/>
                <w:highlight w:val="none"/>
              </w:rPr>
            </w:pPr>
            <w:r>
              <w:rPr>
                <w:color w:val="auto"/>
                <w:highlight w:val="none"/>
              </w:rPr>
              <w:t>1.4129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w:t>
            </w:r>
          </w:p>
        </w:tc>
        <w:tc>
          <w:tcPr>
            <w:tcW w:w="1801" w:type="dxa"/>
            <w:tcBorders>
              <w:tl2br w:val="nil"/>
              <w:tr2bl w:val="nil"/>
            </w:tcBorders>
            <w:vAlign w:val="center"/>
          </w:tcPr>
          <w:p>
            <w:pPr>
              <w:pStyle w:val="28"/>
              <w:widowControl w:val="0"/>
              <w:rPr>
                <w:color w:val="auto"/>
                <w:highlight w:val="none"/>
              </w:rPr>
            </w:pPr>
            <w:r>
              <w:rPr>
                <w:color w:val="auto"/>
                <w:highlight w:val="none"/>
              </w:rPr>
              <w:t>1.2508</w:t>
            </w:r>
          </w:p>
        </w:tc>
        <w:tc>
          <w:tcPr>
            <w:tcW w:w="1676" w:type="dxa"/>
            <w:tcBorders>
              <w:tl2br w:val="nil"/>
              <w:tr2bl w:val="nil"/>
            </w:tcBorders>
            <w:vAlign w:val="center"/>
          </w:tcPr>
          <w:p>
            <w:pPr>
              <w:pStyle w:val="28"/>
              <w:widowControl w:val="0"/>
              <w:rPr>
                <w:color w:val="auto"/>
                <w:highlight w:val="none"/>
              </w:rPr>
            </w:pPr>
            <w:r>
              <w:rPr>
                <w:color w:val="auto"/>
                <w:highlight w:val="none"/>
              </w:rPr>
              <w:t>0.6254</w:t>
            </w:r>
          </w:p>
        </w:tc>
        <w:tc>
          <w:tcPr>
            <w:tcW w:w="1784" w:type="dxa"/>
            <w:tcBorders>
              <w:tl2br w:val="nil"/>
              <w:tr2bl w:val="nil"/>
            </w:tcBorders>
            <w:vAlign w:val="center"/>
          </w:tcPr>
          <w:p>
            <w:pPr>
              <w:pStyle w:val="28"/>
              <w:widowControl w:val="0"/>
              <w:rPr>
                <w:color w:val="auto"/>
                <w:highlight w:val="none"/>
              </w:rPr>
            </w:pPr>
            <w:r>
              <w:rPr>
                <w:color w:val="auto"/>
                <w:highlight w:val="none"/>
              </w:rPr>
              <w:t>0.1251</w:t>
            </w:r>
          </w:p>
        </w:tc>
        <w:tc>
          <w:tcPr>
            <w:tcW w:w="1658" w:type="dxa"/>
            <w:tcBorders>
              <w:tl2br w:val="nil"/>
              <w:tr2bl w:val="nil"/>
            </w:tcBorders>
            <w:vAlign w:val="center"/>
          </w:tcPr>
          <w:p>
            <w:pPr>
              <w:pStyle w:val="28"/>
              <w:widowControl w:val="0"/>
              <w:rPr>
                <w:color w:val="auto"/>
                <w:highlight w:val="none"/>
              </w:rPr>
            </w:pPr>
            <w:r>
              <w:rPr>
                <w:color w:val="auto"/>
                <w:highlight w:val="none"/>
              </w:rPr>
              <w:t>1.2508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w:t>
            </w:r>
          </w:p>
        </w:tc>
        <w:tc>
          <w:tcPr>
            <w:tcW w:w="1801" w:type="dxa"/>
            <w:tcBorders>
              <w:tl2br w:val="nil"/>
              <w:tr2bl w:val="nil"/>
            </w:tcBorders>
            <w:vAlign w:val="center"/>
          </w:tcPr>
          <w:p>
            <w:pPr>
              <w:pStyle w:val="28"/>
              <w:widowControl w:val="0"/>
              <w:rPr>
                <w:color w:val="auto"/>
                <w:highlight w:val="none"/>
              </w:rPr>
            </w:pPr>
            <w:r>
              <w:rPr>
                <w:color w:val="auto"/>
                <w:highlight w:val="none"/>
              </w:rPr>
              <w:t>0.8300</w:t>
            </w:r>
          </w:p>
        </w:tc>
        <w:tc>
          <w:tcPr>
            <w:tcW w:w="1676" w:type="dxa"/>
            <w:tcBorders>
              <w:tl2br w:val="nil"/>
              <w:tr2bl w:val="nil"/>
            </w:tcBorders>
            <w:vAlign w:val="center"/>
          </w:tcPr>
          <w:p>
            <w:pPr>
              <w:pStyle w:val="28"/>
              <w:widowControl w:val="0"/>
              <w:rPr>
                <w:color w:val="auto"/>
                <w:highlight w:val="none"/>
              </w:rPr>
            </w:pPr>
            <w:r>
              <w:rPr>
                <w:color w:val="auto"/>
                <w:highlight w:val="none"/>
              </w:rPr>
              <w:t>0.4150</w:t>
            </w:r>
          </w:p>
        </w:tc>
        <w:tc>
          <w:tcPr>
            <w:tcW w:w="1784" w:type="dxa"/>
            <w:tcBorders>
              <w:tl2br w:val="nil"/>
              <w:tr2bl w:val="nil"/>
            </w:tcBorders>
            <w:vAlign w:val="center"/>
          </w:tcPr>
          <w:p>
            <w:pPr>
              <w:pStyle w:val="28"/>
              <w:widowControl w:val="0"/>
              <w:rPr>
                <w:color w:val="auto"/>
                <w:highlight w:val="none"/>
              </w:rPr>
            </w:pPr>
            <w:r>
              <w:rPr>
                <w:color w:val="auto"/>
                <w:highlight w:val="none"/>
              </w:rPr>
              <w:t>0.0830</w:t>
            </w:r>
          </w:p>
        </w:tc>
        <w:tc>
          <w:tcPr>
            <w:tcW w:w="1658" w:type="dxa"/>
            <w:tcBorders>
              <w:tl2br w:val="nil"/>
              <w:tr2bl w:val="nil"/>
            </w:tcBorders>
            <w:vAlign w:val="center"/>
          </w:tcPr>
          <w:p>
            <w:pPr>
              <w:pStyle w:val="28"/>
              <w:widowControl w:val="0"/>
              <w:rPr>
                <w:color w:val="auto"/>
                <w:highlight w:val="none"/>
              </w:rPr>
            </w:pPr>
            <w:r>
              <w:rPr>
                <w:color w:val="auto"/>
                <w:highlight w:val="none"/>
              </w:rPr>
              <w:t>0.8300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w:t>
            </w:r>
          </w:p>
        </w:tc>
        <w:tc>
          <w:tcPr>
            <w:tcW w:w="1801" w:type="dxa"/>
            <w:tcBorders>
              <w:tl2br w:val="nil"/>
              <w:tr2bl w:val="nil"/>
            </w:tcBorders>
            <w:vAlign w:val="center"/>
          </w:tcPr>
          <w:p>
            <w:pPr>
              <w:pStyle w:val="28"/>
              <w:widowControl w:val="0"/>
              <w:rPr>
                <w:color w:val="auto"/>
                <w:highlight w:val="none"/>
              </w:rPr>
            </w:pPr>
            <w:r>
              <w:rPr>
                <w:color w:val="auto"/>
                <w:highlight w:val="none"/>
              </w:rPr>
              <w:t>0.6512</w:t>
            </w:r>
          </w:p>
        </w:tc>
        <w:tc>
          <w:tcPr>
            <w:tcW w:w="1676" w:type="dxa"/>
            <w:tcBorders>
              <w:tl2br w:val="nil"/>
              <w:tr2bl w:val="nil"/>
            </w:tcBorders>
            <w:vAlign w:val="center"/>
          </w:tcPr>
          <w:p>
            <w:pPr>
              <w:pStyle w:val="28"/>
              <w:widowControl w:val="0"/>
              <w:rPr>
                <w:color w:val="auto"/>
                <w:highlight w:val="none"/>
              </w:rPr>
            </w:pPr>
            <w:r>
              <w:rPr>
                <w:color w:val="auto"/>
                <w:highlight w:val="none"/>
              </w:rPr>
              <w:t>0.3256</w:t>
            </w:r>
          </w:p>
        </w:tc>
        <w:tc>
          <w:tcPr>
            <w:tcW w:w="1784" w:type="dxa"/>
            <w:tcBorders>
              <w:tl2br w:val="nil"/>
              <w:tr2bl w:val="nil"/>
            </w:tcBorders>
            <w:vAlign w:val="center"/>
          </w:tcPr>
          <w:p>
            <w:pPr>
              <w:pStyle w:val="28"/>
              <w:widowControl w:val="0"/>
              <w:rPr>
                <w:color w:val="auto"/>
                <w:highlight w:val="none"/>
              </w:rPr>
            </w:pPr>
            <w:r>
              <w:rPr>
                <w:color w:val="auto"/>
                <w:highlight w:val="none"/>
              </w:rPr>
              <w:t>0.0651</w:t>
            </w:r>
          </w:p>
        </w:tc>
        <w:tc>
          <w:tcPr>
            <w:tcW w:w="1658" w:type="dxa"/>
            <w:tcBorders>
              <w:tl2br w:val="nil"/>
              <w:tr2bl w:val="nil"/>
            </w:tcBorders>
            <w:vAlign w:val="center"/>
          </w:tcPr>
          <w:p>
            <w:pPr>
              <w:pStyle w:val="28"/>
              <w:widowControl w:val="0"/>
              <w:rPr>
                <w:color w:val="auto"/>
                <w:highlight w:val="none"/>
              </w:rPr>
            </w:pPr>
            <w:r>
              <w:rPr>
                <w:color w:val="auto"/>
                <w:highlight w:val="none"/>
              </w:rPr>
              <w:t>0.6512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w:t>
            </w:r>
          </w:p>
        </w:tc>
        <w:tc>
          <w:tcPr>
            <w:tcW w:w="1801" w:type="dxa"/>
            <w:tcBorders>
              <w:tl2br w:val="nil"/>
              <w:tr2bl w:val="nil"/>
            </w:tcBorders>
            <w:vAlign w:val="center"/>
          </w:tcPr>
          <w:p>
            <w:pPr>
              <w:pStyle w:val="28"/>
              <w:widowControl w:val="0"/>
              <w:rPr>
                <w:color w:val="auto"/>
                <w:highlight w:val="none"/>
              </w:rPr>
            </w:pPr>
            <w:r>
              <w:rPr>
                <w:color w:val="auto"/>
                <w:highlight w:val="none"/>
              </w:rPr>
              <w:t>0.5324</w:t>
            </w:r>
          </w:p>
        </w:tc>
        <w:tc>
          <w:tcPr>
            <w:tcW w:w="1676" w:type="dxa"/>
            <w:tcBorders>
              <w:tl2br w:val="nil"/>
              <w:tr2bl w:val="nil"/>
            </w:tcBorders>
            <w:vAlign w:val="center"/>
          </w:tcPr>
          <w:p>
            <w:pPr>
              <w:pStyle w:val="28"/>
              <w:widowControl w:val="0"/>
              <w:rPr>
                <w:color w:val="auto"/>
                <w:highlight w:val="none"/>
              </w:rPr>
            </w:pPr>
            <w:r>
              <w:rPr>
                <w:color w:val="auto"/>
                <w:highlight w:val="none"/>
              </w:rPr>
              <w:t>0.2662</w:t>
            </w:r>
          </w:p>
        </w:tc>
        <w:tc>
          <w:tcPr>
            <w:tcW w:w="1784" w:type="dxa"/>
            <w:tcBorders>
              <w:tl2br w:val="nil"/>
              <w:tr2bl w:val="nil"/>
            </w:tcBorders>
            <w:vAlign w:val="center"/>
          </w:tcPr>
          <w:p>
            <w:pPr>
              <w:pStyle w:val="28"/>
              <w:widowControl w:val="0"/>
              <w:rPr>
                <w:color w:val="auto"/>
                <w:highlight w:val="none"/>
              </w:rPr>
            </w:pPr>
            <w:r>
              <w:rPr>
                <w:color w:val="auto"/>
                <w:highlight w:val="none"/>
              </w:rPr>
              <w:t>0.0532</w:t>
            </w:r>
          </w:p>
        </w:tc>
        <w:tc>
          <w:tcPr>
            <w:tcW w:w="1658" w:type="dxa"/>
            <w:tcBorders>
              <w:tl2br w:val="nil"/>
              <w:tr2bl w:val="nil"/>
            </w:tcBorders>
            <w:vAlign w:val="center"/>
          </w:tcPr>
          <w:p>
            <w:pPr>
              <w:pStyle w:val="28"/>
              <w:widowControl w:val="0"/>
              <w:rPr>
                <w:color w:val="auto"/>
                <w:highlight w:val="none"/>
              </w:rPr>
            </w:pPr>
            <w:r>
              <w:rPr>
                <w:color w:val="auto"/>
                <w:highlight w:val="none"/>
              </w:rPr>
              <w:t>0.5324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w:t>
            </w:r>
          </w:p>
        </w:tc>
        <w:tc>
          <w:tcPr>
            <w:tcW w:w="1801" w:type="dxa"/>
            <w:tcBorders>
              <w:tl2br w:val="nil"/>
              <w:tr2bl w:val="nil"/>
            </w:tcBorders>
            <w:vAlign w:val="center"/>
          </w:tcPr>
          <w:p>
            <w:pPr>
              <w:pStyle w:val="28"/>
              <w:widowControl w:val="0"/>
              <w:rPr>
                <w:color w:val="auto"/>
                <w:highlight w:val="none"/>
              </w:rPr>
            </w:pPr>
            <w:r>
              <w:rPr>
                <w:color w:val="auto"/>
                <w:highlight w:val="none"/>
              </w:rPr>
              <w:t>0.4469</w:t>
            </w:r>
          </w:p>
        </w:tc>
        <w:tc>
          <w:tcPr>
            <w:tcW w:w="1676" w:type="dxa"/>
            <w:tcBorders>
              <w:tl2br w:val="nil"/>
              <w:tr2bl w:val="nil"/>
            </w:tcBorders>
            <w:vAlign w:val="center"/>
          </w:tcPr>
          <w:p>
            <w:pPr>
              <w:pStyle w:val="28"/>
              <w:widowControl w:val="0"/>
              <w:rPr>
                <w:color w:val="auto"/>
                <w:highlight w:val="none"/>
              </w:rPr>
            </w:pPr>
            <w:r>
              <w:rPr>
                <w:color w:val="auto"/>
                <w:highlight w:val="none"/>
              </w:rPr>
              <w:t>0.2235</w:t>
            </w:r>
          </w:p>
        </w:tc>
        <w:tc>
          <w:tcPr>
            <w:tcW w:w="1784" w:type="dxa"/>
            <w:tcBorders>
              <w:tl2br w:val="nil"/>
              <w:tr2bl w:val="nil"/>
            </w:tcBorders>
            <w:vAlign w:val="center"/>
          </w:tcPr>
          <w:p>
            <w:pPr>
              <w:pStyle w:val="28"/>
              <w:widowControl w:val="0"/>
              <w:rPr>
                <w:color w:val="auto"/>
                <w:highlight w:val="none"/>
              </w:rPr>
            </w:pPr>
            <w:r>
              <w:rPr>
                <w:color w:val="auto"/>
                <w:highlight w:val="none"/>
              </w:rPr>
              <w:t>0.0447</w:t>
            </w:r>
          </w:p>
        </w:tc>
        <w:tc>
          <w:tcPr>
            <w:tcW w:w="1658" w:type="dxa"/>
            <w:tcBorders>
              <w:tl2br w:val="nil"/>
              <w:tr2bl w:val="nil"/>
            </w:tcBorders>
            <w:vAlign w:val="center"/>
          </w:tcPr>
          <w:p>
            <w:pPr>
              <w:pStyle w:val="28"/>
              <w:widowControl w:val="0"/>
              <w:rPr>
                <w:color w:val="auto"/>
                <w:highlight w:val="none"/>
              </w:rPr>
            </w:pPr>
            <w:r>
              <w:rPr>
                <w:color w:val="auto"/>
                <w:highlight w:val="none"/>
              </w:rPr>
              <w:t>0.4469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600.0</w:t>
            </w:r>
          </w:p>
        </w:tc>
        <w:tc>
          <w:tcPr>
            <w:tcW w:w="1801" w:type="dxa"/>
            <w:tcBorders>
              <w:tl2br w:val="nil"/>
              <w:tr2bl w:val="nil"/>
            </w:tcBorders>
            <w:vAlign w:val="center"/>
          </w:tcPr>
          <w:p>
            <w:pPr>
              <w:pStyle w:val="28"/>
              <w:widowControl w:val="0"/>
              <w:rPr>
                <w:color w:val="auto"/>
                <w:highlight w:val="none"/>
              </w:rPr>
            </w:pPr>
            <w:r>
              <w:rPr>
                <w:color w:val="auto"/>
                <w:highlight w:val="none"/>
              </w:rPr>
              <w:t>0.3810</w:t>
            </w:r>
          </w:p>
        </w:tc>
        <w:tc>
          <w:tcPr>
            <w:tcW w:w="1676" w:type="dxa"/>
            <w:tcBorders>
              <w:tl2br w:val="nil"/>
              <w:tr2bl w:val="nil"/>
            </w:tcBorders>
            <w:vAlign w:val="center"/>
          </w:tcPr>
          <w:p>
            <w:pPr>
              <w:pStyle w:val="28"/>
              <w:widowControl w:val="0"/>
              <w:rPr>
                <w:color w:val="auto"/>
                <w:highlight w:val="none"/>
              </w:rPr>
            </w:pPr>
            <w:r>
              <w:rPr>
                <w:color w:val="auto"/>
                <w:highlight w:val="none"/>
              </w:rPr>
              <w:t>0.1905</w:t>
            </w:r>
          </w:p>
        </w:tc>
        <w:tc>
          <w:tcPr>
            <w:tcW w:w="1784" w:type="dxa"/>
            <w:tcBorders>
              <w:tl2br w:val="nil"/>
              <w:tr2bl w:val="nil"/>
            </w:tcBorders>
            <w:vAlign w:val="center"/>
          </w:tcPr>
          <w:p>
            <w:pPr>
              <w:pStyle w:val="28"/>
              <w:widowControl w:val="0"/>
              <w:rPr>
                <w:color w:val="auto"/>
                <w:highlight w:val="none"/>
              </w:rPr>
            </w:pPr>
            <w:r>
              <w:rPr>
                <w:color w:val="auto"/>
                <w:highlight w:val="none"/>
              </w:rPr>
              <w:t>0.0381</w:t>
            </w:r>
          </w:p>
        </w:tc>
        <w:tc>
          <w:tcPr>
            <w:tcW w:w="1658" w:type="dxa"/>
            <w:tcBorders>
              <w:tl2br w:val="nil"/>
              <w:tr2bl w:val="nil"/>
            </w:tcBorders>
            <w:vAlign w:val="center"/>
          </w:tcPr>
          <w:p>
            <w:pPr>
              <w:pStyle w:val="28"/>
              <w:widowControl w:val="0"/>
              <w:rPr>
                <w:color w:val="auto"/>
                <w:highlight w:val="none"/>
              </w:rPr>
            </w:pPr>
            <w:r>
              <w:rPr>
                <w:color w:val="auto"/>
                <w:highlight w:val="none"/>
              </w:rPr>
              <w:t>0.3810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700.0</w:t>
            </w:r>
          </w:p>
        </w:tc>
        <w:tc>
          <w:tcPr>
            <w:tcW w:w="1801" w:type="dxa"/>
            <w:tcBorders>
              <w:tl2br w:val="nil"/>
              <w:tr2bl w:val="nil"/>
            </w:tcBorders>
            <w:vAlign w:val="center"/>
          </w:tcPr>
          <w:p>
            <w:pPr>
              <w:pStyle w:val="28"/>
              <w:widowControl w:val="0"/>
              <w:rPr>
                <w:color w:val="auto"/>
                <w:highlight w:val="none"/>
              </w:rPr>
            </w:pPr>
            <w:r>
              <w:rPr>
                <w:color w:val="auto"/>
                <w:highlight w:val="none"/>
              </w:rPr>
              <w:t>0.3289</w:t>
            </w:r>
          </w:p>
        </w:tc>
        <w:tc>
          <w:tcPr>
            <w:tcW w:w="1676" w:type="dxa"/>
            <w:tcBorders>
              <w:tl2br w:val="nil"/>
              <w:tr2bl w:val="nil"/>
            </w:tcBorders>
            <w:vAlign w:val="center"/>
          </w:tcPr>
          <w:p>
            <w:pPr>
              <w:pStyle w:val="28"/>
              <w:widowControl w:val="0"/>
              <w:rPr>
                <w:color w:val="auto"/>
                <w:highlight w:val="none"/>
              </w:rPr>
            </w:pPr>
            <w:r>
              <w:rPr>
                <w:color w:val="auto"/>
                <w:highlight w:val="none"/>
              </w:rPr>
              <w:t>0.1644</w:t>
            </w:r>
          </w:p>
        </w:tc>
        <w:tc>
          <w:tcPr>
            <w:tcW w:w="1784" w:type="dxa"/>
            <w:tcBorders>
              <w:tl2br w:val="nil"/>
              <w:tr2bl w:val="nil"/>
            </w:tcBorders>
            <w:vAlign w:val="center"/>
          </w:tcPr>
          <w:p>
            <w:pPr>
              <w:pStyle w:val="28"/>
              <w:widowControl w:val="0"/>
              <w:rPr>
                <w:color w:val="auto"/>
                <w:highlight w:val="none"/>
              </w:rPr>
            </w:pPr>
            <w:r>
              <w:rPr>
                <w:color w:val="auto"/>
                <w:highlight w:val="none"/>
              </w:rPr>
              <w:t>0.0329</w:t>
            </w:r>
          </w:p>
        </w:tc>
        <w:tc>
          <w:tcPr>
            <w:tcW w:w="1658" w:type="dxa"/>
            <w:tcBorders>
              <w:tl2br w:val="nil"/>
              <w:tr2bl w:val="nil"/>
            </w:tcBorders>
            <w:vAlign w:val="center"/>
          </w:tcPr>
          <w:p>
            <w:pPr>
              <w:pStyle w:val="28"/>
              <w:widowControl w:val="0"/>
              <w:rPr>
                <w:color w:val="auto"/>
                <w:highlight w:val="none"/>
              </w:rPr>
            </w:pPr>
            <w:r>
              <w:rPr>
                <w:color w:val="auto"/>
                <w:highlight w:val="none"/>
              </w:rPr>
              <w:t>0.3289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800.0</w:t>
            </w:r>
          </w:p>
        </w:tc>
        <w:tc>
          <w:tcPr>
            <w:tcW w:w="1801" w:type="dxa"/>
            <w:tcBorders>
              <w:tl2br w:val="nil"/>
              <w:tr2bl w:val="nil"/>
            </w:tcBorders>
            <w:vAlign w:val="center"/>
          </w:tcPr>
          <w:p>
            <w:pPr>
              <w:pStyle w:val="28"/>
              <w:widowControl w:val="0"/>
              <w:rPr>
                <w:color w:val="auto"/>
                <w:highlight w:val="none"/>
              </w:rPr>
            </w:pPr>
            <w:r>
              <w:rPr>
                <w:color w:val="auto"/>
                <w:highlight w:val="none"/>
              </w:rPr>
              <w:t>0.2873</w:t>
            </w:r>
          </w:p>
        </w:tc>
        <w:tc>
          <w:tcPr>
            <w:tcW w:w="1676" w:type="dxa"/>
            <w:tcBorders>
              <w:tl2br w:val="nil"/>
              <w:tr2bl w:val="nil"/>
            </w:tcBorders>
            <w:vAlign w:val="center"/>
          </w:tcPr>
          <w:p>
            <w:pPr>
              <w:pStyle w:val="28"/>
              <w:widowControl w:val="0"/>
              <w:rPr>
                <w:color w:val="auto"/>
                <w:highlight w:val="none"/>
              </w:rPr>
            </w:pPr>
            <w:r>
              <w:rPr>
                <w:color w:val="auto"/>
                <w:highlight w:val="none"/>
              </w:rPr>
              <w:t>0.1436</w:t>
            </w:r>
          </w:p>
        </w:tc>
        <w:tc>
          <w:tcPr>
            <w:tcW w:w="1784" w:type="dxa"/>
            <w:tcBorders>
              <w:tl2br w:val="nil"/>
              <w:tr2bl w:val="nil"/>
            </w:tcBorders>
            <w:vAlign w:val="center"/>
          </w:tcPr>
          <w:p>
            <w:pPr>
              <w:pStyle w:val="28"/>
              <w:widowControl w:val="0"/>
              <w:rPr>
                <w:color w:val="auto"/>
                <w:highlight w:val="none"/>
              </w:rPr>
            </w:pPr>
            <w:r>
              <w:rPr>
                <w:color w:val="auto"/>
                <w:highlight w:val="none"/>
              </w:rPr>
              <w:t>0.0287</w:t>
            </w:r>
          </w:p>
        </w:tc>
        <w:tc>
          <w:tcPr>
            <w:tcW w:w="1658" w:type="dxa"/>
            <w:tcBorders>
              <w:tl2br w:val="nil"/>
              <w:tr2bl w:val="nil"/>
            </w:tcBorders>
            <w:vAlign w:val="center"/>
          </w:tcPr>
          <w:p>
            <w:pPr>
              <w:pStyle w:val="28"/>
              <w:widowControl w:val="0"/>
              <w:rPr>
                <w:color w:val="auto"/>
                <w:highlight w:val="none"/>
              </w:rPr>
            </w:pPr>
            <w:r>
              <w:rPr>
                <w:color w:val="auto"/>
                <w:highlight w:val="none"/>
              </w:rPr>
              <w:t>0.2873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900.0</w:t>
            </w:r>
          </w:p>
        </w:tc>
        <w:tc>
          <w:tcPr>
            <w:tcW w:w="1801" w:type="dxa"/>
            <w:tcBorders>
              <w:tl2br w:val="nil"/>
              <w:tr2bl w:val="nil"/>
            </w:tcBorders>
            <w:vAlign w:val="center"/>
          </w:tcPr>
          <w:p>
            <w:pPr>
              <w:pStyle w:val="28"/>
              <w:widowControl w:val="0"/>
              <w:rPr>
                <w:color w:val="auto"/>
                <w:highlight w:val="none"/>
              </w:rPr>
            </w:pPr>
            <w:r>
              <w:rPr>
                <w:color w:val="auto"/>
                <w:highlight w:val="none"/>
              </w:rPr>
              <w:t>0.2537</w:t>
            </w:r>
          </w:p>
        </w:tc>
        <w:tc>
          <w:tcPr>
            <w:tcW w:w="1676" w:type="dxa"/>
            <w:tcBorders>
              <w:tl2br w:val="nil"/>
              <w:tr2bl w:val="nil"/>
            </w:tcBorders>
            <w:vAlign w:val="center"/>
          </w:tcPr>
          <w:p>
            <w:pPr>
              <w:pStyle w:val="28"/>
              <w:widowControl w:val="0"/>
              <w:rPr>
                <w:color w:val="auto"/>
                <w:highlight w:val="none"/>
              </w:rPr>
            </w:pPr>
            <w:r>
              <w:rPr>
                <w:color w:val="auto"/>
                <w:highlight w:val="none"/>
              </w:rPr>
              <w:t>0.1269</w:t>
            </w:r>
          </w:p>
        </w:tc>
        <w:tc>
          <w:tcPr>
            <w:tcW w:w="1784" w:type="dxa"/>
            <w:tcBorders>
              <w:tl2br w:val="nil"/>
              <w:tr2bl w:val="nil"/>
            </w:tcBorders>
            <w:vAlign w:val="center"/>
          </w:tcPr>
          <w:p>
            <w:pPr>
              <w:pStyle w:val="28"/>
              <w:widowControl w:val="0"/>
              <w:rPr>
                <w:color w:val="auto"/>
                <w:highlight w:val="none"/>
              </w:rPr>
            </w:pPr>
            <w:r>
              <w:rPr>
                <w:color w:val="auto"/>
                <w:highlight w:val="none"/>
              </w:rPr>
              <w:t>0.0254</w:t>
            </w:r>
          </w:p>
        </w:tc>
        <w:tc>
          <w:tcPr>
            <w:tcW w:w="1658" w:type="dxa"/>
            <w:tcBorders>
              <w:tl2br w:val="nil"/>
              <w:tr2bl w:val="nil"/>
            </w:tcBorders>
            <w:vAlign w:val="center"/>
          </w:tcPr>
          <w:p>
            <w:pPr>
              <w:pStyle w:val="28"/>
              <w:widowControl w:val="0"/>
              <w:rPr>
                <w:color w:val="auto"/>
                <w:highlight w:val="none"/>
              </w:rPr>
            </w:pPr>
            <w:r>
              <w:rPr>
                <w:color w:val="auto"/>
                <w:highlight w:val="none"/>
              </w:rPr>
              <w:t>0.2537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w:t>
            </w:r>
          </w:p>
        </w:tc>
        <w:tc>
          <w:tcPr>
            <w:tcW w:w="1801" w:type="dxa"/>
            <w:tcBorders>
              <w:tl2br w:val="nil"/>
              <w:tr2bl w:val="nil"/>
            </w:tcBorders>
            <w:vAlign w:val="center"/>
          </w:tcPr>
          <w:p>
            <w:pPr>
              <w:pStyle w:val="28"/>
              <w:widowControl w:val="0"/>
              <w:rPr>
                <w:color w:val="auto"/>
                <w:highlight w:val="none"/>
              </w:rPr>
            </w:pPr>
            <w:r>
              <w:rPr>
                <w:color w:val="auto"/>
                <w:highlight w:val="none"/>
              </w:rPr>
              <w:t>0.2271</w:t>
            </w:r>
          </w:p>
        </w:tc>
        <w:tc>
          <w:tcPr>
            <w:tcW w:w="1676" w:type="dxa"/>
            <w:tcBorders>
              <w:tl2br w:val="nil"/>
              <w:tr2bl w:val="nil"/>
            </w:tcBorders>
            <w:vAlign w:val="center"/>
          </w:tcPr>
          <w:p>
            <w:pPr>
              <w:pStyle w:val="28"/>
              <w:widowControl w:val="0"/>
              <w:rPr>
                <w:color w:val="auto"/>
                <w:highlight w:val="none"/>
              </w:rPr>
            </w:pPr>
            <w:r>
              <w:rPr>
                <w:color w:val="auto"/>
                <w:highlight w:val="none"/>
              </w:rPr>
              <w:t>0.1136</w:t>
            </w:r>
          </w:p>
        </w:tc>
        <w:tc>
          <w:tcPr>
            <w:tcW w:w="1784" w:type="dxa"/>
            <w:tcBorders>
              <w:tl2br w:val="nil"/>
              <w:tr2bl w:val="nil"/>
            </w:tcBorders>
            <w:vAlign w:val="center"/>
          </w:tcPr>
          <w:p>
            <w:pPr>
              <w:pStyle w:val="28"/>
              <w:widowControl w:val="0"/>
              <w:rPr>
                <w:color w:val="auto"/>
                <w:highlight w:val="none"/>
              </w:rPr>
            </w:pPr>
            <w:r>
              <w:rPr>
                <w:color w:val="auto"/>
                <w:highlight w:val="none"/>
              </w:rPr>
              <w:t>0.0227</w:t>
            </w:r>
          </w:p>
        </w:tc>
        <w:tc>
          <w:tcPr>
            <w:tcW w:w="1658" w:type="dxa"/>
            <w:tcBorders>
              <w:tl2br w:val="nil"/>
              <w:tr2bl w:val="nil"/>
            </w:tcBorders>
            <w:vAlign w:val="center"/>
          </w:tcPr>
          <w:p>
            <w:pPr>
              <w:pStyle w:val="28"/>
              <w:widowControl w:val="0"/>
              <w:rPr>
                <w:color w:val="auto"/>
                <w:highlight w:val="none"/>
              </w:rPr>
            </w:pPr>
            <w:r>
              <w:rPr>
                <w:color w:val="auto"/>
                <w:highlight w:val="none"/>
              </w:rPr>
              <w:t>0.2272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w:t>
            </w:r>
          </w:p>
        </w:tc>
        <w:tc>
          <w:tcPr>
            <w:tcW w:w="1801" w:type="dxa"/>
            <w:tcBorders>
              <w:tl2br w:val="nil"/>
              <w:tr2bl w:val="nil"/>
            </w:tcBorders>
            <w:vAlign w:val="center"/>
          </w:tcPr>
          <w:p>
            <w:pPr>
              <w:pStyle w:val="28"/>
              <w:widowControl w:val="0"/>
              <w:rPr>
                <w:color w:val="auto"/>
                <w:highlight w:val="none"/>
              </w:rPr>
            </w:pPr>
            <w:r>
              <w:rPr>
                <w:color w:val="auto"/>
                <w:highlight w:val="none"/>
              </w:rPr>
              <w:t>0.1849</w:t>
            </w:r>
          </w:p>
        </w:tc>
        <w:tc>
          <w:tcPr>
            <w:tcW w:w="1676" w:type="dxa"/>
            <w:tcBorders>
              <w:tl2br w:val="nil"/>
              <w:tr2bl w:val="nil"/>
            </w:tcBorders>
            <w:vAlign w:val="center"/>
          </w:tcPr>
          <w:p>
            <w:pPr>
              <w:pStyle w:val="28"/>
              <w:widowControl w:val="0"/>
              <w:rPr>
                <w:color w:val="auto"/>
                <w:highlight w:val="none"/>
              </w:rPr>
            </w:pPr>
            <w:r>
              <w:rPr>
                <w:color w:val="auto"/>
                <w:highlight w:val="none"/>
              </w:rPr>
              <w:t>0.0925</w:t>
            </w:r>
          </w:p>
        </w:tc>
        <w:tc>
          <w:tcPr>
            <w:tcW w:w="1784" w:type="dxa"/>
            <w:tcBorders>
              <w:tl2br w:val="nil"/>
              <w:tr2bl w:val="nil"/>
            </w:tcBorders>
            <w:vAlign w:val="center"/>
          </w:tcPr>
          <w:p>
            <w:pPr>
              <w:pStyle w:val="28"/>
              <w:widowControl w:val="0"/>
              <w:rPr>
                <w:color w:val="auto"/>
                <w:highlight w:val="none"/>
              </w:rPr>
            </w:pPr>
            <w:r>
              <w:rPr>
                <w:color w:val="auto"/>
                <w:highlight w:val="none"/>
              </w:rPr>
              <w:t>0.0185</w:t>
            </w:r>
          </w:p>
        </w:tc>
        <w:tc>
          <w:tcPr>
            <w:tcW w:w="1658" w:type="dxa"/>
            <w:tcBorders>
              <w:tl2br w:val="nil"/>
              <w:tr2bl w:val="nil"/>
            </w:tcBorders>
            <w:vAlign w:val="center"/>
          </w:tcPr>
          <w:p>
            <w:pPr>
              <w:pStyle w:val="28"/>
              <w:widowControl w:val="0"/>
              <w:rPr>
                <w:color w:val="auto"/>
                <w:highlight w:val="none"/>
              </w:rPr>
            </w:pPr>
            <w:r>
              <w:rPr>
                <w:color w:val="auto"/>
                <w:highlight w:val="none"/>
              </w:rPr>
              <w:t>0.1849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w:t>
            </w:r>
          </w:p>
        </w:tc>
        <w:tc>
          <w:tcPr>
            <w:tcW w:w="1801" w:type="dxa"/>
            <w:tcBorders>
              <w:tl2br w:val="nil"/>
              <w:tr2bl w:val="nil"/>
            </w:tcBorders>
            <w:vAlign w:val="center"/>
          </w:tcPr>
          <w:p>
            <w:pPr>
              <w:pStyle w:val="28"/>
              <w:widowControl w:val="0"/>
              <w:rPr>
                <w:color w:val="auto"/>
                <w:highlight w:val="none"/>
              </w:rPr>
            </w:pPr>
            <w:r>
              <w:rPr>
                <w:color w:val="auto"/>
                <w:highlight w:val="none"/>
              </w:rPr>
              <w:t>0.1545</w:t>
            </w:r>
          </w:p>
        </w:tc>
        <w:tc>
          <w:tcPr>
            <w:tcW w:w="1676" w:type="dxa"/>
            <w:tcBorders>
              <w:tl2br w:val="nil"/>
              <w:tr2bl w:val="nil"/>
            </w:tcBorders>
            <w:vAlign w:val="center"/>
          </w:tcPr>
          <w:p>
            <w:pPr>
              <w:pStyle w:val="28"/>
              <w:widowControl w:val="0"/>
              <w:rPr>
                <w:color w:val="auto"/>
                <w:highlight w:val="none"/>
              </w:rPr>
            </w:pPr>
            <w:r>
              <w:rPr>
                <w:color w:val="auto"/>
                <w:highlight w:val="none"/>
              </w:rPr>
              <w:t>0.0773</w:t>
            </w:r>
          </w:p>
        </w:tc>
        <w:tc>
          <w:tcPr>
            <w:tcW w:w="1784" w:type="dxa"/>
            <w:tcBorders>
              <w:tl2br w:val="nil"/>
              <w:tr2bl w:val="nil"/>
            </w:tcBorders>
            <w:vAlign w:val="center"/>
          </w:tcPr>
          <w:p>
            <w:pPr>
              <w:pStyle w:val="28"/>
              <w:widowControl w:val="0"/>
              <w:rPr>
                <w:color w:val="auto"/>
                <w:highlight w:val="none"/>
              </w:rPr>
            </w:pPr>
            <w:r>
              <w:rPr>
                <w:color w:val="auto"/>
                <w:highlight w:val="none"/>
              </w:rPr>
              <w:t>0.0155</w:t>
            </w:r>
          </w:p>
        </w:tc>
        <w:tc>
          <w:tcPr>
            <w:tcW w:w="1658" w:type="dxa"/>
            <w:tcBorders>
              <w:tl2br w:val="nil"/>
              <w:tr2bl w:val="nil"/>
            </w:tcBorders>
            <w:vAlign w:val="center"/>
          </w:tcPr>
          <w:p>
            <w:pPr>
              <w:pStyle w:val="28"/>
              <w:widowControl w:val="0"/>
              <w:rPr>
                <w:color w:val="auto"/>
                <w:highlight w:val="none"/>
              </w:rPr>
            </w:pPr>
            <w:r>
              <w:rPr>
                <w:color w:val="auto"/>
                <w:highlight w:val="none"/>
              </w:rPr>
              <w:t>0.1545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1600.0</w:t>
            </w:r>
          </w:p>
        </w:tc>
        <w:tc>
          <w:tcPr>
            <w:tcW w:w="1801" w:type="dxa"/>
            <w:tcBorders>
              <w:tl2br w:val="nil"/>
              <w:tr2bl w:val="nil"/>
            </w:tcBorders>
            <w:vAlign w:val="center"/>
          </w:tcPr>
          <w:p>
            <w:pPr>
              <w:pStyle w:val="28"/>
              <w:widowControl w:val="0"/>
              <w:rPr>
                <w:color w:val="auto"/>
                <w:highlight w:val="none"/>
              </w:rPr>
            </w:pPr>
            <w:r>
              <w:rPr>
                <w:color w:val="auto"/>
                <w:highlight w:val="none"/>
              </w:rPr>
              <w:t>0.1319</w:t>
            </w:r>
          </w:p>
        </w:tc>
        <w:tc>
          <w:tcPr>
            <w:tcW w:w="1676" w:type="dxa"/>
            <w:tcBorders>
              <w:tl2br w:val="nil"/>
              <w:tr2bl w:val="nil"/>
            </w:tcBorders>
            <w:vAlign w:val="center"/>
          </w:tcPr>
          <w:p>
            <w:pPr>
              <w:pStyle w:val="28"/>
              <w:widowControl w:val="0"/>
              <w:rPr>
                <w:color w:val="auto"/>
                <w:highlight w:val="none"/>
              </w:rPr>
            </w:pPr>
            <w:r>
              <w:rPr>
                <w:color w:val="auto"/>
                <w:highlight w:val="none"/>
              </w:rPr>
              <w:t>0.0659</w:t>
            </w:r>
          </w:p>
        </w:tc>
        <w:tc>
          <w:tcPr>
            <w:tcW w:w="1784" w:type="dxa"/>
            <w:tcBorders>
              <w:tl2br w:val="nil"/>
              <w:tr2bl w:val="nil"/>
            </w:tcBorders>
            <w:vAlign w:val="center"/>
          </w:tcPr>
          <w:p>
            <w:pPr>
              <w:pStyle w:val="28"/>
              <w:widowControl w:val="0"/>
              <w:rPr>
                <w:color w:val="auto"/>
                <w:highlight w:val="none"/>
              </w:rPr>
            </w:pPr>
            <w:r>
              <w:rPr>
                <w:color w:val="auto"/>
                <w:highlight w:val="none"/>
              </w:rPr>
              <w:t>0.0132</w:t>
            </w:r>
          </w:p>
        </w:tc>
        <w:tc>
          <w:tcPr>
            <w:tcW w:w="1658" w:type="dxa"/>
            <w:tcBorders>
              <w:tl2br w:val="nil"/>
              <w:tr2bl w:val="nil"/>
            </w:tcBorders>
            <w:vAlign w:val="center"/>
          </w:tcPr>
          <w:p>
            <w:pPr>
              <w:pStyle w:val="28"/>
              <w:widowControl w:val="0"/>
              <w:rPr>
                <w:color w:val="auto"/>
                <w:highlight w:val="none"/>
              </w:rPr>
            </w:pPr>
            <w:r>
              <w:rPr>
                <w:color w:val="auto"/>
                <w:highlight w:val="none"/>
              </w:rPr>
              <w:t>0.1319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1800.0</w:t>
            </w:r>
          </w:p>
        </w:tc>
        <w:tc>
          <w:tcPr>
            <w:tcW w:w="1801" w:type="dxa"/>
            <w:tcBorders>
              <w:tl2br w:val="nil"/>
              <w:tr2bl w:val="nil"/>
            </w:tcBorders>
            <w:vAlign w:val="center"/>
          </w:tcPr>
          <w:p>
            <w:pPr>
              <w:pStyle w:val="28"/>
              <w:widowControl w:val="0"/>
              <w:rPr>
                <w:color w:val="auto"/>
                <w:highlight w:val="none"/>
              </w:rPr>
            </w:pPr>
            <w:r>
              <w:rPr>
                <w:color w:val="auto"/>
                <w:highlight w:val="none"/>
              </w:rPr>
              <w:t>0.1146</w:t>
            </w:r>
          </w:p>
        </w:tc>
        <w:tc>
          <w:tcPr>
            <w:tcW w:w="1676" w:type="dxa"/>
            <w:tcBorders>
              <w:tl2br w:val="nil"/>
              <w:tr2bl w:val="nil"/>
            </w:tcBorders>
            <w:vAlign w:val="center"/>
          </w:tcPr>
          <w:p>
            <w:pPr>
              <w:pStyle w:val="28"/>
              <w:widowControl w:val="0"/>
              <w:rPr>
                <w:color w:val="auto"/>
                <w:highlight w:val="none"/>
              </w:rPr>
            </w:pPr>
            <w:r>
              <w:rPr>
                <w:color w:val="auto"/>
                <w:highlight w:val="none"/>
              </w:rPr>
              <w:t>0.0573</w:t>
            </w:r>
          </w:p>
        </w:tc>
        <w:tc>
          <w:tcPr>
            <w:tcW w:w="1784" w:type="dxa"/>
            <w:tcBorders>
              <w:tl2br w:val="nil"/>
              <w:tr2bl w:val="nil"/>
            </w:tcBorders>
            <w:vAlign w:val="center"/>
          </w:tcPr>
          <w:p>
            <w:pPr>
              <w:pStyle w:val="28"/>
              <w:widowControl w:val="0"/>
              <w:rPr>
                <w:color w:val="auto"/>
                <w:highlight w:val="none"/>
              </w:rPr>
            </w:pPr>
            <w:r>
              <w:rPr>
                <w:color w:val="auto"/>
                <w:highlight w:val="none"/>
              </w:rPr>
              <w:t>0.0115</w:t>
            </w:r>
          </w:p>
        </w:tc>
        <w:tc>
          <w:tcPr>
            <w:tcW w:w="1658" w:type="dxa"/>
            <w:tcBorders>
              <w:tl2br w:val="nil"/>
              <w:tr2bl w:val="nil"/>
            </w:tcBorders>
            <w:vAlign w:val="center"/>
          </w:tcPr>
          <w:p>
            <w:pPr>
              <w:pStyle w:val="28"/>
              <w:widowControl w:val="0"/>
              <w:rPr>
                <w:color w:val="auto"/>
                <w:highlight w:val="none"/>
              </w:rPr>
            </w:pPr>
            <w:r>
              <w:rPr>
                <w:color w:val="auto"/>
                <w:highlight w:val="none"/>
              </w:rPr>
              <w:t>0.1146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w:t>
            </w:r>
          </w:p>
        </w:tc>
        <w:tc>
          <w:tcPr>
            <w:tcW w:w="1801" w:type="dxa"/>
            <w:tcBorders>
              <w:tl2br w:val="nil"/>
              <w:tr2bl w:val="nil"/>
            </w:tcBorders>
            <w:vAlign w:val="center"/>
          </w:tcPr>
          <w:p>
            <w:pPr>
              <w:pStyle w:val="28"/>
              <w:widowControl w:val="0"/>
              <w:rPr>
                <w:color w:val="auto"/>
                <w:highlight w:val="none"/>
              </w:rPr>
            </w:pPr>
            <w:r>
              <w:rPr>
                <w:color w:val="auto"/>
                <w:highlight w:val="none"/>
              </w:rPr>
              <w:t>0.1010</w:t>
            </w:r>
          </w:p>
        </w:tc>
        <w:tc>
          <w:tcPr>
            <w:tcW w:w="1676" w:type="dxa"/>
            <w:tcBorders>
              <w:tl2br w:val="nil"/>
              <w:tr2bl w:val="nil"/>
            </w:tcBorders>
            <w:vAlign w:val="center"/>
          </w:tcPr>
          <w:p>
            <w:pPr>
              <w:pStyle w:val="28"/>
              <w:widowControl w:val="0"/>
              <w:rPr>
                <w:color w:val="auto"/>
                <w:highlight w:val="none"/>
              </w:rPr>
            </w:pPr>
            <w:r>
              <w:rPr>
                <w:color w:val="auto"/>
                <w:highlight w:val="none"/>
              </w:rPr>
              <w:t>0.0505</w:t>
            </w:r>
          </w:p>
        </w:tc>
        <w:tc>
          <w:tcPr>
            <w:tcW w:w="1784" w:type="dxa"/>
            <w:tcBorders>
              <w:tl2br w:val="nil"/>
              <w:tr2bl w:val="nil"/>
            </w:tcBorders>
            <w:vAlign w:val="center"/>
          </w:tcPr>
          <w:p>
            <w:pPr>
              <w:pStyle w:val="28"/>
              <w:widowControl w:val="0"/>
              <w:rPr>
                <w:color w:val="auto"/>
                <w:highlight w:val="none"/>
              </w:rPr>
            </w:pPr>
            <w:r>
              <w:rPr>
                <w:color w:val="auto"/>
                <w:highlight w:val="none"/>
              </w:rPr>
              <w:t>0.0101</w:t>
            </w:r>
          </w:p>
        </w:tc>
        <w:tc>
          <w:tcPr>
            <w:tcW w:w="1658" w:type="dxa"/>
            <w:tcBorders>
              <w:tl2br w:val="nil"/>
              <w:tr2bl w:val="nil"/>
            </w:tcBorders>
            <w:vAlign w:val="center"/>
          </w:tcPr>
          <w:p>
            <w:pPr>
              <w:pStyle w:val="28"/>
              <w:widowControl w:val="0"/>
              <w:rPr>
                <w:color w:val="auto"/>
                <w:highlight w:val="none"/>
              </w:rPr>
            </w:pPr>
            <w:r>
              <w:rPr>
                <w:color w:val="auto"/>
                <w:highlight w:val="none"/>
              </w:rPr>
              <w:t>0.1010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w:t>
            </w:r>
          </w:p>
        </w:tc>
        <w:tc>
          <w:tcPr>
            <w:tcW w:w="1801" w:type="dxa"/>
            <w:tcBorders>
              <w:tl2br w:val="nil"/>
              <w:tr2bl w:val="nil"/>
            </w:tcBorders>
            <w:vAlign w:val="center"/>
          </w:tcPr>
          <w:p>
            <w:pPr>
              <w:pStyle w:val="28"/>
              <w:widowControl w:val="0"/>
              <w:rPr>
                <w:color w:val="auto"/>
                <w:highlight w:val="none"/>
              </w:rPr>
            </w:pPr>
            <w:r>
              <w:rPr>
                <w:color w:val="auto"/>
                <w:highlight w:val="none"/>
              </w:rPr>
              <w:t>0.0765</w:t>
            </w:r>
          </w:p>
        </w:tc>
        <w:tc>
          <w:tcPr>
            <w:tcW w:w="1676" w:type="dxa"/>
            <w:tcBorders>
              <w:tl2br w:val="nil"/>
              <w:tr2bl w:val="nil"/>
            </w:tcBorders>
            <w:vAlign w:val="center"/>
          </w:tcPr>
          <w:p>
            <w:pPr>
              <w:pStyle w:val="28"/>
              <w:widowControl w:val="0"/>
              <w:rPr>
                <w:color w:val="auto"/>
                <w:highlight w:val="none"/>
              </w:rPr>
            </w:pPr>
            <w:r>
              <w:rPr>
                <w:color w:val="auto"/>
                <w:highlight w:val="none"/>
              </w:rPr>
              <w:t>0.0382</w:t>
            </w:r>
          </w:p>
        </w:tc>
        <w:tc>
          <w:tcPr>
            <w:tcW w:w="1784" w:type="dxa"/>
            <w:tcBorders>
              <w:tl2br w:val="nil"/>
              <w:tr2bl w:val="nil"/>
            </w:tcBorders>
            <w:vAlign w:val="center"/>
          </w:tcPr>
          <w:p>
            <w:pPr>
              <w:pStyle w:val="28"/>
              <w:widowControl w:val="0"/>
              <w:rPr>
                <w:color w:val="auto"/>
                <w:highlight w:val="none"/>
              </w:rPr>
            </w:pPr>
            <w:r>
              <w:rPr>
                <w:color w:val="auto"/>
                <w:highlight w:val="none"/>
              </w:rPr>
              <w:t>0.0076</w:t>
            </w:r>
          </w:p>
        </w:tc>
        <w:tc>
          <w:tcPr>
            <w:tcW w:w="1658" w:type="dxa"/>
            <w:tcBorders>
              <w:tl2br w:val="nil"/>
              <w:tr2bl w:val="nil"/>
            </w:tcBorders>
            <w:vAlign w:val="center"/>
          </w:tcPr>
          <w:p>
            <w:pPr>
              <w:pStyle w:val="28"/>
              <w:widowControl w:val="0"/>
              <w:rPr>
                <w:color w:val="auto"/>
                <w:highlight w:val="none"/>
              </w:rPr>
            </w:pPr>
            <w:r>
              <w:rPr>
                <w:color w:val="auto"/>
                <w:highlight w:val="none"/>
              </w:rPr>
              <w:t>0.0765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3000.0</w:t>
            </w:r>
          </w:p>
        </w:tc>
        <w:tc>
          <w:tcPr>
            <w:tcW w:w="1801" w:type="dxa"/>
            <w:tcBorders>
              <w:tl2br w:val="nil"/>
              <w:tr2bl w:val="nil"/>
            </w:tcBorders>
            <w:vAlign w:val="center"/>
          </w:tcPr>
          <w:p>
            <w:pPr>
              <w:pStyle w:val="28"/>
              <w:widowControl w:val="0"/>
              <w:rPr>
                <w:color w:val="auto"/>
                <w:highlight w:val="none"/>
              </w:rPr>
            </w:pPr>
            <w:r>
              <w:rPr>
                <w:color w:val="auto"/>
                <w:highlight w:val="none"/>
              </w:rPr>
              <w:t>0.0607</w:t>
            </w:r>
          </w:p>
        </w:tc>
        <w:tc>
          <w:tcPr>
            <w:tcW w:w="1676" w:type="dxa"/>
            <w:tcBorders>
              <w:tl2br w:val="nil"/>
              <w:tr2bl w:val="nil"/>
            </w:tcBorders>
            <w:vAlign w:val="center"/>
          </w:tcPr>
          <w:p>
            <w:pPr>
              <w:pStyle w:val="28"/>
              <w:widowControl w:val="0"/>
              <w:rPr>
                <w:color w:val="auto"/>
                <w:highlight w:val="none"/>
              </w:rPr>
            </w:pPr>
            <w:r>
              <w:rPr>
                <w:color w:val="auto"/>
                <w:highlight w:val="none"/>
              </w:rPr>
              <w:t>0.0304</w:t>
            </w:r>
          </w:p>
        </w:tc>
        <w:tc>
          <w:tcPr>
            <w:tcW w:w="1784" w:type="dxa"/>
            <w:tcBorders>
              <w:tl2br w:val="nil"/>
              <w:tr2bl w:val="nil"/>
            </w:tcBorders>
            <w:vAlign w:val="center"/>
          </w:tcPr>
          <w:p>
            <w:pPr>
              <w:pStyle w:val="28"/>
              <w:widowControl w:val="0"/>
              <w:rPr>
                <w:color w:val="auto"/>
                <w:highlight w:val="none"/>
              </w:rPr>
            </w:pPr>
            <w:r>
              <w:rPr>
                <w:color w:val="auto"/>
                <w:highlight w:val="none"/>
              </w:rPr>
              <w:t>0.0061</w:t>
            </w:r>
          </w:p>
        </w:tc>
        <w:tc>
          <w:tcPr>
            <w:tcW w:w="1658" w:type="dxa"/>
            <w:tcBorders>
              <w:tl2br w:val="nil"/>
              <w:tr2bl w:val="nil"/>
            </w:tcBorders>
            <w:vAlign w:val="center"/>
          </w:tcPr>
          <w:p>
            <w:pPr>
              <w:pStyle w:val="28"/>
              <w:widowControl w:val="0"/>
              <w:rPr>
                <w:color w:val="auto"/>
                <w:highlight w:val="none"/>
              </w:rPr>
            </w:pPr>
            <w:r>
              <w:rPr>
                <w:color w:val="auto"/>
                <w:highlight w:val="none"/>
              </w:rPr>
              <w:t>0.0607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3500.0</w:t>
            </w:r>
          </w:p>
        </w:tc>
        <w:tc>
          <w:tcPr>
            <w:tcW w:w="1801" w:type="dxa"/>
            <w:tcBorders>
              <w:tl2br w:val="nil"/>
              <w:tr2bl w:val="nil"/>
            </w:tcBorders>
            <w:vAlign w:val="center"/>
          </w:tcPr>
          <w:p>
            <w:pPr>
              <w:pStyle w:val="28"/>
              <w:widowControl w:val="0"/>
              <w:rPr>
                <w:color w:val="auto"/>
                <w:highlight w:val="none"/>
              </w:rPr>
            </w:pPr>
            <w:r>
              <w:rPr>
                <w:color w:val="auto"/>
                <w:highlight w:val="none"/>
              </w:rPr>
              <w:t>0.0498</w:t>
            </w:r>
          </w:p>
        </w:tc>
        <w:tc>
          <w:tcPr>
            <w:tcW w:w="1676" w:type="dxa"/>
            <w:tcBorders>
              <w:tl2br w:val="nil"/>
              <w:tr2bl w:val="nil"/>
            </w:tcBorders>
            <w:vAlign w:val="center"/>
          </w:tcPr>
          <w:p>
            <w:pPr>
              <w:pStyle w:val="28"/>
              <w:widowControl w:val="0"/>
              <w:rPr>
                <w:color w:val="auto"/>
                <w:highlight w:val="none"/>
              </w:rPr>
            </w:pPr>
            <w:r>
              <w:rPr>
                <w:color w:val="auto"/>
                <w:highlight w:val="none"/>
              </w:rPr>
              <w:t>0.0249</w:t>
            </w:r>
          </w:p>
        </w:tc>
        <w:tc>
          <w:tcPr>
            <w:tcW w:w="1784" w:type="dxa"/>
            <w:tcBorders>
              <w:tl2br w:val="nil"/>
              <w:tr2bl w:val="nil"/>
            </w:tcBorders>
            <w:vAlign w:val="center"/>
          </w:tcPr>
          <w:p>
            <w:pPr>
              <w:pStyle w:val="28"/>
              <w:widowControl w:val="0"/>
              <w:rPr>
                <w:color w:val="auto"/>
                <w:highlight w:val="none"/>
              </w:rPr>
            </w:pPr>
            <w:r>
              <w:rPr>
                <w:color w:val="auto"/>
                <w:highlight w:val="none"/>
              </w:rPr>
              <w:t>0.0050</w:t>
            </w:r>
          </w:p>
        </w:tc>
        <w:tc>
          <w:tcPr>
            <w:tcW w:w="1658" w:type="dxa"/>
            <w:tcBorders>
              <w:tl2br w:val="nil"/>
              <w:tr2bl w:val="nil"/>
            </w:tcBorders>
            <w:vAlign w:val="center"/>
          </w:tcPr>
          <w:p>
            <w:pPr>
              <w:pStyle w:val="28"/>
              <w:widowControl w:val="0"/>
              <w:rPr>
                <w:color w:val="auto"/>
                <w:highlight w:val="none"/>
              </w:rPr>
            </w:pPr>
            <w:r>
              <w:rPr>
                <w:color w:val="auto"/>
                <w:highlight w:val="none"/>
              </w:rPr>
              <w:t>0.0498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4000.0</w:t>
            </w:r>
          </w:p>
        </w:tc>
        <w:tc>
          <w:tcPr>
            <w:tcW w:w="1801" w:type="dxa"/>
            <w:tcBorders>
              <w:tl2br w:val="nil"/>
              <w:tr2bl w:val="nil"/>
            </w:tcBorders>
            <w:vAlign w:val="center"/>
          </w:tcPr>
          <w:p>
            <w:pPr>
              <w:pStyle w:val="28"/>
              <w:widowControl w:val="0"/>
              <w:rPr>
                <w:color w:val="auto"/>
                <w:highlight w:val="none"/>
              </w:rPr>
            </w:pPr>
            <w:r>
              <w:rPr>
                <w:color w:val="auto"/>
                <w:highlight w:val="none"/>
              </w:rPr>
              <w:t>0.0420</w:t>
            </w:r>
          </w:p>
        </w:tc>
        <w:tc>
          <w:tcPr>
            <w:tcW w:w="1676" w:type="dxa"/>
            <w:tcBorders>
              <w:tl2br w:val="nil"/>
              <w:tr2bl w:val="nil"/>
            </w:tcBorders>
            <w:vAlign w:val="center"/>
          </w:tcPr>
          <w:p>
            <w:pPr>
              <w:pStyle w:val="28"/>
              <w:widowControl w:val="0"/>
              <w:rPr>
                <w:color w:val="auto"/>
                <w:highlight w:val="none"/>
              </w:rPr>
            </w:pPr>
            <w:r>
              <w:rPr>
                <w:color w:val="auto"/>
                <w:highlight w:val="none"/>
              </w:rPr>
              <w:t>0.0210</w:t>
            </w:r>
          </w:p>
        </w:tc>
        <w:tc>
          <w:tcPr>
            <w:tcW w:w="1784" w:type="dxa"/>
            <w:tcBorders>
              <w:tl2br w:val="nil"/>
              <w:tr2bl w:val="nil"/>
            </w:tcBorders>
            <w:vAlign w:val="center"/>
          </w:tcPr>
          <w:p>
            <w:pPr>
              <w:pStyle w:val="28"/>
              <w:widowControl w:val="0"/>
              <w:rPr>
                <w:color w:val="auto"/>
                <w:highlight w:val="none"/>
              </w:rPr>
            </w:pPr>
            <w:r>
              <w:rPr>
                <w:color w:val="auto"/>
                <w:highlight w:val="none"/>
              </w:rPr>
              <w:t>0.0042</w:t>
            </w:r>
          </w:p>
        </w:tc>
        <w:tc>
          <w:tcPr>
            <w:tcW w:w="1658" w:type="dxa"/>
            <w:tcBorders>
              <w:tl2br w:val="nil"/>
              <w:tr2bl w:val="nil"/>
            </w:tcBorders>
            <w:vAlign w:val="center"/>
          </w:tcPr>
          <w:p>
            <w:pPr>
              <w:pStyle w:val="28"/>
              <w:widowControl w:val="0"/>
              <w:rPr>
                <w:color w:val="auto"/>
                <w:highlight w:val="none"/>
              </w:rPr>
            </w:pPr>
            <w:r>
              <w:rPr>
                <w:color w:val="auto"/>
                <w:highlight w:val="none"/>
              </w:rPr>
              <w:t>0.0420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4500.0</w:t>
            </w:r>
          </w:p>
        </w:tc>
        <w:tc>
          <w:tcPr>
            <w:tcW w:w="1801" w:type="dxa"/>
            <w:tcBorders>
              <w:tl2br w:val="nil"/>
              <w:tr2bl w:val="nil"/>
            </w:tcBorders>
            <w:vAlign w:val="center"/>
          </w:tcPr>
          <w:p>
            <w:pPr>
              <w:pStyle w:val="28"/>
              <w:widowControl w:val="0"/>
              <w:rPr>
                <w:color w:val="auto"/>
                <w:highlight w:val="none"/>
              </w:rPr>
            </w:pPr>
            <w:r>
              <w:rPr>
                <w:color w:val="auto"/>
                <w:highlight w:val="none"/>
              </w:rPr>
              <w:t>0.0360</w:t>
            </w:r>
          </w:p>
        </w:tc>
        <w:tc>
          <w:tcPr>
            <w:tcW w:w="1676" w:type="dxa"/>
            <w:tcBorders>
              <w:tl2br w:val="nil"/>
              <w:tr2bl w:val="nil"/>
            </w:tcBorders>
            <w:vAlign w:val="center"/>
          </w:tcPr>
          <w:p>
            <w:pPr>
              <w:pStyle w:val="28"/>
              <w:widowControl w:val="0"/>
              <w:rPr>
                <w:color w:val="auto"/>
                <w:highlight w:val="none"/>
              </w:rPr>
            </w:pPr>
            <w:r>
              <w:rPr>
                <w:color w:val="auto"/>
                <w:highlight w:val="none"/>
              </w:rPr>
              <w:t>0.0180</w:t>
            </w:r>
          </w:p>
        </w:tc>
        <w:tc>
          <w:tcPr>
            <w:tcW w:w="1784" w:type="dxa"/>
            <w:tcBorders>
              <w:tl2br w:val="nil"/>
              <w:tr2bl w:val="nil"/>
            </w:tcBorders>
            <w:vAlign w:val="center"/>
          </w:tcPr>
          <w:p>
            <w:pPr>
              <w:pStyle w:val="28"/>
              <w:widowControl w:val="0"/>
              <w:rPr>
                <w:color w:val="auto"/>
                <w:highlight w:val="none"/>
              </w:rPr>
            </w:pPr>
            <w:r>
              <w:rPr>
                <w:color w:val="auto"/>
                <w:highlight w:val="none"/>
              </w:rPr>
              <w:t>0.0036</w:t>
            </w:r>
          </w:p>
        </w:tc>
        <w:tc>
          <w:tcPr>
            <w:tcW w:w="1658" w:type="dxa"/>
            <w:tcBorders>
              <w:tl2br w:val="nil"/>
              <w:tr2bl w:val="nil"/>
            </w:tcBorders>
            <w:vAlign w:val="center"/>
          </w:tcPr>
          <w:p>
            <w:pPr>
              <w:pStyle w:val="28"/>
              <w:widowControl w:val="0"/>
              <w:rPr>
                <w:color w:val="auto"/>
                <w:highlight w:val="none"/>
              </w:rPr>
            </w:pPr>
            <w:r>
              <w:rPr>
                <w:color w:val="auto"/>
                <w:highlight w:val="none"/>
              </w:rPr>
              <w:t>0.0360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5000.0</w:t>
            </w:r>
          </w:p>
        </w:tc>
        <w:tc>
          <w:tcPr>
            <w:tcW w:w="1801" w:type="dxa"/>
            <w:tcBorders>
              <w:tl2br w:val="nil"/>
              <w:tr2bl w:val="nil"/>
            </w:tcBorders>
            <w:vAlign w:val="center"/>
          </w:tcPr>
          <w:p>
            <w:pPr>
              <w:pStyle w:val="28"/>
              <w:widowControl w:val="0"/>
              <w:rPr>
                <w:color w:val="auto"/>
                <w:highlight w:val="none"/>
              </w:rPr>
            </w:pPr>
            <w:r>
              <w:rPr>
                <w:color w:val="auto"/>
                <w:highlight w:val="none"/>
              </w:rPr>
              <w:t>0.0314</w:t>
            </w:r>
          </w:p>
        </w:tc>
        <w:tc>
          <w:tcPr>
            <w:tcW w:w="1676" w:type="dxa"/>
            <w:tcBorders>
              <w:tl2br w:val="nil"/>
              <w:tr2bl w:val="nil"/>
            </w:tcBorders>
            <w:vAlign w:val="center"/>
          </w:tcPr>
          <w:p>
            <w:pPr>
              <w:pStyle w:val="28"/>
              <w:widowControl w:val="0"/>
              <w:rPr>
                <w:color w:val="auto"/>
                <w:highlight w:val="none"/>
              </w:rPr>
            </w:pPr>
            <w:r>
              <w:rPr>
                <w:color w:val="auto"/>
                <w:highlight w:val="none"/>
              </w:rPr>
              <w:t>0.0157</w:t>
            </w:r>
          </w:p>
        </w:tc>
        <w:tc>
          <w:tcPr>
            <w:tcW w:w="1784" w:type="dxa"/>
            <w:tcBorders>
              <w:tl2br w:val="nil"/>
              <w:tr2bl w:val="nil"/>
            </w:tcBorders>
            <w:vAlign w:val="center"/>
          </w:tcPr>
          <w:p>
            <w:pPr>
              <w:pStyle w:val="28"/>
              <w:widowControl w:val="0"/>
              <w:rPr>
                <w:color w:val="auto"/>
                <w:highlight w:val="none"/>
              </w:rPr>
            </w:pPr>
            <w:r>
              <w:rPr>
                <w:color w:val="auto"/>
                <w:highlight w:val="none"/>
              </w:rPr>
              <w:t>0.0031</w:t>
            </w:r>
          </w:p>
        </w:tc>
        <w:tc>
          <w:tcPr>
            <w:tcW w:w="1658" w:type="dxa"/>
            <w:tcBorders>
              <w:tl2br w:val="nil"/>
              <w:tr2bl w:val="nil"/>
            </w:tcBorders>
            <w:vAlign w:val="center"/>
          </w:tcPr>
          <w:p>
            <w:pPr>
              <w:pStyle w:val="28"/>
              <w:widowControl w:val="0"/>
              <w:rPr>
                <w:color w:val="auto"/>
                <w:highlight w:val="none"/>
              </w:rPr>
            </w:pPr>
            <w:r>
              <w:rPr>
                <w:color w:val="auto"/>
                <w:highlight w:val="none"/>
              </w:rPr>
              <w:t>0.0314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10000.0</w:t>
            </w:r>
          </w:p>
        </w:tc>
        <w:tc>
          <w:tcPr>
            <w:tcW w:w="1801" w:type="dxa"/>
            <w:tcBorders>
              <w:tl2br w:val="nil"/>
              <w:tr2bl w:val="nil"/>
            </w:tcBorders>
            <w:vAlign w:val="center"/>
          </w:tcPr>
          <w:p>
            <w:pPr>
              <w:pStyle w:val="28"/>
              <w:widowControl w:val="0"/>
              <w:rPr>
                <w:color w:val="auto"/>
                <w:highlight w:val="none"/>
              </w:rPr>
            </w:pPr>
            <w:r>
              <w:rPr>
                <w:color w:val="auto"/>
                <w:highlight w:val="none"/>
              </w:rPr>
              <w:t>0.0126</w:t>
            </w:r>
          </w:p>
        </w:tc>
        <w:tc>
          <w:tcPr>
            <w:tcW w:w="1676" w:type="dxa"/>
            <w:tcBorders>
              <w:tl2br w:val="nil"/>
              <w:tr2bl w:val="nil"/>
            </w:tcBorders>
            <w:vAlign w:val="center"/>
          </w:tcPr>
          <w:p>
            <w:pPr>
              <w:pStyle w:val="28"/>
              <w:widowControl w:val="0"/>
              <w:rPr>
                <w:color w:val="auto"/>
                <w:highlight w:val="none"/>
              </w:rPr>
            </w:pPr>
            <w:r>
              <w:rPr>
                <w:color w:val="auto"/>
                <w:highlight w:val="none"/>
              </w:rPr>
              <w:t>0.0063</w:t>
            </w:r>
          </w:p>
        </w:tc>
        <w:tc>
          <w:tcPr>
            <w:tcW w:w="1784" w:type="dxa"/>
            <w:tcBorders>
              <w:tl2br w:val="nil"/>
              <w:tr2bl w:val="nil"/>
            </w:tcBorders>
            <w:vAlign w:val="center"/>
          </w:tcPr>
          <w:p>
            <w:pPr>
              <w:pStyle w:val="28"/>
              <w:widowControl w:val="0"/>
              <w:rPr>
                <w:color w:val="auto"/>
                <w:highlight w:val="none"/>
              </w:rPr>
            </w:pPr>
            <w:r>
              <w:rPr>
                <w:color w:val="auto"/>
                <w:highlight w:val="none"/>
              </w:rPr>
              <w:t>0.0013</w:t>
            </w:r>
          </w:p>
        </w:tc>
        <w:tc>
          <w:tcPr>
            <w:tcW w:w="1658" w:type="dxa"/>
            <w:tcBorders>
              <w:tl2br w:val="nil"/>
              <w:tr2bl w:val="nil"/>
            </w:tcBorders>
            <w:vAlign w:val="center"/>
          </w:tcPr>
          <w:p>
            <w:pPr>
              <w:pStyle w:val="28"/>
              <w:widowControl w:val="0"/>
              <w:rPr>
                <w:color w:val="auto"/>
                <w:highlight w:val="none"/>
              </w:rPr>
            </w:pPr>
            <w:r>
              <w:rPr>
                <w:color w:val="auto"/>
                <w:highlight w:val="none"/>
              </w:rPr>
              <w:t>0.0126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11000.0</w:t>
            </w:r>
          </w:p>
        </w:tc>
        <w:tc>
          <w:tcPr>
            <w:tcW w:w="1801" w:type="dxa"/>
            <w:tcBorders>
              <w:tl2br w:val="nil"/>
              <w:tr2bl w:val="nil"/>
            </w:tcBorders>
            <w:vAlign w:val="center"/>
          </w:tcPr>
          <w:p>
            <w:pPr>
              <w:pStyle w:val="28"/>
              <w:widowControl w:val="0"/>
              <w:rPr>
                <w:color w:val="auto"/>
                <w:highlight w:val="none"/>
              </w:rPr>
            </w:pPr>
            <w:r>
              <w:rPr>
                <w:color w:val="auto"/>
                <w:highlight w:val="none"/>
              </w:rPr>
              <w:t>0.0111</w:t>
            </w:r>
          </w:p>
        </w:tc>
        <w:tc>
          <w:tcPr>
            <w:tcW w:w="1676" w:type="dxa"/>
            <w:tcBorders>
              <w:tl2br w:val="nil"/>
              <w:tr2bl w:val="nil"/>
            </w:tcBorders>
            <w:vAlign w:val="center"/>
          </w:tcPr>
          <w:p>
            <w:pPr>
              <w:pStyle w:val="28"/>
              <w:widowControl w:val="0"/>
              <w:rPr>
                <w:color w:val="auto"/>
                <w:highlight w:val="none"/>
              </w:rPr>
            </w:pPr>
            <w:r>
              <w:rPr>
                <w:color w:val="auto"/>
                <w:highlight w:val="none"/>
              </w:rPr>
              <w:t>0.0056</w:t>
            </w:r>
          </w:p>
        </w:tc>
        <w:tc>
          <w:tcPr>
            <w:tcW w:w="1784" w:type="dxa"/>
            <w:tcBorders>
              <w:tl2br w:val="nil"/>
              <w:tr2bl w:val="nil"/>
            </w:tcBorders>
            <w:vAlign w:val="center"/>
          </w:tcPr>
          <w:p>
            <w:pPr>
              <w:pStyle w:val="28"/>
              <w:widowControl w:val="0"/>
              <w:rPr>
                <w:color w:val="auto"/>
                <w:highlight w:val="none"/>
              </w:rPr>
            </w:pPr>
            <w:r>
              <w:rPr>
                <w:color w:val="auto"/>
                <w:highlight w:val="none"/>
              </w:rPr>
              <w:t>0.0011</w:t>
            </w:r>
          </w:p>
        </w:tc>
        <w:tc>
          <w:tcPr>
            <w:tcW w:w="1658" w:type="dxa"/>
            <w:tcBorders>
              <w:tl2br w:val="nil"/>
              <w:tr2bl w:val="nil"/>
            </w:tcBorders>
            <w:vAlign w:val="center"/>
          </w:tcPr>
          <w:p>
            <w:pPr>
              <w:pStyle w:val="28"/>
              <w:widowControl w:val="0"/>
              <w:rPr>
                <w:color w:val="auto"/>
                <w:highlight w:val="none"/>
              </w:rPr>
            </w:pPr>
            <w:r>
              <w:rPr>
                <w:color w:val="auto"/>
                <w:highlight w:val="none"/>
              </w:rPr>
              <w:t>0.0111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12000.0</w:t>
            </w:r>
          </w:p>
        </w:tc>
        <w:tc>
          <w:tcPr>
            <w:tcW w:w="1801" w:type="dxa"/>
            <w:tcBorders>
              <w:tl2br w:val="nil"/>
              <w:tr2bl w:val="nil"/>
            </w:tcBorders>
            <w:vAlign w:val="center"/>
          </w:tcPr>
          <w:p>
            <w:pPr>
              <w:pStyle w:val="28"/>
              <w:widowControl w:val="0"/>
              <w:rPr>
                <w:color w:val="auto"/>
                <w:highlight w:val="none"/>
              </w:rPr>
            </w:pPr>
            <w:r>
              <w:rPr>
                <w:color w:val="auto"/>
                <w:highlight w:val="none"/>
              </w:rPr>
              <w:t>0.0099</w:t>
            </w:r>
          </w:p>
        </w:tc>
        <w:tc>
          <w:tcPr>
            <w:tcW w:w="1676" w:type="dxa"/>
            <w:tcBorders>
              <w:tl2br w:val="nil"/>
              <w:tr2bl w:val="nil"/>
            </w:tcBorders>
            <w:vAlign w:val="center"/>
          </w:tcPr>
          <w:p>
            <w:pPr>
              <w:pStyle w:val="28"/>
              <w:widowControl w:val="0"/>
              <w:rPr>
                <w:color w:val="auto"/>
                <w:highlight w:val="none"/>
              </w:rPr>
            </w:pPr>
            <w:r>
              <w:rPr>
                <w:color w:val="auto"/>
                <w:highlight w:val="none"/>
              </w:rPr>
              <w:t>0.0050</w:t>
            </w:r>
          </w:p>
        </w:tc>
        <w:tc>
          <w:tcPr>
            <w:tcW w:w="1784" w:type="dxa"/>
            <w:tcBorders>
              <w:tl2br w:val="nil"/>
              <w:tr2bl w:val="nil"/>
            </w:tcBorders>
            <w:vAlign w:val="center"/>
          </w:tcPr>
          <w:p>
            <w:pPr>
              <w:pStyle w:val="28"/>
              <w:widowControl w:val="0"/>
              <w:rPr>
                <w:color w:val="auto"/>
                <w:highlight w:val="none"/>
              </w:rPr>
            </w:pPr>
            <w:r>
              <w:rPr>
                <w:color w:val="auto"/>
                <w:highlight w:val="none"/>
              </w:rPr>
              <w:t>0.0010</w:t>
            </w:r>
          </w:p>
        </w:tc>
        <w:tc>
          <w:tcPr>
            <w:tcW w:w="1658" w:type="dxa"/>
            <w:tcBorders>
              <w:tl2br w:val="nil"/>
              <w:tr2bl w:val="nil"/>
            </w:tcBorders>
            <w:vAlign w:val="center"/>
          </w:tcPr>
          <w:p>
            <w:pPr>
              <w:pStyle w:val="28"/>
              <w:widowControl w:val="0"/>
              <w:rPr>
                <w:color w:val="auto"/>
                <w:highlight w:val="none"/>
              </w:rPr>
            </w:pPr>
            <w:r>
              <w:rPr>
                <w:color w:val="auto"/>
                <w:highlight w:val="none"/>
              </w:rPr>
              <w:t>0.0099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13000.0</w:t>
            </w:r>
          </w:p>
        </w:tc>
        <w:tc>
          <w:tcPr>
            <w:tcW w:w="1801" w:type="dxa"/>
            <w:tcBorders>
              <w:tl2br w:val="nil"/>
              <w:tr2bl w:val="nil"/>
            </w:tcBorders>
            <w:vAlign w:val="center"/>
          </w:tcPr>
          <w:p>
            <w:pPr>
              <w:pStyle w:val="28"/>
              <w:widowControl w:val="0"/>
              <w:rPr>
                <w:color w:val="auto"/>
                <w:highlight w:val="none"/>
              </w:rPr>
            </w:pPr>
            <w:r>
              <w:rPr>
                <w:color w:val="auto"/>
                <w:highlight w:val="none"/>
              </w:rPr>
              <w:t>0.0089</w:t>
            </w:r>
          </w:p>
        </w:tc>
        <w:tc>
          <w:tcPr>
            <w:tcW w:w="1676" w:type="dxa"/>
            <w:tcBorders>
              <w:tl2br w:val="nil"/>
              <w:tr2bl w:val="nil"/>
            </w:tcBorders>
            <w:vAlign w:val="center"/>
          </w:tcPr>
          <w:p>
            <w:pPr>
              <w:pStyle w:val="28"/>
              <w:widowControl w:val="0"/>
              <w:rPr>
                <w:color w:val="auto"/>
                <w:highlight w:val="none"/>
              </w:rPr>
            </w:pPr>
            <w:r>
              <w:rPr>
                <w:color w:val="auto"/>
                <w:highlight w:val="none"/>
              </w:rPr>
              <w:t>0.0045</w:t>
            </w:r>
          </w:p>
        </w:tc>
        <w:tc>
          <w:tcPr>
            <w:tcW w:w="1784" w:type="dxa"/>
            <w:tcBorders>
              <w:tl2br w:val="nil"/>
              <w:tr2bl w:val="nil"/>
            </w:tcBorders>
            <w:vAlign w:val="center"/>
          </w:tcPr>
          <w:p>
            <w:pPr>
              <w:pStyle w:val="28"/>
              <w:widowControl w:val="0"/>
              <w:rPr>
                <w:color w:val="auto"/>
                <w:highlight w:val="none"/>
              </w:rPr>
            </w:pPr>
            <w:r>
              <w:rPr>
                <w:color w:val="auto"/>
                <w:highlight w:val="none"/>
              </w:rPr>
              <w:t>0.0009</w:t>
            </w:r>
          </w:p>
        </w:tc>
        <w:tc>
          <w:tcPr>
            <w:tcW w:w="1658" w:type="dxa"/>
            <w:tcBorders>
              <w:tl2br w:val="nil"/>
              <w:tr2bl w:val="nil"/>
            </w:tcBorders>
            <w:vAlign w:val="center"/>
          </w:tcPr>
          <w:p>
            <w:pPr>
              <w:pStyle w:val="28"/>
              <w:widowControl w:val="0"/>
              <w:rPr>
                <w:color w:val="auto"/>
                <w:highlight w:val="none"/>
              </w:rPr>
            </w:pPr>
            <w:r>
              <w:rPr>
                <w:color w:val="auto"/>
                <w:highlight w:val="none"/>
              </w:rPr>
              <w:t>0.0089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14000.0</w:t>
            </w:r>
          </w:p>
        </w:tc>
        <w:tc>
          <w:tcPr>
            <w:tcW w:w="1801" w:type="dxa"/>
            <w:tcBorders>
              <w:tl2br w:val="nil"/>
              <w:tr2bl w:val="nil"/>
            </w:tcBorders>
            <w:vAlign w:val="center"/>
          </w:tcPr>
          <w:p>
            <w:pPr>
              <w:pStyle w:val="28"/>
              <w:widowControl w:val="0"/>
              <w:rPr>
                <w:color w:val="auto"/>
                <w:highlight w:val="none"/>
              </w:rPr>
            </w:pPr>
            <w:r>
              <w:rPr>
                <w:color w:val="auto"/>
                <w:highlight w:val="none"/>
              </w:rPr>
              <w:t>0.0081</w:t>
            </w:r>
          </w:p>
        </w:tc>
        <w:tc>
          <w:tcPr>
            <w:tcW w:w="1676" w:type="dxa"/>
            <w:tcBorders>
              <w:tl2br w:val="nil"/>
              <w:tr2bl w:val="nil"/>
            </w:tcBorders>
            <w:vAlign w:val="center"/>
          </w:tcPr>
          <w:p>
            <w:pPr>
              <w:pStyle w:val="28"/>
              <w:widowControl w:val="0"/>
              <w:rPr>
                <w:color w:val="auto"/>
                <w:highlight w:val="none"/>
              </w:rPr>
            </w:pPr>
            <w:r>
              <w:rPr>
                <w:color w:val="auto"/>
                <w:highlight w:val="none"/>
              </w:rPr>
              <w:t>0.0040</w:t>
            </w:r>
          </w:p>
        </w:tc>
        <w:tc>
          <w:tcPr>
            <w:tcW w:w="1784" w:type="dxa"/>
            <w:tcBorders>
              <w:tl2br w:val="nil"/>
              <w:tr2bl w:val="nil"/>
            </w:tcBorders>
            <w:vAlign w:val="center"/>
          </w:tcPr>
          <w:p>
            <w:pPr>
              <w:pStyle w:val="28"/>
              <w:widowControl w:val="0"/>
              <w:rPr>
                <w:color w:val="auto"/>
                <w:highlight w:val="none"/>
              </w:rPr>
            </w:pPr>
            <w:r>
              <w:rPr>
                <w:color w:val="auto"/>
                <w:highlight w:val="none"/>
              </w:rPr>
              <w:t>0.0008</w:t>
            </w:r>
          </w:p>
        </w:tc>
        <w:tc>
          <w:tcPr>
            <w:tcW w:w="1658" w:type="dxa"/>
            <w:tcBorders>
              <w:tl2br w:val="nil"/>
              <w:tr2bl w:val="nil"/>
            </w:tcBorders>
            <w:vAlign w:val="center"/>
          </w:tcPr>
          <w:p>
            <w:pPr>
              <w:pStyle w:val="28"/>
              <w:widowControl w:val="0"/>
              <w:rPr>
                <w:color w:val="auto"/>
                <w:highlight w:val="none"/>
              </w:rPr>
            </w:pPr>
            <w:r>
              <w:rPr>
                <w:color w:val="auto"/>
                <w:highlight w:val="none"/>
              </w:rPr>
              <w:t>0.0081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15000.0</w:t>
            </w:r>
          </w:p>
        </w:tc>
        <w:tc>
          <w:tcPr>
            <w:tcW w:w="1801" w:type="dxa"/>
            <w:tcBorders>
              <w:tl2br w:val="nil"/>
              <w:tr2bl w:val="nil"/>
            </w:tcBorders>
            <w:vAlign w:val="center"/>
          </w:tcPr>
          <w:p>
            <w:pPr>
              <w:pStyle w:val="28"/>
              <w:widowControl w:val="0"/>
              <w:rPr>
                <w:color w:val="auto"/>
                <w:highlight w:val="none"/>
              </w:rPr>
            </w:pPr>
            <w:r>
              <w:rPr>
                <w:color w:val="auto"/>
                <w:highlight w:val="none"/>
              </w:rPr>
              <w:t>0.0074</w:t>
            </w:r>
          </w:p>
        </w:tc>
        <w:tc>
          <w:tcPr>
            <w:tcW w:w="1676" w:type="dxa"/>
            <w:tcBorders>
              <w:tl2br w:val="nil"/>
              <w:tr2bl w:val="nil"/>
            </w:tcBorders>
            <w:vAlign w:val="center"/>
          </w:tcPr>
          <w:p>
            <w:pPr>
              <w:pStyle w:val="28"/>
              <w:widowControl w:val="0"/>
              <w:rPr>
                <w:color w:val="auto"/>
                <w:highlight w:val="none"/>
              </w:rPr>
            </w:pPr>
            <w:r>
              <w:rPr>
                <w:color w:val="auto"/>
                <w:highlight w:val="none"/>
              </w:rPr>
              <w:t>0.0037</w:t>
            </w:r>
          </w:p>
        </w:tc>
        <w:tc>
          <w:tcPr>
            <w:tcW w:w="1784" w:type="dxa"/>
            <w:tcBorders>
              <w:tl2br w:val="nil"/>
              <w:tr2bl w:val="nil"/>
            </w:tcBorders>
            <w:vAlign w:val="center"/>
          </w:tcPr>
          <w:p>
            <w:pPr>
              <w:pStyle w:val="28"/>
              <w:widowControl w:val="0"/>
              <w:rPr>
                <w:color w:val="auto"/>
                <w:highlight w:val="none"/>
              </w:rPr>
            </w:pPr>
            <w:r>
              <w:rPr>
                <w:color w:val="auto"/>
                <w:highlight w:val="none"/>
              </w:rPr>
              <w:t>0.0007</w:t>
            </w:r>
          </w:p>
        </w:tc>
        <w:tc>
          <w:tcPr>
            <w:tcW w:w="1658" w:type="dxa"/>
            <w:tcBorders>
              <w:tl2br w:val="nil"/>
              <w:tr2bl w:val="nil"/>
            </w:tcBorders>
            <w:vAlign w:val="center"/>
          </w:tcPr>
          <w:p>
            <w:pPr>
              <w:pStyle w:val="28"/>
              <w:widowControl w:val="0"/>
              <w:rPr>
                <w:color w:val="auto"/>
                <w:highlight w:val="none"/>
              </w:rPr>
            </w:pPr>
            <w:r>
              <w:rPr>
                <w:color w:val="auto"/>
                <w:highlight w:val="none"/>
              </w:rPr>
              <w:t>0.0074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20000.0</w:t>
            </w:r>
          </w:p>
        </w:tc>
        <w:tc>
          <w:tcPr>
            <w:tcW w:w="1801" w:type="dxa"/>
            <w:tcBorders>
              <w:tl2br w:val="nil"/>
              <w:tr2bl w:val="nil"/>
            </w:tcBorders>
            <w:vAlign w:val="center"/>
          </w:tcPr>
          <w:p>
            <w:pPr>
              <w:pStyle w:val="28"/>
              <w:widowControl w:val="0"/>
              <w:rPr>
                <w:color w:val="auto"/>
                <w:highlight w:val="none"/>
              </w:rPr>
            </w:pPr>
            <w:r>
              <w:rPr>
                <w:color w:val="auto"/>
                <w:highlight w:val="none"/>
              </w:rPr>
              <w:t>0.0050</w:t>
            </w:r>
          </w:p>
        </w:tc>
        <w:tc>
          <w:tcPr>
            <w:tcW w:w="1676" w:type="dxa"/>
            <w:tcBorders>
              <w:tl2br w:val="nil"/>
              <w:tr2bl w:val="nil"/>
            </w:tcBorders>
            <w:vAlign w:val="center"/>
          </w:tcPr>
          <w:p>
            <w:pPr>
              <w:pStyle w:val="28"/>
              <w:widowControl w:val="0"/>
              <w:rPr>
                <w:color w:val="auto"/>
                <w:highlight w:val="none"/>
              </w:rPr>
            </w:pPr>
            <w:r>
              <w:rPr>
                <w:color w:val="auto"/>
                <w:highlight w:val="none"/>
              </w:rPr>
              <w:t>0.0025</w:t>
            </w:r>
          </w:p>
        </w:tc>
        <w:tc>
          <w:tcPr>
            <w:tcW w:w="1784" w:type="dxa"/>
            <w:tcBorders>
              <w:tl2br w:val="nil"/>
              <w:tr2bl w:val="nil"/>
            </w:tcBorders>
            <w:vAlign w:val="center"/>
          </w:tcPr>
          <w:p>
            <w:pPr>
              <w:pStyle w:val="28"/>
              <w:widowControl w:val="0"/>
              <w:rPr>
                <w:color w:val="auto"/>
                <w:highlight w:val="none"/>
              </w:rPr>
            </w:pPr>
            <w:r>
              <w:rPr>
                <w:color w:val="auto"/>
                <w:highlight w:val="none"/>
              </w:rPr>
              <w:t>0.0005</w:t>
            </w:r>
          </w:p>
        </w:tc>
        <w:tc>
          <w:tcPr>
            <w:tcW w:w="1658" w:type="dxa"/>
            <w:tcBorders>
              <w:tl2br w:val="nil"/>
              <w:tr2bl w:val="nil"/>
            </w:tcBorders>
            <w:vAlign w:val="center"/>
          </w:tcPr>
          <w:p>
            <w:pPr>
              <w:pStyle w:val="28"/>
              <w:widowControl w:val="0"/>
              <w:rPr>
                <w:color w:val="auto"/>
                <w:highlight w:val="none"/>
              </w:rPr>
            </w:pPr>
            <w:r>
              <w:rPr>
                <w:color w:val="auto"/>
                <w:highlight w:val="none"/>
              </w:rPr>
              <w:t>0.0050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25000.0</w:t>
            </w:r>
          </w:p>
        </w:tc>
        <w:tc>
          <w:tcPr>
            <w:tcW w:w="1801" w:type="dxa"/>
            <w:tcBorders>
              <w:tl2br w:val="nil"/>
              <w:tr2bl w:val="nil"/>
            </w:tcBorders>
            <w:vAlign w:val="center"/>
          </w:tcPr>
          <w:p>
            <w:pPr>
              <w:pStyle w:val="28"/>
              <w:widowControl w:val="0"/>
              <w:rPr>
                <w:color w:val="auto"/>
                <w:highlight w:val="none"/>
              </w:rPr>
            </w:pPr>
            <w:r>
              <w:rPr>
                <w:color w:val="auto"/>
                <w:highlight w:val="none"/>
              </w:rPr>
              <w:t>0.0037</w:t>
            </w:r>
          </w:p>
        </w:tc>
        <w:tc>
          <w:tcPr>
            <w:tcW w:w="1676" w:type="dxa"/>
            <w:tcBorders>
              <w:tl2br w:val="nil"/>
              <w:tr2bl w:val="nil"/>
            </w:tcBorders>
            <w:vAlign w:val="center"/>
          </w:tcPr>
          <w:p>
            <w:pPr>
              <w:pStyle w:val="28"/>
              <w:widowControl w:val="0"/>
              <w:rPr>
                <w:color w:val="auto"/>
                <w:highlight w:val="none"/>
              </w:rPr>
            </w:pPr>
            <w:r>
              <w:rPr>
                <w:color w:val="auto"/>
                <w:highlight w:val="none"/>
              </w:rPr>
              <w:t>0.0019</w:t>
            </w:r>
          </w:p>
        </w:tc>
        <w:tc>
          <w:tcPr>
            <w:tcW w:w="1784" w:type="dxa"/>
            <w:tcBorders>
              <w:tl2br w:val="nil"/>
              <w:tr2bl w:val="nil"/>
            </w:tcBorders>
            <w:vAlign w:val="center"/>
          </w:tcPr>
          <w:p>
            <w:pPr>
              <w:pStyle w:val="28"/>
              <w:widowControl w:val="0"/>
              <w:rPr>
                <w:color w:val="auto"/>
                <w:highlight w:val="none"/>
              </w:rPr>
            </w:pPr>
            <w:r>
              <w:rPr>
                <w:color w:val="auto"/>
                <w:highlight w:val="none"/>
              </w:rPr>
              <w:t>0.0004</w:t>
            </w:r>
          </w:p>
        </w:tc>
        <w:tc>
          <w:tcPr>
            <w:tcW w:w="1658" w:type="dxa"/>
            <w:tcBorders>
              <w:tl2br w:val="nil"/>
              <w:tr2bl w:val="nil"/>
            </w:tcBorders>
            <w:vAlign w:val="center"/>
          </w:tcPr>
          <w:p>
            <w:pPr>
              <w:pStyle w:val="28"/>
              <w:widowControl w:val="0"/>
              <w:rPr>
                <w:color w:val="auto"/>
                <w:highlight w:val="none"/>
              </w:rPr>
            </w:pPr>
            <w:r>
              <w:rPr>
                <w:color w:val="auto"/>
                <w:highlight w:val="none"/>
              </w:rPr>
              <w:t>0.0037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w:t>
            </w:r>
          </w:p>
        </w:tc>
        <w:tc>
          <w:tcPr>
            <w:tcW w:w="1801" w:type="dxa"/>
            <w:tcBorders>
              <w:tl2br w:val="nil"/>
              <w:tr2bl w:val="nil"/>
            </w:tcBorders>
            <w:vAlign w:val="center"/>
          </w:tcPr>
          <w:p>
            <w:pPr>
              <w:pStyle w:val="28"/>
              <w:widowControl w:val="0"/>
              <w:rPr>
                <w:color w:val="auto"/>
                <w:highlight w:val="none"/>
              </w:rPr>
            </w:pPr>
            <w:r>
              <w:rPr>
                <w:color w:val="auto"/>
                <w:highlight w:val="none"/>
              </w:rPr>
              <w:t>1.4444</w:t>
            </w:r>
          </w:p>
        </w:tc>
        <w:tc>
          <w:tcPr>
            <w:tcW w:w="1676" w:type="dxa"/>
            <w:tcBorders>
              <w:tl2br w:val="nil"/>
              <w:tr2bl w:val="nil"/>
            </w:tcBorders>
            <w:vAlign w:val="center"/>
          </w:tcPr>
          <w:p>
            <w:pPr>
              <w:pStyle w:val="28"/>
              <w:widowControl w:val="0"/>
              <w:rPr>
                <w:color w:val="auto"/>
                <w:highlight w:val="none"/>
              </w:rPr>
            </w:pPr>
            <w:r>
              <w:rPr>
                <w:color w:val="auto"/>
                <w:highlight w:val="none"/>
              </w:rPr>
              <w:t>0.7222</w:t>
            </w:r>
          </w:p>
        </w:tc>
        <w:tc>
          <w:tcPr>
            <w:tcW w:w="1784" w:type="dxa"/>
            <w:tcBorders>
              <w:tl2br w:val="nil"/>
              <w:tr2bl w:val="nil"/>
            </w:tcBorders>
            <w:vAlign w:val="center"/>
          </w:tcPr>
          <w:p>
            <w:pPr>
              <w:pStyle w:val="28"/>
              <w:widowControl w:val="0"/>
              <w:rPr>
                <w:color w:val="auto"/>
                <w:highlight w:val="none"/>
              </w:rPr>
            </w:pPr>
            <w:r>
              <w:rPr>
                <w:color w:val="auto"/>
                <w:highlight w:val="none"/>
              </w:rPr>
              <w:t>0.1444</w:t>
            </w:r>
          </w:p>
        </w:tc>
        <w:tc>
          <w:tcPr>
            <w:tcW w:w="1658" w:type="dxa"/>
            <w:tcBorders>
              <w:tl2br w:val="nil"/>
              <w:tr2bl w:val="nil"/>
            </w:tcBorders>
            <w:vAlign w:val="center"/>
          </w:tcPr>
          <w:p>
            <w:pPr>
              <w:pStyle w:val="28"/>
              <w:widowControl w:val="0"/>
              <w:rPr>
                <w:color w:val="auto"/>
                <w:highlight w:val="none"/>
              </w:rPr>
            </w:pPr>
            <w:r>
              <w:rPr>
                <w:color w:val="auto"/>
                <w:highlight w:val="none"/>
              </w:rPr>
              <w:t>1.4444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801" w:type="dxa"/>
            <w:tcBorders>
              <w:tl2br w:val="nil"/>
              <w:tr2bl w:val="nil"/>
            </w:tcBorders>
            <w:vAlign w:val="center"/>
          </w:tcPr>
          <w:p>
            <w:pPr>
              <w:pStyle w:val="28"/>
              <w:widowControl w:val="0"/>
              <w:rPr>
                <w:color w:val="auto"/>
                <w:highlight w:val="none"/>
              </w:rPr>
            </w:pPr>
            <w:r>
              <w:rPr>
                <w:color w:val="auto"/>
                <w:highlight w:val="none"/>
              </w:rPr>
              <w:t>64.0</w:t>
            </w:r>
          </w:p>
        </w:tc>
        <w:tc>
          <w:tcPr>
            <w:tcW w:w="1676" w:type="dxa"/>
            <w:tcBorders>
              <w:tl2br w:val="nil"/>
              <w:tr2bl w:val="nil"/>
            </w:tcBorders>
            <w:vAlign w:val="center"/>
          </w:tcPr>
          <w:p>
            <w:pPr>
              <w:pStyle w:val="28"/>
              <w:widowControl w:val="0"/>
              <w:rPr>
                <w:color w:val="auto"/>
                <w:highlight w:val="none"/>
              </w:rPr>
            </w:pPr>
            <w:r>
              <w:rPr>
                <w:color w:val="auto"/>
                <w:highlight w:val="none"/>
              </w:rPr>
              <w:t>64.0</w:t>
            </w:r>
          </w:p>
        </w:tc>
        <w:tc>
          <w:tcPr>
            <w:tcW w:w="1784" w:type="dxa"/>
            <w:tcBorders>
              <w:tl2br w:val="nil"/>
              <w:tr2bl w:val="nil"/>
            </w:tcBorders>
            <w:vAlign w:val="center"/>
          </w:tcPr>
          <w:p>
            <w:pPr>
              <w:pStyle w:val="28"/>
              <w:widowControl w:val="0"/>
              <w:rPr>
                <w:color w:val="auto"/>
                <w:highlight w:val="none"/>
              </w:rPr>
            </w:pPr>
            <w:r>
              <w:rPr>
                <w:color w:val="auto"/>
                <w:highlight w:val="none"/>
              </w:rPr>
              <w:t>64.0</w:t>
            </w:r>
          </w:p>
        </w:tc>
        <w:tc>
          <w:tcPr>
            <w:tcW w:w="1658" w:type="dxa"/>
            <w:tcBorders>
              <w:tl2br w:val="nil"/>
              <w:tr2bl w:val="nil"/>
            </w:tcBorders>
            <w:vAlign w:val="center"/>
          </w:tcPr>
          <w:p>
            <w:pPr>
              <w:pStyle w:val="28"/>
              <w:widowControl w:val="0"/>
              <w:rPr>
                <w:color w:val="auto"/>
                <w:highlight w:val="none"/>
              </w:rPr>
            </w:pPr>
            <w:r>
              <w:rPr>
                <w:color w:val="auto"/>
                <w:highlight w:val="none"/>
              </w:rPr>
              <w:t>64.0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D10%最远距离</w:t>
            </w:r>
          </w:p>
        </w:tc>
        <w:tc>
          <w:tcPr>
            <w:tcW w:w="1801" w:type="dxa"/>
            <w:tcBorders>
              <w:tl2br w:val="nil"/>
              <w:tr2bl w:val="nil"/>
            </w:tcBorders>
            <w:vAlign w:val="center"/>
          </w:tcPr>
          <w:p>
            <w:pPr>
              <w:pStyle w:val="28"/>
              <w:widowControl w:val="0"/>
              <w:rPr>
                <w:color w:val="auto"/>
                <w:highlight w:val="none"/>
              </w:rPr>
            </w:pPr>
            <w:r>
              <w:rPr>
                <w:color w:val="auto"/>
                <w:highlight w:val="none"/>
              </w:rPr>
              <w:t>/</w:t>
            </w:r>
          </w:p>
        </w:tc>
        <w:tc>
          <w:tcPr>
            <w:tcW w:w="1676" w:type="dxa"/>
            <w:tcBorders>
              <w:tl2br w:val="nil"/>
              <w:tr2bl w:val="nil"/>
            </w:tcBorders>
            <w:vAlign w:val="center"/>
          </w:tcPr>
          <w:p>
            <w:pPr>
              <w:pStyle w:val="28"/>
              <w:widowControl w:val="0"/>
              <w:rPr>
                <w:color w:val="auto"/>
                <w:highlight w:val="none"/>
              </w:rPr>
            </w:pPr>
            <w:r>
              <w:rPr>
                <w:color w:val="auto"/>
                <w:highlight w:val="none"/>
              </w:rPr>
              <w:t>/</w:t>
            </w:r>
          </w:p>
        </w:tc>
        <w:tc>
          <w:tcPr>
            <w:tcW w:w="1784" w:type="dxa"/>
            <w:tcBorders>
              <w:tl2br w:val="nil"/>
              <w:tr2bl w:val="nil"/>
            </w:tcBorders>
            <w:vAlign w:val="center"/>
          </w:tcPr>
          <w:p>
            <w:pPr>
              <w:pStyle w:val="28"/>
              <w:widowControl w:val="0"/>
              <w:rPr>
                <w:color w:val="auto"/>
                <w:highlight w:val="none"/>
              </w:rPr>
            </w:pPr>
            <w:r>
              <w:rPr>
                <w:color w:val="auto"/>
                <w:highlight w:val="none"/>
              </w:rPr>
              <w:t>/</w:t>
            </w:r>
          </w:p>
        </w:tc>
        <w:tc>
          <w:tcPr>
            <w:tcW w:w="1658" w:type="dxa"/>
            <w:tcBorders>
              <w:tl2br w:val="nil"/>
              <w:tr2bl w:val="nil"/>
            </w:tcBorders>
            <w:vAlign w:val="center"/>
          </w:tcPr>
          <w:p>
            <w:pPr>
              <w:pStyle w:val="28"/>
              <w:widowControl w:val="0"/>
              <w:rPr>
                <w:color w:val="auto"/>
                <w:highlight w:val="none"/>
              </w:rPr>
            </w:pPr>
            <w:r>
              <w:rPr>
                <w:color w:val="auto"/>
                <w:highlight w:val="none"/>
              </w:rPr>
              <w:t>/</w:t>
            </w:r>
          </w:p>
        </w:tc>
      </w:tr>
    </w:tbl>
    <w:p>
      <w:pPr>
        <w:pStyle w:val="27"/>
        <w:widowControl w:val="0"/>
        <w:rPr>
          <w:color w:val="auto"/>
          <w:highlight w:val="none"/>
        </w:rPr>
      </w:pPr>
      <w:r>
        <w:rPr>
          <w:rFonts w:hint="eastAsia"/>
          <w:color w:val="auto"/>
          <w:highlight w:val="none"/>
        </w:rPr>
        <w:t>恶臭无组织（生猪屠宰车间）排放预测计算结果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0" w:type="auto"/>
            <w:gridSpan w:val="4"/>
            <w:tcBorders>
              <w:tl2br w:val="nil"/>
              <w:tr2bl w:val="nil"/>
            </w:tcBorders>
            <w:vAlign w:val="center"/>
          </w:tcPr>
          <w:p>
            <w:pPr>
              <w:pStyle w:val="28"/>
              <w:widowControl w:val="0"/>
              <w:rPr>
                <w:b/>
                <w:bCs/>
                <w:color w:val="auto"/>
                <w:highlight w:val="none"/>
              </w:rPr>
            </w:pPr>
            <w:r>
              <w:rPr>
                <w:b/>
                <w:bCs/>
                <w:color w:val="auto"/>
                <w:highlight w:val="none"/>
              </w:rPr>
              <w:t>生猪屠宰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b/>
                <w:bCs/>
                <w:color w:val="auto"/>
                <w:highlight w:val="none"/>
              </w:rPr>
            </w:pP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占标率(%)</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w:t>
            </w:r>
          </w:p>
        </w:tc>
        <w:tc>
          <w:tcPr>
            <w:tcW w:w="1801" w:type="dxa"/>
            <w:tcBorders>
              <w:tl2br w:val="nil"/>
              <w:tr2bl w:val="nil"/>
            </w:tcBorders>
            <w:vAlign w:val="center"/>
          </w:tcPr>
          <w:p>
            <w:pPr>
              <w:pStyle w:val="28"/>
              <w:widowControl w:val="0"/>
              <w:rPr>
                <w:color w:val="auto"/>
                <w:highlight w:val="none"/>
              </w:rPr>
            </w:pPr>
            <w:r>
              <w:rPr>
                <w:color w:val="auto"/>
                <w:highlight w:val="none"/>
              </w:rPr>
              <w:t>0.0574</w:t>
            </w:r>
          </w:p>
        </w:tc>
        <w:tc>
          <w:tcPr>
            <w:tcW w:w="1676" w:type="dxa"/>
            <w:tcBorders>
              <w:tl2br w:val="nil"/>
              <w:tr2bl w:val="nil"/>
            </w:tcBorders>
            <w:vAlign w:val="center"/>
          </w:tcPr>
          <w:p>
            <w:pPr>
              <w:pStyle w:val="28"/>
              <w:widowControl w:val="0"/>
              <w:rPr>
                <w:color w:val="auto"/>
                <w:highlight w:val="none"/>
              </w:rPr>
            </w:pPr>
            <w:r>
              <w:rPr>
                <w:color w:val="auto"/>
                <w:highlight w:val="none"/>
              </w:rPr>
              <w:t>0.0287</w:t>
            </w:r>
          </w:p>
        </w:tc>
        <w:tc>
          <w:tcPr>
            <w:tcW w:w="1784" w:type="dxa"/>
            <w:tcBorders>
              <w:tl2br w:val="nil"/>
              <w:tr2bl w:val="nil"/>
            </w:tcBorders>
            <w:vAlign w:val="center"/>
          </w:tcPr>
          <w:p>
            <w:pPr>
              <w:pStyle w:val="28"/>
              <w:widowControl w:val="0"/>
              <w:rPr>
                <w:color w:val="auto"/>
                <w:highlight w:val="none"/>
              </w:rPr>
            </w:pPr>
            <w:r>
              <w:rPr>
                <w:color w:val="auto"/>
                <w:highlight w:val="none"/>
              </w:rPr>
              <w:t>0.0011</w:t>
            </w:r>
          </w:p>
        </w:tc>
        <w:tc>
          <w:tcPr>
            <w:tcW w:w="1658" w:type="dxa"/>
            <w:tcBorders>
              <w:tl2br w:val="nil"/>
              <w:tr2bl w:val="nil"/>
            </w:tcBorders>
            <w:vAlign w:val="center"/>
          </w:tcPr>
          <w:p>
            <w:pPr>
              <w:pStyle w:val="28"/>
              <w:widowControl w:val="0"/>
              <w:rPr>
                <w:color w:val="auto"/>
                <w:highlight w:val="none"/>
              </w:rPr>
            </w:pPr>
            <w:r>
              <w:rPr>
                <w:color w:val="auto"/>
                <w:highlight w:val="none"/>
              </w:rPr>
              <w:t>0.0115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w:t>
            </w:r>
          </w:p>
        </w:tc>
        <w:tc>
          <w:tcPr>
            <w:tcW w:w="1801" w:type="dxa"/>
            <w:tcBorders>
              <w:tl2br w:val="nil"/>
              <w:tr2bl w:val="nil"/>
            </w:tcBorders>
            <w:vAlign w:val="center"/>
          </w:tcPr>
          <w:p>
            <w:pPr>
              <w:pStyle w:val="28"/>
              <w:widowControl w:val="0"/>
              <w:rPr>
                <w:color w:val="auto"/>
                <w:highlight w:val="none"/>
              </w:rPr>
            </w:pPr>
            <w:r>
              <w:rPr>
                <w:color w:val="auto"/>
                <w:highlight w:val="none"/>
              </w:rPr>
              <w:t>0.0716</w:t>
            </w:r>
          </w:p>
        </w:tc>
        <w:tc>
          <w:tcPr>
            <w:tcW w:w="1676" w:type="dxa"/>
            <w:tcBorders>
              <w:tl2br w:val="nil"/>
              <w:tr2bl w:val="nil"/>
            </w:tcBorders>
            <w:vAlign w:val="center"/>
          </w:tcPr>
          <w:p>
            <w:pPr>
              <w:pStyle w:val="28"/>
              <w:widowControl w:val="0"/>
              <w:rPr>
                <w:color w:val="auto"/>
                <w:highlight w:val="none"/>
              </w:rPr>
            </w:pPr>
            <w:r>
              <w:rPr>
                <w:color w:val="auto"/>
                <w:highlight w:val="none"/>
              </w:rPr>
              <w:t>0.0358</w:t>
            </w:r>
          </w:p>
        </w:tc>
        <w:tc>
          <w:tcPr>
            <w:tcW w:w="1784" w:type="dxa"/>
            <w:tcBorders>
              <w:tl2br w:val="nil"/>
              <w:tr2bl w:val="nil"/>
            </w:tcBorders>
            <w:vAlign w:val="center"/>
          </w:tcPr>
          <w:p>
            <w:pPr>
              <w:pStyle w:val="28"/>
              <w:widowControl w:val="0"/>
              <w:rPr>
                <w:color w:val="auto"/>
                <w:highlight w:val="none"/>
              </w:rPr>
            </w:pPr>
            <w:r>
              <w:rPr>
                <w:color w:val="auto"/>
                <w:highlight w:val="none"/>
              </w:rPr>
              <w:t>0.0014</w:t>
            </w:r>
          </w:p>
        </w:tc>
        <w:tc>
          <w:tcPr>
            <w:tcW w:w="1658" w:type="dxa"/>
            <w:tcBorders>
              <w:tl2br w:val="nil"/>
              <w:tr2bl w:val="nil"/>
            </w:tcBorders>
            <w:vAlign w:val="center"/>
          </w:tcPr>
          <w:p>
            <w:pPr>
              <w:pStyle w:val="28"/>
              <w:widowControl w:val="0"/>
              <w:rPr>
                <w:color w:val="auto"/>
                <w:highlight w:val="none"/>
              </w:rPr>
            </w:pPr>
            <w:r>
              <w:rPr>
                <w:color w:val="auto"/>
                <w:highlight w:val="none"/>
              </w:rPr>
              <w:t>0.0143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w:t>
            </w:r>
          </w:p>
        </w:tc>
        <w:tc>
          <w:tcPr>
            <w:tcW w:w="1801" w:type="dxa"/>
            <w:tcBorders>
              <w:tl2br w:val="nil"/>
              <w:tr2bl w:val="nil"/>
            </w:tcBorders>
            <w:vAlign w:val="center"/>
          </w:tcPr>
          <w:p>
            <w:pPr>
              <w:pStyle w:val="28"/>
              <w:widowControl w:val="0"/>
              <w:rPr>
                <w:color w:val="auto"/>
                <w:highlight w:val="none"/>
              </w:rPr>
            </w:pPr>
            <w:r>
              <w:rPr>
                <w:color w:val="auto"/>
                <w:highlight w:val="none"/>
              </w:rPr>
              <w:t>0.0571</w:t>
            </w:r>
          </w:p>
        </w:tc>
        <w:tc>
          <w:tcPr>
            <w:tcW w:w="1676" w:type="dxa"/>
            <w:tcBorders>
              <w:tl2br w:val="nil"/>
              <w:tr2bl w:val="nil"/>
            </w:tcBorders>
            <w:vAlign w:val="center"/>
          </w:tcPr>
          <w:p>
            <w:pPr>
              <w:pStyle w:val="28"/>
              <w:widowControl w:val="0"/>
              <w:rPr>
                <w:color w:val="auto"/>
                <w:highlight w:val="none"/>
              </w:rPr>
            </w:pPr>
            <w:r>
              <w:rPr>
                <w:color w:val="auto"/>
                <w:highlight w:val="none"/>
              </w:rPr>
              <w:t>0.0286</w:t>
            </w:r>
          </w:p>
        </w:tc>
        <w:tc>
          <w:tcPr>
            <w:tcW w:w="1784" w:type="dxa"/>
            <w:tcBorders>
              <w:tl2br w:val="nil"/>
              <w:tr2bl w:val="nil"/>
            </w:tcBorders>
            <w:vAlign w:val="center"/>
          </w:tcPr>
          <w:p>
            <w:pPr>
              <w:pStyle w:val="28"/>
              <w:widowControl w:val="0"/>
              <w:rPr>
                <w:color w:val="auto"/>
                <w:highlight w:val="none"/>
              </w:rPr>
            </w:pPr>
            <w:r>
              <w:rPr>
                <w:color w:val="auto"/>
                <w:highlight w:val="none"/>
              </w:rPr>
              <w:t>0.0011</w:t>
            </w:r>
          </w:p>
        </w:tc>
        <w:tc>
          <w:tcPr>
            <w:tcW w:w="1658" w:type="dxa"/>
            <w:tcBorders>
              <w:tl2br w:val="nil"/>
              <w:tr2bl w:val="nil"/>
            </w:tcBorders>
            <w:vAlign w:val="center"/>
          </w:tcPr>
          <w:p>
            <w:pPr>
              <w:pStyle w:val="28"/>
              <w:widowControl w:val="0"/>
              <w:rPr>
                <w:color w:val="auto"/>
                <w:highlight w:val="none"/>
              </w:rPr>
            </w:pPr>
            <w:r>
              <w:rPr>
                <w:color w:val="auto"/>
                <w:highlight w:val="none"/>
              </w:rPr>
              <w:t>0.0114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w:t>
            </w:r>
          </w:p>
        </w:tc>
        <w:tc>
          <w:tcPr>
            <w:tcW w:w="1801" w:type="dxa"/>
            <w:tcBorders>
              <w:tl2br w:val="nil"/>
              <w:tr2bl w:val="nil"/>
            </w:tcBorders>
            <w:vAlign w:val="center"/>
          </w:tcPr>
          <w:p>
            <w:pPr>
              <w:pStyle w:val="28"/>
              <w:widowControl w:val="0"/>
              <w:rPr>
                <w:color w:val="auto"/>
                <w:highlight w:val="none"/>
              </w:rPr>
            </w:pPr>
            <w:r>
              <w:rPr>
                <w:color w:val="auto"/>
                <w:highlight w:val="none"/>
              </w:rPr>
              <w:t>0.0462</w:t>
            </w:r>
          </w:p>
        </w:tc>
        <w:tc>
          <w:tcPr>
            <w:tcW w:w="1676" w:type="dxa"/>
            <w:tcBorders>
              <w:tl2br w:val="nil"/>
              <w:tr2bl w:val="nil"/>
            </w:tcBorders>
            <w:vAlign w:val="center"/>
          </w:tcPr>
          <w:p>
            <w:pPr>
              <w:pStyle w:val="28"/>
              <w:widowControl w:val="0"/>
              <w:rPr>
                <w:color w:val="auto"/>
                <w:highlight w:val="none"/>
              </w:rPr>
            </w:pPr>
            <w:r>
              <w:rPr>
                <w:color w:val="auto"/>
                <w:highlight w:val="none"/>
              </w:rPr>
              <w:t>0.0231</w:t>
            </w:r>
          </w:p>
        </w:tc>
        <w:tc>
          <w:tcPr>
            <w:tcW w:w="1784" w:type="dxa"/>
            <w:tcBorders>
              <w:tl2br w:val="nil"/>
              <w:tr2bl w:val="nil"/>
            </w:tcBorders>
            <w:vAlign w:val="center"/>
          </w:tcPr>
          <w:p>
            <w:pPr>
              <w:pStyle w:val="28"/>
              <w:widowControl w:val="0"/>
              <w:rPr>
                <w:color w:val="auto"/>
                <w:highlight w:val="none"/>
              </w:rPr>
            </w:pPr>
            <w:r>
              <w:rPr>
                <w:color w:val="auto"/>
                <w:highlight w:val="none"/>
              </w:rPr>
              <w:t>0.0009</w:t>
            </w:r>
          </w:p>
        </w:tc>
        <w:tc>
          <w:tcPr>
            <w:tcW w:w="1658" w:type="dxa"/>
            <w:tcBorders>
              <w:tl2br w:val="nil"/>
              <w:tr2bl w:val="nil"/>
            </w:tcBorders>
            <w:vAlign w:val="center"/>
          </w:tcPr>
          <w:p>
            <w:pPr>
              <w:pStyle w:val="28"/>
              <w:widowControl w:val="0"/>
              <w:rPr>
                <w:color w:val="auto"/>
                <w:highlight w:val="none"/>
              </w:rPr>
            </w:pPr>
            <w:r>
              <w:rPr>
                <w:color w:val="auto"/>
                <w:highlight w:val="none"/>
              </w:rPr>
              <w:t>0.0092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w:t>
            </w:r>
          </w:p>
        </w:tc>
        <w:tc>
          <w:tcPr>
            <w:tcW w:w="1801" w:type="dxa"/>
            <w:tcBorders>
              <w:tl2br w:val="nil"/>
              <w:tr2bl w:val="nil"/>
            </w:tcBorders>
            <w:vAlign w:val="center"/>
          </w:tcPr>
          <w:p>
            <w:pPr>
              <w:pStyle w:val="28"/>
              <w:widowControl w:val="0"/>
              <w:rPr>
                <w:color w:val="auto"/>
                <w:highlight w:val="none"/>
              </w:rPr>
            </w:pPr>
            <w:r>
              <w:rPr>
                <w:color w:val="auto"/>
                <w:highlight w:val="none"/>
              </w:rPr>
              <w:t>0.0385</w:t>
            </w:r>
          </w:p>
        </w:tc>
        <w:tc>
          <w:tcPr>
            <w:tcW w:w="1676" w:type="dxa"/>
            <w:tcBorders>
              <w:tl2br w:val="nil"/>
              <w:tr2bl w:val="nil"/>
            </w:tcBorders>
            <w:vAlign w:val="center"/>
          </w:tcPr>
          <w:p>
            <w:pPr>
              <w:pStyle w:val="28"/>
              <w:widowControl w:val="0"/>
              <w:rPr>
                <w:color w:val="auto"/>
                <w:highlight w:val="none"/>
              </w:rPr>
            </w:pPr>
            <w:r>
              <w:rPr>
                <w:color w:val="auto"/>
                <w:highlight w:val="none"/>
              </w:rPr>
              <w:t>0.0193</w:t>
            </w:r>
          </w:p>
        </w:tc>
        <w:tc>
          <w:tcPr>
            <w:tcW w:w="1784" w:type="dxa"/>
            <w:tcBorders>
              <w:tl2br w:val="nil"/>
              <w:tr2bl w:val="nil"/>
            </w:tcBorders>
            <w:vAlign w:val="center"/>
          </w:tcPr>
          <w:p>
            <w:pPr>
              <w:pStyle w:val="28"/>
              <w:widowControl w:val="0"/>
              <w:rPr>
                <w:color w:val="auto"/>
                <w:highlight w:val="none"/>
              </w:rPr>
            </w:pPr>
            <w:r>
              <w:rPr>
                <w:color w:val="auto"/>
                <w:highlight w:val="none"/>
              </w:rPr>
              <w:t>0.0008</w:t>
            </w:r>
          </w:p>
        </w:tc>
        <w:tc>
          <w:tcPr>
            <w:tcW w:w="1658" w:type="dxa"/>
            <w:tcBorders>
              <w:tl2br w:val="nil"/>
              <w:tr2bl w:val="nil"/>
            </w:tcBorders>
            <w:vAlign w:val="center"/>
          </w:tcPr>
          <w:p>
            <w:pPr>
              <w:pStyle w:val="28"/>
              <w:widowControl w:val="0"/>
              <w:rPr>
                <w:color w:val="auto"/>
                <w:highlight w:val="none"/>
              </w:rPr>
            </w:pPr>
            <w:r>
              <w:rPr>
                <w:color w:val="auto"/>
                <w:highlight w:val="none"/>
              </w:rPr>
              <w:t>0.0077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w:t>
            </w:r>
          </w:p>
        </w:tc>
        <w:tc>
          <w:tcPr>
            <w:tcW w:w="1801" w:type="dxa"/>
            <w:tcBorders>
              <w:tl2br w:val="nil"/>
              <w:tr2bl w:val="nil"/>
            </w:tcBorders>
            <w:vAlign w:val="center"/>
          </w:tcPr>
          <w:p>
            <w:pPr>
              <w:pStyle w:val="28"/>
              <w:widowControl w:val="0"/>
              <w:rPr>
                <w:color w:val="auto"/>
                <w:highlight w:val="none"/>
              </w:rPr>
            </w:pPr>
            <w:r>
              <w:rPr>
                <w:color w:val="auto"/>
                <w:highlight w:val="none"/>
              </w:rPr>
              <w:t>0.0327</w:t>
            </w:r>
          </w:p>
        </w:tc>
        <w:tc>
          <w:tcPr>
            <w:tcW w:w="1676" w:type="dxa"/>
            <w:tcBorders>
              <w:tl2br w:val="nil"/>
              <w:tr2bl w:val="nil"/>
            </w:tcBorders>
            <w:vAlign w:val="center"/>
          </w:tcPr>
          <w:p>
            <w:pPr>
              <w:pStyle w:val="28"/>
              <w:widowControl w:val="0"/>
              <w:rPr>
                <w:color w:val="auto"/>
                <w:highlight w:val="none"/>
              </w:rPr>
            </w:pPr>
            <w:r>
              <w:rPr>
                <w:color w:val="auto"/>
                <w:highlight w:val="none"/>
              </w:rPr>
              <w:t>0.0164</w:t>
            </w:r>
          </w:p>
        </w:tc>
        <w:tc>
          <w:tcPr>
            <w:tcW w:w="1784" w:type="dxa"/>
            <w:tcBorders>
              <w:tl2br w:val="nil"/>
              <w:tr2bl w:val="nil"/>
            </w:tcBorders>
            <w:vAlign w:val="center"/>
          </w:tcPr>
          <w:p>
            <w:pPr>
              <w:pStyle w:val="28"/>
              <w:widowControl w:val="0"/>
              <w:rPr>
                <w:color w:val="auto"/>
                <w:highlight w:val="none"/>
              </w:rPr>
            </w:pPr>
            <w:r>
              <w:rPr>
                <w:color w:val="auto"/>
                <w:highlight w:val="none"/>
              </w:rPr>
              <w:t>0.0007</w:t>
            </w:r>
          </w:p>
        </w:tc>
        <w:tc>
          <w:tcPr>
            <w:tcW w:w="1658" w:type="dxa"/>
            <w:tcBorders>
              <w:tl2br w:val="nil"/>
              <w:tr2bl w:val="nil"/>
            </w:tcBorders>
            <w:vAlign w:val="center"/>
          </w:tcPr>
          <w:p>
            <w:pPr>
              <w:pStyle w:val="28"/>
              <w:widowControl w:val="0"/>
              <w:rPr>
                <w:color w:val="auto"/>
                <w:highlight w:val="none"/>
              </w:rPr>
            </w:pPr>
            <w:r>
              <w:rPr>
                <w:color w:val="auto"/>
                <w:highlight w:val="none"/>
              </w:rPr>
              <w:t>0.0065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600.0</w:t>
            </w:r>
          </w:p>
        </w:tc>
        <w:tc>
          <w:tcPr>
            <w:tcW w:w="1801" w:type="dxa"/>
            <w:tcBorders>
              <w:tl2br w:val="nil"/>
              <w:tr2bl w:val="nil"/>
            </w:tcBorders>
            <w:vAlign w:val="center"/>
          </w:tcPr>
          <w:p>
            <w:pPr>
              <w:pStyle w:val="28"/>
              <w:widowControl w:val="0"/>
              <w:rPr>
                <w:color w:val="auto"/>
                <w:highlight w:val="none"/>
              </w:rPr>
            </w:pPr>
            <w:r>
              <w:rPr>
                <w:color w:val="auto"/>
                <w:highlight w:val="none"/>
              </w:rPr>
              <w:t>0.0280</w:t>
            </w:r>
          </w:p>
        </w:tc>
        <w:tc>
          <w:tcPr>
            <w:tcW w:w="1676" w:type="dxa"/>
            <w:tcBorders>
              <w:tl2br w:val="nil"/>
              <w:tr2bl w:val="nil"/>
            </w:tcBorders>
            <w:vAlign w:val="center"/>
          </w:tcPr>
          <w:p>
            <w:pPr>
              <w:pStyle w:val="28"/>
              <w:widowControl w:val="0"/>
              <w:rPr>
                <w:color w:val="auto"/>
                <w:highlight w:val="none"/>
              </w:rPr>
            </w:pPr>
            <w:r>
              <w:rPr>
                <w:color w:val="auto"/>
                <w:highlight w:val="none"/>
              </w:rPr>
              <w:t>0.0140</w:t>
            </w:r>
          </w:p>
        </w:tc>
        <w:tc>
          <w:tcPr>
            <w:tcW w:w="1784" w:type="dxa"/>
            <w:tcBorders>
              <w:tl2br w:val="nil"/>
              <w:tr2bl w:val="nil"/>
            </w:tcBorders>
            <w:vAlign w:val="center"/>
          </w:tcPr>
          <w:p>
            <w:pPr>
              <w:pStyle w:val="28"/>
              <w:widowControl w:val="0"/>
              <w:rPr>
                <w:color w:val="auto"/>
                <w:highlight w:val="none"/>
              </w:rPr>
            </w:pPr>
            <w:r>
              <w:rPr>
                <w:color w:val="auto"/>
                <w:highlight w:val="none"/>
              </w:rPr>
              <w:t>0.0006</w:t>
            </w:r>
          </w:p>
        </w:tc>
        <w:tc>
          <w:tcPr>
            <w:tcW w:w="1658" w:type="dxa"/>
            <w:tcBorders>
              <w:tl2br w:val="nil"/>
              <w:tr2bl w:val="nil"/>
            </w:tcBorders>
            <w:vAlign w:val="center"/>
          </w:tcPr>
          <w:p>
            <w:pPr>
              <w:pStyle w:val="28"/>
              <w:widowControl w:val="0"/>
              <w:rPr>
                <w:color w:val="auto"/>
                <w:highlight w:val="none"/>
              </w:rPr>
            </w:pPr>
            <w:r>
              <w:rPr>
                <w:color w:val="auto"/>
                <w:highlight w:val="none"/>
              </w:rPr>
              <w:t>0.0056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700.0</w:t>
            </w:r>
          </w:p>
        </w:tc>
        <w:tc>
          <w:tcPr>
            <w:tcW w:w="1801" w:type="dxa"/>
            <w:tcBorders>
              <w:tl2br w:val="nil"/>
              <w:tr2bl w:val="nil"/>
            </w:tcBorders>
            <w:vAlign w:val="center"/>
          </w:tcPr>
          <w:p>
            <w:pPr>
              <w:pStyle w:val="28"/>
              <w:widowControl w:val="0"/>
              <w:rPr>
                <w:color w:val="auto"/>
                <w:highlight w:val="none"/>
              </w:rPr>
            </w:pPr>
            <w:r>
              <w:rPr>
                <w:color w:val="auto"/>
                <w:highlight w:val="none"/>
              </w:rPr>
              <w:t>0.0243</w:t>
            </w:r>
          </w:p>
        </w:tc>
        <w:tc>
          <w:tcPr>
            <w:tcW w:w="1676" w:type="dxa"/>
            <w:tcBorders>
              <w:tl2br w:val="nil"/>
              <w:tr2bl w:val="nil"/>
            </w:tcBorders>
            <w:vAlign w:val="center"/>
          </w:tcPr>
          <w:p>
            <w:pPr>
              <w:pStyle w:val="28"/>
              <w:widowControl w:val="0"/>
              <w:rPr>
                <w:color w:val="auto"/>
                <w:highlight w:val="none"/>
              </w:rPr>
            </w:pPr>
            <w:r>
              <w:rPr>
                <w:color w:val="auto"/>
                <w:highlight w:val="none"/>
              </w:rPr>
              <w:t>0.0121</w:t>
            </w:r>
          </w:p>
        </w:tc>
        <w:tc>
          <w:tcPr>
            <w:tcW w:w="1784" w:type="dxa"/>
            <w:tcBorders>
              <w:tl2br w:val="nil"/>
              <w:tr2bl w:val="nil"/>
            </w:tcBorders>
            <w:vAlign w:val="center"/>
          </w:tcPr>
          <w:p>
            <w:pPr>
              <w:pStyle w:val="28"/>
              <w:widowControl w:val="0"/>
              <w:rPr>
                <w:color w:val="auto"/>
                <w:highlight w:val="none"/>
              </w:rPr>
            </w:pPr>
            <w:r>
              <w:rPr>
                <w:color w:val="auto"/>
                <w:highlight w:val="none"/>
              </w:rPr>
              <w:t>0.0005</w:t>
            </w:r>
          </w:p>
        </w:tc>
        <w:tc>
          <w:tcPr>
            <w:tcW w:w="1658" w:type="dxa"/>
            <w:tcBorders>
              <w:tl2br w:val="nil"/>
              <w:tr2bl w:val="nil"/>
            </w:tcBorders>
            <w:vAlign w:val="center"/>
          </w:tcPr>
          <w:p>
            <w:pPr>
              <w:pStyle w:val="28"/>
              <w:widowControl w:val="0"/>
              <w:rPr>
                <w:color w:val="auto"/>
                <w:highlight w:val="none"/>
              </w:rPr>
            </w:pPr>
            <w:r>
              <w:rPr>
                <w:color w:val="auto"/>
                <w:highlight w:val="none"/>
              </w:rPr>
              <w:t>0.0049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800.0</w:t>
            </w:r>
          </w:p>
        </w:tc>
        <w:tc>
          <w:tcPr>
            <w:tcW w:w="1801" w:type="dxa"/>
            <w:tcBorders>
              <w:tl2br w:val="nil"/>
              <w:tr2bl w:val="nil"/>
            </w:tcBorders>
            <w:vAlign w:val="center"/>
          </w:tcPr>
          <w:p>
            <w:pPr>
              <w:pStyle w:val="28"/>
              <w:widowControl w:val="0"/>
              <w:rPr>
                <w:color w:val="auto"/>
                <w:highlight w:val="none"/>
              </w:rPr>
            </w:pPr>
            <w:r>
              <w:rPr>
                <w:color w:val="auto"/>
                <w:highlight w:val="none"/>
              </w:rPr>
              <w:t>0.0213</w:t>
            </w:r>
          </w:p>
        </w:tc>
        <w:tc>
          <w:tcPr>
            <w:tcW w:w="1676" w:type="dxa"/>
            <w:tcBorders>
              <w:tl2br w:val="nil"/>
              <w:tr2bl w:val="nil"/>
            </w:tcBorders>
            <w:vAlign w:val="center"/>
          </w:tcPr>
          <w:p>
            <w:pPr>
              <w:pStyle w:val="28"/>
              <w:widowControl w:val="0"/>
              <w:rPr>
                <w:color w:val="auto"/>
                <w:highlight w:val="none"/>
              </w:rPr>
            </w:pPr>
            <w:r>
              <w:rPr>
                <w:color w:val="auto"/>
                <w:highlight w:val="none"/>
              </w:rPr>
              <w:t>0.0106</w:t>
            </w:r>
          </w:p>
        </w:tc>
        <w:tc>
          <w:tcPr>
            <w:tcW w:w="1784" w:type="dxa"/>
            <w:tcBorders>
              <w:tl2br w:val="nil"/>
              <w:tr2bl w:val="nil"/>
            </w:tcBorders>
            <w:vAlign w:val="center"/>
          </w:tcPr>
          <w:p>
            <w:pPr>
              <w:pStyle w:val="28"/>
              <w:widowControl w:val="0"/>
              <w:rPr>
                <w:color w:val="auto"/>
                <w:highlight w:val="none"/>
              </w:rPr>
            </w:pPr>
            <w:r>
              <w:rPr>
                <w:color w:val="auto"/>
                <w:highlight w:val="none"/>
              </w:rPr>
              <w:t>0.0004</w:t>
            </w:r>
          </w:p>
        </w:tc>
        <w:tc>
          <w:tcPr>
            <w:tcW w:w="1658" w:type="dxa"/>
            <w:tcBorders>
              <w:tl2br w:val="nil"/>
              <w:tr2bl w:val="nil"/>
            </w:tcBorders>
            <w:vAlign w:val="center"/>
          </w:tcPr>
          <w:p>
            <w:pPr>
              <w:pStyle w:val="28"/>
              <w:widowControl w:val="0"/>
              <w:rPr>
                <w:color w:val="auto"/>
                <w:highlight w:val="none"/>
              </w:rPr>
            </w:pPr>
            <w:r>
              <w:rPr>
                <w:color w:val="auto"/>
                <w:highlight w:val="none"/>
              </w:rPr>
              <w:t>0.0043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900.0</w:t>
            </w:r>
          </w:p>
        </w:tc>
        <w:tc>
          <w:tcPr>
            <w:tcW w:w="1801" w:type="dxa"/>
            <w:tcBorders>
              <w:tl2br w:val="nil"/>
              <w:tr2bl w:val="nil"/>
            </w:tcBorders>
            <w:vAlign w:val="center"/>
          </w:tcPr>
          <w:p>
            <w:pPr>
              <w:pStyle w:val="28"/>
              <w:widowControl w:val="0"/>
              <w:rPr>
                <w:color w:val="auto"/>
                <w:highlight w:val="none"/>
              </w:rPr>
            </w:pPr>
            <w:r>
              <w:rPr>
                <w:color w:val="auto"/>
                <w:highlight w:val="none"/>
              </w:rPr>
              <w:t>0.0188</w:t>
            </w:r>
          </w:p>
        </w:tc>
        <w:tc>
          <w:tcPr>
            <w:tcW w:w="1676" w:type="dxa"/>
            <w:tcBorders>
              <w:tl2br w:val="nil"/>
              <w:tr2bl w:val="nil"/>
            </w:tcBorders>
            <w:vAlign w:val="center"/>
          </w:tcPr>
          <w:p>
            <w:pPr>
              <w:pStyle w:val="28"/>
              <w:widowControl w:val="0"/>
              <w:rPr>
                <w:color w:val="auto"/>
                <w:highlight w:val="none"/>
              </w:rPr>
            </w:pPr>
            <w:r>
              <w:rPr>
                <w:color w:val="auto"/>
                <w:highlight w:val="none"/>
              </w:rPr>
              <w:t>0.0094</w:t>
            </w:r>
          </w:p>
        </w:tc>
        <w:tc>
          <w:tcPr>
            <w:tcW w:w="1784" w:type="dxa"/>
            <w:tcBorders>
              <w:tl2br w:val="nil"/>
              <w:tr2bl w:val="nil"/>
            </w:tcBorders>
            <w:vAlign w:val="center"/>
          </w:tcPr>
          <w:p>
            <w:pPr>
              <w:pStyle w:val="28"/>
              <w:widowControl w:val="0"/>
              <w:rPr>
                <w:color w:val="auto"/>
                <w:highlight w:val="none"/>
              </w:rPr>
            </w:pPr>
            <w:r>
              <w:rPr>
                <w:color w:val="auto"/>
                <w:highlight w:val="none"/>
              </w:rPr>
              <w:t>0.0004</w:t>
            </w:r>
          </w:p>
        </w:tc>
        <w:tc>
          <w:tcPr>
            <w:tcW w:w="1658" w:type="dxa"/>
            <w:tcBorders>
              <w:tl2br w:val="nil"/>
              <w:tr2bl w:val="nil"/>
            </w:tcBorders>
            <w:vAlign w:val="center"/>
          </w:tcPr>
          <w:p>
            <w:pPr>
              <w:pStyle w:val="28"/>
              <w:widowControl w:val="0"/>
              <w:rPr>
                <w:color w:val="auto"/>
                <w:highlight w:val="none"/>
              </w:rPr>
            </w:pPr>
            <w:r>
              <w:rPr>
                <w:color w:val="auto"/>
                <w:highlight w:val="none"/>
              </w:rPr>
              <w:t>0.0038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w:t>
            </w:r>
          </w:p>
        </w:tc>
        <w:tc>
          <w:tcPr>
            <w:tcW w:w="1801" w:type="dxa"/>
            <w:tcBorders>
              <w:tl2br w:val="nil"/>
              <w:tr2bl w:val="nil"/>
            </w:tcBorders>
            <w:vAlign w:val="center"/>
          </w:tcPr>
          <w:p>
            <w:pPr>
              <w:pStyle w:val="28"/>
              <w:widowControl w:val="0"/>
              <w:rPr>
                <w:color w:val="auto"/>
                <w:highlight w:val="none"/>
              </w:rPr>
            </w:pPr>
            <w:r>
              <w:rPr>
                <w:color w:val="auto"/>
                <w:highlight w:val="none"/>
              </w:rPr>
              <w:t>0.0168</w:t>
            </w:r>
          </w:p>
        </w:tc>
        <w:tc>
          <w:tcPr>
            <w:tcW w:w="1676" w:type="dxa"/>
            <w:tcBorders>
              <w:tl2br w:val="nil"/>
              <w:tr2bl w:val="nil"/>
            </w:tcBorders>
            <w:vAlign w:val="center"/>
          </w:tcPr>
          <w:p>
            <w:pPr>
              <w:pStyle w:val="28"/>
              <w:widowControl w:val="0"/>
              <w:rPr>
                <w:color w:val="auto"/>
                <w:highlight w:val="none"/>
              </w:rPr>
            </w:pPr>
            <w:r>
              <w:rPr>
                <w:color w:val="auto"/>
                <w:highlight w:val="none"/>
              </w:rPr>
              <w:t>0.0084</w:t>
            </w:r>
          </w:p>
        </w:tc>
        <w:tc>
          <w:tcPr>
            <w:tcW w:w="1784" w:type="dxa"/>
            <w:tcBorders>
              <w:tl2br w:val="nil"/>
              <w:tr2bl w:val="nil"/>
            </w:tcBorders>
            <w:vAlign w:val="center"/>
          </w:tcPr>
          <w:p>
            <w:pPr>
              <w:pStyle w:val="28"/>
              <w:widowControl w:val="0"/>
              <w:rPr>
                <w:color w:val="auto"/>
                <w:highlight w:val="none"/>
              </w:rPr>
            </w:pPr>
            <w:r>
              <w:rPr>
                <w:color w:val="auto"/>
                <w:highlight w:val="none"/>
              </w:rPr>
              <w:t>0.0003</w:t>
            </w:r>
          </w:p>
        </w:tc>
        <w:tc>
          <w:tcPr>
            <w:tcW w:w="1658" w:type="dxa"/>
            <w:tcBorders>
              <w:tl2br w:val="nil"/>
              <w:tr2bl w:val="nil"/>
            </w:tcBorders>
            <w:vAlign w:val="center"/>
          </w:tcPr>
          <w:p>
            <w:pPr>
              <w:pStyle w:val="28"/>
              <w:widowControl w:val="0"/>
              <w:rPr>
                <w:color w:val="auto"/>
                <w:highlight w:val="none"/>
              </w:rPr>
            </w:pPr>
            <w:r>
              <w:rPr>
                <w:color w:val="auto"/>
                <w:highlight w:val="none"/>
              </w:rPr>
              <w:t>0.0034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w:t>
            </w:r>
          </w:p>
        </w:tc>
        <w:tc>
          <w:tcPr>
            <w:tcW w:w="1801" w:type="dxa"/>
            <w:tcBorders>
              <w:tl2br w:val="nil"/>
              <w:tr2bl w:val="nil"/>
            </w:tcBorders>
            <w:vAlign w:val="center"/>
          </w:tcPr>
          <w:p>
            <w:pPr>
              <w:pStyle w:val="28"/>
              <w:widowControl w:val="0"/>
              <w:rPr>
                <w:color w:val="auto"/>
                <w:highlight w:val="none"/>
              </w:rPr>
            </w:pPr>
            <w:r>
              <w:rPr>
                <w:color w:val="auto"/>
                <w:highlight w:val="none"/>
              </w:rPr>
              <w:t>0.0137</w:t>
            </w:r>
          </w:p>
        </w:tc>
        <w:tc>
          <w:tcPr>
            <w:tcW w:w="1676" w:type="dxa"/>
            <w:tcBorders>
              <w:tl2br w:val="nil"/>
              <w:tr2bl w:val="nil"/>
            </w:tcBorders>
            <w:vAlign w:val="center"/>
          </w:tcPr>
          <w:p>
            <w:pPr>
              <w:pStyle w:val="28"/>
              <w:widowControl w:val="0"/>
              <w:rPr>
                <w:color w:val="auto"/>
                <w:highlight w:val="none"/>
              </w:rPr>
            </w:pPr>
            <w:r>
              <w:rPr>
                <w:color w:val="auto"/>
                <w:highlight w:val="none"/>
              </w:rPr>
              <w:t>0.0069</w:t>
            </w:r>
          </w:p>
        </w:tc>
        <w:tc>
          <w:tcPr>
            <w:tcW w:w="1784" w:type="dxa"/>
            <w:tcBorders>
              <w:tl2br w:val="nil"/>
              <w:tr2bl w:val="nil"/>
            </w:tcBorders>
            <w:vAlign w:val="center"/>
          </w:tcPr>
          <w:p>
            <w:pPr>
              <w:pStyle w:val="28"/>
              <w:widowControl w:val="0"/>
              <w:rPr>
                <w:color w:val="auto"/>
                <w:highlight w:val="none"/>
              </w:rPr>
            </w:pPr>
            <w:r>
              <w:rPr>
                <w:color w:val="auto"/>
                <w:highlight w:val="none"/>
              </w:rPr>
              <w:t>0.0003</w:t>
            </w:r>
          </w:p>
        </w:tc>
        <w:tc>
          <w:tcPr>
            <w:tcW w:w="1658" w:type="dxa"/>
            <w:tcBorders>
              <w:tl2br w:val="nil"/>
              <w:tr2bl w:val="nil"/>
            </w:tcBorders>
            <w:vAlign w:val="center"/>
          </w:tcPr>
          <w:p>
            <w:pPr>
              <w:pStyle w:val="28"/>
              <w:widowControl w:val="0"/>
              <w:rPr>
                <w:color w:val="auto"/>
                <w:highlight w:val="none"/>
              </w:rPr>
            </w:pPr>
            <w:r>
              <w:rPr>
                <w:color w:val="auto"/>
                <w:highlight w:val="none"/>
              </w:rPr>
              <w:t>0.0027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w:t>
            </w:r>
          </w:p>
        </w:tc>
        <w:tc>
          <w:tcPr>
            <w:tcW w:w="1801" w:type="dxa"/>
            <w:tcBorders>
              <w:tl2br w:val="nil"/>
              <w:tr2bl w:val="nil"/>
            </w:tcBorders>
            <w:vAlign w:val="center"/>
          </w:tcPr>
          <w:p>
            <w:pPr>
              <w:pStyle w:val="28"/>
              <w:widowControl w:val="0"/>
              <w:rPr>
                <w:color w:val="auto"/>
                <w:highlight w:val="none"/>
              </w:rPr>
            </w:pPr>
            <w:r>
              <w:rPr>
                <w:color w:val="auto"/>
                <w:highlight w:val="none"/>
              </w:rPr>
              <w:t>0.0115</w:t>
            </w:r>
          </w:p>
        </w:tc>
        <w:tc>
          <w:tcPr>
            <w:tcW w:w="1676" w:type="dxa"/>
            <w:tcBorders>
              <w:tl2br w:val="nil"/>
              <w:tr2bl w:val="nil"/>
            </w:tcBorders>
            <w:vAlign w:val="center"/>
          </w:tcPr>
          <w:p>
            <w:pPr>
              <w:pStyle w:val="28"/>
              <w:widowControl w:val="0"/>
              <w:rPr>
                <w:color w:val="auto"/>
                <w:highlight w:val="none"/>
              </w:rPr>
            </w:pPr>
            <w:r>
              <w:rPr>
                <w:color w:val="auto"/>
                <w:highlight w:val="none"/>
              </w:rPr>
              <w:t>0.0057</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1600.0</w:t>
            </w:r>
          </w:p>
        </w:tc>
        <w:tc>
          <w:tcPr>
            <w:tcW w:w="1801" w:type="dxa"/>
            <w:tcBorders>
              <w:tl2br w:val="nil"/>
              <w:tr2bl w:val="nil"/>
            </w:tcBorders>
            <w:vAlign w:val="center"/>
          </w:tcPr>
          <w:p>
            <w:pPr>
              <w:pStyle w:val="28"/>
              <w:widowControl w:val="0"/>
              <w:rPr>
                <w:color w:val="auto"/>
                <w:highlight w:val="none"/>
              </w:rPr>
            </w:pPr>
            <w:r>
              <w:rPr>
                <w:color w:val="auto"/>
                <w:highlight w:val="none"/>
              </w:rPr>
              <w:t>0.0098</w:t>
            </w:r>
          </w:p>
        </w:tc>
        <w:tc>
          <w:tcPr>
            <w:tcW w:w="1676" w:type="dxa"/>
            <w:tcBorders>
              <w:tl2br w:val="nil"/>
              <w:tr2bl w:val="nil"/>
            </w:tcBorders>
            <w:vAlign w:val="center"/>
          </w:tcPr>
          <w:p>
            <w:pPr>
              <w:pStyle w:val="28"/>
              <w:widowControl w:val="0"/>
              <w:rPr>
                <w:color w:val="auto"/>
                <w:highlight w:val="none"/>
              </w:rPr>
            </w:pPr>
            <w:r>
              <w:rPr>
                <w:color w:val="auto"/>
                <w:highlight w:val="none"/>
              </w:rPr>
              <w:t>0.0049</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1800.0</w:t>
            </w:r>
          </w:p>
        </w:tc>
        <w:tc>
          <w:tcPr>
            <w:tcW w:w="1801" w:type="dxa"/>
            <w:tcBorders>
              <w:tl2br w:val="nil"/>
              <w:tr2bl w:val="nil"/>
            </w:tcBorders>
            <w:vAlign w:val="center"/>
          </w:tcPr>
          <w:p>
            <w:pPr>
              <w:pStyle w:val="28"/>
              <w:widowControl w:val="0"/>
              <w:rPr>
                <w:color w:val="auto"/>
                <w:highlight w:val="none"/>
              </w:rPr>
            </w:pPr>
            <w:r>
              <w:rPr>
                <w:color w:val="auto"/>
                <w:highlight w:val="none"/>
              </w:rPr>
              <w:t>0.0086</w:t>
            </w:r>
          </w:p>
        </w:tc>
        <w:tc>
          <w:tcPr>
            <w:tcW w:w="1676" w:type="dxa"/>
            <w:tcBorders>
              <w:tl2br w:val="nil"/>
              <w:tr2bl w:val="nil"/>
            </w:tcBorders>
            <w:vAlign w:val="center"/>
          </w:tcPr>
          <w:p>
            <w:pPr>
              <w:pStyle w:val="28"/>
              <w:widowControl w:val="0"/>
              <w:rPr>
                <w:color w:val="auto"/>
                <w:highlight w:val="none"/>
              </w:rPr>
            </w:pPr>
            <w:r>
              <w:rPr>
                <w:color w:val="auto"/>
                <w:highlight w:val="none"/>
              </w:rPr>
              <w:t>0.0043</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w:t>
            </w:r>
          </w:p>
        </w:tc>
        <w:tc>
          <w:tcPr>
            <w:tcW w:w="1801" w:type="dxa"/>
            <w:tcBorders>
              <w:tl2br w:val="nil"/>
              <w:tr2bl w:val="nil"/>
            </w:tcBorders>
            <w:vAlign w:val="center"/>
          </w:tcPr>
          <w:p>
            <w:pPr>
              <w:pStyle w:val="28"/>
              <w:widowControl w:val="0"/>
              <w:rPr>
                <w:color w:val="auto"/>
                <w:highlight w:val="none"/>
              </w:rPr>
            </w:pPr>
            <w:r>
              <w:rPr>
                <w:color w:val="auto"/>
                <w:highlight w:val="none"/>
              </w:rPr>
              <w:t>0.0076</w:t>
            </w:r>
          </w:p>
        </w:tc>
        <w:tc>
          <w:tcPr>
            <w:tcW w:w="1676" w:type="dxa"/>
            <w:tcBorders>
              <w:tl2br w:val="nil"/>
              <w:tr2bl w:val="nil"/>
            </w:tcBorders>
            <w:vAlign w:val="center"/>
          </w:tcPr>
          <w:p>
            <w:pPr>
              <w:pStyle w:val="28"/>
              <w:widowControl w:val="0"/>
              <w:rPr>
                <w:color w:val="auto"/>
                <w:highlight w:val="none"/>
              </w:rPr>
            </w:pPr>
            <w:r>
              <w:rPr>
                <w:color w:val="auto"/>
                <w:highlight w:val="none"/>
              </w:rPr>
              <w:t>0.0038</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w:t>
            </w:r>
          </w:p>
        </w:tc>
        <w:tc>
          <w:tcPr>
            <w:tcW w:w="1801" w:type="dxa"/>
            <w:tcBorders>
              <w:tl2br w:val="nil"/>
              <w:tr2bl w:val="nil"/>
            </w:tcBorders>
            <w:vAlign w:val="center"/>
          </w:tcPr>
          <w:p>
            <w:pPr>
              <w:pStyle w:val="28"/>
              <w:widowControl w:val="0"/>
              <w:rPr>
                <w:color w:val="auto"/>
                <w:highlight w:val="none"/>
              </w:rPr>
            </w:pPr>
            <w:r>
              <w:rPr>
                <w:color w:val="auto"/>
                <w:highlight w:val="none"/>
              </w:rPr>
              <w:t>0.0057</w:t>
            </w:r>
          </w:p>
        </w:tc>
        <w:tc>
          <w:tcPr>
            <w:tcW w:w="1676" w:type="dxa"/>
            <w:tcBorders>
              <w:tl2br w:val="nil"/>
              <w:tr2bl w:val="nil"/>
            </w:tcBorders>
            <w:vAlign w:val="center"/>
          </w:tcPr>
          <w:p>
            <w:pPr>
              <w:pStyle w:val="28"/>
              <w:widowControl w:val="0"/>
              <w:rPr>
                <w:color w:val="auto"/>
                <w:highlight w:val="none"/>
              </w:rPr>
            </w:pPr>
            <w:r>
              <w:rPr>
                <w:color w:val="auto"/>
                <w:highlight w:val="none"/>
              </w:rPr>
              <w:t>0.0029</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3000.0</w:t>
            </w:r>
          </w:p>
        </w:tc>
        <w:tc>
          <w:tcPr>
            <w:tcW w:w="1801" w:type="dxa"/>
            <w:tcBorders>
              <w:tl2br w:val="nil"/>
              <w:tr2bl w:val="nil"/>
            </w:tcBorders>
            <w:vAlign w:val="center"/>
          </w:tcPr>
          <w:p>
            <w:pPr>
              <w:pStyle w:val="28"/>
              <w:widowControl w:val="0"/>
              <w:rPr>
                <w:color w:val="auto"/>
                <w:highlight w:val="none"/>
              </w:rPr>
            </w:pPr>
            <w:r>
              <w:rPr>
                <w:color w:val="auto"/>
                <w:highlight w:val="none"/>
              </w:rPr>
              <w:t>0.0046</w:t>
            </w:r>
          </w:p>
        </w:tc>
        <w:tc>
          <w:tcPr>
            <w:tcW w:w="1676" w:type="dxa"/>
            <w:tcBorders>
              <w:tl2br w:val="nil"/>
              <w:tr2bl w:val="nil"/>
            </w:tcBorders>
            <w:vAlign w:val="center"/>
          </w:tcPr>
          <w:p>
            <w:pPr>
              <w:pStyle w:val="28"/>
              <w:widowControl w:val="0"/>
              <w:rPr>
                <w:color w:val="auto"/>
                <w:highlight w:val="none"/>
              </w:rPr>
            </w:pPr>
            <w:r>
              <w:rPr>
                <w:color w:val="auto"/>
                <w:highlight w:val="none"/>
              </w:rPr>
              <w:t>0.0023</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3500.0</w:t>
            </w:r>
          </w:p>
        </w:tc>
        <w:tc>
          <w:tcPr>
            <w:tcW w:w="1801" w:type="dxa"/>
            <w:tcBorders>
              <w:tl2br w:val="nil"/>
              <w:tr2bl w:val="nil"/>
            </w:tcBorders>
            <w:vAlign w:val="center"/>
          </w:tcPr>
          <w:p>
            <w:pPr>
              <w:pStyle w:val="28"/>
              <w:widowControl w:val="0"/>
              <w:rPr>
                <w:color w:val="auto"/>
                <w:highlight w:val="none"/>
              </w:rPr>
            </w:pPr>
            <w:r>
              <w:rPr>
                <w:color w:val="auto"/>
                <w:highlight w:val="none"/>
              </w:rPr>
              <w:t>0.0037</w:t>
            </w:r>
          </w:p>
        </w:tc>
        <w:tc>
          <w:tcPr>
            <w:tcW w:w="1676" w:type="dxa"/>
            <w:tcBorders>
              <w:tl2br w:val="nil"/>
              <w:tr2bl w:val="nil"/>
            </w:tcBorders>
            <w:vAlign w:val="center"/>
          </w:tcPr>
          <w:p>
            <w:pPr>
              <w:pStyle w:val="28"/>
              <w:widowControl w:val="0"/>
              <w:rPr>
                <w:color w:val="auto"/>
                <w:highlight w:val="none"/>
              </w:rPr>
            </w:pPr>
            <w:r>
              <w:rPr>
                <w:color w:val="auto"/>
                <w:highlight w:val="none"/>
              </w:rPr>
              <w:t>0.0019</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4000.0</w:t>
            </w:r>
          </w:p>
        </w:tc>
        <w:tc>
          <w:tcPr>
            <w:tcW w:w="1801" w:type="dxa"/>
            <w:tcBorders>
              <w:tl2br w:val="nil"/>
              <w:tr2bl w:val="nil"/>
            </w:tcBorders>
            <w:vAlign w:val="center"/>
          </w:tcPr>
          <w:p>
            <w:pPr>
              <w:pStyle w:val="28"/>
              <w:widowControl w:val="0"/>
              <w:rPr>
                <w:color w:val="auto"/>
                <w:highlight w:val="none"/>
              </w:rPr>
            </w:pPr>
            <w:r>
              <w:rPr>
                <w:color w:val="auto"/>
                <w:highlight w:val="none"/>
              </w:rPr>
              <w:t>0.0031</w:t>
            </w:r>
          </w:p>
        </w:tc>
        <w:tc>
          <w:tcPr>
            <w:tcW w:w="1676" w:type="dxa"/>
            <w:tcBorders>
              <w:tl2br w:val="nil"/>
              <w:tr2bl w:val="nil"/>
            </w:tcBorders>
            <w:vAlign w:val="center"/>
          </w:tcPr>
          <w:p>
            <w:pPr>
              <w:pStyle w:val="28"/>
              <w:widowControl w:val="0"/>
              <w:rPr>
                <w:color w:val="auto"/>
                <w:highlight w:val="none"/>
              </w:rPr>
            </w:pPr>
            <w:r>
              <w:rPr>
                <w:color w:val="auto"/>
                <w:highlight w:val="none"/>
              </w:rPr>
              <w:t>0.0016</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4500.0</w:t>
            </w:r>
          </w:p>
        </w:tc>
        <w:tc>
          <w:tcPr>
            <w:tcW w:w="1801" w:type="dxa"/>
            <w:tcBorders>
              <w:tl2br w:val="nil"/>
              <w:tr2bl w:val="nil"/>
            </w:tcBorders>
            <w:vAlign w:val="center"/>
          </w:tcPr>
          <w:p>
            <w:pPr>
              <w:pStyle w:val="28"/>
              <w:widowControl w:val="0"/>
              <w:rPr>
                <w:color w:val="auto"/>
                <w:highlight w:val="none"/>
              </w:rPr>
            </w:pPr>
            <w:r>
              <w:rPr>
                <w:color w:val="auto"/>
                <w:highlight w:val="none"/>
              </w:rPr>
              <w:t>0.0027</w:t>
            </w:r>
          </w:p>
        </w:tc>
        <w:tc>
          <w:tcPr>
            <w:tcW w:w="1676" w:type="dxa"/>
            <w:tcBorders>
              <w:tl2br w:val="nil"/>
              <w:tr2bl w:val="nil"/>
            </w:tcBorders>
            <w:vAlign w:val="center"/>
          </w:tcPr>
          <w:p>
            <w:pPr>
              <w:pStyle w:val="28"/>
              <w:widowControl w:val="0"/>
              <w:rPr>
                <w:color w:val="auto"/>
                <w:highlight w:val="none"/>
              </w:rPr>
            </w:pPr>
            <w:r>
              <w:rPr>
                <w:color w:val="auto"/>
                <w:highlight w:val="none"/>
              </w:rPr>
              <w:t>0.0014</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5000.0</w:t>
            </w:r>
          </w:p>
        </w:tc>
        <w:tc>
          <w:tcPr>
            <w:tcW w:w="1801" w:type="dxa"/>
            <w:tcBorders>
              <w:tl2br w:val="nil"/>
              <w:tr2bl w:val="nil"/>
            </w:tcBorders>
            <w:vAlign w:val="center"/>
          </w:tcPr>
          <w:p>
            <w:pPr>
              <w:pStyle w:val="28"/>
              <w:widowControl w:val="0"/>
              <w:rPr>
                <w:color w:val="auto"/>
                <w:highlight w:val="none"/>
              </w:rPr>
            </w:pPr>
            <w:r>
              <w:rPr>
                <w:color w:val="auto"/>
                <w:highlight w:val="none"/>
              </w:rPr>
              <w:t>0.0024</w:t>
            </w:r>
          </w:p>
        </w:tc>
        <w:tc>
          <w:tcPr>
            <w:tcW w:w="1676" w:type="dxa"/>
            <w:tcBorders>
              <w:tl2br w:val="nil"/>
              <w:tr2bl w:val="nil"/>
            </w:tcBorders>
            <w:vAlign w:val="center"/>
          </w:tcPr>
          <w:p>
            <w:pPr>
              <w:pStyle w:val="28"/>
              <w:widowControl w:val="0"/>
              <w:rPr>
                <w:color w:val="auto"/>
                <w:highlight w:val="none"/>
              </w:rPr>
            </w:pPr>
            <w:r>
              <w:rPr>
                <w:color w:val="auto"/>
                <w:highlight w:val="none"/>
              </w:rPr>
              <w:t>0.0012</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10000.0</w:t>
            </w:r>
          </w:p>
        </w:tc>
        <w:tc>
          <w:tcPr>
            <w:tcW w:w="1801" w:type="dxa"/>
            <w:tcBorders>
              <w:tl2br w:val="nil"/>
              <w:tr2bl w:val="nil"/>
            </w:tcBorders>
            <w:vAlign w:val="center"/>
          </w:tcPr>
          <w:p>
            <w:pPr>
              <w:pStyle w:val="28"/>
              <w:widowControl w:val="0"/>
              <w:rPr>
                <w:color w:val="auto"/>
                <w:highlight w:val="none"/>
              </w:rPr>
            </w:pPr>
            <w:r>
              <w:rPr>
                <w:color w:val="auto"/>
                <w:highlight w:val="none"/>
              </w:rPr>
              <w:t>0.0009</w:t>
            </w:r>
          </w:p>
        </w:tc>
        <w:tc>
          <w:tcPr>
            <w:tcW w:w="1676" w:type="dxa"/>
            <w:tcBorders>
              <w:tl2br w:val="nil"/>
              <w:tr2bl w:val="nil"/>
            </w:tcBorders>
            <w:vAlign w:val="center"/>
          </w:tcPr>
          <w:p>
            <w:pPr>
              <w:pStyle w:val="28"/>
              <w:widowControl w:val="0"/>
              <w:rPr>
                <w:color w:val="auto"/>
                <w:highlight w:val="none"/>
              </w:rPr>
            </w:pPr>
            <w:r>
              <w:rPr>
                <w:color w:val="auto"/>
                <w:highlight w:val="none"/>
              </w:rPr>
              <w:t>0.0005</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11000.0</w:t>
            </w:r>
          </w:p>
        </w:tc>
        <w:tc>
          <w:tcPr>
            <w:tcW w:w="1801" w:type="dxa"/>
            <w:tcBorders>
              <w:tl2br w:val="nil"/>
              <w:tr2bl w:val="nil"/>
            </w:tcBorders>
            <w:vAlign w:val="center"/>
          </w:tcPr>
          <w:p>
            <w:pPr>
              <w:pStyle w:val="28"/>
              <w:widowControl w:val="0"/>
              <w:rPr>
                <w:color w:val="auto"/>
                <w:highlight w:val="none"/>
              </w:rPr>
            </w:pPr>
            <w:r>
              <w:rPr>
                <w:color w:val="auto"/>
                <w:highlight w:val="none"/>
              </w:rPr>
              <w:t>0.0008</w:t>
            </w:r>
          </w:p>
        </w:tc>
        <w:tc>
          <w:tcPr>
            <w:tcW w:w="1676" w:type="dxa"/>
            <w:tcBorders>
              <w:tl2br w:val="nil"/>
              <w:tr2bl w:val="nil"/>
            </w:tcBorders>
            <w:vAlign w:val="center"/>
          </w:tcPr>
          <w:p>
            <w:pPr>
              <w:pStyle w:val="28"/>
              <w:widowControl w:val="0"/>
              <w:rPr>
                <w:color w:val="auto"/>
                <w:highlight w:val="none"/>
              </w:rPr>
            </w:pPr>
            <w:r>
              <w:rPr>
                <w:color w:val="auto"/>
                <w:highlight w:val="none"/>
              </w:rPr>
              <w:t>0.0004</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12000.0</w:t>
            </w:r>
          </w:p>
        </w:tc>
        <w:tc>
          <w:tcPr>
            <w:tcW w:w="1801" w:type="dxa"/>
            <w:tcBorders>
              <w:tl2br w:val="nil"/>
              <w:tr2bl w:val="nil"/>
            </w:tcBorders>
            <w:vAlign w:val="center"/>
          </w:tcPr>
          <w:p>
            <w:pPr>
              <w:pStyle w:val="28"/>
              <w:widowControl w:val="0"/>
              <w:rPr>
                <w:color w:val="auto"/>
                <w:highlight w:val="none"/>
              </w:rPr>
            </w:pPr>
            <w:r>
              <w:rPr>
                <w:color w:val="auto"/>
                <w:highlight w:val="none"/>
              </w:rPr>
              <w:t>0.0007</w:t>
            </w:r>
          </w:p>
        </w:tc>
        <w:tc>
          <w:tcPr>
            <w:tcW w:w="1676" w:type="dxa"/>
            <w:tcBorders>
              <w:tl2br w:val="nil"/>
              <w:tr2bl w:val="nil"/>
            </w:tcBorders>
            <w:vAlign w:val="center"/>
          </w:tcPr>
          <w:p>
            <w:pPr>
              <w:pStyle w:val="28"/>
              <w:widowControl w:val="0"/>
              <w:rPr>
                <w:color w:val="auto"/>
                <w:highlight w:val="none"/>
              </w:rPr>
            </w:pPr>
            <w:r>
              <w:rPr>
                <w:color w:val="auto"/>
                <w:highlight w:val="none"/>
              </w:rPr>
              <w:t>0.0004</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13000.0</w:t>
            </w:r>
          </w:p>
        </w:tc>
        <w:tc>
          <w:tcPr>
            <w:tcW w:w="1801" w:type="dxa"/>
            <w:tcBorders>
              <w:tl2br w:val="nil"/>
              <w:tr2bl w:val="nil"/>
            </w:tcBorders>
            <w:vAlign w:val="center"/>
          </w:tcPr>
          <w:p>
            <w:pPr>
              <w:pStyle w:val="28"/>
              <w:widowControl w:val="0"/>
              <w:rPr>
                <w:color w:val="auto"/>
                <w:highlight w:val="none"/>
              </w:rPr>
            </w:pPr>
            <w:r>
              <w:rPr>
                <w:color w:val="auto"/>
                <w:highlight w:val="none"/>
              </w:rPr>
              <w:t>0.0007</w:t>
            </w:r>
          </w:p>
        </w:tc>
        <w:tc>
          <w:tcPr>
            <w:tcW w:w="1676" w:type="dxa"/>
            <w:tcBorders>
              <w:tl2br w:val="nil"/>
              <w:tr2bl w:val="nil"/>
            </w:tcBorders>
            <w:vAlign w:val="center"/>
          </w:tcPr>
          <w:p>
            <w:pPr>
              <w:pStyle w:val="28"/>
              <w:widowControl w:val="0"/>
              <w:rPr>
                <w:color w:val="auto"/>
                <w:highlight w:val="none"/>
              </w:rPr>
            </w:pPr>
            <w:r>
              <w:rPr>
                <w:color w:val="auto"/>
                <w:highlight w:val="none"/>
              </w:rPr>
              <w:t>0.0003</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14000.0</w:t>
            </w:r>
          </w:p>
        </w:tc>
        <w:tc>
          <w:tcPr>
            <w:tcW w:w="1801" w:type="dxa"/>
            <w:tcBorders>
              <w:tl2br w:val="nil"/>
              <w:tr2bl w:val="nil"/>
            </w:tcBorders>
            <w:vAlign w:val="center"/>
          </w:tcPr>
          <w:p>
            <w:pPr>
              <w:pStyle w:val="28"/>
              <w:widowControl w:val="0"/>
              <w:rPr>
                <w:color w:val="auto"/>
                <w:highlight w:val="none"/>
              </w:rPr>
            </w:pPr>
            <w:r>
              <w:rPr>
                <w:color w:val="auto"/>
                <w:highlight w:val="none"/>
              </w:rPr>
              <w:t>0.0006</w:t>
            </w:r>
          </w:p>
        </w:tc>
        <w:tc>
          <w:tcPr>
            <w:tcW w:w="1676" w:type="dxa"/>
            <w:tcBorders>
              <w:tl2br w:val="nil"/>
              <w:tr2bl w:val="nil"/>
            </w:tcBorders>
            <w:vAlign w:val="center"/>
          </w:tcPr>
          <w:p>
            <w:pPr>
              <w:pStyle w:val="28"/>
              <w:widowControl w:val="0"/>
              <w:rPr>
                <w:color w:val="auto"/>
                <w:highlight w:val="none"/>
              </w:rPr>
            </w:pPr>
            <w:r>
              <w:rPr>
                <w:color w:val="auto"/>
                <w:highlight w:val="none"/>
              </w:rPr>
              <w:t>0.0003</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15000.0</w:t>
            </w:r>
          </w:p>
        </w:tc>
        <w:tc>
          <w:tcPr>
            <w:tcW w:w="1801" w:type="dxa"/>
            <w:tcBorders>
              <w:tl2br w:val="nil"/>
              <w:tr2bl w:val="nil"/>
            </w:tcBorders>
            <w:vAlign w:val="center"/>
          </w:tcPr>
          <w:p>
            <w:pPr>
              <w:pStyle w:val="28"/>
              <w:widowControl w:val="0"/>
              <w:rPr>
                <w:color w:val="auto"/>
                <w:highlight w:val="none"/>
              </w:rPr>
            </w:pPr>
            <w:r>
              <w:rPr>
                <w:color w:val="auto"/>
                <w:highlight w:val="none"/>
              </w:rPr>
              <w:t>0.0006</w:t>
            </w:r>
          </w:p>
        </w:tc>
        <w:tc>
          <w:tcPr>
            <w:tcW w:w="1676" w:type="dxa"/>
            <w:tcBorders>
              <w:tl2br w:val="nil"/>
              <w:tr2bl w:val="nil"/>
            </w:tcBorders>
            <w:vAlign w:val="center"/>
          </w:tcPr>
          <w:p>
            <w:pPr>
              <w:pStyle w:val="28"/>
              <w:widowControl w:val="0"/>
              <w:rPr>
                <w:color w:val="auto"/>
                <w:highlight w:val="none"/>
              </w:rPr>
            </w:pPr>
            <w:r>
              <w:rPr>
                <w:color w:val="auto"/>
                <w:highlight w:val="none"/>
              </w:rPr>
              <w:t>0.0003</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20000.0</w:t>
            </w:r>
          </w:p>
        </w:tc>
        <w:tc>
          <w:tcPr>
            <w:tcW w:w="1801" w:type="dxa"/>
            <w:tcBorders>
              <w:tl2br w:val="nil"/>
              <w:tr2bl w:val="nil"/>
            </w:tcBorders>
            <w:vAlign w:val="center"/>
          </w:tcPr>
          <w:p>
            <w:pPr>
              <w:pStyle w:val="28"/>
              <w:widowControl w:val="0"/>
              <w:rPr>
                <w:color w:val="auto"/>
                <w:highlight w:val="none"/>
              </w:rPr>
            </w:pPr>
            <w:r>
              <w:rPr>
                <w:color w:val="auto"/>
                <w:highlight w:val="none"/>
              </w:rPr>
              <w:t>0.0004</w:t>
            </w:r>
          </w:p>
        </w:tc>
        <w:tc>
          <w:tcPr>
            <w:tcW w:w="1676" w:type="dxa"/>
            <w:tcBorders>
              <w:tl2br w:val="nil"/>
              <w:tr2bl w:val="nil"/>
            </w:tcBorders>
            <w:vAlign w:val="center"/>
          </w:tcPr>
          <w:p>
            <w:pPr>
              <w:pStyle w:val="28"/>
              <w:widowControl w:val="0"/>
              <w:rPr>
                <w:color w:val="auto"/>
                <w:highlight w:val="none"/>
              </w:rPr>
            </w:pPr>
            <w:r>
              <w:rPr>
                <w:color w:val="auto"/>
                <w:highlight w:val="none"/>
              </w:rPr>
              <w:t>0.0002</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25000.0</w:t>
            </w:r>
          </w:p>
        </w:tc>
        <w:tc>
          <w:tcPr>
            <w:tcW w:w="1801" w:type="dxa"/>
            <w:tcBorders>
              <w:tl2br w:val="nil"/>
              <w:tr2bl w:val="nil"/>
            </w:tcBorders>
            <w:vAlign w:val="center"/>
          </w:tcPr>
          <w:p>
            <w:pPr>
              <w:pStyle w:val="28"/>
              <w:widowControl w:val="0"/>
              <w:rPr>
                <w:color w:val="auto"/>
                <w:highlight w:val="none"/>
              </w:rPr>
            </w:pPr>
            <w:r>
              <w:rPr>
                <w:color w:val="auto"/>
                <w:highlight w:val="none"/>
              </w:rPr>
              <w:t>0.0003</w:t>
            </w:r>
          </w:p>
        </w:tc>
        <w:tc>
          <w:tcPr>
            <w:tcW w:w="1676" w:type="dxa"/>
            <w:tcBorders>
              <w:tl2br w:val="nil"/>
              <w:tr2bl w:val="nil"/>
            </w:tcBorders>
            <w:vAlign w:val="center"/>
          </w:tcPr>
          <w:p>
            <w:pPr>
              <w:pStyle w:val="28"/>
              <w:widowControl w:val="0"/>
              <w:rPr>
                <w:color w:val="auto"/>
                <w:highlight w:val="none"/>
              </w:rPr>
            </w:pPr>
            <w:r>
              <w:rPr>
                <w:color w:val="auto"/>
                <w:highlight w:val="none"/>
              </w:rPr>
              <w:t>0.0001</w:t>
            </w:r>
          </w:p>
        </w:tc>
        <w:tc>
          <w:tcPr>
            <w:tcW w:w="1784" w:type="dxa"/>
            <w:tcBorders>
              <w:tl2br w:val="nil"/>
              <w:tr2bl w:val="nil"/>
            </w:tcBorders>
            <w:vAlign w:val="center"/>
          </w:tcPr>
          <w:p>
            <w:pPr>
              <w:pStyle w:val="28"/>
              <w:widowControl w:val="0"/>
              <w:rPr>
                <w:color w:val="auto"/>
                <w:highlight w:val="none"/>
              </w:rPr>
            </w:pPr>
            <w:r>
              <w:rPr>
                <w:color w:val="auto"/>
                <w:highlight w:val="none"/>
              </w:rPr>
              <w:t>0.0000</w:t>
            </w:r>
          </w:p>
        </w:tc>
        <w:tc>
          <w:tcPr>
            <w:tcW w:w="1658" w:type="dxa"/>
            <w:tcBorders>
              <w:tl2br w:val="nil"/>
              <w:tr2bl w:val="nil"/>
            </w:tcBorders>
            <w:vAlign w:val="center"/>
          </w:tcPr>
          <w:p>
            <w:pPr>
              <w:pStyle w:val="28"/>
              <w:widowControl w:val="0"/>
              <w:rPr>
                <w:color w:val="auto"/>
                <w:highlight w:val="none"/>
              </w:rPr>
            </w:pPr>
            <w:r>
              <w:rPr>
                <w:color w:val="auto"/>
                <w:highlight w:val="none"/>
              </w:rPr>
              <w:t>0.0001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w:t>
            </w:r>
          </w:p>
        </w:tc>
        <w:tc>
          <w:tcPr>
            <w:tcW w:w="1801" w:type="dxa"/>
            <w:tcBorders>
              <w:tl2br w:val="nil"/>
              <w:tr2bl w:val="nil"/>
            </w:tcBorders>
            <w:vAlign w:val="center"/>
          </w:tcPr>
          <w:p>
            <w:pPr>
              <w:pStyle w:val="28"/>
              <w:widowControl w:val="0"/>
              <w:rPr>
                <w:color w:val="auto"/>
                <w:highlight w:val="none"/>
              </w:rPr>
            </w:pPr>
            <w:r>
              <w:rPr>
                <w:color w:val="auto"/>
                <w:highlight w:val="none"/>
              </w:rPr>
              <w:t>0.0716</w:t>
            </w:r>
          </w:p>
        </w:tc>
        <w:tc>
          <w:tcPr>
            <w:tcW w:w="1676" w:type="dxa"/>
            <w:tcBorders>
              <w:tl2br w:val="nil"/>
              <w:tr2bl w:val="nil"/>
            </w:tcBorders>
            <w:vAlign w:val="center"/>
          </w:tcPr>
          <w:p>
            <w:pPr>
              <w:pStyle w:val="28"/>
              <w:widowControl w:val="0"/>
              <w:rPr>
                <w:color w:val="auto"/>
                <w:highlight w:val="none"/>
              </w:rPr>
            </w:pPr>
            <w:r>
              <w:rPr>
                <w:color w:val="auto"/>
                <w:highlight w:val="none"/>
              </w:rPr>
              <w:t>0.0358</w:t>
            </w:r>
          </w:p>
        </w:tc>
        <w:tc>
          <w:tcPr>
            <w:tcW w:w="1784" w:type="dxa"/>
            <w:tcBorders>
              <w:tl2br w:val="nil"/>
              <w:tr2bl w:val="nil"/>
            </w:tcBorders>
            <w:vAlign w:val="center"/>
          </w:tcPr>
          <w:p>
            <w:pPr>
              <w:pStyle w:val="28"/>
              <w:widowControl w:val="0"/>
              <w:rPr>
                <w:color w:val="auto"/>
                <w:highlight w:val="none"/>
              </w:rPr>
            </w:pPr>
            <w:r>
              <w:rPr>
                <w:color w:val="auto"/>
                <w:highlight w:val="none"/>
              </w:rPr>
              <w:t>0.0014</w:t>
            </w:r>
          </w:p>
        </w:tc>
        <w:tc>
          <w:tcPr>
            <w:tcW w:w="1658" w:type="dxa"/>
            <w:tcBorders>
              <w:tl2br w:val="nil"/>
              <w:tr2bl w:val="nil"/>
            </w:tcBorders>
            <w:vAlign w:val="center"/>
          </w:tcPr>
          <w:p>
            <w:pPr>
              <w:pStyle w:val="28"/>
              <w:widowControl w:val="0"/>
              <w:rPr>
                <w:color w:val="auto"/>
                <w:highlight w:val="none"/>
              </w:rPr>
            </w:pPr>
            <w:r>
              <w:rPr>
                <w:color w:val="auto"/>
                <w:highlight w:val="none"/>
              </w:rPr>
              <w:t>0.0143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801" w:type="dxa"/>
            <w:tcBorders>
              <w:tl2br w:val="nil"/>
              <w:tr2bl w:val="nil"/>
            </w:tcBorders>
            <w:vAlign w:val="center"/>
          </w:tcPr>
          <w:p>
            <w:pPr>
              <w:pStyle w:val="28"/>
              <w:widowControl w:val="0"/>
              <w:rPr>
                <w:color w:val="auto"/>
                <w:highlight w:val="none"/>
              </w:rPr>
            </w:pPr>
            <w:r>
              <w:rPr>
                <w:color w:val="auto"/>
                <w:highlight w:val="none"/>
              </w:rPr>
              <w:t>100.0</w:t>
            </w:r>
          </w:p>
        </w:tc>
        <w:tc>
          <w:tcPr>
            <w:tcW w:w="1676" w:type="dxa"/>
            <w:tcBorders>
              <w:tl2br w:val="nil"/>
              <w:tr2bl w:val="nil"/>
            </w:tcBorders>
            <w:vAlign w:val="center"/>
          </w:tcPr>
          <w:p>
            <w:pPr>
              <w:pStyle w:val="28"/>
              <w:widowControl w:val="0"/>
              <w:rPr>
                <w:color w:val="auto"/>
                <w:highlight w:val="none"/>
              </w:rPr>
            </w:pPr>
            <w:r>
              <w:rPr>
                <w:color w:val="auto"/>
                <w:highlight w:val="none"/>
              </w:rPr>
              <w:t>100.0</w:t>
            </w:r>
          </w:p>
        </w:tc>
        <w:tc>
          <w:tcPr>
            <w:tcW w:w="1784" w:type="dxa"/>
            <w:tcBorders>
              <w:tl2br w:val="nil"/>
              <w:tr2bl w:val="nil"/>
            </w:tcBorders>
            <w:vAlign w:val="center"/>
          </w:tcPr>
          <w:p>
            <w:pPr>
              <w:pStyle w:val="28"/>
              <w:widowControl w:val="0"/>
              <w:rPr>
                <w:color w:val="auto"/>
                <w:highlight w:val="none"/>
              </w:rPr>
            </w:pPr>
            <w:r>
              <w:rPr>
                <w:color w:val="auto"/>
                <w:highlight w:val="none"/>
              </w:rPr>
              <w:t>100.0</w:t>
            </w:r>
          </w:p>
        </w:tc>
        <w:tc>
          <w:tcPr>
            <w:tcW w:w="1658" w:type="dxa"/>
            <w:tcBorders>
              <w:tl2br w:val="nil"/>
              <w:tr2bl w:val="nil"/>
            </w:tcBorders>
            <w:vAlign w:val="center"/>
          </w:tcPr>
          <w:p>
            <w:pPr>
              <w:pStyle w:val="28"/>
              <w:widowControl w:val="0"/>
              <w:rPr>
                <w:color w:val="auto"/>
                <w:highlight w:val="none"/>
              </w:rPr>
            </w:pPr>
            <w:r>
              <w:rPr>
                <w:color w:val="auto"/>
                <w:highlight w:val="none"/>
              </w:rPr>
              <w:t>100.0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D10%最远距离</w:t>
            </w:r>
          </w:p>
        </w:tc>
        <w:tc>
          <w:tcPr>
            <w:tcW w:w="1801" w:type="dxa"/>
            <w:tcBorders>
              <w:tl2br w:val="nil"/>
              <w:tr2bl w:val="nil"/>
            </w:tcBorders>
            <w:vAlign w:val="center"/>
          </w:tcPr>
          <w:p>
            <w:pPr>
              <w:pStyle w:val="28"/>
              <w:widowControl w:val="0"/>
              <w:rPr>
                <w:color w:val="auto"/>
                <w:highlight w:val="none"/>
              </w:rPr>
            </w:pPr>
            <w:r>
              <w:rPr>
                <w:color w:val="auto"/>
                <w:highlight w:val="none"/>
              </w:rPr>
              <w:t>/</w:t>
            </w:r>
          </w:p>
        </w:tc>
        <w:tc>
          <w:tcPr>
            <w:tcW w:w="1676" w:type="dxa"/>
            <w:tcBorders>
              <w:tl2br w:val="nil"/>
              <w:tr2bl w:val="nil"/>
            </w:tcBorders>
            <w:vAlign w:val="center"/>
          </w:tcPr>
          <w:p>
            <w:pPr>
              <w:pStyle w:val="28"/>
              <w:widowControl w:val="0"/>
              <w:rPr>
                <w:color w:val="auto"/>
                <w:highlight w:val="none"/>
              </w:rPr>
            </w:pPr>
            <w:r>
              <w:rPr>
                <w:color w:val="auto"/>
                <w:highlight w:val="none"/>
              </w:rPr>
              <w:t>/</w:t>
            </w:r>
          </w:p>
        </w:tc>
        <w:tc>
          <w:tcPr>
            <w:tcW w:w="1784" w:type="dxa"/>
            <w:tcBorders>
              <w:tl2br w:val="nil"/>
              <w:tr2bl w:val="nil"/>
            </w:tcBorders>
            <w:vAlign w:val="center"/>
          </w:tcPr>
          <w:p>
            <w:pPr>
              <w:pStyle w:val="28"/>
              <w:widowControl w:val="0"/>
              <w:rPr>
                <w:color w:val="auto"/>
                <w:highlight w:val="none"/>
              </w:rPr>
            </w:pPr>
            <w:r>
              <w:rPr>
                <w:color w:val="auto"/>
                <w:highlight w:val="none"/>
              </w:rPr>
              <w:t>/</w:t>
            </w:r>
          </w:p>
        </w:tc>
        <w:tc>
          <w:tcPr>
            <w:tcW w:w="1658" w:type="dxa"/>
            <w:tcBorders>
              <w:tl2br w:val="nil"/>
              <w:tr2bl w:val="nil"/>
            </w:tcBorders>
            <w:vAlign w:val="center"/>
          </w:tcPr>
          <w:p>
            <w:pPr>
              <w:pStyle w:val="28"/>
              <w:widowControl w:val="0"/>
              <w:rPr>
                <w:color w:val="auto"/>
                <w:highlight w:val="none"/>
              </w:rPr>
            </w:pPr>
            <w:r>
              <w:rPr>
                <w:color w:val="auto"/>
                <w:highlight w:val="none"/>
              </w:rPr>
              <w:t>/</w:t>
            </w:r>
          </w:p>
        </w:tc>
      </w:tr>
    </w:tbl>
    <w:p>
      <w:pPr>
        <w:pStyle w:val="27"/>
        <w:widowControl w:val="0"/>
        <w:rPr>
          <w:color w:val="auto"/>
          <w:highlight w:val="none"/>
        </w:rPr>
      </w:pPr>
      <w:r>
        <w:rPr>
          <w:rFonts w:hint="eastAsia"/>
          <w:color w:val="auto"/>
          <w:highlight w:val="none"/>
        </w:rPr>
        <w:t>恶臭无组织（肉牛屠宰车间）排放预测计算结果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color w:val="auto"/>
                <w:highlight w:val="none"/>
              </w:rPr>
            </w:pPr>
            <w:r>
              <w:rPr>
                <w:color w:val="auto"/>
                <w:highlight w:val="none"/>
              </w:rPr>
              <w:t>下风向距离</w:t>
            </w:r>
          </w:p>
        </w:tc>
        <w:tc>
          <w:tcPr>
            <w:tcW w:w="0" w:type="auto"/>
            <w:gridSpan w:val="4"/>
            <w:tcBorders>
              <w:tl2br w:val="nil"/>
              <w:tr2bl w:val="nil"/>
            </w:tcBorders>
            <w:vAlign w:val="center"/>
          </w:tcPr>
          <w:p>
            <w:pPr>
              <w:pStyle w:val="28"/>
              <w:widowControl w:val="0"/>
              <w:rPr>
                <w:color w:val="auto"/>
                <w:highlight w:val="none"/>
              </w:rPr>
            </w:pPr>
            <w:r>
              <w:rPr>
                <w:rFonts w:hint="eastAsia"/>
                <w:color w:val="auto"/>
                <w:highlight w:val="none"/>
              </w:rPr>
              <w:t>肉牛</w:t>
            </w:r>
            <w:r>
              <w:rPr>
                <w:color w:val="auto"/>
                <w:highlight w:val="none"/>
              </w:rPr>
              <w:t>屠宰</w:t>
            </w:r>
            <w:r>
              <w:rPr>
                <w:rFonts w:hint="eastAsia"/>
                <w:color w:val="auto"/>
                <w:highlight w:val="none"/>
              </w:rPr>
              <w:t>车间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color w:val="auto"/>
                <w:highlight w:val="none"/>
              </w:rPr>
            </w:pPr>
          </w:p>
        </w:tc>
        <w:tc>
          <w:tcPr>
            <w:tcW w:w="0" w:type="auto"/>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color w:val="auto"/>
                <w:highlight w:val="none"/>
              </w:rPr>
              <w:t>浓度(μg/m³)</w:t>
            </w:r>
          </w:p>
        </w:tc>
        <w:tc>
          <w:tcPr>
            <w:tcW w:w="0" w:type="auto"/>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r>
              <w:rPr>
                <w:color w:val="auto"/>
                <w:highlight w:val="none"/>
              </w:rPr>
              <w:t>占标率(%)</w:t>
            </w:r>
          </w:p>
        </w:tc>
        <w:tc>
          <w:tcPr>
            <w:tcW w:w="0" w:type="auto"/>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S浓度(μg/m³)</w:t>
            </w:r>
          </w:p>
        </w:tc>
        <w:tc>
          <w:tcPr>
            <w:tcW w:w="0" w:type="auto"/>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w:t>
            </w:r>
          </w:p>
        </w:tc>
        <w:tc>
          <w:tcPr>
            <w:tcW w:w="1801" w:type="dxa"/>
            <w:tcBorders>
              <w:tl2br w:val="nil"/>
              <w:tr2bl w:val="nil"/>
            </w:tcBorders>
            <w:vAlign w:val="center"/>
          </w:tcPr>
          <w:p>
            <w:pPr>
              <w:pStyle w:val="28"/>
              <w:bidi w:val="0"/>
              <w:rPr>
                <w:color w:val="auto"/>
                <w:highlight w:val="none"/>
              </w:rPr>
            </w:pPr>
            <w:r>
              <w:rPr>
                <w:color w:val="auto"/>
                <w:highlight w:val="none"/>
              </w:rPr>
              <w:t>3.6270</w:t>
            </w:r>
          </w:p>
        </w:tc>
        <w:tc>
          <w:tcPr>
            <w:tcW w:w="1676" w:type="dxa"/>
            <w:tcBorders>
              <w:tl2br w:val="nil"/>
              <w:tr2bl w:val="nil"/>
            </w:tcBorders>
            <w:vAlign w:val="center"/>
          </w:tcPr>
          <w:p>
            <w:pPr>
              <w:pStyle w:val="28"/>
              <w:bidi w:val="0"/>
              <w:rPr>
                <w:color w:val="auto"/>
                <w:highlight w:val="none"/>
              </w:rPr>
            </w:pPr>
            <w:r>
              <w:rPr>
                <w:color w:val="auto"/>
                <w:highlight w:val="none"/>
              </w:rPr>
              <w:t>1.8135</w:t>
            </w:r>
          </w:p>
        </w:tc>
        <w:tc>
          <w:tcPr>
            <w:tcW w:w="1784" w:type="dxa"/>
            <w:tcBorders>
              <w:tl2br w:val="nil"/>
              <w:tr2bl w:val="nil"/>
            </w:tcBorders>
            <w:vAlign w:val="center"/>
          </w:tcPr>
          <w:p>
            <w:pPr>
              <w:pStyle w:val="28"/>
              <w:bidi w:val="0"/>
              <w:rPr>
                <w:color w:val="auto"/>
                <w:highlight w:val="none"/>
              </w:rPr>
            </w:pPr>
            <w:r>
              <w:rPr>
                <w:color w:val="auto"/>
                <w:highlight w:val="none"/>
              </w:rPr>
              <w:t>1.1658</w:t>
            </w:r>
          </w:p>
        </w:tc>
        <w:tc>
          <w:tcPr>
            <w:tcW w:w="1658" w:type="dxa"/>
            <w:tcBorders>
              <w:tl2br w:val="nil"/>
              <w:tr2bl w:val="nil"/>
            </w:tcBorders>
            <w:vAlign w:val="center"/>
          </w:tcPr>
          <w:p>
            <w:pPr>
              <w:pStyle w:val="28"/>
              <w:bidi w:val="0"/>
              <w:rPr>
                <w:color w:val="auto"/>
                <w:highlight w:val="none"/>
              </w:rPr>
            </w:pPr>
            <w:r>
              <w:rPr>
                <w:rFonts w:hint="eastAsia"/>
                <w:color w:val="auto"/>
                <w:highlight w:val="none"/>
                <w:lang w:val="en-US" w:eastAsia="zh-CN"/>
              </w:rPr>
              <w:t>9</w:t>
            </w:r>
            <w:r>
              <w:rPr>
                <w:color w:val="auto"/>
                <w:highlight w:val="none"/>
              </w:rPr>
              <w:t>.6582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01" w:type="dxa"/>
            <w:tcBorders>
              <w:tl2br w:val="nil"/>
              <w:tr2bl w:val="nil"/>
            </w:tcBorders>
            <w:vAlign w:val="center"/>
          </w:tcPr>
          <w:p>
            <w:pPr>
              <w:pStyle w:val="28"/>
              <w:widowControl w:val="0"/>
              <w:rPr>
                <w:color w:val="auto"/>
                <w:highlight w:val="none"/>
              </w:rPr>
            </w:pPr>
            <w:r>
              <w:rPr>
                <w:color w:val="auto"/>
                <w:highlight w:val="none"/>
              </w:rPr>
              <w:t>100.0</w:t>
            </w:r>
          </w:p>
        </w:tc>
        <w:tc>
          <w:tcPr>
            <w:tcW w:w="1801" w:type="dxa"/>
            <w:tcBorders>
              <w:tl2br w:val="nil"/>
              <w:tr2bl w:val="nil"/>
            </w:tcBorders>
            <w:vAlign w:val="center"/>
          </w:tcPr>
          <w:p>
            <w:pPr>
              <w:pStyle w:val="28"/>
              <w:bidi w:val="0"/>
              <w:rPr>
                <w:color w:val="auto"/>
                <w:highlight w:val="none"/>
              </w:rPr>
            </w:pPr>
            <w:r>
              <w:rPr>
                <w:color w:val="auto"/>
                <w:highlight w:val="none"/>
              </w:rPr>
              <w:t>2.6245</w:t>
            </w:r>
          </w:p>
        </w:tc>
        <w:tc>
          <w:tcPr>
            <w:tcW w:w="1676" w:type="dxa"/>
            <w:tcBorders>
              <w:tl2br w:val="nil"/>
              <w:tr2bl w:val="nil"/>
            </w:tcBorders>
            <w:vAlign w:val="center"/>
          </w:tcPr>
          <w:p>
            <w:pPr>
              <w:pStyle w:val="28"/>
              <w:bidi w:val="0"/>
              <w:rPr>
                <w:color w:val="auto"/>
                <w:highlight w:val="none"/>
              </w:rPr>
            </w:pPr>
            <w:r>
              <w:rPr>
                <w:color w:val="auto"/>
                <w:highlight w:val="none"/>
              </w:rPr>
              <w:t>1.3122</w:t>
            </w:r>
          </w:p>
        </w:tc>
        <w:tc>
          <w:tcPr>
            <w:tcW w:w="1784" w:type="dxa"/>
            <w:tcBorders>
              <w:tl2br w:val="nil"/>
              <w:tr2bl w:val="nil"/>
            </w:tcBorders>
            <w:vAlign w:val="center"/>
          </w:tcPr>
          <w:p>
            <w:pPr>
              <w:pStyle w:val="28"/>
              <w:bidi w:val="0"/>
              <w:rPr>
                <w:color w:val="auto"/>
                <w:highlight w:val="none"/>
              </w:rPr>
            </w:pPr>
            <w:r>
              <w:rPr>
                <w:color w:val="auto"/>
                <w:highlight w:val="none"/>
              </w:rPr>
              <w:t>0.8436</w:t>
            </w:r>
          </w:p>
        </w:tc>
        <w:tc>
          <w:tcPr>
            <w:tcW w:w="1658" w:type="dxa"/>
            <w:tcBorders>
              <w:tl2br w:val="nil"/>
              <w:tr2bl w:val="nil"/>
            </w:tcBorders>
            <w:vAlign w:val="center"/>
          </w:tcPr>
          <w:p>
            <w:pPr>
              <w:pStyle w:val="28"/>
              <w:bidi w:val="0"/>
              <w:rPr>
                <w:color w:val="auto"/>
                <w:highlight w:val="none"/>
              </w:rPr>
            </w:pPr>
            <w:r>
              <w:rPr>
                <w:color w:val="auto"/>
                <w:highlight w:val="none"/>
              </w:rPr>
              <w:t>8.4359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w:t>
            </w:r>
          </w:p>
        </w:tc>
        <w:tc>
          <w:tcPr>
            <w:tcW w:w="1801" w:type="dxa"/>
            <w:tcBorders>
              <w:tl2br w:val="nil"/>
              <w:tr2bl w:val="nil"/>
            </w:tcBorders>
            <w:vAlign w:val="center"/>
          </w:tcPr>
          <w:p>
            <w:pPr>
              <w:pStyle w:val="28"/>
              <w:bidi w:val="0"/>
              <w:rPr>
                <w:color w:val="auto"/>
                <w:highlight w:val="none"/>
              </w:rPr>
            </w:pPr>
            <w:r>
              <w:rPr>
                <w:color w:val="auto"/>
                <w:highlight w:val="none"/>
              </w:rPr>
              <w:t>1.6921</w:t>
            </w:r>
          </w:p>
        </w:tc>
        <w:tc>
          <w:tcPr>
            <w:tcW w:w="1676" w:type="dxa"/>
            <w:tcBorders>
              <w:tl2br w:val="nil"/>
              <w:tr2bl w:val="nil"/>
            </w:tcBorders>
            <w:vAlign w:val="center"/>
          </w:tcPr>
          <w:p>
            <w:pPr>
              <w:pStyle w:val="28"/>
              <w:bidi w:val="0"/>
              <w:rPr>
                <w:color w:val="auto"/>
                <w:highlight w:val="none"/>
              </w:rPr>
            </w:pPr>
            <w:r>
              <w:rPr>
                <w:color w:val="auto"/>
                <w:highlight w:val="none"/>
              </w:rPr>
              <w:t>0.8460</w:t>
            </w:r>
          </w:p>
        </w:tc>
        <w:tc>
          <w:tcPr>
            <w:tcW w:w="1784" w:type="dxa"/>
            <w:tcBorders>
              <w:tl2br w:val="nil"/>
              <w:tr2bl w:val="nil"/>
            </w:tcBorders>
            <w:vAlign w:val="center"/>
          </w:tcPr>
          <w:p>
            <w:pPr>
              <w:pStyle w:val="28"/>
              <w:bidi w:val="0"/>
              <w:rPr>
                <w:color w:val="auto"/>
                <w:highlight w:val="none"/>
              </w:rPr>
            </w:pPr>
            <w:r>
              <w:rPr>
                <w:color w:val="auto"/>
                <w:highlight w:val="none"/>
              </w:rPr>
              <w:t>0.5439</w:t>
            </w:r>
          </w:p>
        </w:tc>
        <w:tc>
          <w:tcPr>
            <w:tcW w:w="1658" w:type="dxa"/>
            <w:tcBorders>
              <w:tl2br w:val="nil"/>
              <w:tr2bl w:val="nil"/>
            </w:tcBorders>
            <w:vAlign w:val="center"/>
          </w:tcPr>
          <w:p>
            <w:pPr>
              <w:pStyle w:val="28"/>
              <w:bidi w:val="0"/>
              <w:rPr>
                <w:color w:val="auto"/>
                <w:highlight w:val="none"/>
              </w:rPr>
            </w:pPr>
            <w:r>
              <w:rPr>
                <w:color w:val="auto"/>
                <w:highlight w:val="none"/>
              </w:rPr>
              <w:t>5.4389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w:t>
            </w:r>
          </w:p>
        </w:tc>
        <w:tc>
          <w:tcPr>
            <w:tcW w:w="1801" w:type="dxa"/>
            <w:tcBorders>
              <w:tl2br w:val="nil"/>
              <w:tr2bl w:val="nil"/>
            </w:tcBorders>
            <w:vAlign w:val="center"/>
          </w:tcPr>
          <w:p>
            <w:pPr>
              <w:pStyle w:val="28"/>
              <w:bidi w:val="0"/>
              <w:rPr>
                <w:color w:val="auto"/>
                <w:highlight w:val="none"/>
              </w:rPr>
            </w:pPr>
            <w:r>
              <w:rPr>
                <w:color w:val="auto"/>
                <w:highlight w:val="none"/>
              </w:rPr>
              <w:t>1.2361</w:t>
            </w:r>
          </w:p>
        </w:tc>
        <w:tc>
          <w:tcPr>
            <w:tcW w:w="1676" w:type="dxa"/>
            <w:tcBorders>
              <w:tl2br w:val="nil"/>
              <w:tr2bl w:val="nil"/>
            </w:tcBorders>
            <w:vAlign w:val="center"/>
          </w:tcPr>
          <w:p>
            <w:pPr>
              <w:pStyle w:val="28"/>
              <w:bidi w:val="0"/>
              <w:rPr>
                <w:color w:val="auto"/>
                <w:highlight w:val="none"/>
              </w:rPr>
            </w:pPr>
            <w:r>
              <w:rPr>
                <w:color w:val="auto"/>
                <w:highlight w:val="none"/>
              </w:rPr>
              <w:t>0.6180</w:t>
            </w:r>
          </w:p>
        </w:tc>
        <w:tc>
          <w:tcPr>
            <w:tcW w:w="1784" w:type="dxa"/>
            <w:tcBorders>
              <w:tl2br w:val="nil"/>
              <w:tr2bl w:val="nil"/>
            </w:tcBorders>
            <w:vAlign w:val="center"/>
          </w:tcPr>
          <w:p>
            <w:pPr>
              <w:pStyle w:val="28"/>
              <w:bidi w:val="0"/>
              <w:rPr>
                <w:color w:val="auto"/>
                <w:highlight w:val="none"/>
              </w:rPr>
            </w:pPr>
            <w:r>
              <w:rPr>
                <w:color w:val="auto"/>
                <w:highlight w:val="none"/>
              </w:rPr>
              <w:t>0.3973</w:t>
            </w:r>
          </w:p>
        </w:tc>
        <w:tc>
          <w:tcPr>
            <w:tcW w:w="1658" w:type="dxa"/>
            <w:tcBorders>
              <w:tl2br w:val="nil"/>
              <w:tr2bl w:val="nil"/>
            </w:tcBorders>
            <w:vAlign w:val="center"/>
          </w:tcPr>
          <w:p>
            <w:pPr>
              <w:pStyle w:val="28"/>
              <w:bidi w:val="0"/>
              <w:rPr>
                <w:color w:val="auto"/>
                <w:highlight w:val="none"/>
              </w:rPr>
            </w:pPr>
            <w:r>
              <w:rPr>
                <w:color w:val="auto"/>
                <w:highlight w:val="none"/>
              </w:rPr>
              <w:t>3.9732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w:t>
            </w:r>
          </w:p>
        </w:tc>
        <w:tc>
          <w:tcPr>
            <w:tcW w:w="1801" w:type="dxa"/>
            <w:tcBorders>
              <w:tl2br w:val="nil"/>
              <w:tr2bl w:val="nil"/>
            </w:tcBorders>
            <w:vAlign w:val="center"/>
          </w:tcPr>
          <w:p>
            <w:pPr>
              <w:pStyle w:val="28"/>
              <w:bidi w:val="0"/>
              <w:rPr>
                <w:color w:val="auto"/>
                <w:highlight w:val="none"/>
              </w:rPr>
            </w:pPr>
            <w:r>
              <w:rPr>
                <w:color w:val="auto"/>
                <w:highlight w:val="none"/>
              </w:rPr>
              <w:t>0.9420</w:t>
            </w:r>
          </w:p>
        </w:tc>
        <w:tc>
          <w:tcPr>
            <w:tcW w:w="1676" w:type="dxa"/>
            <w:tcBorders>
              <w:tl2br w:val="nil"/>
              <w:tr2bl w:val="nil"/>
            </w:tcBorders>
            <w:vAlign w:val="center"/>
          </w:tcPr>
          <w:p>
            <w:pPr>
              <w:pStyle w:val="28"/>
              <w:bidi w:val="0"/>
              <w:rPr>
                <w:color w:val="auto"/>
                <w:highlight w:val="none"/>
              </w:rPr>
            </w:pPr>
            <w:r>
              <w:rPr>
                <w:color w:val="auto"/>
                <w:highlight w:val="none"/>
              </w:rPr>
              <w:t>0.4710</w:t>
            </w:r>
          </w:p>
        </w:tc>
        <w:tc>
          <w:tcPr>
            <w:tcW w:w="1784" w:type="dxa"/>
            <w:tcBorders>
              <w:tl2br w:val="nil"/>
              <w:tr2bl w:val="nil"/>
            </w:tcBorders>
            <w:vAlign w:val="center"/>
          </w:tcPr>
          <w:p>
            <w:pPr>
              <w:pStyle w:val="28"/>
              <w:bidi w:val="0"/>
              <w:rPr>
                <w:color w:val="auto"/>
                <w:highlight w:val="none"/>
              </w:rPr>
            </w:pPr>
            <w:r>
              <w:rPr>
                <w:color w:val="auto"/>
                <w:highlight w:val="none"/>
              </w:rPr>
              <w:t>0.3028</w:t>
            </w:r>
          </w:p>
        </w:tc>
        <w:tc>
          <w:tcPr>
            <w:tcW w:w="1658" w:type="dxa"/>
            <w:tcBorders>
              <w:tl2br w:val="nil"/>
              <w:tr2bl w:val="nil"/>
            </w:tcBorders>
            <w:vAlign w:val="center"/>
          </w:tcPr>
          <w:p>
            <w:pPr>
              <w:pStyle w:val="28"/>
              <w:bidi w:val="0"/>
              <w:rPr>
                <w:color w:val="auto"/>
                <w:highlight w:val="none"/>
              </w:rPr>
            </w:pPr>
            <w:r>
              <w:rPr>
                <w:color w:val="auto"/>
                <w:highlight w:val="none"/>
              </w:rPr>
              <w:t>3.0279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w:t>
            </w:r>
          </w:p>
        </w:tc>
        <w:tc>
          <w:tcPr>
            <w:tcW w:w="1801" w:type="dxa"/>
            <w:tcBorders>
              <w:tl2br w:val="nil"/>
              <w:tr2bl w:val="nil"/>
            </w:tcBorders>
            <w:vAlign w:val="center"/>
          </w:tcPr>
          <w:p>
            <w:pPr>
              <w:pStyle w:val="28"/>
              <w:bidi w:val="0"/>
              <w:rPr>
                <w:color w:val="auto"/>
                <w:highlight w:val="none"/>
              </w:rPr>
            </w:pPr>
            <w:r>
              <w:rPr>
                <w:color w:val="auto"/>
                <w:highlight w:val="none"/>
              </w:rPr>
              <w:t>0.7471</w:t>
            </w:r>
          </w:p>
        </w:tc>
        <w:tc>
          <w:tcPr>
            <w:tcW w:w="1676" w:type="dxa"/>
            <w:tcBorders>
              <w:tl2br w:val="nil"/>
              <w:tr2bl w:val="nil"/>
            </w:tcBorders>
            <w:vAlign w:val="center"/>
          </w:tcPr>
          <w:p>
            <w:pPr>
              <w:pStyle w:val="28"/>
              <w:bidi w:val="0"/>
              <w:rPr>
                <w:color w:val="auto"/>
                <w:highlight w:val="none"/>
              </w:rPr>
            </w:pPr>
            <w:r>
              <w:rPr>
                <w:color w:val="auto"/>
                <w:highlight w:val="none"/>
              </w:rPr>
              <w:t>0.3735</w:t>
            </w:r>
          </w:p>
        </w:tc>
        <w:tc>
          <w:tcPr>
            <w:tcW w:w="1784" w:type="dxa"/>
            <w:tcBorders>
              <w:tl2br w:val="nil"/>
              <w:tr2bl w:val="nil"/>
            </w:tcBorders>
            <w:vAlign w:val="center"/>
          </w:tcPr>
          <w:p>
            <w:pPr>
              <w:pStyle w:val="28"/>
              <w:bidi w:val="0"/>
              <w:rPr>
                <w:color w:val="auto"/>
                <w:highlight w:val="none"/>
              </w:rPr>
            </w:pPr>
            <w:r>
              <w:rPr>
                <w:color w:val="auto"/>
                <w:highlight w:val="none"/>
              </w:rPr>
              <w:t>0.2401</w:t>
            </w:r>
          </w:p>
        </w:tc>
        <w:tc>
          <w:tcPr>
            <w:tcW w:w="1658" w:type="dxa"/>
            <w:tcBorders>
              <w:tl2br w:val="nil"/>
              <w:tr2bl w:val="nil"/>
            </w:tcBorders>
            <w:vAlign w:val="center"/>
          </w:tcPr>
          <w:p>
            <w:pPr>
              <w:pStyle w:val="28"/>
              <w:bidi w:val="0"/>
              <w:rPr>
                <w:color w:val="auto"/>
                <w:highlight w:val="none"/>
              </w:rPr>
            </w:pPr>
            <w:r>
              <w:rPr>
                <w:color w:val="auto"/>
                <w:highlight w:val="none"/>
              </w:rPr>
              <w:t>2.4014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600.0</w:t>
            </w:r>
          </w:p>
        </w:tc>
        <w:tc>
          <w:tcPr>
            <w:tcW w:w="1801" w:type="dxa"/>
            <w:tcBorders>
              <w:tl2br w:val="nil"/>
              <w:tr2bl w:val="nil"/>
            </w:tcBorders>
            <w:vAlign w:val="center"/>
          </w:tcPr>
          <w:p>
            <w:pPr>
              <w:pStyle w:val="28"/>
              <w:bidi w:val="0"/>
              <w:rPr>
                <w:color w:val="auto"/>
                <w:highlight w:val="none"/>
              </w:rPr>
            </w:pPr>
            <w:r>
              <w:rPr>
                <w:color w:val="auto"/>
                <w:highlight w:val="none"/>
              </w:rPr>
              <w:t>0.6104</w:t>
            </w:r>
          </w:p>
        </w:tc>
        <w:tc>
          <w:tcPr>
            <w:tcW w:w="1676" w:type="dxa"/>
            <w:tcBorders>
              <w:tl2br w:val="nil"/>
              <w:tr2bl w:val="nil"/>
            </w:tcBorders>
            <w:vAlign w:val="center"/>
          </w:tcPr>
          <w:p>
            <w:pPr>
              <w:pStyle w:val="28"/>
              <w:bidi w:val="0"/>
              <w:rPr>
                <w:color w:val="auto"/>
                <w:highlight w:val="none"/>
              </w:rPr>
            </w:pPr>
            <w:r>
              <w:rPr>
                <w:color w:val="auto"/>
                <w:highlight w:val="none"/>
              </w:rPr>
              <w:t>0.3052</w:t>
            </w:r>
          </w:p>
        </w:tc>
        <w:tc>
          <w:tcPr>
            <w:tcW w:w="1784" w:type="dxa"/>
            <w:tcBorders>
              <w:tl2br w:val="nil"/>
              <w:tr2bl w:val="nil"/>
            </w:tcBorders>
            <w:vAlign w:val="center"/>
          </w:tcPr>
          <w:p>
            <w:pPr>
              <w:pStyle w:val="28"/>
              <w:bidi w:val="0"/>
              <w:rPr>
                <w:color w:val="auto"/>
                <w:highlight w:val="none"/>
              </w:rPr>
            </w:pPr>
            <w:r>
              <w:rPr>
                <w:color w:val="auto"/>
                <w:highlight w:val="none"/>
              </w:rPr>
              <w:t>0.1962</w:t>
            </w:r>
          </w:p>
        </w:tc>
        <w:tc>
          <w:tcPr>
            <w:tcW w:w="1658" w:type="dxa"/>
            <w:tcBorders>
              <w:tl2br w:val="nil"/>
              <w:tr2bl w:val="nil"/>
            </w:tcBorders>
            <w:vAlign w:val="center"/>
          </w:tcPr>
          <w:p>
            <w:pPr>
              <w:pStyle w:val="28"/>
              <w:bidi w:val="0"/>
              <w:rPr>
                <w:color w:val="auto"/>
                <w:highlight w:val="none"/>
              </w:rPr>
            </w:pPr>
            <w:r>
              <w:rPr>
                <w:color w:val="auto"/>
                <w:highlight w:val="none"/>
              </w:rPr>
              <w:t>1.9621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700.0</w:t>
            </w:r>
          </w:p>
        </w:tc>
        <w:tc>
          <w:tcPr>
            <w:tcW w:w="1801" w:type="dxa"/>
            <w:tcBorders>
              <w:tl2br w:val="nil"/>
              <w:tr2bl w:val="nil"/>
            </w:tcBorders>
            <w:vAlign w:val="center"/>
          </w:tcPr>
          <w:p>
            <w:pPr>
              <w:pStyle w:val="28"/>
              <w:bidi w:val="0"/>
              <w:rPr>
                <w:color w:val="auto"/>
                <w:highlight w:val="none"/>
              </w:rPr>
            </w:pPr>
            <w:r>
              <w:rPr>
                <w:color w:val="auto"/>
                <w:highlight w:val="none"/>
              </w:rPr>
              <w:t>0.5108</w:t>
            </w:r>
          </w:p>
        </w:tc>
        <w:tc>
          <w:tcPr>
            <w:tcW w:w="1676" w:type="dxa"/>
            <w:tcBorders>
              <w:tl2br w:val="nil"/>
              <w:tr2bl w:val="nil"/>
            </w:tcBorders>
            <w:vAlign w:val="center"/>
          </w:tcPr>
          <w:p>
            <w:pPr>
              <w:pStyle w:val="28"/>
              <w:bidi w:val="0"/>
              <w:rPr>
                <w:color w:val="auto"/>
                <w:highlight w:val="none"/>
              </w:rPr>
            </w:pPr>
            <w:r>
              <w:rPr>
                <w:color w:val="auto"/>
                <w:highlight w:val="none"/>
              </w:rPr>
              <w:t>0.2554</w:t>
            </w:r>
          </w:p>
        </w:tc>
        <w:tc>
          <w:tcPr>
            <w:tcW w:w="1784" w:type="dxa"/>
            <w:tcBorders>
              <w:tl2br w:val="nil"/>
              <w:tr2bl w:val="nil"/>
            </w:tcBorders>
            <w:vAlign w:val="center"/>
          </w:tcPr>
          <w:p>
            <w:pPr>
              <w:pStyle w:val="28"/>
              <w:bidi w:val="0"/>
              <w:rPr>
                <w:color w:val="auto"/>
                <w:highlight w:val="none"/>
              </w:rPr>
            </w:pPr>
            <w:r>
              <w:rPr>
                <w:color w:val="auto"/>
                <w:highlight w:val="none"/>
              </w:rPr>
              <w:t>0.1642</w:t>
            </w:r>
          </w:p>
        </w:tc>
        <w:tc>
          <w:tcPr>
            <w:tcW w:w="1658" w:type="dxa"/>
            <w:tcBorders>
              <w:tl2br w:val="nil"/>
              <w:tr2bl w:val="nil"/>
            </w:tcBorders>
            <w:vAlign w:val="center"/>
          </w:tcPr>
          <w:p>
            <w:pPr>
              <w:pStyle w:val="28"/>
              <w:bidi w:val="0"/>
              <w:rPr>
                <w:color w:val="auto"/>
                <w:highlight w:val="none"/>
              </w:rPr>
            </w:pPr>
            <w:r>
              <w:rPr>
                <w:color w:val="auto"/>
                <w:highlight w:val="none"/>
              </w:rPr>
              <w:t>1.6418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800.0</w:t>
            </w:r>
          </w:p>
        </w:tc>
        <w:tc>
          <w:tcPr>
            <w:tcW w:w="1801" w:type="dxa"/>
            <w:tcBorders>
              <w:tl2br w:val="nil"/>
              <w:tr2bl w:val="nil"/>
            </w:tcBorders>
            <w:vAlign w:val="center"/>
          </w:tcPr>
          <w:p>
            <w:pPr>
              <w:pStyle w:val="28"/>
              <w:bidi w:val="0"/>
              <w:rPr>
                <w:color w:val="auto"/>
                <w:highlight w:val="none"/>
              </w:rPr>
            </w:pPr>
            <w:r>
              <w:rPr>
                <w:color w:val="auto"/>
                <w:highlight w:val="none"/>
              </w:rPr>
              <w:t>0.4360</w:t>
            </w:r>
          </w:p>
        </w:tc>
        <w:tc>
          <w:tcPr>
            <w:tcW w:w="1676" w:type="dxa"/>
            <w:tcBorders>
              <w:tl2br w:val="nil"/>
              <w:tr2bl w:val="nil"/>
            </w:tcBorders>
            <w:vAlign w:val="center"/>
          </w:tcPr>
          <w:p>
            <w:pPr>
              <w:pStyle w:val="28"/>
              <w:bidi w:val="0"/>
              <w:rPr>
                <w:color w:val="auto"/>
                <w:highlight w:val="none"/>
              </w:rPr>
            </w:pPr>
            <w:r>
              <w:rPr>
                <w:color w:val="auto"/>
                <w:highlight w:val="none"/>
              </w:rPr>
              <w:t>0.2180</w:t>
            </w:r>
          </w:p>
        </w:tc>
        <w:tc>
          <w:tcPr>
            <w:tcW w:w="1784" w:type="dxa"/>
            <w:tcBorders>
              <w:tl2br w:val="nil"/>
              <w:tr2bl w:val="nil"/>
            </w:tcBorders>
            <w:vAlign w:val="center"/>
          </w:tcPr>
          <w:p>
            <w:pPr>
              <w:pStyle w:val="28"/>
              <w:bidi w:val="0"/>
              <w:rPr>
                <w:color w:val="auto"/>
                <w:highlight w:val="none"/>
              </w:rPr>
            </w:pPr>
            <w:r>
              <w:rPr>
                <w:color w:val="auto"/>
                <w:highlight w:val="none"/>
              </w:rPr>
              <w:t>0.1401</w:t>
            </w:r>
          </w:p>
        </w:tc>
        <w:tc>
          <w:tcPr>
            <w:tcW w:w="1658" w:type="dxa"/>
            <w:tcBorders>
              <w:tl2br w:val="nil"/>
              <w:tr2bl w:val="nil"/>
            </w:tcBorders>
            <w:vAlign w:val="center"/>
          </w:tcPr>
          <w:p>
            <w:pPr>
              <w:pStyle w:val="28"/>
              <w:bidi w:val="0"/>
              <w:rPr>
                <w:color w:val="auto"/>
                <w:highlight w:val="none"/>
              </w:rPr>
            </w:pPr>
            <w:r>
              <w:rPr>
                <w:color w:val="auto"/>
                <w:highlight w:val="none"/>
              </w:rPr>
              <w:t>1.4014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900.0</w:t>
            </w:r>
          </w:p>
        </w:tc>
        <w:tc>
          <w:tcPr>
            <w:tcW w:w="1801" w:type="dxa"/>
            <w:tcBorders>
              <w:tl2br w:val="nil"/>
              <w:tr2bl w:val="nil"/>
            </w:tcBorders>
            <w:vAlign w:val="center"/>
          </w:tcPr>
          <w:p>
            <w:pPr>
              <w:pStyle w:val="28"/>
              <w:bidi w:val="0"/>
              <w:rPr>
                <w:color w:val="auto"/>
                <w:highlight w:val="none"/>
              </w:rPr>
            </w:pPr>
            <w:r>
              <w:rPr>
                <w:color w:val="auto"/>
                <w:highlight w:val="none"/>
              </w:rPr>
              <w:t>0.3796</w:t>
            </w:r>
          </w:p>
        </w:tc>
        <w:tc>
          <w:tcPr>
            <w:tcW w:w="1676" w:type="dxa"/>
            <w:tcBorders>
              <w:tl2br w:val="nil"/>
              <w:tr2bl w:val="nil"/>
            </w:tcBorders>
            <w:vAlign w:val="center"/>
          </w:tcPr>
          <w:p>
            <w:pPr>
              <w:pStyle w:val="28"/>
              <w:bidi w:val="0"/>
              <w:rPr>
                <w:color w:val="auto"/>
                <w:highlight w:val="none"/>
              </w:rPr>
            </w:pPr>
            <w:r>
              <w:rPr>
                <w:color w:val="auto"/>
                <w:highlight w:val="none"/>
              </w:rPr>
              <w:t>0.1898</w:t>
            </w:r>
          </w:p>
        </w:tc>
        <w:tc>
          <w:tcPr>
            <w:tcW w:w="1784" w:type="dxa"/>
            <w:tcBorders>
              <w:tl2br w:val="nil"/>
              <w:tr2bl w:val="nil"/>
            </w:tcBorders>
            <w:vAlign w:val="center"/>
          </w:tcPr>
          <w:p>
            <w:pPr>
              <w:pStyle w:val="28"/>
              <w:bidi w:val="0"/>
              <w:rPr>
                <w:color w:val="auto"/>
                <w:highlight w:val="none"/>
              </w:rPr>
            </w:pPr>
            <w:r>
              <w:rPr>
                <w:color w:val="auto"/>
                <w:highlight w:val="none"/>
              </w:rPr>
              <w:t>0.1220</w:t>
            </w:r>
          </w:p>
        </w:tc>
        <w:tc>
          <w:tcPr>
            <w:tcW w:w="1658" w:type="dxa"/>
            <w:tcBorders>
              <w:tl2br w:val="nil"/>
              <w:tr2bl w:val="nil"/>
            </w:tcBorders>
            <w:vAlign w:val="center"/>
          </w:tcPr>
          <w:p>
            <w:pPr>
              <w:pStyle w:val="28"/>
              <w:bidi w:val="0"/>
              <w:rPr>
                <w:color w:val="auto"/>
                <w:highlight w:val="none"/>
              </w:rPr>
            </w:pPr>
            <w:r>
              <w:rPr>
                <w:color w:val="auto"/>
                <w:highlight w:val="none"/>
              </w:rPr>
              <w:t>1.2200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w:t>
            </w:r>
          </w:p>
        </w:tc>
        <w:tc>
          <w:tcPr>
            <w:tcW w:w="1801" w:type="dxa"/>
            <w:tcBorders>
              <w:tl2br w:val="nil"/>
              <w:tr2bl w:val="nil"/>
            </w:tcBorders>
            <w:vAlign w:val="center"/>
          </w:tcPr>
          <w:p>
            <w:pPr>
              <w:pStyle w:val="28"/>
              <w:bidi w:val="0"/>
              <w:rPr>
                <w:color w:val="auto"/>
                <w:highlight w:val="none"/>
              </w:rPr>
            </w:pPr>
            <w:r>
              <w:rPr>
                <w:color w:val="auto"/>
                <w:highlight w:val="none"/>
              </w:rPr>
              <w:t>0.3335</w:t>
            </w:r>
          </w:p>
        </w:tc>
        <w:tc>
          <w:tcPr>
            <w:tcW w:w="1676" w:type="dxa"/>
            <w:tcBorders>
              <w:tl2br w:val="nil"/>
              <w:tr2bl w:val="nil"/>
            </w:tcBorders>
            <w:vAlign w:val="center"/>
          </w:tcPr>
          <w:p>
            <w:pPr>
              <w:pStyle w:val="28"/>
              <w:bidi w:val="0"/>
              <w:rPr>
                <w:color w:val="auto"/>
                <w:highlight w:val="none"/>
              </w:rPr>
            </w:pPr>
            <w:r>
              <w:rPr>
                <w:color w:val="auto"/>
                <w:highlight w:val="none"/>
              </w:rPr>
              <w:t>0.1667</w:t>
            </w:r>
          </w:p>
        </w:tc>
        <w:tc>
          <w:tcPr>
            <w:tcW w:w="1784" w:type="dxa"/>
            <w:tcBorders>
              <w:tl2br w:val="nil"/>
              <w:tr2bl w:val="nil"/>
            </w:tcBorders>
            <w:vAlign w:val="center"/>
          </w:tcPr>
          <w:p>
            <w:pPr>
              <w:pStyle w:val="28"/>
              <w:bidi w:val="0"/>
              <w:rPr>
                <w:color w:val="auto"/>
                <w:highlight w:val="none"/>
              </w:rPr>
            </w:pPr>
            <w:r>
              <w:rPr>
                <w:color w:val="auto"/>
                <w:highlight w:val="none"/>
              </w:rPr>
              <w:t>0.1072</w:t>
            </w:r>
          </w:p>
        </w:tc>
        <w:tc>
          <w:tcPr>
            <w:tcW w:w="1658" w:type="dxa"/>
            <w:tcBorders>
              <w:tl2br w:val="nil"/>
              <w:tr2bl w:val="nil"/>
            </w:tcBorders>
            <w:vAlign w:val="center"/>
          </w:tcPr>
          <w:p>
            <w:pPr>
              <w:pStyle w:val="28"/>
              <w:bidi w:val="0"/>
              <w:rPr>
                <w:color w:val="auto"/>
                <w:highlight w:val="none"/>
              </w:rPr>
            </w:pPr>
            <w:r>
              <w:rPr>
                <w:color w:val="auto"/>
                <w:highlight w:val="none"/>
              </w:rPr>
              <w:t>1.0719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w:t>
            </w:r>
          </w:p>
        </w:tc>
        <w:tc>
          <w:tcPr>
            <w:tcW w:w="1801" w:type="dxa"/>
            <w:tcBorders>
              <w:tl2br w:val="nil"/>
              <w:tr2bl w:val="nil"/>
            </w:tcBorders>
            <w:vAlign w:val="center"/>
          </w:tcPr>
          <w:p>
            <w:pPr>
              <w:pStyle w:val="28"/>
              <w:bidi w:val="0"/>
              <w:rPr>
                <w:color w:val="auto"/>
                <w:highlight w:val="none"/>
              </w:rPr>
            </w:pPr>
            <w:r>
              <w:rPr>
                <w:color w:val="auto"/>
                <w:highlight w:val="none"/>
              </w:rPr>
              <w:t>0.2658</w:t>
            </w:r>
          </w:p>
        </w:tc>
        <w:tc>
          <w:tcPr>
            <w:tcW w:w="1676" w:type="dxa"/>
            <w:tcBorders>
              <w:tl2br w:val="nil"/>
              <w:tr2bl w:val="nil"/>
            </w:tcBorders>
            <w:vAlign w:val="center"/>
          </w:tcPr>
          <w:p>
            <w:pPr>
              <w:pStyle w:val="28"/>
              <w:bidi w:val="0"/>
              <w:rPr>
                <w:color w:val="auto"/>
                <w:highlight w:val="none"/>
              </w:rPr>
            </w:pPr>
            <w:r>
              <w:rPr>
                <w:color w:val="auto"/>
                <w:highlight w:val="none"/>
              </w:rPr>
              <w:t>0.1329</w:t>
            </w:r>
          </w:p>
        </w:tc>
        <w:tc>
          <w:tcPr>
            <w:tcW w:w="1784" w:type="dxa"/>
            <w:tcBorders>
              <w:tl2br w:val="nil"/>
              <w:tr2bl w:val="nil"/>
            </w:tcBorders>
            <w:vAlign w:val="center"/>
          </w:tcPr>
          <w:p>
            <w:pPr>
              <w:pStyle w:val="28"/>
              <w:bidi w:val="0"/>
              <w:rPr>
                <w:color w:val="auto"/>
                <w:highlight w:val="none"/>
              </w:rPr>
            </w:pPr>
            <w:r>
              <w:rPr>
                <w:color w:val="auto"/>
                <w:highlight w:val="none"/>
              </w:rPr>
              <w:t>0.0854</w:t>
            </w:r>
          </w:p>
        </w:tc>
        <w:tc>
          <w:tcPr>
            <w:tcW w:w="1658" w:type="dxa"/>
            <w:tcBorders>
              <w:tl2br w:val="nil"/>
              <w:tr2bl w:val="nil"/>
            </w:tcBorders>
            <w:vAlign w:val="center"/>
          </w:tcPr>
          <w:p>
            <w:pPr>
              <w:pStyle w:val="28"/>
              <w:bidi w:val="0"/>
              <w:rPr>
                <w:color w:val="auto"/>
                <w:highlight w:val="none"/>
              </w:rPr>
            </w:pPr>
            <w:r>
              <w:rPr>
                <w:color w:val="auto"/>
                <w:highlight w:val="none"/>
              </w:rPr>
              <w:t>0.8543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w:t>
            </w:r>
          </w:p>
        </w:tc>
        <w:tc>
          <w:tcPr>
            <w:tcW w:w="1801" w:type="dxa"/>
            <w:tcBorders>
              <w:tl2br w:val="nil"/>
              <w:tr2bl w:val="nil"/>
            </w:tcBorders>
            <w:vAlign w:val="center"/>
          </w:tcPr>
          <w:p>
            <w:pPr>
              <w:pStyle w:val="28"/>
              <w:bidi w:val="0"/>
              <w:rPr>
                <w:color w:val="auto"/>
                <w:highlight w:val="none"/>
              </w:rPr>
            </w:pPr>
            <w:r>
              <w:rPr>
                <w:color w:val="auto"/>
                <w:highlight w:val="none"/>
              </w:rPr>
              <w:t>0.2192</w:t>
            </w:r>
          </w:p>
        </w:tc>
        <w:tc>
          <w:tcPr>
            <w:tcW w:w="1676" w:type="dxa"/>
            <w:tcBorders>
              <w:tl2br w:val="nil"/>
              <w:tr2bl w:val="nil"/>
            </w:tcBorders>
            <w:vAlign w:val="center"/>
          </w:tcPr>
          <w:p>
            <w:pPr>
              <w:pStyle w:val="28"/>
              <w:bidi w:val="0"/>
              <w:rPr>
                <w:color w:val="auto"/>
                <w:highlight w:val="none"/>
              </w:rPr>
            </w:pPr>
            <w:r>
              <w:rPr>
                <w:color w:val="auto"/>
                <w:highlight w:val="none"/>
              </w:rPr>
              <w:t>0.1096</w:t>
            </w:r>
          </w:p>
        </w:tc>
        <w:tc>
          <w:tcPr>
            <w:tcW w:w="1784" w:type="dxa"/>
            <w:tcBorders>
              <w:tl2br w:val="nil"/>
              <w:tr2bl w:val="nil"/>
            </w:tcBorders>
            <w:vAlign w:val="center"/>
          </w:tcPr>
          <w:p>
            <w:pPr>
              <w:pStyle w:val="28"/>
              <w:bidi w:val="0"/>
              <w:rPr>
                <w:color w:val="auto"/>
                <w:highlight w:val="none"/>
              </w:rPr>
            </w:pPr>
            <w:r>
              <w:rPr>
                <w:color w:val="auto"/>
                <w:highlight w:val="none"/>
              </w:rPr>
              <w:t>0.0705</w:t>
            </w:r>
          </w:p>
        </w:tc>
        <w:tc>
          <w:tcPr>
            <w:tcW w:w="1658" w:type="dxa"/>
            <w:tcBorders>
              <w:tl2br w:val="nil"/>
              <w:tr2bl w:val="nil"/>
            </w:tcBorders>
            <w:vAlign w:val="center"/>
          </w:tcPr>
          <w:p>
            <w:pPr>
              <w:pStyle w:val="28"/>
              <w:bidi w:val="0"/>
              <w:rPr>
                <w:color w:val="auto"/>
                <w:highlight w:val="none"/>
              </w:rPr>
            </w:pPr>
            <w:r>
              <w:rPr>
                <w:color w:val="auto"/>
                <w:highlight w:val="none"/>
              </w:rPr>
              <w:t>0.7046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1600.0</w:t>
            </w:r>
          </w:p>
        </w:tc>
        <w:tc>
          <w:tcPr>
            <w:tcW w:w="1801" w:type="dxa"/>
            <w:tcBorders>
              <w:tl2br w:val="nil"/>
              <w:tr2bl w:val="nil"/>
            </w:tcBorders>
            <w:vAlign w:val="center"/>
          </w:tcPr>
          <w:p>
            <w:pPr>
              <w:pStyle w:val="28"/>
              <w:bidi w:val="0"/>
              <w:rPr>
                <w:color w:val="auto"/>
                <w:highlight w:val="none"/>
              </w:rPr>
            </w:pPr>
            <w:r>
              <w:rPr>
                <w:color w:val="auto"/>
                <w:highlight w:val="none"/>
              </w:rPr>
              <w:t>0.1859</w:t>
            </w:r>
          </w:p>
        </w:tc>
        <w:tc>
          <w:tcPr>
            <w:tcW w:w="1676" w:type="dxa"/>
            <w:tcBorders>
              <w:tl2br w:val="nil"/>
              <w:tr2bl w:val="nil"/>
            </w:tcBorders>
            <w:vAlign w:val="center"/>
          </w:tcPr>
          <w:p>
            <w:pPr>
              <w:pStyle w:val="28"/>
              <w:bidi w:val="0"/>
              <w:rPr>
                <w:color w:val="auto"/>
                <w:highlight w:val="none"/>
              </w:rPr>
            </w:pPr>
            <w:r>
              <w:rPr>
                <w:color w:val="auto"/>
                <w:highlight w:val="none"/>
              </w:rPr>
              <w:t>0.0929</w:t>
            </w:r>
          </w:p>
        </w:tc>
        <w:tc>
          <w:tcPr>
            <w:tcW w:w="1784" w:type="dxa"/>
            <w:tcBorders>
              <w:tl2br w:val="nil"/>
              <w:tr2bl w:val="nil"/>
            </w:tcBorders>
            <w:vAlign w:val="center"/>
          </w:tcPr>
          <w:p>
            <w:pPr>
              <w:pStyle w:val="28"/>
              <w:bidi w:val="0"/>
              <w:rPr>
                <w:color w:val="auto"/>
                <w:highlight w:val="none"/>
              </w:rPr>
            </w:pPr>
            <w:r>
              <w:rPr>
                <w:color w:val="auto"/>
                <w:highlight w:val="none"/>
              </w:rPr>
              <w:t>0.0597</w:t>
            </w:r>
          </w:p>
        </w:tc>
        <w:tc>
          <w:tcPr>
            <w:tcW w:w="1658" w:type="dxa"/>
            <w:tcBorders>
              <w:tl2br w:val="nil"/>
              <w:tr2bl w:val="nil"/>
            </w:tcBorders>
            <w:vAlign w:val="center"/>
          </w:tcPr>
          <w:p>
            <w:pPr>
              <w:pStyle w:val="28"/>
              <w:bidi w:val="0"/>
              <w:rPr>
                <w:color w:val="auto"/>
                <w:highlight w:val="none"/>
              </w:rPr>
            </w:pPr>
            <w:r>
              <w:rPr>
                <w:color w:val="auto"/>
                <w:highlight w:val="none"/>
              </w:rPr>
              <w:t>0.5974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1800.0</w:t>
            </w:r>
          </w:p>
        </w:tc>
        <w:tc>
          <w:tcPr>
            <w:tcW w:w="1801" w:type="dxa"/>
            <w:tcBorders>
              <w:tl2br w:val="nil"/>
              <w:tr2bl w:val="nil"/>
            </w:tcBorders>
            <w:vAlign w:val="center"/>
          </w:tcPr>
          <w:p>
            <w:pPr>
              <w:pStyle w:val="28"/>
              <w:bidi w:val="0"/>
              <w:rPr>
                <w:color w:val="auto"/>
                <w:highlight w:val="none"/>
              </w:rPr>
            </w:pPr>
            <w:r>
              <w:rPr>
                <w:color w:val="auto"/>
                <w:highlight w:val="none"/>
              </w:rPr>
              <w:t>0.1606</w:t>
            </w:r>
          </w:p>
        </w:tc>
        <w:tc>
          <w:tcPr>
            <w:tcW w:w="1676" w:type="dxa"/>
            <w:tcBorders>
              <w:tl2br w:val="nil"/>
              <w:tr2bl w:val="nil"/>
            </w:tcBorders>
            <w:vAlign w:val="center"/>
          </w:tcPr>
          <w:p>
            <w:pPr>
              <w:pStyle w:val="28"/>
              <w:bidi w:val="0"/>
              <w:rPr>
                <w:color w:val="auto"/>
                <w:highlight w:val="none"/>
              </w:rPr>
            </w:pPr>
            <w:r>
              <w:rPr>
                <w:color w:val="auto"/>
                <w:highlight w:val="none"/>
              </w:rPr>
              <w:t>0.0803</w:t>
            </w:r>
          </w:p>
        </w:tc>
        <w:tc>
          <w:tcPr>
            <w:tcW w:w="1784" w:type="dxa"/>
            <w:tcBorders>
              <w:tl2br w:val="nil"/>
              <w:tr2bl w:val="nil"/>
            </w:tcBorders>
            <w:vAlign w:val="center"/>
          </w:tcPr>
          <w:p>
            <w:pPr>
              <w:pStyle w:val="28"/>
              <w:bidi w:val="0"/>
              <w:rPr>
                <w:color w:val="auto"/>
                <w:highlight w:val="none"/>
              </w:rPr>
            </w:pPr>
            <w:r>
              <w:rPr>
                <w:color w:val="auto"/>
                <w:highlight w:val="none"/>
              </w:rPr>
              <w:t>0.0516</w:t>
            </w:r>
          </w:p>
        </w:tc>
        <w:tc>
          <w:tcPr>
            <w:tcW w:w="1658" w:type="dxa"/>
            <w:tcBorders>
              <w:tl2br w:val="nil"/>
              <w:tr2bl w:val="nil"/>
            </w:tcBorders>
            <w:vAlign w:val="center"/>
          </w:tcPr>
          <w:p>
            <w:pPr>
              <w:pStyle w:val="28"/>
              <w:bidi w:val="0"/>
              <w:rPr>
                <w:color w:val="auto"/>
                <w:highlight w:val="none"/>
              </w:rPr>
            </w:pPr>
            <w:r>
              <w:rPr>
                <w:color w:val="auto"/>
                <w:highlight w:val="none"/>
              </w:rPr>
              <w:t>0.5164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w:t>
            </w:r>
          </w:p>
        </w:tc>
        <w:tc>
          <w:tcPr>
            <w:tcW w:w="1801" w:type="dxa"/>
            <w:tcBorders>
              <w:tl2br w:val="nil"/>
              <w:tr2bl w:val="nil"/>
            </w:tcBorders>
            <w:vAlign w:val="center"/>
          </w:tcPr>
          <w:p>
            <w:pPr>
              <w:pStyle w:val="28"/>
              <w:bidi w:val="0"/>
              <w:rPr>
                <w:color w:val="auto"/>
                <w:highlight w:val="none"/>
              </w:rPr>
            </w:pPr>
            <w:r>
              <w:rPr>
                <w:color w:val="auto"/>
                <w:highlight w:val="none"/>
              </w:rPr>
              <w:t>0.1403</w:t>
            </w:r>
          </w:p>
        </w:tc>
        <w:tc>
          <w:tcPr>
            <w:tcW w:w="1676" w:type="dxa"/>
            <w:tcBorders>
              <w:tl2br w:val="nil"/>
              <w:tr2bl w:val="nil"/>
            </w:tcBorders>
            <w:vAlign w:val="center"/>
          </w:tcPr>
          <w:p>
            <w:pPr>
              <w:pStyle w:val="28"/>
              <w:bidi w:val="0"/>
              <w:rPr>
                <w:color w:val="auto"/>
                <w:highlight w:val="none"/>
              </w:rPr>
            </w:pPr>
            <w:r>
              <w:rPr>
                <w:color w:val="auto"/>
                <w:highlight w:val="none"/>
              </w:rPr>
              <w:t>0.0701</w:t>
            </w:r>
          </w:p>
        </w:tc>
        <w:tc>
          <w:tcPr>
            <w:tcW w:w="1784" w:type="dxa"/>
            <w:tcBorders>
              <w:tl2br w:val="nil"/>
              <w:tr2bl w:val="nil"/>
            </w:tcBorders>
            <w:vAlign w:val="center"/>
          </w:tcPr>
          <w:p>
            <w:pPr>
              <w:pStyle w:val="28"/>
              <w:bidi w:val="0"/>
              <w:rPr>
                <w:color w:val="auto"/>
                <w:highlight w:val="none"/>
              </w:rPr>
            </w:pPr>
            <w:r>
              <w:rPr>
                <w:color w:val="auto"/>
                <w:highlight w:val="none"/>
              </w:rPr>
              <w:t>0.0451</w:t>
            </w:r>
          </w:p>
        </w:tc>
        <w:tc>
          <w:tcPr>
            <w:tcW w:w="1658" w:type="dxa"/>
            <w:tcBorders>
              <w:tl2br w:val="nil"/>
              <w:tr2bl w:val="nil"/>
            </w:tcBorders>
            <w:vAlign w:val="center"/>
          </w:tcPr>
          <w:p>
            <w:pPr>
              <w:pStyle w:val="28"/>
              <w:bidi w:val="0"/>
              <w:rPr>
                <w:color w:val="auto"/>
                <w:highlight w:val="none"/>
              </w:rPr>
            </w:pPr>
            <w:r>
              <w:rPr>
                <w:color w:val="auto"/>
                <w:highlight w:val="none"/>
              </w:rPr>
              <w:t>0.4508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w:t>
            </w:r>
          </w:p>
        </w:tc>
        <w:tc>
          <w:tcPr>
            <w:tcW w:w="1801" w:type="dxa"/>
            <w:tcBorders>
              <w:tl2br w:val="nil"/>
              <w:tr2bl w:val="nil"/>
            </w:tcBorders>
            <w:vAlign w:val="center"/>
          </w:tcPr>
          <w:p>
            <w:pPr>
              <w:pStyle w:val="28"/>
              <w:bidi w:val="0"/>
              <w:rPr>
                <w:color w:val="auto"/>
                <w:highlight w:val="none"/>
              </w:rPr>
            </w:pPr>
            <w:r>
              <w:rPr>
                <w:color w:val="auto"/>
                <w:highlight w:val="none"/>
              </w:rPr>
              <w:t>0.1050</w:t>
            </w:r>
          </w:p>
        </w:tc>
        <w:tc>
          <w:tcPr>
            <w:tcW w:w="1676" w:type="dxa"/>
            <w:tcBorders>
              <w:tl2br w:val="nil"/>
              <w:tr2bl w:val="nil"/>
            </w:tcBorders>
            <w:vAlign w:val="center"/>
          </w:tcPr>
          <w:p>
            <w:pPr>
              <w:pStyle w:val="28"/>
              <w:bidi w:val="0"/>
              <w:rPr>
                <w:color w:val="auto"/>
                <w:highlight w:val="none"/>
              </w:rPr>
            </w:pPr>
            <w:r>
              <w:rPr>
                <w:color w:val="auto"/>
                <w:highlight w:val="none"/>
              </w:rPr>
              <w:t>0.0525</w:t>
            </w:r>
          </w:p>
        </w:tc>
        <w:tc>
          <w:tcPr>
            <w:tcW w:w="1784" w:type="dxa"/>
            <w:tcBorders>
              <w:tl2br w:val="nil"/>
              <w:tr2bl w:val="nil"/>
            </w:tcBorders>
            <w:vAlign w:val="center"/>
          </w:tcPr>
          <w:p>
            <w:pPr>
              <w:pStyle w:val="28"/>
              <w:bidi w:val="0"/>
              <w:rPr>
                <w:color w:val="auto"/>
                <w:highlight w:val="none"/>
              </w:rPr>
            </w:pPr>
            <w:r>
              <w:rPr>
                <w:color w:val="auto"/>
                <w:highlight w:val="none"/>
              </w:rPr>
              <w:t>0.0338</w:t>
            </w:r>
          </w:p>
        </w:tc>
        <w:tc>
          <w:tcPr>
            <w:tcW w:w="1658" w:type="dxa"/>
            <w:tcBorders>
              <w:tl2br w:val="nil"/>
              <w:tr2bl w:val="nil"/>
            </w:tcBorders>
            <w:vAlign w:val="center"/>
          </w:tcPr>
          <w:p>
            <w:pPr>
              <w:pStyle w:val="28"/>
              <w:bidi w:val="0"/>
              <w:rPr>
                <w:color w:val="auto"/>
                <w:highlight w:val="none"/>
              </w:rPr>
            </w:pPr>
            <w:r>
              <w:rPr>
                <w:color w:val="auto"/>
                <w:highlight w:val="none"/>
              </w:rPr>
              <w:t>0.3375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3000.0</w:t>
            </w:r>
          </w:p>
        </w:tc>
        <w:tc>
          <w:tcPr>
            <w:tcW w:w="1801" w:type="dxa"/>
            <w:tcBorders>
              <w:tl2br w:val="nil"/>
              <w:tr2bl w:val="nil"/>
            </w:tcBorders>
            <w:vAlign w:val="center"/>
          </w:tcPr>
          <w:p>
            <w:pPr>
              <w:pStyle w:val="28"/>
              <w:bidi w:val="0"/>
              <w:rPr>
                <w:color w:val="auto"/>
                <w:highlight w:val="none"/>
              </w:rPr>
            </w:pPr>
            <w:r>
              <w:rPr>
                <w:color w:val="auto"/>
                <w:highlight w:val="none"/>
              </w:rPr>
              <w:t>0.0827</w:t>
            </w:r>
          </w:p>
        </w:tc>
        <w:tc>
          <w:tcPr>
            <w:tcW w:w="1676" w:type="dxa"/>
            <w:tcBorders>
              <w:tl2br w:val="nil"/>
              <w:tr2bl w:val="nil"/>
            </w:tcBorders>
            <w:vAlign w:val="center"/>
          </w:tcPr>
          <w:p>
            <w:pPr>
              <w:pStyle w:val="28"/>
              <w:bidi w:val="0"/>
              <w:rPr>
                <w:color w:val="auto"/>
                <w:highlight w:val="none"/>
              </w:rPr>
            </w:pPr>
            <w:r>
              <w:rPr>
                <w:color w:val="auto"/>
                <w:highlight w:val="none"/>
              </w:rPr>
              <w:t>0.0414</w:t>
            </w:r>
          </w:p>
        </w:tc>
        <w:tc>
          <w:tcPr>
            <w:tcW w:w="1784" w:type="dxa"/>
            <w:tcBorders>
              <w:tl2br w:val="nil"/>
              <w:tr2bl w:val="nil"/>
            </w:tcBorders>
            <w:vAlign w:val="center"/>
          </w:tcPr>
          <w:p>
            <w:pPr>
              <w:pStyle w:val="28"/>
              <w:bidi w:val="0"/>
              <w:rPr>
                <w:color w:val="auto"/>
                <w:highlight w:val="none"/>
              </w:rPr>
            </w:pPr>
            <w:r>
              <w:rPr>
                <w:color w:val="auto"/>
                <w:highlight w:val="none"/>
              </w:rPr>
              <w:t>0.0266</w:t>
            </w:r>
          </w:p>
        </w:tc>
        <w:tc>
          <w:tcPr>
            <w:tcW w:w="1658" w:type="dxa"/>
            <w:tcBorders>
              <w:tl2br w:val="nil"/>
              <w:tr2bl w:val="nil"/>
            </w:tcBorders>
            <w:vAlign w:val="center"/>
          </w:tcPr>
          <w:p>
            <w:pPr>
              <w:pStyle w:val="28"/>
              <w:bidi w:val="0"/>
              <w:rPr>
                <w:color w:val="auto"/>
                <w:highlight w:val="none"/>
              </w:rPr>
            </w:pPr>
            <w:r>
              <w:rPr>
                <w:color w:val="auto"/>
                <w:highlight w:val="none"/>
              </w:rPr>
              <w:t>0.2660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3500.0</w:t>
            </w:r>
          </w:p>
        </w:tc>
        <w:tc>
          <w:tcPr>
            <w:tcW w:w="1801" w:type="dxa"/>
            <w:tcBorders>
              <w:tl2br w:val="nil"/>
              <w:tr2bl w:val="nil"/>
            </w:tcBorders>
            <w:vAlign w:val="center"/>
          </w:tcPr>
          <w:p>
            <w:pPr>
              <w:pStyle w:val="28"/>
              <w:bidi w:val="0"/>
              <w:rPr>
                <w:color w:val="auto"/>
                <w:highlight w:val="none"/>
              </w:rPr>
            </w:pPr>
            <w:r>
              <w:rPr>
                <w:color w:val="auto"/>
                <w:highlight w:val="none"/>
              </w:rPr>
              <w:t>0.0676</w:t>
            </w:r>
          </w:p>
        </w:tc>
        <w:tc>
          <w:tcPr>
            <w:tcW w:w="1676" w:type="dxa"/>
            <w:tcBorders>
              <w:tl2br w:val="nil"/>
              <w:tr2bl w:val="nil"/>
            </w:tcBorders>
            <w:vAlign w:val="center"/>
          </w:tcPr>
          <w:p>
            <w:pPr>
              <w:pStyle w:val="28"/>
              <w:bidi w:val="0"/>
              <w:rPr>
                <w:color w:val="auto"/>
                <w:highlight w:val="none"/>
              </w:rPr>
            </w:pPr>
            <w:r>
              <w:rPr>
                <w:color w:val="auto"/>
                <w:highlight w:val="none"/>
              </w:rPr>
              <w:t>0.0338</w:t>
            </w:r>
          </w:p>
        </w:tc>
        <w:tc>
          <w:tcPr>
            <w:tcW w:w="1784" w:type="dxa"/>
            <w:tcBorders>
              <w:tl2br w:val="nil"/>
              <w:tr2bl w:val="nil"/>
            </w:tcBorders>
            <w:vAlign w:val="center"/>
          </w:tcPr>
          <w:p>
            <w:pPr>
              <w:pStyle w:val="28"/>
              <w:bidi w:val="0"/>
              <w:rPr>
                <w:color w:val="auto"/>
                <w:highlight w:val="none"/>
              </w:rPr>
            </w:pPr>
            <w:r>
              <w:rPr>
                <w:color w:val="auto"/>
                <w:highlight w:val="none"/>
              </w:rPr>
              <w:t>0.0217</w:t>
            </w:r>
          </w:p>
        </w:tc>
        <w:tc>
          <w:tcPr>
            <w:tcW w:w="1658" w:type="dxa"/>
            <w:tcBorders>
              <w:tl2br w:val="nil"/>
              <w:tr2bl w:val="nil"/>
            </w:tcBorders>
            <w:vAlign w:val="center"/>
          </w:tcPr>
          <w:p>
            <w:pPr>
              <w:pStyle w:val="28"/>
              <w:bidi w:val="0"/>
              <w:rPr>
                <w:color w:val="auto"/>
                <w:highlight w:val="none"/>
              </w:rPr>
            </w:pPr>
            <w:r>
              <w:rPr>
                <w:color w:val="auto"/>
                <w:highlight w:val="none"/>
              </w:rPr>
              <w:t>0.2172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4000.0</w:t>
            </w:r>
          </w:p>
        </w:tc>
        <w:tc>
          <w:tcPr>
            <w:tcW w:w="1801" w:type="dxa"/>
            <w:tcBorders>
              <w:tl2br w:val="nil"/>
              <w:tr2bl w:val="nil"/>
            </w:tcBorders>
            <w:vAlign w:val="center"/>
          </w:tcPr>
          <w:p>
            <w:pPr>
              <w:pStyle w:val="28"/>
              <w:bidi w:val="0"/>
              <w:rPr>
                <w:color w:val="auto"/>
                <w:highlight w:val="none"/>
              </w:rPr>
            </w:pPr>
            <w:r>
              <w:rPr>
                <w:color w:val="auto"/>
                <w:highlight w:val="none"/>
              </w:rPr>
              <w:t>0.0567</w:t>
            </w:r>
          </w:p>
        </w:tc>
        <w:tc>
          <w:tcPr>
            <w:tcW w:w="1676" w:type="dxa"/>
            <w:tcBorders>
              <w:tl2br w:val="nil"/>
              <w:tr2bl w:val="nil"/>
            </w:tcBorders>
            <w:vAlign w:val="center"/>
          </w:tcPr>
          <w:p>
            <w:pPr>
              <w:pStyle w:val="28"/>
              <w:bidi w:val="0"/>
              <w:rPr>
                <w:color w:val="auto"/>
                <w:highlight w:val="none"/>
              </w:rPr>
            </w:pPr>
            <w:r>
              <w:rPr>
                <w:color w:val="auto"/>
                <w:highlight w:val="none"/>
              </w:rPr>
              <w:t>0.0283</w:t>
            </w:r>
          </w:p>
        </w:tc>
        <w:tc>
          <w:tcPr>
            <w:tcW w:w="1784" w:type="dxa"/>
            <w:tcBorders>
              <w:tl2br w:val="nil"/>
              <w:tr2bl w:val="nil"/>
            </w:tcBorders>
            <w:vAlign w:val="center"/>
          </w:tcPr>
          <w:p>
            <w:pPr>
              <w:pStyle w:val="28"/>
              <w:bidi w:val="0"/>
              <w:rPr>
                <w:color w:val="auto"/>
                <w:highlight w:val="none"/>
              </w:rPr>
            </w:pPr>
            <w:r>
              <w:rPr>
                <w:color w:val="auto"/>
                <w:highlight w:val="none"/>
              </w:rPr>
              <w:t>0.0182</w:t>
            </w:r>
          </w:p>
        </w:tc>
        <w:tc>
          <w:tcPr>
            <w:tcW w:w="1658" w:type="dxa"/>
            <w:tcBorders>
              <w:tl2br w:val="nil"/>
              <w:tr2bl w:val="nil"/>
            </w:tcBorders>
            <w:vAlign w:val="center"/>
          </w:tcPr>
          <w:p>
            <w:pPr>
              <w:pStyle w:val="28"/>
              <w:bidi w:val="0"/>
              <w:rPr>
                <w:color w:val="auto"/>
                <w:highlight w:val="none"/>
              </w:rPr>
            </w:pPr>
            <w:r>
              <w:rPr>
                <w:color w:val="auto"/>
                <w:highlight w:val="none"/>
              </w:rPr>
              <w:t>0.1822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4500.0</w:t>
            </w:r>
          </w:p>
        </w:tc>
        <w:tc>
          <w:tcPr>
            <w:tcW w:w="1801" w:type="dxa"/>
            <w:tcBorders>
              <w:tl2br w:val="nil"/>
              <w:tr2bl w:val="nil"/>
            </w:tcBorders>
            <w:vAlign w:val="center"/>
          </w:tcPr>
          <w:p>
            <w:pPr>
              <w:pStyle w:val="28"/>
              <w:bidi w:val="0"/>
              <w:rPr>
                <w:color w:val="auto"/>
                <w:highlight w:val="none"/>
              </w:rPr>
            </w:pPr>
            <w:r>
              <w:rPr>
                <w:color w:val="auto"/>
                <w:highlight w:val="none"/>
              </w:rPr>
              <w:t>0.0485</w:t>
            </w:r>
          </w:p>
        </w:tc>
        <w:tc>
          <w:tcPr>
            <w:tcW w:w="1676" w:type="dxa"/>
            <w:tcBorders>
              <w:tl2br w:val="nil"/>
              <w:tr2bl w:val="nil"/>
            </w:tcBorders>
            <w:vAlign w:val="center"/>
          </w:tcPr>
          <w:p>
            <w:pPr>
              <w:pStyle w:val="28"/>
              <w:bidi w:val="0"/>
              <w:rPr>
                <w:color w:val="auto"/>
                <w:highlight w:val="none"/>
              </w:rPr>
            </w:pPr>
            <w:r>
              <w:rPr>
                <w:color w:val="auto"/>
                <w:highlight w:val="none"/>
              </w:rPr>
              <w:t>0.0243</w:t>
            </w:r>
          </w:p>
        </w:tc>
        <w:tc>
          <w:tcPr>
            <w:tcW w:w="1784" w:type="dxa"/>
            <w:tcBorders>
              <w:tl2br w:val="nil"/>
              <w:tr2bl w:val="nil"/>
            </w:tcBorders>
            <w:vAlign w:val="center"/>
          </w:tcPr>
          <w:p>
            <w:pPr>
              <w:pStyle w:val="28"/>
              <w:bidi w:val="0"/>
              <w:rPr>
                <w:color w:val="auto"/>
                <w:highlight w:val="none"/>
              </w:rPr>
            </w:pPr>
            <w:r>
              <w:rPr>
                <w:color w:val="auto"/>
                <w:highlight w:val="none"/>
              </w:rPr>
              <w:t>0.0156</w:t>
            </w:r>
          </w:p>
        </w:tc>
        <w:tc>
          <w:tcPr>
            <w:tcW w:w="1658" w:type="dxa"/>
            <w:tcBorders>
              <w:tl2br w:val="nil"/>
              <w:tr2bl w:val="nil"/>
            </w:tcBorders>
            <w:vAlign w:val="center"/>
          </w:tcPr>
          <w:p>
            <w:pPr>
              <w:pStyle w:val="28"/>
              <w:bidi w:val="0"/>
              <w:rPr>
                <w:color w:val="auto"/>
                <w:highlight w:val="none"/>
              </w:rPr>
            </w:pPr>
            <w:r>
              <w:rPr>
                <w:color w:val="auto"/>
                <w:highlight w:val="none"/>
              </w:rPr>
              <w:t>0.1559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5000.0</w:t>
            </w:r>
          </w:p>
        </w:tc>
        <w:tc>
          <w:tcPr>
            <w:tcW w:w="1801" w:type="dxa"/>
            <w:tcBorders>
              <w:tl2br w:val="nil"/>
              <w:tr2bl w:val="nil"/>
            </w:tcBorders>
            <w:vAlign w:val="center"/>
          </w:tcPr>
          <w:p>
            <w:pPr>
              <w:pStyle w:val="28"/>
              <w:bidi w:val="0"/>
              <w:rPr>
                <w:color w:val="auto"/>
                <w:highlight w:val="none"/>
              </w:rPr>
            </w:pPr>
            <w:r>
              <w:rPr>
                <w:color w:val="auto"/>
                <w:highlight w:val="none"/>
              </w:rPr>
              <w:t>0.0422</w:t>
            </w:r>
          </w:p>
        </w:tc>
        <w:tc>
          <w:tcPr>
            <w:tcW w:w="1676" w:type="dxa"/>
            <w:tcBorders>
              <w:tl2br w:val="nil"/>
              <w:tr2bl w:val="nil"/>
            </w:tcBorders>
            <w:vAlign w:val="center"/>
          </w:tcPr>
          <w:p>
            <w:pPr>
              <w:pStyle w:val="28"/>
              <w:bidi w:val="0"/>
              <w:rPr>
                <w:color w:val="auto"/>
                <w:highlight w:val="none"/>
              </w:rPr>
            </w:pPr>
            <w:r>
              <w:rPr>
                <w:color w:val="auto"/>
                <w:highlight w:val="none"/>
              </w:rPr>
              <w:t>0.0211</w:t>
            </w:r>
          </w:p>
        </w:tc>
        <w:tc>
          <w:tcPr>
            <w:tcW w:w="1784" w:type="dxa"/>
            <w:tcBorders>
              <w:tl2br w:val="nil"/>
              <w:tr2bl w:val="nil"/>
            </w:tcBorders>
            <w:vAlign w:val="center"/>
          </w:tcPr>
          <w:p>
            <w:pPr>
              <w:pStyle w:val="28"/>
              <w:bidi w:val="0"/>
              <w:rPr>
                <w:color w:val="auto"/>
                <w:highlight w:val="none"/>
              </w:rPr>
            </w:pPr>
            <w:r>
              <w:rPr>
                <w:color w:val="auto"/>
                <w:highlight w:val="none"/>
              </w:rPr>
              <w:t>0.0136</w:t>
            </w:r>
          </w:p>
        </w:tc>
        <w:tc>
          <w:tcPr>
            <w:tcW w:w="1658" w:type="dxa"/>
            <w:tcBorders>
              <w:tl2br w:val="nil"/>
              <w:tr2bl w:val="nil"/>
            </w:tcBorders>
            <w:vAlign w:val="center"/>
          </w:tcPr>
          <w:p>
            <w:pPr>
              <w:pStyle w:val="28"/>
              <w:bidi w:val="0"/>
              <w:rPr>
                <w:color w:val="auto"/>
                <w:highlight w:val="none"/>
              </w:rPr>
            </w:pPr>
            <w:r>
              <w:rPr>
                <w:color w:val="auto"/>
                <w:highlight w:val="none"/>
              </w:rPr>
              <w:t>0.1356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10000.0</w:t>
            </w:r>
          </w:p>
        </w:tc>
        <w:tc>
          <w:tcPr>
            <w:tcW w:w="1801" w:type="dxa"/>
            <w:tcBorders>
              <w:tl2br w:val="nil"/>
              <w:tr2bl w:val="nil"/>
            </w:tcBorders>
            <w:vAlign w:val="center"/>
          </w:tcPr>
          <w:p>
            <w:pPr>
              <w:pStyle w:val="28"/>
              <w:bidi w:val="0"/>
              <w:rPr>
                <w:color w:val="auto"/>
                <w:highlight w:val="none"/>
              </w:rPr>
            </w:pPr>
            <w:r>
              <w:rPr>
                <w:color w:val="auto"/>
                <w:highlight w:val="none"/>
              </w:rPr>
              <w:t>0.0168</w:t>
            </w:r>
          </w:p>
        </w:tc>
        <w:tc>
          <w:tcPr>
            <w:tcW w:w="1676" w:type="dxa"/>
            <w:tcBorders>
              <w:tl2br w:val="nil"/>
              <w:tr2bl w:val="nil"/>
            </w:tcBorders>
            <w:vAlign w:val="center"/>
          </w:tcPr>
          <w:p>
            <w:pPr>
              <w:pStyle w:val="28"/>
              <w:bidi w:val="0"/>
              <w:rPr>
                <w:color w:val="auto"/>
                <w:highlight w:val="none"/>
              </w:rPr>
            </w:pPr>
            <w:r>
              <w:rPr>
                <w:color w:val="auto"/>
                <w:highlight w:val="none"/>
              </w:rPr>
              <w:t>0.0084</w:t>
            </w:r>
          </w:p>
        </w:tc>
        <w:tc>
          <w:tcPr>
            <w:tcW w:w="1784" w:type="dxa"/>
            <w:tcBorders>
              <w:tl2br w:val="nil"/>
              <w:tr2bl w:val="nil"/>
            </w:tcBorders>
            <w:vAlign w:val="center"/>
          </w:tcPr>
          <w:p>
            <w:pPr>
              <w:pStyle w:val="28"/>
              <w:bidi w:val="0"/>
              <w:rPr>
                <w:color w:val="auto"/>
                <w:highlight w:val="none"/>
              </w:rPr>
            </w:pPr>
            <w:r>
              <w:rPr>
                <w:color w:val="auto"/>
                <w:highlight w:val="none"/>
              </w:rPr>
              <w:t>0.0054</w:t>
            </w:r>
          </w:p>
        </w:tc>
        <w:tc>
          <w:tcPr>
            <w:tcW w:w="1658" w:type="dxa"/>
            <w:tcBorders>
              <w:tl2br w:val="nil"/>
              <w:tr2bl w:val="nil"/>
            </w:tcBorders>
            <w:vAlign w:val="center"/>
          </w:tcPr>
          <w:p>
            <w:pPr>
              <w:pStyle w:val="28"/>
              <w:bidi w:val="0"/>
              <w:rPr>
                <w:color w:val="auto"/>
                <w:highlight w:val="none"/>
              </w:rPr>
            </w:pPr>
            <w:r>
              <w:rPr>
                <w:color w:val="auto"/>
                <w:highlight w:val="none"/>
              </w:rPr>
              <w:t>0.0539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11000.0</w:t>
            </w:r>
          </w:p>
        </w:tc>
        <w:tc>
          <w:tcPr>
            <w:tcW w:w="1801" w:type="dxa"/>
            <w:tcBorders>
              <w:tl2br w:val="nil"/>
              <w:tr2bl w:val="nil"/>
            </w:tcBorders>
            <w:vAlign w:val="center"/>
          </w:tcPr>
          <w:p>
            <w:pPr>
              <w:pStyle w:val="28"/>
              <w:bidi w:val="0"/>
              <w:rPr>
                <w:color w:val="auto"/>
                <w:highlight w:val="none"/>
              </w:rPr>
            </w:pPr>
            <w:r>
              <w:rPr>
                <w:color w:val="auto"/>
                <w:highlight w:val="none"/>
              </w:rPr>
              <w:t>0.0148</w:t>
            </w:r>
          </w:p>
        </w:tc>
        <w:tc>
          <w:tcPr>
            <w:tcW w:w="1676" w:type="dxa"/>
            <w:tcBorders>
              <w:tl2br w:val="nil"/>
              <w:tr2bl w:val="nil"/>
            </w:tcBorders>
            <w:vAlign w:val="center"/>
          </w:tcPr>
          <w:p>
            <w:pPr>
              <w:pStyle w:val="28"/>
              <w:bidi w:val="0"/>
              <w:rPr>
                <w:color w:val="auto"/>
                <w:highlight w:val="none"/>
              </w:rPr>
            </w:pPr>
            <w:r>
              <w:rPr>
                <w:color w:val="auto"/>
                <w:highlight w:val="none"/>
              </w:rPr>
              <w:t>0.0074</w:t>
            </w:r>
          </w:p>
        </w:tc>
        <w:tc>
          <w:tcPr>
            <w:tcW w:w="1784" w:type="dxa"/>
            <w:tcBorders>
              <w:tl2br w:val="nil"/>
              <w:tr2bl w:val="nil"/>
            </w:tcBorders>
            <w:vAlign w:val="center"/>
          </w:tcPr>
          <w:p>
            <w:pPr>
              <w:pStyle w:val="28"/>
              <w:bidi w:val="0"/>
              <w:rPr>
                <w:color w:val="auto"/>
                <w:highlight w:val="none"/>
              </w:rPr>
            </w:pPr>
            <w:r>
              <w:rPr>
                <w:color w:val="auto"/>
                <w:highlight w:val="none"/>
              </w:rPr>
              <w:t>0.0047</w:t>
            </w:r>
          </w:p>
        </w:tc>
        <w:tc>
          <w:tcPr>
            <w:tcW w:w="1658" w:type="dxa"/>
            <w:tcBorders>
              <w:tl2br w:val="nil"/>
              <w:tr2bl w:val="nil"/>
            </w:tcBorders>
            <w:vAlign w:val="center"/>
          </w:tcPr>
          <w:p>
            <w:pPr>
              <w:pStyle w:val="28"/>
              <w:bidi w:val="0"/>
              <w:rPr>
                <w:color w:val="auto"/>
                <w:highlight w:val="none"/>
              </w:rPr>
            </w:pPr>
            <w:r>
              <w:rPr>
                <w:color w:val="auto"/>
                <w:highlight w:val="none"/>
              </w:rPr>
              <w:t>0.0475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12000.0</w:t>
            </w:r>
          </w:p>
        </w:tc>
        <w:tc>
          <w:tcPr>
            <w:tcW w:w="1801" w:type="dxa"/>
            <w:tcBorders>
              <w:tl2br w:val="nil"/>
              <w:tr2bl w:val="nil"/>
            </w:tcBorders>
            <w:vAlign w:val="center"/>
          </w:tcPr>
          <w:p>
            <w:pPr>
              <w:pStyle w:val="28"/>
              <w:bidi w:val="0"/>
              <w:rPr>
                <w:color w:val="auto"/>
                <w:highlight w:val="none"/>
              </w:rPr>
            </w:pPr>
            <w:r>
              <w:rPr>
                <w:color w:val="auto"/>
                <w:highlight w:val="none"/>
              </w:rPr>
              <w:t>0.0131</w:t>
            </w:r>
          </w:p>
        </w:tc>
        <w:tc>
          <w:tcPr>
            <w:tcW w:w="1676" w:type="dxa"/>
            <w:tcBorders>
              <w:tl2br w:val="nil"/>
              <w:tr2bl w:val="nil"/>
            </w:tcBorders>
            <w:vAlign w:val="center"/>
          </w:tcPr>
          <w:p>
            <w:pPr>
              <w:pStyle w:val="28"/>
              <w:bidi w:val="0"/>
              <w:rPr>
                <w:color w:val="auto"/>
                <w:highlight w:val="none"/>
              </w:rPr>
            </w:pPr>
            <w:r>
              <w:rPr>
                <w:color w:val="auto"/>
                <w:highlight w:val="none"/>
              </w:rPr>
              <w:t>0.0066</w:t>
            </w:r>
          </w:p>
        </w:tc>
        <w:tc>
          <w:tcPr>
            <w:tcW w:w="1784" w:type="dxa"/>
            <w:tcBorders>
              <w:tl2br w:val="nil"/>
              <w:tr2bl w:val="nil"/>
            </w:tcBorders>
            <w:vAlign w:val="center"/>
          </w:tcPr>
          <w:p>
            <w:pPr>
              <w:pStyle w:val="28"/>
              <w:bidi w:val="0"/>
              <w:rPr>
                <w:color w:val="auto"/>
                <w:highlight w:val="none"/>
              </w:rPr>
            </w:pPr>
            <w:r>
              <w:rPr>
                <w:color w:val="auto"/>
                <w:highlight w:val="none"/>
              </w:rPr>
              <w:t>0.0042</w:t>
            </w:r>
          </w:p>
        </w:tc>
        <w:tc>
          <w:tcPr>
            <w:tcW w:w="1658" w:type="dxa"/>
            <w:tcBorders>
              <w:tl2br w:val="nil"/>
              <w:tr2bl w:val="nil"/>
            </w:tcBorders>
            <w:vAlign w:val="center"/>
          </w:tcPr>
          <w:p>
            <w:pPr>
              <w:pStyle w:val="28"/>
              <w:bidi w:val="0"/>
              <w:rPr>
                <w:color w:val="auto"/>
                <w:highlight w:val="none"/>
              </w:rPr>
            </w:pPr>
            <w:r>
              <w:rPr>
                <w:color w:val="auto"/>
                <w:highlight w:val="none"/>
              </w:rPr>
              <w:t>0.0422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13000.0</w:t>
            </w:r>
          </w:p>
        </w:tc>
        <w:tc>
          <w:tcPr>
            <w:tcW w:w="1801" w:type="dxa"/>
            <w:tcBorders>
              <w:tl2br w:val="nil"/>
              <w:tr2bl w:val="nil"/>
            </w:tcBorders>
            <w:vAlign w:val="center"/>
          </w:tcPr>
          <w:p>
            <w:pPr>
              <w:pStyle w:val="28"/>
              <w:bidi w:val="0"/>
              <w:rPr>
                <w:color w:val="auto"/>
                <w:highlight w:val="none"/>
              </w:rPr>
            </w:pPr>
            <w:r>
              <w:rPr>
                <w:color w:val="auto"/>
                <w:highlight w:val="none"/>
              </w:rPr>
              <w:t>0.0118</w:t>
            </w:r>
          </w:p>
        </w:tc>
        <w:tc>
          <w:tcPr>
            <w:tcW w:w="1676" w:type="dxa"/>
            <w:tcBorders>
              <w:tl2br w:val="nil"/>
              <w:tr2bl w:val="nil"/>
            </w:tcBorders>
            <w:vAlign w:val="center"/>
          </w:tcPr>
          <w:p>
            <w:pPr>
              <w:pStyle w:val="28"/>
              <w:bidi w:val="0"/>
              <w:rPr>
                <w:color w:val="auto"/>
                <w:highlight w:val="none"/>
              </w:rPr>
            </w:pPr>
            <w:r>
              <w:rPr>
                <w:color w:val="auto"/>
                <w:highlight w:val="none"/>
              </w:rPr>
              <w:t>0.0059</w:t>
            </w:r>
          </w:p>
        </w:tc>
        <w:tc>
          <w:tcPr>
            <w:tcW w:w="1784" w:type="dxa"/>
            <w:tcBorders>
              <w:tl2br w:val="nil"/>
              <w:tr2bl w:val="nil"/>
            </w:tcBorders>
            <w:vAlign w:val="center"/>
          </w:tcPr>
          <w:p>
            <w:pPr>
              <w:pStyle w:val="28"/>
              <w:bidi w:val="0"/>
              <w:rPr>
                <w:color w:val="auto"/>
                <w:highlight w:val="none"/>
              </w:rPr>
            </w:pPr>
            <w:r>
              <w:rPr>
                <w:color w:val="auto"/>
                <w:highlight w:val="none"/>
              </w:rPr>
              <w:t>0.0038</w:t>
            </w:r>
          </w:p>
        </w:tc>
        <w:tc>
          <w:tcPr>
            <w:tcW w:w="1658" w:type="dxa"/>
            <w:tcBorders>
              <w:tl2br w:val="nil"/>
              <w:tr2bl w:val="nil"/>
            </w:tcBorders>
            <w:vAlign w:val="center"/>
          </w:tcPr>
          <w:p>
            <w:pPr>
              <w:pStyle w:val="28"/>
              <w:bidi w:val="0"/>
              <w:rPr>
                <w:color w:val="auto"/>
                <w:highlight w:val="none"/>
              </w:rPr>
            </w:pPr>
            <w:r>
              <w:rPr>
                <w:color w:val="auto"/>
                <w:highlight w:val="none"/>
              </w:rPr>
              <w:t>0.0379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14000.0</w:t>
            </w:r>
          </w:p>
        </w:tc>
        <w:tc>
          <w:tcPr>
            <w:tcW w:w="1801" w:type="dxa"/>
            <w:tcBorders>
              <w:tl2br w:val="nil"/>
              <w:tr2bl w:val="nil"/>
            </w:tcBorders>
            <w:vAlign w:val="center"/>
          </w:tcPr>
          <w:p>
            <w:pPr>
              <w:pStyle w:val="28"/>
              <w:bidi w:val="0"/>
              <w:rPr>
                <w:color w:val="auto"/>
                <w:highlight w:val="none"/>
              </w:rPr>
            </w:pPr>
            <w:r>
              <w:rPr>
                <w:color w:val="auto"/>
                <w:highlight w:val="none"/>
              </w:rPr>
              <w:t>0.0107</w:t>
            </w:r>
          </w:p>
        </w:tc>
        <w:tc>
          <w:tcPr>
            <w:tcW w:w="1676" w:type="dxa"/>
            <w:tcBorders>
              <w:tl2br w:val="nil"/>
              <w:tr2bl w:val="nil"/>
            </w:tcBorders>
            <w:vAlign w:val="center"/>
          </w:tcPr>
          <w:p>
            <w:pPr>
              <w:pStyle w:val="28"/>
              <w:bidi w:val="0"/>
              <w:rPr>
                <w:color w:val="auto"/>
                <w:highlight w:val="none"/>
              </w:rPr>
            </w:pPr>
            <w:r>
              <w:rPr>
                <w:color w:val="auto"/>
                <w:highlight w:val="none"/>
              </w:rPr>
              <w:t>0.0053</w:t>
            </w:r>
          </w:p>
        </w:tc>
        <w:tc>
          <w:tcPr>
            <w:tcW w:w="1784" w:type="dxa"/>
            <w:tcBorders>
              <w:tl2br w:val="nil"/>
              <w:tr2bl w:val="nil"/>
            </w:tcBorders>
            <w:vAlign w:val="center"/>
          </w:tcPr>
          <w:p>
            <w:pPr>
              <w:pStyle w:val="28"/>
              <w:bidi w:val="0"/>
              <w:rPr>
                <w:color w:val="auto"/>
                <w:highlight w:val="none"/>
              </w:rPr>
            </w:pPr>
            <w:r>
              <w:rPr>
                <w:color w:val="auto"/>
                <w:highlight w:val="none"/>
              </w:rPr>
              <w:t>0.0034</w:t>
            </w:r>
          </w:p>
        </w:tc>
        <w:tc>
          <w:tcPr>
            <w:tcW w:w="1658" w:type="dxa"/>
            <w:tcBorders>
              <w:tl2br w:val="nil"/>
              <w:tr2bl w:val="nil"/>
            </w:tcBorders>
            <w:vAlign w:val="center"/>
          </w:tcPr>
          <w:p>
            <w:pPr>
              <w:pStyle w:val="28"/>
              <w:bidi w:val="0"/>
              <w:rPr>
                <w:color w:val="auto"/>
                <w:highlight w:val="none"/>
              </w:rPr>
            </w:pPr>
            <w:r>
              <w:rPr>
                <w:color w:val="auto"/>
                <w:highlight w:val="none"/>
              </w:rPr>
              <w:t>0.0344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15000.0</w:t>
            </w:r>
          </w:p>
        </w:tc>
        <w:tc>
          <w:tcPr>
            <w:tcW w:w="1801" w:type="dxa"/>
            <w:tcBorders>
              <w:tl2br w:val="nil"/>
              <w:tr2bl w:val="nil"/>
            </w:tcBorders>
            <w:vAlign w:val="center"/>
          </w:tcPr>
          <w:p>
            <w:pPr>
              <w:pStyle w:val="28"/>
              <w:bidi w:val="0"/>
              <w:rPr>
                <w:color w:val="auto"/>
                <w:highlight w:val="none"/>
              </w:rPr>
            </w:pPr>
            <w:r>
              <w:rPr>
                <w:color w:val="auto"/>
                <w:highlight w:val="none"/>
              </w:rPr>
              <w:t>0.0097</w:t>
            </w:r>
          </w:p>
        </w:tc>
        <w:tc>
          <w:tcPr>
            <w:tcW w:w="1676" w:type="dxa"/>
            <w:tcBorders>
              <w:tl2br w:val="nil"/>
              <w:tr2bl w:val="nil"/>
            </w:tcBorders>
            <w:vAlign w:val="center"/>
          </w:tcPr>
          <w:p>
            <w:pPr>
              <w:pStyle w:val="28"/>
              <w:bidi w:val="0"/>
              <w:rPr>
                <w:color w:val="auto"/>
                <w:highlight w:val="none"/>
              </w:rPr>
            </w:pPr>
            <w:r>
              <w:rPr>
                <w:color w:val="auto"/>
                <w:highlight w:val="none"/>
              </w:rPr>
              <w:t>0.0049</w:t>
            </w:r>
          </w:p>
        </w:tc>
        <w:tc>
          <w:tcPr>
            <w:tcW w:w="1784" w:type="dxa"/>
            <w:tcBorders>
              <w:tl2br w:val="nil"/>
              <w:tr2bl w:val="nil"/>
            </w:tcBorders>
            <w:vAlign w:val="center"/>
          </w:tcPr>
          <w:p>
            <w:pPr>
              <w:pStyle w:val="28"/>
              <w:bidi w:val="0"/>
              <w:rPr>
                <w:color w:val="auto"/>
                <w:highlight w:val="none"/>
              </w:rPr>
            </w:pPr>
            <w:r>
              <w:rPr>
                <w:color w:val="auto"/>
                <w:highlight w:val="none"/>
              </w:rPr>
              <w:t>0.0031</w:t>
            </w:r>
          </w:p>
        </w:tc>
        <w:tc>
          <w:tcPr>
            <w:tcW w:w="1658" w:type="dxa"/>
            <w:tcBorders>
              <w:tl2br w:val="nil"/>
              <w:tr2bl w:val="nil"/>
            </w:tcBorders>
            <w:vAlign w:val="center"/>
          </w:tcPr>
          <w:p>
            <w:pPr>
              <w:pStyle w:val="28"/>
              <w:bidi w:val="0"/>
              <w:rPr>
                <w:color w:val="auto"/>
                <w:highlight w:val="none"/>
              </w:rPr>
            </w:pPr>
            <w:r>
              <w:rPr>
                <w:color w:val="auto"/>
                <w:highlight w:val="none"/>
              </w:rPr>
              <w:t>0.0313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20000.0</w:t>
            </w:r>
          </w:p>
        </w:tc>
        <w:tc>
          <w:tcPr>
            <w:tcW w:w="1801" w:type="dxa"/>
            <w:tcBorders>
              <w:tl2br w:val="nil"/>
              <w:tr2bl w:val="nil"/>
            </w:tcBorders>
            <w:vAlign w:val="center"/>
          </w:tcPr>
          <w:p>
            <w:pPr>
              <w:pStyle w:val="28"/>
              <w:bidi w:val="0"/>
              <w:rPr>
                <w:color w:val="auto"/>
                <w:highlight w:val="none"/>
              </w:rPr>
            </w:pPr>
            <w:r>
              <w:rPr>
                <w:color w:val="auto"/>
                <w:highlight w:val="none"/>
              </w:rPr>
              <w:t>0.0066</w:t>
            </w:r>
          </w:p>
        </w:tc>
        <w:tc>
          <w:tcPr>
            <w:tcW w:w="1676" w:type="dxa"/>
            <w:tcBorders>
              <w:tl2br w:val="nil"/>
              <w:tr2bl w:val="nil"/>
            </w:tcBorders>
            <w:vAlign w:val="center"/>
          </w:tcPr>
          <w:p>
            <w:pPr>
              <w:pStyle w:val="28"/>
              <w:bidi w:val="0"/>
              <w:rPr>
                <w:color w:val="auto"/>
                <w:highlight w:val="none"/>
              </w:rPr>
            </w:pPr>
            <w:r>
              <w:rPr>
                <w:color w:val="auto"/>
                <w:highlight w:val="none"/>
              </w:rPr>
              <w:t>0.0033</w:t>
            </w:r>
          </w:p>
        </w:tc>
        <w:tc>
          <w:tcPr>
            <w:tcW w:w="1784" w:type="dxa"/>
            <w:tcBorders>
              <w:tl2br w:val="nil"/>
              <w:tr2bl w:val="nil"/>
            </w:tcBorders>
            <w:vAlign w:val="center"/>
          </w:tcPr>
          <w:p>
            <w:pPr>
              <w:pStyle w:val="28"/>
              <w:bidi w:val="0"/>
              <w:rPr>
                <w:color w:val="auto"/>
                <w:highlight w:val="none"/>
              </w:rPr>
            </w:pPr>
            <w:r>
              <w:rPr>
                <w:color w:val="auto"/>
                <w:highlight w:val="none"/>
              </w:rPr>
              <w:t>0.0021</w:t>
            </w:r>
          </w:p>
        </w:tc>
        <w:tc>
          <w:tcPr>
            <w:tcW w:w="1658" w:type="dxa"/>
            <w:tcBorders>
              <w:tl2br w:val="nil"/>
              <w:tr2bl w:val="nil"/>
            </w:tcBorders>
            <w:vAlign w:val="center"/>
          </w:tcPr>
          <w:p>
            <w:pPr>
              <w:pStyle w:val="28"/>
              <w:bidi w:val="0"/>
              <w:rPr>
                <w:color w:val="auto"/>
                <w:highlight w:val="none"/>
              </w:rPr>
            </w:pPr>
            <w:r>
              <w:rPr>
                <w:color w:val="auto"/>
                <w:highlight w:val="none"/>
              </w:rPr>
              <w:t>0.0213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25000.0</w:t>
            </w:r>
          </w:p>
        </w:tc>
        <w:tc>
          <w:tcPr>
            <w:tcW w:w="1801" w:type="dxa"/>
            <w:tcBorders>
              <w:tl2br w:val="nil"/>
              <w:tr2bl w:val="nil"/>
            </w:tcBorders>
            <w:vAlign w:val="center"/>
          </w:tcPr>
          <w:p>
            <w:pPr>
              <w:pStyle w:val="28"/>
              <w:bidi w:val="0"/>
              <w:rPr>
                <w:color w:val="auto"/>
                <w:highlight w:val="none"/>
              </w:rPr>
            </w:pPr>
            <w:r>
              <w:rPr>
                <w:color w:val="auto"/>
                <w:highlight w:val="none"/>
              </w:rPr>
              <w:t>0.0049</w:t>
            </w:r>
          </w:p>
        </w:tc>
        <w:tc>
          <w:tcPr>
            <w:tcW w:w="1676" w:type="dxa"/>
            <w:tcBorders>
              <w:tl2br w:val="nil"/>
              <w:tr2bl w:val="nil"/>
            </w:tcBorders>
            <w:vAlign w:val="center"/>
          </w:tcPr>
          <w:p>
            <w:pPr>
              <w:pStyle w:val="28"/>
              <w:bidi w:val="0"/>
              <w:rPr>
                <w:color w:val="auto"/>
                <w:highlight w:val="none"/>
              </w:rPr>
            </w:pPr>
            <w:r>
              <w:rPr>
                <w:color w:val="auto"/>
                <w:highlight w:val="none"/>
              </w:rPr>
              <w:t>0.0025</w:t>
            </w:r>
          </w:p>
        </w:tc>
        <w:tc>
          <w:tcPr>
            <w:tcW w:w="1784" w:type="dxa"/>
            <w:tcBorders>
              <w:tl2br w:val="nil"/>
              <w:tr2bl w:val="nil"/>
            </w:tcBorders>
            <w:vAlign w:val="center"/>
          </w:tcPr>
          <w:p>
            <w:pPr>
              <w:pStyle w:val="28"/>
              <w:bidi w:val="0"/>
              <w:rPr>
                <w:color w:val="auto"/>
                <w:highlight w:val="none"/>
              </w:rPr>
            </w:pPr>
            <w:r>
              <w:rPr>
                <w:color w:val="auto"/>
                <w:highlight w:val="none"/>
              </w:rPr>
              <w:t>0.0016</w:t>
            </w:r>
          </w:p>
        </w:tc>
        <w:tc>
          <w:tcPr>
            <w:tcW w:w="1658" w:type="dxa"/>
            <w:tcBorders>
              <w:tl2br w:val="nil"/>
              <w:tr2bl w:val="nil"/>
            </w:tcBorders>
            <w:vAlign w:val="center"/>
          </w:tcPr>
          <w:p>
            <w:pPr>
              <w:pStyle w:val="28"/>
              <w:bidi w:val="0"/>
              <w:rPr>
                <w:color w:val="auto"/>
                <w:highlight w:val="none"/>
              </w:rPr>
            </w:pPr>
            <w:r>
              <w:rPr>
                <w:color w:val="auto"/>
                <w:highlight w:val="none"/>
              </w:rPr>
              <w:t>0.0158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w:t>
            </w:r>
          </w:p>
        </w:tc>
        <w:tc>
          <w:tcPr>
            <w:tcW w:w="1801" w:type="dxa"/>
            <w:tcBorders>
              <w:tl2br w:val="nil"/>
              <w:tr2bl w:val="nil"/>
            </w:tcBorders>
            <w:vAlign w:val="center"/>
          </w:tcPr>
          <w:p>
            <w:pPr>
              <w:pStyle w:val="28"/>
              <w:bidi w:val="0"/>
              <w:rPr>
                <w:color w:val="auto"/>
                <w:highlight w:val="none"/>
              </w:rPr>
            </w:pPr>
            <w:r>
              <w:rPr>
                <w:color w:val="auto"/>
                <w:highlight w:val="none"/>
              </w:rPr>
              <w:t>3.6570</w:t>
            </w:r>
          </w:p>
        </w:tc>
        <w:tc>
          <w:tcPr>
            <w:tcW w:w="1676" w:type="dxa"/>
            <w:tcBorders>
              <w:tl2br w:val="nil"/>
              <w:tr2bl w:val="nil"/>
            </w:tcBorders>
            <w:vAlign w:val="center"/>
          </w:tcPr>
          <w:p>
            <w:pPr>
              <w:pStyle w:val="28"/>
              <w:bidi w:val="0"/>
              <w:rPr>
                <w:color w:val="auto"/>
                <w:highlight w:val="none"/>
              </w:rPr>
            </w:pPr>
            <w:r>
              <w:rPr>
                <w:color w:val="auto"/>
                <w:highlight w:val="none"/>
              </w:rPr>
              <w:t>1.8285</w:t>
            </w:r>
          </w:p>
        </w:tc>
        <w:tc>
          <w:tcPr>
            <w:tcW w:w="1784" w:type="dxa"/>
            <w:tcBorders>
              <w:tl2br w:val="nil"/>
              <w:tr2bl w:val="nil"/>
            </w:tcBorders>
            <w:vAlign w:val="center"/>
          </w:tcPr>
          <w:p>
            <w:pPr>
              <w:pStyle w:val="28"/>
              <w:bidi w:val="0"/>
              <w:rPr>
                <w:color w:val="auto"/>
                <w:highlight w:val="none"/>
              </w:rPr>
            </w:pPr>
            <w:r>
              <w:rPr>
                <w:color w:val="auto"/>
                <w:highlight w:val="none"/>
              </w:rPr>
              <w:t>1.1755</w:t>
            </w:r>
          </w:p>
        </w:tc>
        <w:tc>
          <w:tcPr>
            <w:tcW w:w="1658" w:type="dxa"/>
            <w:tcBorders>
              <w:tl2br w:val="nil"/>
              <w:tr2bl w:val="nil"/>
            </w:tcBorders>
            <w:vAlign w:val="center"/>
          </w:tcPr>
          <w:p>
            <w:pPr>
              <w:pStyle w:val="28"/>
              <w:bidi w:val="0"/>
              <w:rPr>
                <w:color w:val="auto"/>
                <w:highlight w:val="none"/>
              </w:rPr>
            </w:pPr>
            <w:r>
              <w:rPr>
                <w:rFonts w:hint="eastAsia"/>
                <w:color w:val="auto"/>
                <w:highlight w:val="none"/>
                <w:lang w:val="en-US" w:eastAsia="zh-CN"/>
              </w:rPr>
              <w:t>9</w:t>
            </w:r>
            <w:r>
              <w:rPr>
                <w:color w:val="auto"/>
                <w:highlight w:val="none"/>
              </w:rPr>
              <w:t>.7546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801" w:type="dxa"/>
            <w:tcBorders>
              <w:tl2br w:val="nil"/>
              <w:tr2bl w:val="nil"/>
            </w:tcBorders>
            <w:vAlign w:val="center"/>
          </w:tcPr>
          <w:p>
            <w:pPr>
              <w:pStyle w:val="28"/>
              <w:bidi w:val="0"/>
              <w:rPr>
                <w:color w:val="auto"/>
                <w:highlight w:val="none"/>
              </w:rPr>
            </w:pPr>
            <w:r>
              <w:rPr>
                <w:color w:val="auto"/>
                <w:highlight w:val="none"/>
              </w:rPr>
              <w:t>46.0</w:t>
            </w:r>
          </w:p>
        </w:tc>
        <w:tc>
          <w:tcPr>
            <w:tcW w:w="1676" w:type="dxa"/>
            <w:tcBorders>
              <w:tl2br w:val="nil"/>
              <w:tr2bl w:val="nil"/>
            </w:tcBorders>
            <w:vAlign w:val="center"/>
          </w:tcPr>
          <w:p>
            <w:pPr>
              <w:pStyle w:val="28"/>
              <w:bidi w:val="0"/>
              <w:rPr>
                <w:color w:val="auto"/>
                <w:highlight w:val="none"/>
              </w:rPr>
            </w:pPr>
            <w:r>
              <w:rPr>
                <w:color w:val="auto"/>
                <w:highlight w:val="none"/>
              </w:rPr>
              <w:t>46.0</w:t>
            </w:r>
          </w:p>
        </w:tc>
        <w:tc>
          <w:tcPr>
            <w:tcW w:w="1784" w:type="dxa"/>
            <w:tcBorders>
              <w:tl2br w:val="nil"/>
              <w:tr2bl w:val="nil"/>
            </w:tcBorders>
            <w:vAlign w:val="center"/>
          </w:tcPr>
          <w:p>
            <w:pPr>
              <w:pStyle w:val="28"/>
              <w:bidi w:val="0"/>
              <w:rPr>
                <w:color w:val="auto"/>
                <w:highlight w:val="none"/>
              </w:rPr>
            </w:pPr>
            <w:r>
              <w:rPr>
                <w:color w:val="auto"/>
                <w:highlight w:val="none"/>
              </w:rPr>
              <w:t>46.0</w:t>
            </w:r>
          </w:p>
        </w:tc>
        <w:tc>
          <w:tcPr>
            <w:tcW w:w="1658" w:type="dxa"/>
            <w:tcBorders>
              <w:tl2br w:val="nil"/>
              <w:tr2bl w:val="nil"/>
            </w:tcBorders>
            <w:vAlign w:val="center"/>
          </w:tcPr>
          <w:p>
            <w:pPr>
              <w:pStyle w:val="28"/>
              <w:bidi w:val="0"/>
              <w:rPr>
                <w:color w:val="auto"/>
                <w:highlight w:val="none"/>
              </w:rPr>
            </w:pPr>
            <w:r>
              <w:rPr>
                <w:color w:val="auto"/>
                <w:highlight w:val="none"/>
              </w:rPr>
              <w:t>46.0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D10%最远距离</w:t>
            </w:r>
          </w:p>
        </w:tc>
        <w:tc>
          <w:tcPr>
            <w:tcW w:w="1801" w:type="dxa"/>
            <w:tcBorders>
              <w:tl2br w:val="nil"/>
              <w:tr2bl w:val="nil"/>
            </w:tcBorders>
            <w:vAlign w:val="center"/>
          </w:tcPr>
          <w:p>
            <w:pPr>
              <w:pStyle w:val="28"/>
              <w:bidi w:val="0"/>
              <w:rPr>
                <w:color w:val="auto"/>
                <w:highlight w:val="none"/>
              </w:rPr>
            </w:pPr>
            <w:r>
              <w:rPr>
                <w:color w:val="auto"/>
                <w:highlight w:val="none"/>
              </w:rPr>
              <w:t>/</w:t>
            </w:r>
          </w:p>
        </w:tc>
        <w:tc>
          <w:tcPr>
            <w:tcW w:w="1676" w:type="dxa"/>
            <w:tcBorders>
              <w:tl2br w:val="nil"/>
              <w:tr2bl w:val="nil"/>
            </w:tcBorders>
            <w:vAlign w:val="center"/>
          </w:tcPr>
          <w:p>
            <w:pPr>
              <w:pStyle w:val="28"/>
              <w:bidi w:val="0"/>
              <w:rPr>
                <w:color w:val="auto"/>
                <w:highlight w:val="none"/>
              </w:rPr>
            </w:pPr>
            <w:r>
              <w:rPr>
                <w:color w:val="auto"/>
                <w:highlight w:val="none"/>
              </w:rPr>
              <w:t>/</w:t>
            </w:r>
          </w:p>
        </w:tc>
        <w:tc>
          <w:tcPr>
            <w:tcW w:w="1784" w:type="dxa"/>
            <w:tcBorders>
              <w:tl2br w:val="nil"/>
              <w:tr2bl w:val="nil"/>
            </w:tcBorders>
            <w:vAlign w:val="center"/>
          </w:tcPr>
          <w:p>
            <w:pPr>
              <w:pStyle w:val="28"/>
              <w:bidi w:val="0"/>
              <w:rPr>
                <w:color w:val="auto"/>
                <w:highlight w:val="none"/>
              </w:rPr>
            </w:pPr>
            <w:r>
              <w:rPr>
                <w:color w:val="auto"/>
                <w:highlight w:val="none"/>
              </w:rPr>
              <w:t>100.0</w:t>
            </w:r>
          </w:p>
        </w:tc>
        <w:tc>
          <w:tcPr>
            <w:tcW w:w="1658" w:type="dxa"/>
            <w:tcBorders>
              <w:tl2br w:val="nil"/>
              <w:tr2bl w:val="nil"/>
            </w:tcBorders>
            <w:vAlign w:val="center"/>
          </w:tcPr>
          <w:p>
            <w:pPr>
              <w:pStyle w:val="28"/>
              <w:bidi w:val="0"/>
              <w:rPr>
                <w:color w:val="auto"/>
                <w:highlight w:val="none"/>
              </w:rPr>
            </w:pPr>
            <w:r>
              <w:rPr>
                <w:color w:val="auto"/>
                <w:highlight w:val="none"/>
              </w:rPr>
              <w:t>100.0</w:t>
            </w:r>
          </w:p>
        </w:tc>
      </w:tr>
    </w:tbl>
    <w:p>
      <w:pPr>
        <w:pStyle w:val="27"/>
        <w:widowControl w:val="0"/>
        <w:rPr>
          <w:color w:val="auto"/>
          <w:highlight w:val="none"/>
        </w:rPr>
      </w:pPr>
      <w:r>
        <w:rPr>
          <w:rFonts w:hint="eastAsia"/>
          <w:color w:val="auto"/>
          <w:highlight w:val="none"/>
        </w:rPr>
        <w:t>恶臭无组织（污水处理站）排放预测计算结果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restart"/>
            <w:tcBorders>
              <w:tl2br w:val="nil"/>
              <w:tr2bl w:val="nil"/>
            </w:tcBorders>
            <w:vAlign w:val="center"/>
          </w:tcPr>
          <w:p>
            <w:pPr>
              <w:pStyle w:val="28"/>
              <w:widowControl w:val="0"/>
              <w:rPr>
                <w:b/>
                <w:bCs/>
                <w:color w:val="auto"/>
                <w:highlight w:val="none"/>
              </w:rPr>
            </w:pPr>
            <w:r>
              <w:rPr>
                <w:b/>
                <w:bCs/>
                <w:color w:val="auto"/>
                <w:highlight w:val="none"/>
              </w:rPr>
              <w:t>下风向距离</w:t>
            </w:r>
          </w:p>
        </w:tc>
        <w:tc>
          <w:tcPr>
            <w:tcW w:w="0" w:type="auto"/>
            <w:gridSpan w:val="4"/>
            <w:tcBorders>
              <w:tl2br w:val="nil"/>
              <w:tr2bl w:val="nil"/>
            </w:tcBorders>
            <w:vAlign w:val="center"/>
          </w:tcPr>
          <w:p>
            <w:pPr>
              <w:pStyle w:val="28"/>
              <w:widowControl w:val="0"/>
              <w:rPr>
                <w:b/>
                <w:bCs/>
                <w:color w:val="auto"/>
                <w:highlight w:val="none"/>
              </w:rPr>
            </w:pPr>
            <w:r>
              <w:rPr>
                <w:rFonts w:hint="eastAsia"/>
                <w:b/>
                <w:bCs/>
                <w:color w:val="auto"/>
                <w:highlight w:val="none"/>
              </w:rPr>
              <w:t>污水处理站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0" w:type="auto"/>
            <w:vMerge w:val="continue"/>
            <w:tcBorders>
              <w:tl2br w:val="nil"/>
              <w:tr2bl w:val="nil"/>
            </w:tcBorders>
            <w:vAlign w:val="center"/>
          </w:tcPr>
          <w:p>
            <w:pPr>
              <w:pStyle w:val="28"/>
              <w:widowControl w:val="0"/>
              <w:rPr>
                <w:b/>
                <w:bCs/>
                <w:color w:val="auto"/>
                <w:highlight w:val="none"/>
              </w:rPr>
            </w:pP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占标率(%)</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S浓度(μg/m³)</w:t>
            </w:r>
          </w:p>
        </w:tc>
        <w:tc>
          <w:tcPr>
            <w:tcW w:w="0" w:type="auto"/>
            <w:tcBorders>
              <w:tl2br w:val="nil"/>
              <w:tr2bl w:val="nil"/>
            </w:tcBorders>
            <w:vAlign w:val="center"/>
          </w:tcPr>
          <w:p>
            <w:pPr>
              <w:pStyle w:val="28"/>
              <w:widowControl w:val="0"/>
              <w:rPr>
                <w:b/>
                <w:bCs/>
                <w:color w:val="auto"/>
                <w:highlight w:val="none"/>
              </w:rPr>
            </w:pPr>
            <w:r>
              <w:rPr>
                <w:b/>
                <w:bCs/>
                <w:color w:val="auto"/>
                <w:highlight w:val="none"/>
              </w:rPr>
              <w:t>H</w:t>
            </w:r>
            <w:r>
              <w:rPr>
                <w:b/>
                <w:bCs/>
                <w:color w:val="auto"/>
                <w:highlight w:val="none"/>
                <w:vertAlign w:val="subscript"/>
              </w:rPr>
              <w:t>2</w:t>
            </w:r>
            <w:r>
              <w:rPr>
                <w:b/>
                <w:bCs/>
                <w:color w:val="auto"/>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w:t>
            </w:r>
          </w:p>
        </w:tc>
        <w:tc>
          <w:tcPr>
            <w:tcW w:w="1801" w:type="dxa"/>
            <w:tcBorders>
              <w:tl2br w:val="nil"/>
              <w:tr2bl w:val="nil"/>
            </w:tcBorders>
            <w:vAlign w:val="center"/>
          </w:tcPr>
          <w:p>
            <w:pPr>
              <w:pStyle w:val="28"/>
              <w:widowControl w:val="0"/>
              <w:rPr>
                <w:color w:val="auto"/>
                <w:highlight w:val="none"/>
              </w:rPr>
            </w:pPr>
            <w:r>
              <w:rPr>
                <w:color w:val="auto"/>
                <w:highlight w:val="none"/>
              </w:rPr>
              <w:t>1.2634</w:t>
            </w:r>
          </w:p>
        </w:tc>
        <w:tc>
          <w:tcPr>
            <w:tcW w:w="1676" w:type="dxa"/>
            <w:tcBorders>
              <w:tl2br w:val="nil"/>
              <w:tr2bl w:val="nil"/>
            </w:tcBorders>
            <w:vAlign w:val="center"/>
          </w:tcPr>
          <w:p>
            <w:pPr>
              <w:pStyle w:val="28"/>
              <w:widowControl w:val="0"/>
              <w:rPr>
                <w:color w:val="auto"/>
                <w:highlight w:val="none"/>
              </w:rPr>
            </w:pPr>
            <w:r>
              <w:rPr>
                <w:color w:val="auto"/>
                <w:highlight w:val="none"/>
              </w:rPr>
              <w:t>0.6317</w:t>
            </w:r>
          </w:p>
        </w:tc>
        <w:tc>
          <w:tcPr>
            <w:tcW w:w="1784" w:type="dxa"/>
            <w:tcBorders>
              <w:tl2br w:val="nil"/>
              <w:tr2bl w:val="nil"/>
            </w:tcBorders>
            <w:vAlign w:val="center"/>
          </w:tcPr>
          <w:p>
            <w:pPr>
              <w:pStyle w:val="28"/>
              <w:widowControl w:val="0"/>
              <w:rPr>
                <w:color w:val="auto"/>
                <w:highlight w:val="none"/>
              </w:rPr>
            </w:pPr>
            <w:r>
              <w:rPr>
                <w:color w:val="auto"/>
                <w:highlight w:val="none"/>
              </w:rPr>
              <w:t>0.0421</w:t>
            </w:r>
          </w:p>
        </w:tc>
        <w:tc>
          <w:tcPr>
            <w:tcW w:w="1658" w:type="dxa"/>
            <w:tcBorders>
              <w:tl2br w:val="nil"/>
              <w:tr2bl w:val="nil"/>
            </w:tcBorders>
            <w:vAlign w:val="center"/>
          </w:tcPr>
          <w:p>
            <w:pPr>
              <w:pStyle w:val="28"/>
              <w:widowControl w:val="0"/>
              <w:rPr>
                <w:color w:val="auto"/>
                <w:highlight w:val="none"/>
              </w:rPr>
            </w:pPr>
            <w:r>
              <w:rPr>
                <w:color w:val="auto"/>
                <w:highlight w:val="none"/>
              </w:rPr>
              <w:t>0.4211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w:t>
            </w:r>
          </w:p>
        </w:tc>
        <w:tc>
          <w:tcPr>
            <w:tcW w:w="1801" w:type="dxa"/>
            <w:tcBorders>
              <w:tl2br w:val="nil"/>
              <w:tr2bl w:val="nil"/>
            </w:tcBorders>
            <w:vAlign w:val="center"/>
          </w:tcPr>
          <w:p>
            <w:pPr>
              <w:pStyle w:val="28"/>
              <w:widowControl w:val="0"/>
              <w:rPr>
                <w:color w:val="auto"/>
                <w:highlight w:val="none"/>
              </w:rPr>
            </w:pPr>
            <w:r>
              <w:rPr>
                <w:color w:val="auto"/>
                <w:highlight w:val="none"/>
              </w:rPr>
              <w:t>0.9660</w:t>
            </w:r>
          </w:p>
        </w:tc>
        <w:tc>
          <w:tcPr>
            <w:tcW w:w="1676" w:type="dxa"/>
            <w:tcBorders>
              <w:tl2br w:val="nil"/>
              <w:tr2bl w:val="nil"/>
            </w:tcBorders>
            <w:vAlign w:val="center"/>
          </w:tcPr>
          <w:p>
            <w:pPr>
              <w:pStyle w:val="28"/>
              <w:widowControl w:val="0"/>
              <w:rPr>
                <w:color w:val="auto"/>
                <w:highlight w:val="none"/>
              </w:rPr>
            </w:pPr>
            <w:r>
              <w:rPr>
                <w:color w:val="auto"/>
                <w:highlight w:val="none"/>
              </w:rPr>
              <w:t>0.4830</w:t>
            </w:r>
          </w:p>
        </w:tc>
        <w:tc>
          <w:tcPr>
            <w:tcW w:w="1784" w:type="dxa"/>
            <w:tcBorders>
              <w:tl2br w:val="nil"/>
              <w:tr2bl w:val="nil"/>
            </w:tcBorders>
            <w:vAlign w:val="center"/>
          </w:tcPr>
          <w:p>
            <w:pPr>
              <w:pStyle w:val="28"/>
              <w:widowControl w:val="0"/>
              <w:rPr>
                <w:color w:val="auto"/>
                <w:highlight w:val="none"/>
              </w:rPr>
            </w:pPr>
            <w:r>
              <w:rPr>
                <w:color w:val="auto"/>
                <w:highlight w:val="none"/>
              </w:rPr>
              <w:t>0.0322</w:t>
            </w:r>
          </w:p>
        </w:tc>
        <w:tc>
          <w:tcPr>
            <w:tcW w:w="1658" w:type="dxa"/>
            <w:tcBorders>
              <w:tl2br w:val="nil"/>
              <w:tr2bl w:val="nil"/>
            </w:tcBorders>
            <w:vAlign w:val="center"/>
          </w:tcPr>
          <w:p>
            <w:pPr>
              <w:pStyle w:val="28"/>
              <w:widowControl w:val="0"/>
              <w:rPr>
                <w:color w:val="auto"/>
                <w:highlight w:val="none"/>
              </w:rPr>
            </w:pPr>
            <w:r>
              <w:rPr>
                <w:color w:val="auto"/>
                <w:highlight w:val="none"/>
              </w:rPr>
              <w:t>0.3220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w:t>
            </w:r>
          </w:p>
        </w:tc>
        <w:tc>
          <w:tcPr>
            <w:tcW w:w="1801" w:type="dxa"/>
            <w:tcBorders>
              <w:tl2br w:val="nil"/>
              <w:tr2bl w:val="nil"/>
            </w:tcBorders>
            <w:vAlign w:val="center"/>
          </w:tcPr>
          <w:p>
            <w:pPr>
              <w:pStyle w:val="28"/>
              <w:widowControl w:val="0"/>
              <w:rPr>
                <w:color w:val="auto"/>
                <w:highlight w:val="none"/>
              </w:rPr>
            </w:pPr>
            <w:r>
              <w:rPr>
                <w:color w:val="auto"/>
                <w:highlight w:val="none"/>
              </w:rPr>
              <w:t>0.6267</w:t>
            </w:r>
          </w:p>
        </w:tc>
        <w:tc>
          <w:tcPr>
            <w:tcW w:w="1676" w:type="dxa"/>
            <w:tcBorders>
              <w:tl2br w:val="nil"/>
              <w:tr2bl w:val="nil"/>
            </w:tcBorders>
            <w:vAlign w:val="center"/>
          </w:tcPr>
          <w:p>
            <w:pPr>
              <w:pStyle w:val="28"/>
              <w:widowControl w:val="0"/>
              <w:rPr>
                <w:color w:val="auto"/>
                <w:highlight w:val="none"/>
              </w:rPr>
            </w:pPr>
            <w:r>
              <w:rPr>
                <w:color w:val="auto"/>
                <w:highlight w:val="none"/>
              </w:rPr>
              <w:t>0.3134</w:t>
            </w:r>
          </w:p>
        </w:tc>
        <w:tc>
          <w:tcPr>
            <w:tcW w:w="1784" w:type="dxa"/>
            <w:tcBorders>
              <w:tl2br w:val="nil"/>
              <w:tr2bl w:val="nil"/>
            </w:tcBorders>
            <w:vAlign w:val="center"/>
          </w:tcPr>
          <w:p>
            <w:pPr>
              <w:pStyle w:val="28"/>
              <w:widowControl w:val="0"/>
              <w:rPr>
                <w:color w:val="auto"/>
                <w:highlight w:val="none"/>
              </w:rPr>
            </w:pPr>
            <w:r>
              <w:rPr>
                <w:color w:val="auto"/>
                <w:highlight w:val="none"/>
              </w:rPr>
              <w:t>0.0209</w:t>
            </w:r>
          </w:p>
        </w:tc>
        <w:tc>
          <w:tcPr>
            <w:tcW w:w="1658" w:type="dxa"/>
            <w:tcBorders>
              <w:tl2br w:val="nil"/>
              <w:tr2bl w:val="nil"/>
            </w:tcBorders>
            <w:vAlign w:val="center"/>
          </w:tcPr>
          <w:p>
            <w:pPr>
              <w:pStyle w:val="28"/>
              <w:widowControl w:val="0"/>
              <w:rPr>
                <w:color w:val="auto"/>
                <w:highlight w:val="none"/>
              </w:rPr>
            </w:pPr>
            <w:r>
              <w:rPr>
                <w:color w:val="auto"/>
                <w:highlight w:val="none"/>
              </w:rPr>
              <w:t>0.2089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w:t>
            </w:r>
          </w:p>
        </w:tc>
        <w:tc>
          <w:tcPr>
            <w:tcW w:w="1801" w:type="dxa"/>
            <w:tcBorders>
              <w:tl2br w:val="nil"/>
              <w:tr2bl w:val="nil"/>
            </w:tcBorders>
            <w:vAlign w:val="center"/>
          </w:tcPr>
          <w:p>
            <w:pPr>
              <w:pStyle w:val="28"/>
              <w:widowControl w:val="0"/>
              <w:rPr>
                <w:color w:val="auto"/>
                <w:highlight w:val="none"/>
              </w:rPr>
            </w:pPr>
            <w:r>
              <w:rPr>
                <w:color w:val="auto"/>
                <w:highlight w:val="none"/>
              </w:rPr>
              <w:t>0.4912</w:t>
            </w:r>
          </w:p>
        </w:tc>
        <w:tc>
          <w:tcPr>
            <w:tcW w:w="1676" w:type="dxa"/>
            <w:tcBorders>
              <w:tl2br w:val="nil"/>
              <w:tr2bl w:val="nil"/>
            </w:tcBorders>
            <w:vAlign w:val="center"/>
          </w:tcPr>
          <w:p>
            <w:pPr>
              <w:pStyle w:val="28"/>
              <w:widowControl w:val="0"/>
              <w:rPr>
                <w:color w:val="auto"/>
                <w:highlight w:val="none"/>
              </w:rPr>
            </w:pPr>
            <w:r>
              <w:rPr>
                <w:color w:val="auto"/>
                <w:highlight w:val="none"/>
              </w:rPr>
              <w:t>0.2456</w:t>
            </w:r>
          </w:p>
        </w:tc>
        <w:tc>
          <w:tcPr>
            <w:tcW w:w="1784" w:type="dxa"/>
            <w:tcBorders>
              <w:tl2br w:val="nil"/>
              <w:tr2bl w:val="nil"/>
            </w:tcBorders>
            <w:vAlign w:val="center"/>
          </w:tcPr>
          <w:p>
            <w:pPr>
              <w:pStyle w:val="28"/>
              <w:widowControl w:val="0"/>
              <w:rPr>
                <w:color w:val="auto"/>
                <w:highlight w:val="none"/>
              </w:rPr>
            </w:pPr>
            <w:r>
              <w:rPr>
                <w:color w:val="auto"/>
                <w:highlight w:val="none"/>
              </w:rPr>
              <w:t>0.0164</w:t>
            </w:r>
          </w:p>
        </w:tc>
        <w:tc>
          <w:tcPr>
            <w:tcW w:w="1658" w:type="dxa"/>
            <w:tcBorders>
              <w:tl2br w:val="nil"/>
              <w:tr2bl w:val="nil"/>
            </w:tcBorders>
            <w:vAlign w:val="center"/>
          </w:tcPr>
          <w:p>
            <w:pPr>
              <w:pStyle w:val="28"/>
              <w:widowControl w:val="0"/>
              <w:rPr>
                <w:color w:val="auto"/>
                <w:highlight w:val="none"/>
              </w:rPr>
            </w:pPr>
            <w:r>
              <w:rPr>
                <w:color w:val="auto"/>
                <w:highlight w:val="none"/>
              </w:rPr>
              <w:t>0.1637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w:t>
            </w:r>
          </w:p>
        </w:tc>
        <w:tc>
          <w:tcPr>
            <w:tcW w:w="1801" w:type="dxa"/>
            <w:tcBorders>
              <w:tl2br w:val="nil"/>
              <w:tr2bl w:val="nil"/>
            </w:tcBorders>
            <w:vAlign w:val="center"/>
          </w:tcPr>
          <w:p>
            <w:pPr>
              <w:pStyle w:val="28"/>
              <w:widowControl w:val="0"/>
              <w:rPr>
                <w:color w:val="auto"/>
                <w:highlight w:val="none"/>
              </w:rPr>
            </w:pPr>
            <w:r>
              <w:rPr>
                <w:color w:val="auto"/>
                <w:highlight w:val="none"/>
              </w:rPr>
              <w:t>0.4009</w:t>
            </w:r>
          </w:p>
        </w:tc>
        <w:tc>
          <w:tcPr>
            <w:tcW w:w="1676" w:type="dxa"/>
            <w:tcBorders>
              <w:tl2br w:val="nil"/>
              <w:tr2bl w:val="nil"/>
            </w:tcBorders>
            <w:vAlign w:val="center"/>
          </w:tcPr>
          <w:p>
            <w:pPr>
              <w:pStyle w:val="28"/>
              <w:widowControl w:val="0"/>
              <w:rPr>
                <w:color w:val="auto"/>
                <w:highlight w:val="none"/>
              </w:rPr>
            </w:pPr>
            <w:r>
              <w:rPr>
                <w:color w:val="auto"/>
                <w:highlight w:val="none"/>
              </w:rPr>
              <w:t>0.2005</w:t>
            </w:r>
          </w:p>
        </w:tc>
        <w:tc>
          <w:tcPr>
            <w:tcW w:w="1784" w:type="dxa"/>
            <w:tcBorders>
              <w:tl2br w:val="nil"/>
              <w:tr2bl w:val="nil"/>
            </w:tcBorders>
            <w:vAlign w:val="center"/>
          </w:tcPr>
          <w:p>
            <w:pPr>
              <w:pStyle w:val="28"/>
              <w:widowControl w:val="0"/>
              <w:rPr>
                <w:color w:val="auto"/>
                <w:highlight w:val="none"/>
              </w:rPr>
            </w:pPr>
            <w:r>
              <w:rPr>
                <w:color w:val="auto"/>
                <w:highlight w:val="none"/>
              </w:rPr>
              <w:t>0.0134</w:t>
            </w:r>
          </w:p>
        </w:tc>
        <w:tc>
          <w:tcPr>
            <w:tcW w:w="1658" w:type="dxa"/>
            <w:tcBorders>
              <w:tl2br w:val="nil"/>
              <w:tr2bl w:val="nil"/>
            </w:tcBorders>
            <w:vAlign w:val="center"/>
          </w:tcPr>
          <w:p>
            <w:pPr>
              <w:pStyle w:val="28"/>
              <w:widowControl w:val="0"/>
              <w:rPr>
                <w:color w:val="auto"/>
                <w:highlight w:val="none"/>
              </w:rPr>
            </w:pPr>
            <w:r>
              <w:rPr>
                <w:color w:val="auto"/>
                <w:highlight w:val="none"/>
              </w:rPr>
              <w:t>0.1336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w:t>
            </w:r>
          </w:p>
        </w:tc>
        <w:tc>
          <w:tcPr>
            <w:tcW w:w="1801" w:type="dxa"/>
            <w:tcBorders>
              <w:tl2br w:val="nil"/>
              <w:tr2bl w:val="nil"/>
            </w:tcBorders>
            <w:vAlign w:val="center"/>
          </w:tcPr>
          <w:p>
            <w:pPr>
              <w:pStyle w:val="28"/>
              <w:widowControl w:val="0"/>
              <w:rPr>
                <w:color w:val="auto"/>
                <w:highlight w:val="none"/>
              </w:rPr>
            </w:pPr>
            <w:r>
              <w:rPr>
                <w:color w:val="auto"/>
                <w:highlight w:val="none"/>
              </w:rPr>
              <w:t>0.3363</w:t>
            </w:r>
          </w:p>
        </w:tc>
        <w:tc>
          <w:tcPr>
            <w:tcW w:w="1676" w:type="dxa"/>
            <w:tcBorders>
              <w:tl2br w:val="nil"/>
              <w:tr2bl w:val="nil"/>
            </w:tcBorders>
            <w:vAlign w:val="center"/>
          </w:tcPr>
          <w:p>
            <w:pPr>
              <w:pStyle w:val="28"/>
              <w:widowControl w:val="0"/>
              <w:rPr>
                <w:color w:val="auto"/>
                <w:highlight w:val="none"/>
              </w:rPr>
            </w:pPr>
            <w:r>
              <w:rPr>
                <w:color w:val="auto"/>
                <w:highlight w:val="none"/>
              </w:rPr>
              <w:t>0.1681</w:t>
            </w:r>
          </w:p>
        </w:tc>
        <w:tc>
          <w:tcPr>
            <w:tcW w:w="1784" w:type="dxa"/>
            <w:tcBorders>
              <w:tl2br w:val="nil"/>
              <w:tr2bl w:val="nil"/>
            </w:tcBorders>
            <w:vAlign w:val="center"/>
          </w:tcPr>
          <w:p>
            <w:pPr>
              <w:pStyle w:val="28"/>
              <w:widowControl w:val="0"/>
              <w:rPr>
                <w:color w:val="auto"/>
                <w:highlight w:val="none"/>
              </w:rPr>
            </w:pPr>
            <w:r>
              <w:rPr>
                <w:color w:val="auto"/>
                <w:highlight w:val="none"/>
              </w:rPr>
              <w:t>0.0112</w:t>
            </w:r>
          </w:p>
        </w:tc>
        <w:tc>
          <w:tcPr>
            <w:tcW w:w="1658" w:type="dxa"/>
            <w:tcBorders>
              <w:tl2br w:val="nil"/>
              <w:tr2bl w:val="nil"/>
            </w:tcBorders>
            <w:vAlign w:val="center"/>
          </w:tcPr>
          <w:p>
            <w:pPr>
              <w:pStyle w:val="28"/>
              <w:widowControl w:val="0"/>
              <w:rPr>
                <w:color w:val="auto"/>
                <w:highlight w:val="none"/>
              </w:rPr>
            </w:pPr>
            <w:r>
              <w:rPr>
                <w:color w:val="auto"/>
                <w:highlight w:val="none"/>
              </w:rPr>
              <w:t>0.1121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600.0</w:t>
            </w:r>
          </w:p>
        </w:tc>
        <w:tc>
          <w:tcPr>
            <w:tcW w:w="1801" w:type="dxa"/>
            <w:tcBorders>
              <w:tl2br w:val="nil"/>
              <w:tr2bl w:val="nil"/>
            </w:tcBorders>
            <w:vAlign w:val="center"/>
          </w:tcPr>
          <w:p>
            <w:pPr>
              <w:pStyle w:val="28"/>
              <w:widowControl w:val="0"/>
              <w:rPr>
                <w:color w:val="auto"/>
                <w:highlight w:val="none"/>
              </w:rPr>
            </w:pPr>
            <w:r>
              <w:rPr>
                <w:color w:val="auto"/>
                <w:highlight w:val="none"/>
              </w:rPr>
              <w:t>0.2860</w:t>
            </w:r>
          </w:p>
        </w:tc>
        <w:tc>
          <w:tcPr>
            <w:tcW w:w="1676" w:type="dxa"/>
            <w:tcBorders>
              <w:tl2br w:val="nil"/>
              <w:tr2bl w:val="nil"/>
            </w:tcBorders>
            <w:vAlign w:val="center"/>
          </w:tcPr>
          <w:p>
            <w:pPr>
              <w:pStyle w:val="28"/>
              <w:widowControl w:val="0"/>
              <w:rPr>
                <w:color w:val="auto"/>
                <w:highlight w:val="none"/>
              </w:rPr>
            </w:pPr>
            <w:r>
              <w:rPr>
                <w:color w:val="auto"/>
                <w:highlight w:val="none"/>
              </w:rPr>
              <w:t>0.1430</w:t>
            </w:r>
          </w:p>
        </w:tc>
        <w:tc>
          <w:tcPr>
            <w:tcW w:w="1784" w:type="dxa"/>
            <w:tcBorders>
              <w:tl2br w:val="nil"/>
              <w:tr2bl w:val="nil"/>
            </w:tcBorders>
            <w:vAlign w:val="center"/>
          </w:tcPr>
          <w:p>
            <w:pPr>
              <w:pStyle w:val="28"/>
              <w:widowControl w:val="0"/>
              <w:rPr>
                <w:color w:val="auto"/>
                <w:highlight w:val="none"/>
              </w:rPr>
            </w:pPr>
            <w:r>
              <w:rPr>
                <w:color w:val="auto"/>
                <w:highlight w:val="none"/>
              </w:rPr>
              <w:t>0.0095</w:t>
            </w:r>
          </w:p>
        </w:tc>
        <w:tc>
          <w:tcPr>
            <w:tcW w:w="1658" w:type="dxa"/>
            <w:tcBorders>
              <w:tl2br w:val="nil"/>
              <w:tr2bl w:val="nil"/>
            </w:tcBorders>
            <w:vAlign w:val="center"/>
          </w:tcPr>
          <w:p>
            <w:pPr>
              <w:pStyle w:val="28"/>
              <w:widowControl w:val="0"/>
              <w:rPr>
                <w:color w:val="auto"/>
                <w:highlight w:val="none"/>
              </w:rPr>
            </w:pPr>
            <w:r>
              <w:rPr>
                <w:color w:val="auto"/>
                <w:highlight w:val="none"/>
              </w:rPr>
              <w:t>0.0953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700.0</w:t>
            </w:r>
          </w:p>
        </w:tc>
        <w:tc>
          <w:tcPr>
            <w:tcW w:w="1801" w:type="dxa"/>
            <w:tcBorders>
              <w:tl2br w:val="nil"/>
              <w:tr2bl w:val="nil"/>
            </w:tcBorders>
            <w:vAlign w:val="center"/>
          </w:tcPr>
          <w:p>
            <w:pPr>
              <w:pStyle w:val="28"/>
              <w:widowControl w:val="0"/>
              <w:rPr>
                <w:color w:val="auto"/>
                <w:highlight w:val="none"/>
              </w:rPr>
            </w:pPr>
            <w:r>
              <w:rPr>
                <w:color w:val="auto"/>
                <w:highlight w:val="none"/>
              </w:rPr>
              <w:t>0.2478</w:t>
            </w:r>
          </w:p>
        </w:tc>
        <w:tc>
          <w:tcPr>
            <w:tcW w:w="1676" w:type="dxa"/>
            <w:tcBorders>
              <w:tl2br w:val="nil"/>
              <w:tr2bl w:val="nil"/>
            </w:tcBorders>
            <w:vAlign w:val="center"/>
          </w:tcPr>
          <w:p>
            <w:pPr>
              <w:pStyle w:val="28"/>
              <w:widowControl w:val="0"/>
              <w:rPr>
                <w:color w:val="auto"/>
                <w:highlight w:val="none"/>
              </w:rPr>
            </w:pPr>
            <w:r>
              <w:rPr>
                <w:color w:val="auto"/>
                <w:highlight w:val="none"/>
              </w:rPr>
              <w:t>0.1239</w:t>
            </w:r>
          </w:p>
        </w:tc>
        <w:tc>
          <w:tcPr>
            <w:tcW w:w="1784" w:type="dxa"/>
            <w:tcBorders>
              <w:tl2br w:val="nil"/>
              <w:tr2bl w:val="nil"/>
            </w:tcBorders>
            <w:vAlign w:val="center"/>
          </w:tcPr>
          <w:p>
            <w:pPr>
              <w:pStyle w:val="28"/>
              <w:widowControl w:val="0"/>
              <w:rPr>
                <w:color w:val="auto"/>
                <w:highlight w:val="none"/>
              </w:rPr>
            </w:pPr>
            <w:r>
              <w:rPr>
                <w:color w:val="auto"/>
                <w:highlight w:val="none"/>
              </w:rPr>
              <w:t>0.0083</w:t>
            </w:r>
          </w:p>
        </w:tc>
        <w:tc>
          <w:tcPr>
            <w:tcW w:w="1658" w:type="dxa"/>
            <w:tcBorders>
              <w:tl2br w:val="nil"/>
              <w:tr2bl w:val="nil"/>
            </w:tcBorders>
            <w:vAlign w:val="center"/>
          </w:tcPr>
          <w:p>
            <w:pPr>
              <w:pStyle w:val="28"/>
              <w:widowControl w:val="0"/>
              <w:rPr>
                <w:color w:val="auto"/>
                <w:highlight w:val="none"/>
              </w:rPr>
            </w:pPr>
            <w:r>
              <w:rPr>
                <w:color w:val="auto"/>
                <w:highlight w:val="none"/>
              </w:rPr>
              <w:t>0.0826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800.0</w:t>
            </w:r>
          </w:p>
        </w:tc>
        <w:tc>
          <w:tcPr>
            <w:tcW w:w="1801" w:type="dxa"/>
            <w:tcBorders>
              <w:tl2br w:val="nil"/>
              <w:tr2bl w:val="nil"/>
            </w:tcBorders>
            <w:vAlign w:val="center"/>
          </w:tcPr>
          <w:p>
            <w:pPr>
              <w:pStyle w:val="28"/>
              <w:widowControl w:val="0"/>
              <w:rPr>
                <w:color w:val="auto"/>
                <w:highlight w:val="none"/>
              </w:rPr>
            </w:pPr>
            <w:r>
              <w:rPr>
                <w:color w:val="auto"/>
                <w:highlight w:val="none"/>
              </w:rPr>
              <w:t>0.2164</w:t>
            </w:r>
          </w:p>
        </w:tc>
        <w:tc>
          <w:tcPr>
            <w:tcW w:w="1676" w:type="dxa"/>
            <w:tcBorders>
              <w:tl2br w:val="nil"/>
              <w:tr2bl w:val="nil"/>
            </w:tcBorders>
            <w:vAlign w:val="center"/>
          </w:tcPr>
          <w:p>
            <w:pPr>
              <w:pStyle w:val="28"/>
              <w:widowControl w:val="0"/>
              <w:rPr>
                <w:color w:val="auto"/>
                <w:highlight w:val="none"/>
              </w:rPr>
            </w:pPr>
            <w:r>
              <w:rPr>
                <w:color w:val="auto"/>
                <w:highlight w:val="none"/>
              </w:rPr>
              <w:t>0.1082</w:t>
            </w:r>
          </w:p>
        </w:tc>
        <w:tc>
          <w:tcPr>
            <w:tcW w:w="1784" w:type="dxa"/>
            <w:tcBorders>
              <w:tl2br w:val="nil"/>
              <w:tr2bl w:val="nil"/>
            </w:tcBorders>
            <w:vAlign w:val="center"/>
          </w:tcPr>
          <w:p>
            <w:pPr>
              <w:pStyle w:val="28"/>
              <w:widowControl w:val="0"/>
              <w:rPr>
                <w:color w:val="auto"/>
                <w:highlight w:val="none"/>
              </w:rPr>
            </w:pPr>
            <w:r>
              <w:rPr>
                <w:color w:val="auto"/>
                <w:highlight w:val="none"/>
              </w:rPr>
              <w:t>0.0072</w:t>
            </w:r>
          </w:p>
        </w:tc>
        <w:tc>
          <w:tcPr>
            <w:tcW w:w="1658" w:type="dxa"/>
            <w:tcBorders>
              <w:tl2br w:val="nil"/>
              <w:tr2bl w:val="nil"/>
            </w:tcBorders>
            <w:vAlign w:val="center"/>
          </w:tcPr>
          <w:p>
            <w:pPr>
              <w:pStyle w:val="28"/>
              <w:widowControl w:val="0"/>
              <w:rPr>
                <w:color w:val="auto"/>
                <w:highlight w:val="none"/>
              </w:rPr>
            </w:pPr>
            <w:r>
              <w:rPr>
                <w:color w:val="auto"/>
                <w:highlight w:val="none"/>
              </w:rPr>
              <w:t>0.0721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900.0</w:t>
            </w:r>
          </w:p>
        </w:tc>
        <w:tc>
          <w:tcPr>
            <w:tcW w:w="1801" w:type="dxa"/>
            <w:tcBorders>
              <w:tl2br w:val="nil"/>
              <w:tr2bl w:val="nil"/>
            </w:tcBorders>
            <w:vAlign w:val="center"/>
          </w:tcPr>
          <w:p>
            <w:pPr>
              <w:pStyle w:val="28"/>
              <w:widowControl w:val="0"/>
              <w:rPr>
                <w:color w:val="auto"/>
                <w:highlight w:val="none"/>
              </w:rPr>
            </w:pPr>
            <w:r>
              <w:rPr>
                <w:color w:val="auto"/>
                <w:highlight w:val="none"/>
              </w:rPr>
              <w:t>0.1911</w:t>
            </w:r>
          </w:p>
        </w:tc>
        <w:tc>
          <w:tcPr>
            <w:tcW w:w="1676" w:type="dxa"/>
            <w:tcBorders>
              <w:tl2br w:val="nil"/>
              <w:tr2bl w:val="nil"/>
            </w:tcBorders>
            <w:vAlign w:val="center"/>
          </w:tcPr>
          <w:p>
            <w:pPr>
              <w:pStyle w:val="28"/>
              <w:widowControl w:val="0"/>
              <w:rPr>
                <w:color w:val="auto"/>
                <w:highlight w:val="none"/>
              </w:rPr>
            </w:pPr>
            <w:r>
              <w:rPr>
                <w:color w:val="auto"/>
                <w:highlight w:val="none"/>
              </w:rPr>
              <w:t>0.0956</w:t>
            </w:r>
          </w:p>
        </w:tc>
        <w:tc>
          <w:tcPr>
            <w:tcW w:w="1784" w:type="dxa"/>
            <w:tcBorders>
              <w:tl2br w:val="nil"/>
              <w:tr2bl w:val="nil"/>
            </w:tcBorders>
            <w:vAlign w:val="center"/>
          </w:tcPr>
          <w:p>
            <w:pPr>
              <w:pStyle w:val="28"/>
              <w:widowControl w:val="0"/>
              <w:rPr>
                <w:color w:val="auto"/>
                <w:highlight w:val="none"/>
              </w:rPr>
            </w:pPr>
            <w:r>
              <w:rPr>
                <w:color w:val="auto"/>
                <w:highlight w:val="none"/>
              </w:rPr>
              <w:t>0.0064</w:t>
            </w:r>
          </w:p>
        </w:tc>
        <w:tc>
          <w:tcPr>
            <w:tcW w:w="1658" w:type="dxa"/>
            <w:tcBorders>
              <w:tl2br w:val="nil"/>
              <w:tr2bl w:val="nil"/>
            </w:tcBorders>
            <w:vAlign w:val="center"/>
          </w:tcPr>
          <w:p>
            <w:pPr>
              <w:pStyle w:val="28"/>
              <w:widowControl w:val="0"/>
              <w:rPr>
                <w:color w:val="auto"/>
                <w:highlight w:val="none"/>
              </w:rPr>
            </w:pPr>
            <w:r>
              <w:rPr>
                <w:color w:val="auto"/>
                <w:highlight w:val="none"/>
              </w:rPr>
              <w:t>0.0637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w:t>
            </w:r>
          </w:p>
        </w:tc>
        <w:tc>
          <w:tcPr>
            <w:tcW w:w="1801" w:type="dxa"/>
            <w:tcBorders>
              <w:tl2br w:val="nil"/>
              <w:tr2bl w:val="nil"/>
            </w:tcBorders>
            <w:vAlign w:val="center"/>
          </w:tcPr>
          <w:p>
            <w:pPr>
              <w:pStyle w:val="28"/>
              <w:widowControl w:val="0"/>
              <w:rPr>
                <w:color w:val="auto"/>
                <w:highlight w:val="none"/>
              </w:rPr>
            </w:pPr>
            <w:r>
              <w:rPr>
                <w:color w:val="auto"/>
                <w:highlight w:val="none"/>
              </w:rPr>
              <w:t>0.1704</w:t>
            </w:r>
          </w:p>
        </w:tc>
        <w:tc>
          <w:tcPr>
            <w:tcW w:w="1676" w:type="dxa"/>
            <w:tcBorders>
              <w:tl2br w:val="nil"/>
              <w:tr2bl w:val="nil"/>
            </w:tcBorders>
            <w:vAlign w:val="center"/>
          </w:tcPr>
          <w:p>
            <w:pPr>
              <w:pStyle w:val="28"/>
              <w:widowControl w:val="0"/>
              <w:rPr>
                <w:color w:val="auto"/>
                <w:highlight w:val="none"/>
              </w:rPr>
            </w:pPr>
            <w:r>
              <w:rPr>
                <w:color w:val="auto"/>
                <w:highlight w:val="none"/>
              </w:rPr>
              <w:t>0.0852</w:t>
            </w:r>
          </w:p>
        </w:tc>
        <w:tc>
          <w:tcPr>
            <w:tcW w:w="1784" w:type="dxa"/>
            <w:tcBorders>
              <w:tl2br w:val="nil"/>
              <w:tr2bl w:val="nil"/>
            </w:tcBorders>
            <w:vAlign w:val="center"/>
          </w:tcPr>
          <w:p>
            <w:pPr>
              <w:pStyle w:val="28"/>
              <w:widowControl w:val="0"/>
              <w:rPr>
                <w:color w:val="auto"/>
                <w:highlight w:val="none"/>
              </w:rPr>
            </w:pPr>
            <w:r>
              <w:rPr>
                <w:color w:val="auto"/>
                <w:highlight w:val="none"/>
              </w:rPr>
              <w:t>0.0057</w:t>
            </w:r>
          </w:p>
        </w:tc>
        <w:tc>
          <w:tcPr>
            <w:tcW w:w="1658" w:type="dxa"/>
            <w:tcBorders>
              <w:tl2br w:val="nil"/>
              <w:tr2bl w:val="nil"/>
            </w:tcBorders>
            <w:vAlign w:val="center"/>
          </w:tcPr>
          <w:p>
            <w:pPr>
              <w:pStyle w:val="28"/>
              <w:widowControl w:val="0"/>
              <w:rPr>
                <w:color w:val="auto"/>
                <w:highlight w:val="none"/>
              </w:rPr>
            </w:pPr>
            <w:r>
              <w:rPr>
                <w:color w:val="auto"/>
                <w:highlight w:val="none"/>
              </w:rPr>
              <w:t>0.0568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w:t>
            </w:r>
          </w:p>
        </w:tc>
        <w:tc>
          <w:tcPr>
            <w:tcW w:w="1801" w:type="dxa"/>
            <w:tcBorders>
              <w:tl2br w:val="nil"/>
              <w:tr2bl w:val="nil"/>
            </w:tcBorders>
            <w:vAlign w:val="center"/>
          </w:tcPr>
          <w:p>
            <w:pPr>
              <w:pStyle w:val="28"/>
              <w:widowControl w:val="0"/>
              <w:rPr>
                <w:color w:val="auto"/>
                <w:highlight w:val="none"/>
              </w:rPr>
            </w:pPr>
            <w:r>
              <w:rPr>
                <w:color w:val="auto"/>
                <w:highlight w:val="none"/>
              </w:rPr>
              <w:t>0.1387</w:t>
            </w:r>
          </w:p>
        </w:tc>
        <w:tc>
          <w:tcPr>
            <w:tcW w:w="1676" w:type="dxa"/>
            <w:tcBorders>
              <w:tl2br w:val="nil"/>
              <w:tr2bl w:val="nil"/>
            </w:tcBorders>
            <w:vAlign w:val="center"/>
          </w:tcPr>
          <w:p>
            <w:pPr>
              <w:pStyle w:val="28"/>
              <w:widowControl w:val="0"/>
              <w:rPr>
                <w:color w:val="auto"/>
                <w:highlight w:val="none"/>
              </w:rPr>
            </w:pPr>
            <w:r>
              <w:rPr>
                <w:color w:val="auto"/>
                <w:highlight w:val="none"/>
              </w:rPr>
              <w:t>0.0693</w:t>
            </w:r>
          </w:p>
        </w:tc>
        <w:tc>
          <w:tcPr>
            <w:tcW w:w="1784" w:type="dxa"/>
            <w:tcBorders>
              <w:tl2br w:val="nil"/>
              <w:tr2bl w:val="nil"/>
            </w:tcBorders>
            <w:vAlign w:val="center"/>
          </w:tcPr>
          <w:p>
            <w:pPr>
              <w:pStyle w:val="28"/>
              <w:widowControl w:val="0"/>
              <w:rPr>
                <w:color w:val="auto"/>
                <w:highlight w:val="none"/>
              </w:rPr>
            </w:pPr>
            <w:r>
              <w:rPr>
                <w:color w:val="auto"/>
                <w:highlight w:val="none"/>
              </w:rPr>
              <w:t>0.0046</w:t>
            </w:r>
          </w:p>
        </w:tc>
        <w:tc>
          <w:tcPr>
            <w:tcW w:w="1658" w:type="dxa"/>
            <w:tcBorders>
              <w:tl2br w:val="nil"/>
              <w:tr2bl w:val="nil"/>
            </w:tcBorders>
            <w:vAlign w:val="center"/>
          </w:tcPr>
          <w:p>
            <w:pPr>
              <w:pStyle w:val="28"/>
              <w:widowControl w:val="0"/>
              <w:rPr>
                <w:color w:val="auto"/>
                <w:highlight w:val="none"/>
              </w:rPr>
            </w:pPr>
            <w:r>
              <w:rPr>
                <w:color w:val="auto"/>
                <w:highlight w:val="none"/>
              </w:rPr>
              <w:t>0.0462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w:t>
            </w:r>
          </w:p>
        </w:tc>
        <w:tc>
          <w:tcPr>
            <w:tcW w:w="1801" w:type="dxa"/>
            <w:tcBorders>
              <w:tl2br w:val="nil"/>
              <w:tr2bl w:val="nil"/>
            </w:tcBorders>
            <w:vAlign w:val="center"/>
          </w:tcPr>
          <w:p>
            <w:pPr>
              <w:pStyle w:val="28"/>
              <w:widowControl w:val="0"/>
              <w:rPr>
                <w:color w:val="auto"/>
                <w:highlight w:val="none"/>
              </w:rPr>
            </w:pPr>
            <w:r>
              <w:rPr>
                <w:color w:val="auto"/>
                <w:highlight w:val="none"/>
              </w:rPr>
              <w:t>0.1159</w:t>
            </w:r>
          </w:p>
        </w:tc>
        <w:tc>
          <w:tcPr>
            <w:tcW w:w="1676" w:type="dxa"/>
            <w:tcBorders>
              <w:tl2br w:val="nil"/>
              <w:tr2bl w:val="nil"/>
            </w:tcBorders>
            <w:vAlign w:val="center"/>
          </w:tcPr>
          <w:p>
            <w:pPr>
              <w:pStyle w:val="28"/>
              <w:widowControl w:val="0"/>
              <w:rPr>
                <w:color w:val="auto"/>
                <w:highlight w:val="none"/>
              </w:rPr>
            </w:pPr>
            <w:r>
              <w:rPr>
                <w:color w:val="auto"/>
                <w:highlight w:val="none"/>
              </w:rPr>
              <w:t>0.0579</w:t>
            </w:r>
          </w:p>
        </w:tc>
        <w:tc>
          <w:tcPr>
            <w:tcW w:w="1784" w:type="dxa"/>
            <w:tcBorders>
              <w:tl2br w:val="nil"/>
              <w:tr2bl w:val="nil"/>
            </w:tcBorders>
            <w:vAlign w:val="center"/>
          </w:tcPr>
          <w:p>
            <w:pPr>
              <w:pStyle w:val="28"/>
              <w:widowControl w:val="0"/>
              <w:rPr>
                <w:color w:val="auto"/>
                <w:highlight w:val="none"/>
              </w:rPr>
            </w:pPr>
            <w:r>
              <w:rPr>
                <w:color w:val="auto"/>
                <w:highlight w:val="none"/>
              </w:rPr>
              <w:t>0.0039</w:t>
            </w:r>
          </w:p>
        </w:tc>
        <w:tc>
          <w:tcPr>
            <w:tcW w:w="1658" w:type="dxa"/>
            <w:tcBorders>
              <w:tl2br w:val="nil"/>
              <w:tr2bl w:val="nil"/>
            </w:tcBorders>
            <w:vAlign w:val="center"/>
          </w:tcPr>
          <w:p>
            <w:pPr>
              <w:pStyle w:val="28"/>
              <w:widowControl w:val="0"/>
              <w:rPr>
                <w:color w:val="auto"/>
                <w:highlight w:val="none"/>
              </w:rPr>
            </w:pPr>
            <w:r>
              <w:rPr>
                <w:color w:val="auto"/>
                <w:highlight w:val="none"/>
              </w:rPr>
              <w:t>0.0386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1600.0</w:t>
            </w:r>
          </w:p>
        </w:tc>
        <w:tc>
          <w:tcPr>
            <w:tcW w:w="1801" w:type="dxa"/>
            <w:tcBorders>
              <w:tl2br w:val="nil"/>
              <w:tr2bl w:val="nil"/>
            </w:tcBorders>
            <w:vAlign w:val="center"/>
          </w:tcPr>
          <w:p>
            <w:pPr>
              <w:pStyle w:val="28"/>
              <w:widowControl w:val="0"/>
              <w:rPr>
                <w:color w:val="auto"/>
                <w:highlight w:val="none"/>
              </w:rPr>
            </w:pPr>
            <w:r>
              <w:rPr>
                <w:color w:val="auto"/>
                <w:highlight w:val="none"/>
              </w:rPr>
              <w:t>0.0989</w:t>
            </w:r>
          </w:p>
        </w:tc>
        <w:tc>
          <w:tcPr>
            <w:tcW w:w="1676" w:type="dxa"/>
            <w:tcBorders>
              <w:tl2br w:val="nil"/>
              <w:tr2bl w:val="nil"/>
            </w:tcBorders>
            <w:vAlign w:val="center"/>
          </w:tcPr>
          <w:p>
            <w:pPr>
              <w:pStyle w:val="28"/>
              <w:widowControl w:val="0"/>
              <w:rPr>
                <w:color w:val="auto"/>
                <w:highlight w:val="none"/>
              </w:rPr>
            </w:pPr>
            <w:r>
              <w:rPr>
                <w:color w:val="auto"/>
                <w:highlight w:val="none"/>
              </w:rPr>
              <w:t>0.0495</w:t>
            </w:r>
          </w:p>
        </w:tc>
        <w:tc>
          <w:tcPr>
            <w:tcW w:w="1784" w:type="dxa"/>
            <w:tcBorders>
              <w:tl2br w:val="nil"/>
              <w:tr2bl w:val="nil"/>
            </w:tcBorders>
            <w:vAlign w:val="center"/>
          </w:tcPr>
          <w:p>
            <w:pPr>
              <w:pStyle w:val="28"/>
              <w:widowControl w:val="0"/>
              <w:rPr>
                <w:color w:val="auto"/>
                <w:highlight w:val="none"/>
              </w:rPr>
            </w:pPr>
            <w:r>
              <w:rPr>
                <w:color w:val="auto"/>
                <w:highlight w:val="none"/>
              </w:rPr>
              <w:t>0.0033</w:t>
            </w:r>
          </w:p>
        </w:tc>
        <w:tc>
          <w:tcPr>
            <w:tcW w:w="1658" w:type="dxa"/>
            <w:tcBorders>
              <w:tl2br w:val="nil"/>
              <w:tr2bl w:val="nil"/>
            </w:tcBorders>
            <w:vAlign w:val="center"/>
          </w:tcPr>
          <w:p>
            <w:pPr>
              <w:pStyle w:val="28"/>
              <w:widowControl w:val="0"/>
              <w:rPr>
                <w:color w:val="auto"/>
                <w:highlight w:val="none"/>
              </w:rPr>
            </w:pPr>
            <w:r>
              <w:rPr>
                <w:color w:val="auto"/>
                <w:highlight w:val="none"/>
              </w:rPr>
              <w:t>0.0330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1800.0</w:t>
            </w:r>
          </w:p>
        </w:tc>
        <w:tc>
          <w:tcPr>
            <w:tcW w:w="1801" w:type="dxa"/>
            <w:tcBorders>
              <w:tl2br w:val="nil"/>
              <w:tr2bl w:val="nil"/>
            </w:tcBorders>
            <w:vAlign w:val="center"/>
          </w:tcPr>
          <w:p>
            <w:pPr>
              <w:pStyle w:val="28"/>
              <w:widowControl w:val="0"/>
              <w:rPr>
                <w:color w:val="auto"/>
                <w:highlight w:val="none"/>
              </w:rPr>
            </w:pPr>
            <w:r>
              <w:rPr>
                <w:color w:val="auto"/>
                <w:highlight w:val="none"/>
              </w:rPr>
              <w:t>0.0860</w:t>
            </w:r>
          </w:p>
        </w:tc>
        <w:tc>
          <w:tcPr>
            <w:tcW w:w="1676" w:type="dxa"/>
            <w:tcBorders>
              <w:tl2br w:val="nil"/>
              <w:tr2bl w:val="nil"/>
            </w:tcBorders>
            <w:vAlign w:val="center"/>
          </w:tcPr>
          <w:p>
            <w:pPr>
              <w:pStyle w:val="28"/>
              <w:widowControl w:val="0"/>
              <w:rPr>
                <w:color w:val="auto"/>
                <w:highlight w:val="none"/>
              </w:rPr>
            </w:pPr>
            <w:r>
              <w:rPr>
                <w:color w:val="auto"/>
                <w:highlight w:val="none"/>
              </w:rPr>
              <w:t>0.0430</w:t>
            </w:r>
          </w:p>
        </w:tc>
        <w:tc>
          <w:tcPr>
            <w:tcW w:w="1784" w:type="dxa"/>
            <w:tcBorders>
              <w:tl2br w:val="nil"/>
              <w:tr2bl w:val="nil"/>
            </w:tcBorders>
            <w:vAlign w:val="center"/>
          </w:tcPr>
          <w:p>
            <w:pPr>
              <w:pStyle w:val="28"/>
              <w:widowControl w:val="0"/>
              <w:rPr>
                <w:color w:val="auto"/>
                <w:highlight w:val="none"/>
              </w:rPr>
            </w:pPr>
            <w:r>
              <w:rPr>
                <w:color w:val="auto"/>
                <w:highlight w:val="none"/>
              </w:rPr>
              <w:t>0.0029</w:t>
            </w:r>
          </w:p>
        </w:tc>
        <w:tc>
          <w:tcPr>
            <w:tcW w:w="1658" w:type="dxa"/>
            <w:tcBorders>
              <w:tl2br w:val="nil"/>
              <w:tr2bl w:val="nil"/>
            </w:tcBorders>
            <w:vAlign w:val="center"/>
          </w:tcPr>
          <w:p>
            <w:pPr>
              <w:pStyle w:val="28"/>
              <w:widowControl w:val="0"/>
              <w:rPr>
                <w:color w:val="auto"/>
                <w:highlight w:val="none"/>
              </w:rPr>
            </w:pPr>
            <w:r>
              <w:rPr>
                <w:color w:val="auto"/>
                <w:highlight w:val="none"/>
              </w:rPr>
              <w:t>0.0287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w:t>
            </w:r>
          </w:p>
        </w:tc>
        <w:tc>
          <w:tcPr>
            <w:tcW w:w="1801" w:type="dxa"/>
            <w:tcBorders>
              <w:tl2br w:val="nil"/>
              <w:tr2bl w:val="nil"/>
            </w:tcBorders>
            <w:vAlign w:val="center"/>
          </w:tcPr>
          <w:p>
            <w:pPr>
              <w:pStyle w:val="28"/>
              <w:widowControl w:val="0"/>
              <w:rPr>
                <w:color w:val="auto"/>
                <w:highlight w:val="none"/>
              </w:rPr>
            </w:pPr>
            <w:r>
              <w:rPr>
                <w:color w:val="auto"/>
                <w:highlight w:val="none"/>
              </w:rPr>
              <w:t>0.0757</w:t>
            </w:r>
          </w:p>
        </w:tc>
        <w:tc>
          <w:tcPr>
            <w:tcW w:w="1676" w:type="dxa"/>
            <w:tcBorders>
              <w:tl2br w:val="nil"/>
              <w:tr2bl w:val="nil"/>
            </w:tcBorders>
            <w:vAlign w:val="center"/>
          </w:tcPr>
          <w:p>
            <w:pPr>
              <w:pStyle w:val="28"/>
              <w:widowControl w:val="0"/>
              <w:rPr>
                <w:color w:val="auto"/>
                <w:highlight w:val="none"/>
              </w:rPr>
            </w:pPr>
            <w:r>
              <w:rPr>
                <w:color w:val="auto"/>
                <w:highlight w:val="none"/>
              </w:rPr>
              <w:t>0.0379</w:t>
            </w:r>
          </w:p>
        </w:tc>
        <w:tc>
          <w:tcPr>
            <w:tcW w:w="1784" w:type="dxa"/>
            <w:tcBorders>
              <w:tl2br w:val="nil"/>
              <w:tr2bl w:val="nil"/>
            </w:tcBorders>
            <w:vAlign w:val="center"/>
          </w:tcPr>
          <w:p>
            <w:pPr>
              <w:pStyle w:val="28"/>
              <w:widowControl w:val="0"/>
              <w:rPr>
                <w:color w:val="auto"/>
                <w:highlight w:val="none"/>
              </w:rPr>
            </w:pPr>
            <w:r>
              <w:rPr>
                <w:color w:val="auto"/>
                <w:highlight w:val="none"/>
              </w:rPr>
              <w:t>0.0025</w:t>
            </w:r>
          </w:p>
        </w:tc>
        <w:tc>
          <w:tcPr>
            <w:tcW w:w="1658" w:type="dxa"/>
            <w:tcBorders>
              <w:tl2br w:val="nil"/>
              <w:tr2bl w:val="nil"/>
            </w:tcBorders>
            <w:vAlign w:val="center"/>
          </w:tcPr>
          <w:p>
            <w:pPr>
              <w:pStyle w:val="28"/>
              <w:widowControl w:val="0"/>
              <w:rPr>
                <w:color w:val="auto"/>
                <w:highlight w:val="none"/>
              </w:rPr>
            </w:pPr>
            <w:r>
              <w:rPr>
                <w:color w:val="auto"/>
                <w:highlight w:val="none"/>
              </w:rPr>
              <w:t>0.0252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w:t>
            </w:r>
          </w:p>
        </w:tc>
        <w:tc>
          <w:tcPr>
            <w:tcW w:w="1801" w:type="dxa"/>
            <w:tcBorders>
              <w:tl2br w:val="nil"/>
              <w:tr2bl w:val="nil"/>
            </w:tcBorders>
            <w:vAlign w:val="center"/>
          </w:tcPr>
          <w:p>
            <w:pPr>
              <w:pStyle w:val="28"/>
              <w:widowControl w:val="0"/>
              <w:rPr>
                <w:color w:val="auto"/>
                <w:highlight w:val="none"/>
              </w:rPr>
            </w:pPr>
            <w:r>
              <w:rPr>
                <w:color w:val="auto"/>
                <w:highlight w:val="none"/>
              </w:rPr>
              <w:t>0.0574</w:t>
            </w:r>
          </w:p>
        </w:tc>
        <w:tc>
          <w:tcPr>
            <w:tcW w:w="1676" w:type="dxa"/>
            <w:tcBorders>
              <w:tl2br w:val="nil"/>
              <w:tr2bl w:val="nil"/>
            </w:tcBorders>
            <w:vAlign w:val="center"/>
          </w:tcPr>
          <w:p>
            <w:pPr>
              <w:pStyle w:val="28"/>
              <w:widowControl w:val="0"/>
              <w:rPr>
                <w:color w:val="auto"/>
                <w:highlight w:val="none"/>
              </w:rPr>
            </w:pPr>
            <w:r>
              <w:rPr>
                <w:color w:val="auto"/>
                <w:highlight w:val="none"/>
              </w:rPr>
              <w:t>0.0287</w:t>
            </w:r>
          </w:p>
        </w:tc>
        <w:tc>
          <w:tcPr>
            <w:tcW w:w="1784" w:type="dxa"/>
            <w:tcBorders>
              <w:tl2br w:val="nil"/>
              <w:tr2bl w:val="nil"/>
            </w:tcBorders>
            <w:vAlign w:val="center"/>
          </w:tcPr>
          <w:p>
            <w:pPr>
              <w:pStyle w:val="28"/>
              <w:widowControl w:val="0"/>
              <w:rPr>
                <w:color w:val="auto"/>
                <w:highlight w:val="none"/>
              </w:rPr>
            </w:pPr>
            <w:r>
              <w:rPr>
                <w:color w:val="auto"/>
                <w:highlight w:val="none"/>
              </w:rPr>
              <w:t>0.0019</w:t>
            </w:r>
          </w:p>
        </w:tc>
        <w:tc>
          <w:tcPr>
            <w:tcW w:w="1658" w:type="dxa"/>
            <w:tcBorders>
              <w:tl2br w:val="nil"/>
              <w:tr2bl w:val="nil"/>
            </w:tcBorders>
            <w:vAlign w:val="center"/>
          </w:tcPr>
          <w:p>
            <w:pPr>
              <w:pStyle w:val="28"/>
              <w:widowControl w:val="0"/>
              <w:rPr>
                <w:color w:val="auto"/>
                <w:highlight w:val="none"/>
              </w:rPr>
            </w:pPr>
            <w:r>
              <w:rPr>
                <w:color w:val="auto"/>
                <w:highlight w:val="none"/>
              </w:rPr>
              <w:t>0.0191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3000.0</w:t>
            </w:r>
          </w:p>
        </w:tc>
        <w:tc>
          <w:tcPr>
            <w:tcW w:w="1801" w:type="dxa"/>
            <w:tcBorders>
              <w:tl2br w:val="nil"/>
              <w:tr2bl w:val="nil"/>
            </w:tcBorders>
            <w:vAlign w:val="center"/>
          </w:tcPr>
          <w:p>
            <w:pPr>
              <w:pStyle w:val="28"/>
              <w:widowControl w:val="0"/>
              <w:rPr>
                <w:color w:val="auto"/>
                <w:highlight w:val="none"/>
              </w:rPr>
            </w:pPr>
            <w:r>
              <w:rPr>
                <w:color w:val="auto"/>
                <w:highlight w:val="none"/>
              </w:rPr>
              <w:t>0.0455</w:t>
            </w:r>
          </w:p>
        </w:tc>
        <w:tc>
          <w:tcPr>
            <w:tcW w:w="1676" w:type="dxa"/>
            <w:tcBorders>
              <w:tl2br w:val="nil"/>
              <w:tr2bl w:val="nil"/>
            </w:tcBorders>
            <w:vAlign w:val="center"/>
          </w:tcPr>
          <w:p>
            <w:pPr>
              <w:pStyle w:val="28"/>
              <w:widowControl w:val="0"/>
              <w:rPr>
                <w:color w:val="auto"/>
                <w:highlight w:val="none"/>
              </w:rPr>
            </w:pPr>
            <w:r>
              <w:rPr>
                <w:color w:val="auto"/>
                <w:highlight w:val="none"/>
              </w:rPr>
              <w:t>0.0228</w:t>
            </w:r>
          </w:p>
        </w:tc>
        <w:tc>
          <w:tcPr>
            <w:tcW w:w="1784" w:type="dxa"/>
            <w:tcBorders>
              <w:tl2br w:val="nil"/>
              <w:tr2bl w:val="nil"/>
            </w:tcBorders>
            <w:vAlign w:val="center"/>
          </w:tcPr>
          <w:p>
            <w:pPr>
              <w:pStyle w:val="28"/>
              <w:widowControl w:val="0"/>
              <w:rPr>
                <w:color w:val="auto"/>
                <w:highlight w:val="none"/>
              </w:rPr>
            </w:pPr>
            <w:r>
              <w:rPr>
                <w:color w:val="auto"/>
                <w:highlight w:val="none"/>
              </w:rPr>
              <w:t>0.0015</w:t>
            </w:r>
          </w:p>
        </w:tc>
        <w:tc>
          <w:tcPr>
            <w:tcW w:w="1658" w:type="dxa"/>
            <w:tcBorders>
              <w:tl2br w:val="nil"/>
              <w:tr2bl w:val="nil"/>
            </w:tcBorders>
            <w:vAlign w:val="center"/>
          </w:tcPr>
          <w:p>
            <w:pPr>
              <w:pStyle w:val="28"/>
              <w:widowControl w:val="0"/>
              <w:rPr>
                <w:color w:val="auto"/>
                <w:highlight w:val="none"/>
              </w:rPr>
            </w:pPr>
            <w:r>
              <w:rPr>
                <w:color w:val="auto"/>
                <w:highlight w:val="none"/>
              </w:rPr>
              <w:t>0.0152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3500.0</w:t>
            </w:r>
          </w:p>
        </w:tc>
        <w:tc>
          <w:tcPr>
            <w:tcW w:w="1801" w:type="dxa"/>
            <w:tcBorders>
              <w:tl2br w:val="nil"/>
              <w:tr2bl w:val="nil"/>
            </w:tcBorders>
            <w:vAlign w:val="center"/>
          </w:tcPr>
          <w:p>
            <w:pPr>
              <w:pStyle w:val="28"/>
              <w:widowControl w:val="0"/>
              <w:rPr>
                <w:color w:val="auto"/>
                <w:highlight w:val="none"/>
              </w:rPr>
            </w:pPr>
            <w:r>
              <w:rPr>
                <w:color w:val="auto"/>
                <w:highlight w:val="none"/>
              </w:rPr>
              <w:t>0.0374</w:t>
            </w:r>
          </w:p>
        </w:tc>
        <w:tc>
          <w:tcPr>
            <w:tcW w:w="1676" w:type="dxa"/>
            <w:tcBorders>
              <w:tl2br w:val="nil"/>
              <w:tr2bl w:val="nil"/>
            </w:tcBorders>
            <w:vAlign w:val="center"/>
          </w:tcPr>
          <w:p>
            <w:pPr>
              <w:pStyle w:val="28"/>
              <w:widowControl w:val="0"/>
              <w:rPr>
                <w:color w:val="auto"/>
                <w:highlight w:val="none"/>
              </w:rPr>
            </w:pPr>
            <w:r>
              <w:rPr>
                <w:color w:val="auto"/>
                <w:highlight w:val="none"/>
              </w:rPr>
              <w:t>0.0187</w:t>
            </w:r>
          </w:p>
        </w:tc>
        <w:tc>
          <w:tcPr>
            <w:tcW w:w="1784" w:type="dxa"/>
            <w:tcBorders>
              <w:tl2br w:val="nil"/>
              <w:tr2bl w:val="nil"/>
            </w:tcBorders>
            <w:vAlign w:val="center"/>
          </w:tcPr>
          <w:p>
            <w:pPr>
              <w:pStyle w:val="28"/>
              <w:widowControl w:val="0"/>
              <w:rPr>
                <w:color w:val="auto"/>
                <w:highlight w:val="none"/>
              </w:rPr>
            </w:pPr>
            <w:r>
              <w:rPr>
                <w:color w:val="auto"/>
                <w:highlight w:val="none"/>
              </w:rPr>
              <w:t>0.0012</w:t>
            </w:r>
          </w:p>
        </w:tc>
        <w:tc>
          <w:tcPr>
            <w:tcW w:w="1658" w:type="dxa"/>
            <w:tcBorders>
              <w:tl2br w:val="nil"/>
              <w:tr2bl w:val="nil"/>
            </w:tcBorders>
            <w:vAlign w:val="center"/>
          </w:tcPr>
          <w:p>
            <w:pPr>
              <w:pStyle w:val="28"/>
              <w:widowControl w:val="0"/>
              <w:rPr>
                <w:color w:val="auto"/>
                <w:highlight w:val="none"/>
              </w:rPr>
            </w:pPr>
            <w:r>
              <w:rPr>
                <w:color w:val="auto"/>
                <w:highlight w:val="none"/>
              </w:rPr>
              <w:t>0.0125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4000.0</w:t>
            </w:r>
          </w:p>
        </w:tc>
        <w:tc>
          <w:tcPr>
            <w:tcW w:w="1801" w:type="dxa"/>
            <w:tcBorders>
              <w:tl2br w:val="nil"/>
              <w:tr2bl w:val="nil"/>
            </w:tcBorders>
            <w:vAlign w:val="center"/>
          </w:tcPr>
          <w:p>
            <w:pPr>
              <w:pStyle w:val="28"/>
              <w:widowControl w:val="0"/>
              <w:rPr>
                <w:color w:val="auto"/>
                <w:highlight w:val="none"/>
              </w:rPr>
            </w:pPr>
            <w:r>
              <w:rPr>
                <w:color w:val="auto"/>
                <w:highlight w:val="none"/>
              </w:rPr>
              <w:t>0.0315</w:t>
            </w:r>
          </w:p>
        </w:tc>
        <w:tc>
          <w:tcPr>
            <w:tcW w:w="1676" w:type="dxa"/>
            <w:tcBorders>
              <w:tl2br w:val="nil"/>
              <w:tr2bl w:val="nil"/>
            </w:tcBorders>
            <w:vAlign w:val="center"/>
          </w:tcPr>
          <w:p>
            <w:pPr>
              <w:pStyle w:val="28"/>
              <w:widowControl w:val="0"/>
              <w:rPr>
                <w:color w:val="auto"/>
                <w:highlight w:val="none"/>
              </w:rPr>
            </w:pPr>
            <w:r>
              <w:rPr>
                <w:color w:val="auto"/>
                <w:highlight w:val="none"/>
              </w:rPr>
              <w:t>0.0157</w:t>
            </w:r>
          </w:p>
        </w:tc>
        <w:tc>
          <w:tcPr>
            <w:tcW w:w="1784" w:type="dxa"/>
            <w:tcBorders>
              <w:tl2br w:val="nil"/>
              <w:tr2bl w:val="nil"/>
            </w:tcBorders>
            <w:vAlign w:val="center"/>
          </w:tcPr>
          <w:p>
            <w:pPr>
              <w:pStyle w:val="28"/>
              <w:widowControl w:val="0"/>
              <w:rPr>
                <w:color w:val="auto"/>
                <w:highlight w:val="none"/>
              </w:rPr>
            </w:pPr>
            <w:r>
              <w:rPr>
                <w:color w:val="auto"/>
                <w:highlight w:val="none"/>
              </w:rPr>
              <w:t>0.0010</w:t>
            </w:r>
          </w:p>
        </w:tc>
        <w:tc>
          <w:tcPr>
            <w:tcW w:w="1658" w:type="dxa"/>
            <w:tcBorders>
              <w:tl2br w:val="nil"/>
              <w:tr2bl w:val="nil"/>
            </w:tcBorders>
            <w:vAlign w:val="center"/>
          </w:tcPr>
          <w:p>
            <w:pPr>
              <w:pStyle w:val="28"/>
              <w:widowControl w:val="0"/>
              <w:rPr>
                <w:color w:val="auto"/>
                <w:highlight w:val="none"/>
              </w:rPr>
            </w:pPr>
            <w:r>
              <w:rPr>
                <w:color w:val="auto"/>
                <w:highlight w:val="none"/>
              </w:rPr>
              <w:t>0.0105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4500.0</w:t>
            </w:r>
          </w:p>
        </w:tc>
        <w:tc>
          <w:tcPr>
            <w:tcW w:w="1801" w:type="dxa"/>
            <w:tcBorders>
              <w:tl2br w:val="nil"/>
              <w:tr2bl w:val="nil"/>
            </w:tcBorders>
            <w:vAlign w:val="center"/>
          </w:tcPr>
          <w:p>
            <w:pPr>
              <w:pStyle w:val="28"/>
              <w:widowControl w:val="0"/>
              <w:rPr>
                <w:color w:val="auto"/>
                <w:highlight w:val="none"/>
              </w:rPr>
            </w:pPr>
            <w:r>
              <w:rPr>
                <w:color w:val="auto"/>
                <w:highlight w:val="none"/>
              </w:rPr>
              <w:t>0.0270</w:t>
            </w:r>
          </w:p>
        </w:tc>
        <w:tc>
          <w:tcPr>
            <w:tcW w:w="1676" w:type="dxa"/>
            <w:tcBorders>
              <w:tl2br w:val="nil"/>
              <w:tr2bl w:val="nil"/>
            </w:tcBorders>
            <w:vAlign w:val="center"/>
          </w:tcPr>
          <w:p>
            <w:pPr>
              <w:pStyle w:val="28"/>
              <w:widowControl w:val="0"/>
              <w:rPr>
                <w:color w:val="auto"/>
                <w:highlight w:val="none"/>
              </w:rPr>
            </w:pPr>
            <w:r>
              <w:rPr>
                <w:color w:val="auto"/>
                <w:highlight w:val="none"/>
              </w:rPr>
              <w:t>0.0135</w:t>
            </w:r>
          </w:p>
        </w:tc>
        <w:tc>
          <w:tcPr>
            <w:tcW w:w="1784" w:type="dxa"/>
            <w:tcBorders>
              <w:tl2br w:val="nil"/>
              <w:tr2bl w:val="nil"/>
            </w:tcBorders>
            <w:vAlign w:val="center"/>
          </w:tcPr>
          <w:p>
            <w:pPr>
              <w:pStyle w:val="28"/>
              <w:widowControl w:val="0"/>
              <w:rPr>
                <w:color w:val="auto"/>
                <w:highlight w:val="none"/>
              </w:rPr>
            </w:pPr>
            <w:r>
              <w:rPr>
                <w:color w:val="auto"/>
                <w:highlight w:val="none"/>
              </w:rPr>
              <w:t>0.0009</w:t>
            </w:r>
          </w:p>
        </w:tc>
        <w:tc>
          <w:tcPr>
            <w:tcW w:w="1658" w:type="dxa"/>
            <w:tcBorders>
              <w:tl2br w:val="nil"/>
              <w:tr2bl w:val="nil"/>
            </w:tcBorders>
            <w:vAlign w:val="center"/>
          </w:tcPr>
          <w:p>
            <w:pPr>
              <w:pStyle w:val="28"/>
              <w:widowControl w:val="0"/>
              <w:rPr>
                <w:color w:val="auto"/>
                <w:highlight w:val="none"/>
              </w:rPr>
            </w:pPr>
            <w:r>
              <w:rPr>
                <w:color w:val="auto"/>
                <w:highlight w:val="none"/>
              </w:rPr>
              <w:t>0.0090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5000.0</w:t>
            </w:r>
          </w:p>
        </w:tc>
        <w:tc>
          <w:tcPr>
            <w:tcW w:w="1801" w:type="dxa"/>
            <w:tcBorders>
              <w:tl2br w:val="nil"/>
              <w:tr2bl w:val="nil"/>
            </w:tcBorders>
            <w:vAlign w:val="center"/>
          </w:tcPr>
          <w:p>
            <w:pPr>
              <w:pStyle w:val="28"/>
              <w:widowControl w:val="0"/>
              <w:rPr>
                <w:color w:val="auto"/>
                <w:highlight w:val="none"/>
              </w:rPr>
            </w:pPr>
            <w:r>
              <w:rPr>
                <w:color w:val="auto"/>
                <w:highlight w:val="none"/>
              </w:rPr>
              <w:t>0.0236</w:t>
            </w:r>
          </w:p>
        </w:tc>
        <w:tc>
          <w:tcPr>
            <w:tcW w:w="1676" w:type="dxa"/>
            <w:tcBorders>
              <w:tl2br w:val="nil"/>
              <w:tr2bl w:val="nil"/>
            </w:tcBorders>
            <w:vAlign w:val="center"/>
          </w:tcPr>
          <w:p>
            <w:pPr>
              <w:pStyle w:val="28"/>
              <w:widowControl w:val="0"/>
              <w:rPr>
                <w:color w:val="auto"/>
                <w:highlight w:val="none"/>
              </w:rPr>
            </w:pPr>
            <w:r>
              <w:rPr>
                <w:color w:val="auto"/>
                <w:highlight w:val="none"/>
              </w:rPr>
              <w:t>0.0118</w:t>
            </w:r>
          </w:p>
        </w:tc>
        <w:tc>
          <w:tcPr>
            <w:tcW w:w="1784" w:type="dxa"/>
            <w:tcBorders>
              <w:tl2br w:val="nil"/>
              <w:tr2bl w:val="nil"/>
            </w:tcBorders>
            <w:vAlign w:val="center"/>
          </w:tcPr>
          <w:p>
            <w:pPr>
              <w:pStyle w:val="28"/>
              <w:widowControl w:val="0"/>
              <w:rPr>
                <w:color w:val="auto"/>
                <w:highlight w:val="none"/>
              </w:rPr>
            </w:pPr>
            <w:r>
              <w:rPr>
                <w:color w:val="auto"/>
                <w:highlight w:val="none"/>
              </w:rPr>
              <w:t>0.0008</w:t>
            </w:r>
          </w:p>
        </w:tc>
        <w:tc>
          <w:tcPr>
            <w:tcW w:w="1658" w:type="dxa"/>
            <w:tcBorders>
              <w:tl2br w:val="nil"/>
              <w:tr2bl w:val="nil"/>
            </w:tcBorders>
            <w:vAlign w:val="center"/>
          </w:tcPr>
          <w:p>
            <w:pPr>
              <w:pStyle w:val="28"/>
              <w:widowControl w:val="0"/>
              <w:rPr>
                <w:color w:val="auto"/>
                <w:highlight w:val="none"/>
              </w:rPr>
            </w:pPr>
            <w:r>
              <w:rPr>
                <w:color w:val="auto"/>
                <w:highlight w:val="none"/>
              </w:rPr>
              <w:t>0.0079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10000.0</w:t>
            </w:r>
          </w:p>
        </w:tc>
        <w:tc>
          <w:tcPr>
            <w:tcW w:w="1801" w:type="dxa"/>
            <w:tcBorders>
              <w:tl2br w:val="nil"/>
              <w:tr2bl w:val="nil"/>
            </w:tcBorders>
            <w:vAlign w:val="center"/>
          </w:tcPr>
          <w:p>
            <w:pPr>
              <w:pStyle w:val="28"/>
              <w:widowControl w:val="0"/>
              <w:rPr>
                <w:color w:val="auto"/>
                <w:highlight w:val="none"/>
              </w:rPr>
            </w:pPr>
            <w:r>
              <w:rPr>
                <w:color w:val="auto"/>
                <w:highlight w:val="none"/>
              </w:rPr>
              <w:t>0.0095</w:t>
            </w:r>
          </w:p>
        </w:tc>
        <w:tc>
          <w:tcPr>
            <w:tcW w:w="1676" w:type="dxa"/>
            <w:tcBorders>
              <w:tl2br w:val="nil"/>
              <w:tr2bl w:val="nil"/>
            </w:tcBorders>
            <w:vAlign w:val="center"/>
          </w:tcPr>
          <w:p>
            <w:pPr>
              <w:pStyle w:val="28"/>
              <w:widowControl w:val="0"/>
              <w:rPr>
                <w:color w:val="auto"/>
                <w:highlight w:val="none"/>
              </w:rPr>
            </w:pPr>
            <w:r>
              <w:rPr>
                <w:color w:val="auto"/>
                <w:highlight w:val="none"/>
              </w:rPr>
              <w:t>0.0047</w:t>
            </w:r>
          </w:p>
        </w:tc>
        <w:tc>
          <w:tcPr>
            <w:tcW w:w="1784" w:type="dxa"/>
            <w:tcBorders>
              <w:tl2br w:val="nil"/>
              <w:tr2bl w:val="nil"/>
            </w:tcBorders>
            <w:vAlign w:val="center"/>
          </w:tcPr>
          <w:p>
            <w:pPr>
              <w:pStyle w:val="28"/>
              <w:widowControl w:val="0"/>
              <w:rPr>
                <w:color w:val="auto"/>
                <w:highlight w:val="none"/>
              </w:rPr>
            </w:pPr>
            <w:r>
              <w:rPr>
                <w:color w:val="auto"/>
                <w:highlight w:val="none"/>
              </w:rPr>
              <w:t>0.0003</w:t>
            </w:r>
          </w:p>
        </w:tc>
        <w:tc>
          <w:tcPr>
            <w:tcW w:w="1658" w:type="dxa"/>
            <w:tcBorders>
              <w:tl2br w:val="nil"/>
              <w:tr2bl w:val="nil"/>
            </w:tcBorders>
            <w:vAlign w:val="center"/>
          </w:tcPr>
          <w:p>
            <w:pPr>
              <w:pStyle w:val="28"/>
              <w:widowControl w:val="0"/>
              <w:rPr>
                <w:color w:val="auto"/>
                <w:highlight w:val="none"/>
              </w:rPr>
            </w:pPr>
            <w:r>
              <w:rPr>
                <w:color w:val="auto"/>
                <w:highlight w:val="none"/>
              </w:rPr>
              <w:t>0.0032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11000.0</w:t>
            </w:r>
          </w:p>
        </w:tc>
        <w:tc>
          <w:tcPr>
            <w:tcW w:w="1801" w:type="dxa"/>
            <w:tcBorders>
              <w:tl2br w:val="nil"/>
              <w:tr2bl w:val="nil"/>
            </w:tcBorders>
            <w:vAlign w:val="center"/>
          </w:tcPr>
          <w:p>
            <w:pPr>
              <w:pStyle w:val="28"/>
              <w:widowControl w:val="0"/>
              <w:rPr>
                <w:color w:val="auto"/>
                <w:highlight w:val="none"/>
              </w:rPr>
            </w:pPr>
            <w:r>
              <w:rPr>
                <w:color w:val="auto"/>
                <w:highlight w:val="none"/>
              </w:rPr>
              <w:t>0.0083</w:t>
            </w:r>
          </w:p>
        </w:tc>
        <w:tc>
          <w:tcPr>
            <w:tcW w:w="1676" w:type="dxa"/>
            <w:tcBorders>
              <w:tl2br w:val="nil"/>
              <w:tr2bl w:val="nil"/>
            </w:tcBorders>
            <w:vAlign w:val="center"/>
          </w:tcPr>
          <w:p>
            <w:pPr>
              <w:pStyle w:val="28"/>
              <w:widowControl w:val="0"/>
              <w:rPr>
                <w:color w:val="auto"/>
                <w:highlight w:val="none"/>
              </w:rPr>
            </w:pPr>
            <w:r>
              <w:rPr>
                <w:color w:val="auto"/>
                <w:highlight w:val="none"/>
              </w:rPr>
              <w:t>0.0042</w:t>
            </w:r>
          </w:p>
        </w:tc>
        <w:tc>
          <w:tcPr>
            <w:tcW w:w="1784" w:type="dxa"/>
            <w:tcBorders>
              <w:tl2br w:val="nil"/>
              <w:tr2bl w:val="nil"/>
            </w:tcBorders>
            <w:vAlign w:val="center"/>
          </w:tcPr>
          <w:p>
            <w:pPr>
              <w:pStyle w:val="28"/>
              <w:widowControl w:val="0"/>
              <w:rPr>
                <w:color w:val="auto"/>
                <w:highlight w:val="none"/>
              </w:rPr>
            </w:pPr>
            <w:r>
              <w:rPr>
                <w:color w:val="auto"/>
                <w:highlight w:val="none"/>
              </w:rPr>
              <w:t>0.0003</w:t>
            </w:r>
          </w:p>
        </w:tc>
        <w:tc>
          <w:tcPr>
            <w:tcW w:w="1658" w:type="dxa"/>
            <w:tcBorders>
              <w:tl2br w:val="nil"/>
              <w:tr2bl w:val="nil"/>
            </w:tcBorders>
            <w:vAlign w:val="center"/>
          </w:tcPr>
          <w:p>
            <w:pPr>
              <w:pStyle w:val="28"/>
              <w:widowControl w:val="0"/>
              <w:rPr>
                <w:color w:val="auto"/>
                <w:highlight w:val="none"/>
              </w:rPr>
            </w:pPr>
            <w:r>
              <w:rPr>
                <w:color w:val="auto"/>
                <w:highlight w:val="none"/>
              </w:rPr>
              <w:t>0.0028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12000.0</w:t>
            </w:r>
          </w:p>
        </w:tc>
        <w:tc>
          <w:tcPr>
            <w:tcW w:w="1801" w:type="dxa"/>
            <w:tcBorders>
              <w:tl2br w:val="nil"/>
              <w:tr2bl w:val="nil"/>
            </w:tcBorders>
            <w:vAlign w:val="center"/>
          </w:tcPr>
          <w:p>
            <w:pPr>
              <w:pStyle w:val="28"/>
              <w:widowControl w:val="0"/>
              <w:rPr>
                <w:color w:val="auto"/>
                <w:highlight w:val="none"/>
              </w:rPr>
            </w:pPr>
            <w:r>
              <w:rPr>
                <w:color w:val="auto"/>
                <w:highlight w:val="none"/>
              </w:rPr>
              <w:t>0.0074</w:t>
            </w:r>
          </w:p>
        </w:tc>
        <w:tc>
          <w:tcPr>
            <w:tcW w:w="1676" w:type="dxa"/>
            <w:tcBorders>
              <w:tl2br w:val="nil"/>
              <w:tr2bl w:val="nil"/>
            </w:tcBorders>
            <w:vAlign w:val="center"/>
          </w:tcPr>
          <w:p>
            <w:pPr>
              <w:pStyle w:val="28"/>
              <w:widowControl w:val="0"/>
              <w:rPr>
                <w:color w:val="auto"/>
                <w:highlight w:val="none"/>
              </w:rPr>
            </w:pPr>
            <w:r>
              <w:rPr>
                <w:color w:val="auto"/>
                <w:highlight w:val="none"/>
              </w:rPr>
              <w:t>0.0037</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13000.0</w:t>
            </w:r>
          </w:p>
        </w:tc>
        <w:tc>
          <w:tcPr>
            <w:tcW w:w="1801" w:type="dxa"/>
            <w:tcBorders>
              <w:tl2br w:val="nil"/>
              <w:tr2bl w:val="nil"/>
            </w:tcBorders>
            <w:vAlign w:val="center"/>
          </w:tcPr>
          <w:p>
            <w:pPr>
              <w:pStyle w:val="28"/>
              <w:widowControl w:val="0"/>
              <w:rPr>
                <w:color w:val="auto"/>
                <w:highlight w:val="none"/>
              </w:rPr>
            </w:pPr>
            <w:r>
              <w:rPr>
                <w:color w:val="auto"/>
                <w:highlight w:val="none"/>
              </w:rPr>
              <w:t>0.0067</w:t>
            </w:r>
          </w:p>
        </w:tc>
        <w:tc>
          <w:tcPr>
            <w:tcW w:w="1676" w:type="dxa"/>
            <w:tcBorders>
              <w:tl2br w:val="nil"/>
              <w:tr2bl w:val="nil"/>
            </w:tcBorders>
            <w:vAlign w:val="center"/>
          </w:tcPr>
          <w:p>
            <w:pPr>
              <w:pStyle w:val="28"/>
              <w:widowControl w:val="0"/>
              <w:rPr>
                <w:color w:val="auto"/>
                <w:highlight w:val="none"/>
              </w:rPr>
            </w:pPr>
            <w:r>
              <w:rPr>
                <w:color w:val="auto"/>
                <w:highlight w:val="none"/>
              </w:rPr>
              <w:t>0.0033</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14000.0</w:t>
            </w:r>
          </w:p>
        </w:tc>
        <w:tc>
          <w:tcPr>
            <w:tcW w:w="1801" w:type="dxa"/>
            <w:tcBorders>
              <w:tl2br w:val="nil"/>
              <w:tr2bl w:val="nil"/>
            </w:tcBorders>
            <w:vAlign w:val="center"/>
          </w:tcPr>
          <w:p>
            <w:pPr>
              <w:pStyle w:val="28"/>
              <w:widowControl w:val="0"/>
              <w:rPr>
                <w:color w:val="auto"/>
                <w:highlight w:val="none"/>
              </w:rPr>
            </w:pPr>
            <w:r>
              <w:rPr>
                <w:color w:val="auto"/>
                <w:highlight w:val="none"/>
              </w:rPr>
              <w:t>0.0061</w:t>
            </w:r>
          </w:p>
        </w:tc>
        <w:tc>
          <w:tcPr>
            <w:tcW w:w="1676" w:type="dxa"/>
            <w:tcBorders>
              <w:tl2br w:val="nil"/>
              <w:tr2bl w:val="nil"/>
            </w:tcBorders>
            <w:vAlign w:val="center"/>
          </w:tcPr>
          <w:p>
            <w:pPr>
              <w:pStyle w:val="28"/>
              <w:widowControl w:val="0"/>
              <w:rPr>
                <w:color w:val="auto"/>
                <w:highlight w:val="none"/>
              </w:rPr>
            </w:pPr>
            <w:r>
              <w:rPr>
                <w:color w:val="auto"/>
                <w:highlight w:val="none"/>
              </w:rPr>
              <w:t>0.0030</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15000.0</w:t>
            </w:r>
          </w:p>
        </w:tc>
        <w:tc>
          <w:tcPr>
            <w:tcW w:w="1801" w:type="dxa"/>
            <w:tcBorders>
              <w:tl2br w:val="nil"/>
              <w:tr2bl w:val="nil"/>
            </w:tcBorders>
            <w:vAlign w:val="center"/>
          </w:tcPr>
          <w:p>
            <w:pPr>
              <w:pStyle w:val="28"/>
              <w:widowControl w:val="0"/>
              <w:rPr>
                <w:color w:val="auto"/>
                <w:highlight w:val="none"/>
              </w:rPr>
            </w:pPr>
            <w:r>
              <w:rPr>
                <w:color w:val="auto"/>
                <w:highlight w:val="none"/>
              </w:rPr>
              <w:t>0.0055</w:t>
            </w:r>
          </w:p>
        </w:tc>
        <w:tc>
          <w:tcPr>
            <w:tcW w:w="1676" w:type="dxa"/>
            <w:tcBorders>
              <w:tl2br w:val="nil"/>
              <w:tr2bl w:val="nil"/>
            </w:tcBorders>
            <w:vAlign w:val="center"/>
          </w:tcPr>
          <w:p>
            <w:pPr>
              <w:pStyle w:val="28"/>
              <w:widowControl w:val="0"/>
              <w:rPr>
                <w:color w:val="auto"/>
                <w:highlight w:val="none"/>
              </w:rPr>
            </w:pPr>
            <w:r>
              <w:rPr>
                <w:color w:val="auto"/>
                <w:highlight w:val="none"/>
              </w:rPr>
              <w:t>0.0028</w:t>
            </w:r>
          </w:p>
        </w:tc>
        <w:tc>
          <w:tcPr>
            <w:tcW w:w="1784" w:type="dxa"/>
            <w:tcBorders>
              <w:tl2br w:val="nil"/>
              <w:tr2bl w:val="nil"/>
            </w:tcBorders>
            <w:vAlign w:val="center"/>
          </w:tcPr>
          <w:p>
            <w:pPr>
              <w:pStyle w:val="28"/>
              <w:widowControl w:val="0"/>
              <w:rPr>
                <w:color w:val="auto"/>
                <w:highlight w:val="none"/>
              </w:rPr>
            </w:pPr>
            <w:r>
              <w:rPr>
                <w:color w:val="auto"/>
                <w:highlight w:val="none"/>
              </w:rPr>
              <w:t>0.0002</w:t>
            </w:r>
          </w:p>
        </w:tc>
        <w:tc>
          <w:tcPr>
            <w:tcW w:w="1658" w:type="dxa"/>
            <w:tcBorders>
              <w:tl2br w:val="nil"/>
              <w:tr2bl w:val="nil"/>
            </w:tcBorders>
            <w:vAlign w:val="center"/>
          </w:tcPr>
          <w:p>
            <w:pPr>
              <w:pStyle w:val="28"/>
              <w:widowControl w:val="0"/>
              <w:rPr>
                <w:color w:val="auto"/>
                <w:highlight w:val="none"/>
              </w:rPr>
            </w:pPr>
            <w:r>
              <w:rPr>
                <w:color w:val="auto"/>
                <w:highlight w:val="none"/>
              </w:rPr>
              <w:t>0.0018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20000.0</w:t>
            </w:r>
          </w:p>
        </w:tc>
        <w:tc>
          <w:tcPr>
            <w:tcW w:w="1801" w:type="dxa"/>
            <w:tcBorders>
              <w:tl2br w:val="nil"/>
              <w:tr2bl w:val="nil"/>
            </w:tcBorders>
            <w:vAlign w:val="center"/>
          </w:tcPr>
          <w:p>
            <w:pPr>
              <w:pStyle w:val="28"/>
              <w:widowControl w:val="0"/>
              <w:rPr>
                <w:color w:val="auto"/>
                <w:highlight w:val="none"/>
              </w:rPr>
            </w:pPr>
            <w:r>
              <w:rPr>
                <w:color w:val="auto"/>
                <w:highlight w:val="none"/>
              </w:rPr>
              <w:t>0.0038</w:t>
            </w:r>
          </w:p>
        </w:tc>
        <w:tc>
          <w:tcPr>
            <w:tcW w:w="1676" w:type="dxa"/>
            <w:tcBorders>
              <w:tl2br w:val="nil"/>
              <w:tr2bl w:val="nil"/>
            </w:tcBorders>
            <w:vAlign w:val="center"/>
          </w:tcPr>
          <w:p>
            <w:pPr>
              <w:pStyle w:val="28"/>
              <w:widowControl w:val="0"/>
              <w:rPr>
                <w:color w:val="auto"/>
                <w:highlight w:val="none"/>
              </w:rPr>
            </w:pPr>
            <w:r>
              <w:rPr>
                <w:color w:val="auto"/>
                <w:highlight w:val="none"/>
              </w:rPr>
              <w:t>0.0019</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25000.0</w:t>
            </w:r>
          </w:p>
        </w:tc>
        <w:tc>
          <w:tcPr>
            <w:tcW w:w="1801" w:type="dxa"/>
            <w:tcBorders>
              <w:tl2br w:val="nil"/>
              <w:tr2bl w:val="nil"/>
            </w:tcBorders>
            <w:vAlign w:val="center"/>
          </w:tcPr>
          <w:p>
            <w:pPr>
              <w:pStyle w:val="28"/>
              <w:widowControl w:val="0"/>
              <w:rPr>
                <w:color w:val="auto"/>
                <w:highlight w:val="none"/>
              </w:rPr>
            </w:pPr>
            <w:r>
              <w:rPr>
                <w:color w:val="auto"/>
                <w:highlight w:val="none"/>
              </w:rPr>
              <w:t>0.0028</w:t>
            </w:r>
          </w:p>
        </w:tc>
        <w:tc>
          <w:tcPr>
            <w:tcW w:w="1676" w:type="dxa"/>
            <w:tcBorders>
              <w:tl2br w:val="nil"/>
              <w:tr2bl w:val="nil"/>
            </w:tcBorders>
            <w:vAlign w:val="center"/>
          </w:tcPr>
          <w:p>
            <w:pPr>
              <w:pStyle w:val="28"/>
              <w:widowControl w:val="0"/>
              <w:rPr>
                <w:color w:val="auto"/>
                <w:highlight w:val="none"/>
              </w:rPr>
            </w:pPr>
            <w:r>
              <w:rPr>
                <w:color w:val="auto"/>
                <w:highlight w:val="none"/>
              </w:rPr>
              <w:t>0.0014</w:t>
            </w:r>
          </w:p>
        </w:tc>
        <w:tc>
          <w:tcPr>
            <w:tcW w:w="1784" w:type="dxa"/>
            <w:tcBorders>
              <w:tl2br w:val="nil"/>
              <w:tr2bl w:val="nil"/>
            </w:tcBorders>
            <w:vAlign w:val="center"/>
          </w:tcPr>
          <w:p>
            <w:pPr>
              <w:pStyle w:val="28"/>
              <w:widowControl w:val="0"/>
              <w:rPr>
                <w:color w:val="auto"/>
                <w:highlight w:val="none"/>
              </w:rPr>
            </w:pPr>
            <w:r>
              <w:rPr>
                <w:color w:val="auto"/>
                <w:highlight w:val="none"/>
              </w:rPr>
              <w:t>0.0001</w:t>
            </w:r>
          </w:p>
        </w:tc>
        <w:tc>
          <w:tcPr>
            <w:tcW w:w="1658" w:type="dxa"/>
            <w:tcBorders>
              <w:tl2br w:val="nil"/>
              <w:tr2bl w:val="nil"/>
            </w:tcBorders>
            <w:vAlign w:val="center"/>
          </w:tcPr>
          <w:p>
            <w:pPr>
              <w:pStyle w:val="28"/>
              <w:widowControl w:val="0"/>
              <w:rPr>
                <w:color w:val="auto"/>
                <w:highlight w:val="none"/>
              </w:rPr>
            </w:pPr>
            <w:r>
              <w:rPr>
                <w:color w:val="auto"/>
                <w:highlight w:val="none"/>
              </w:rPr>
              <w:t>0.0009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w:t>
            </w:r>
          </w:p>
        </w:tc>
        <w:tc>
          <w:tcPr>
            <w:tcW w:w="1801" w:type="dxa"/>
            <w:tcBorders>
              <w:tl2br w:val="nil"/>
              <w:tr2bl w:val="nil"/>
            </w:tcBorders>
            <w:vAlign w:val="center"/>
          </w:tcPr>
          <w:p>
            <w:pPr>
              <w:pStyle w:val="28"/>
              <w:widowControl w:val="0"/>
              <w:rPr>
                <w:color w:val="auto"/>
                <w:highlight w:val="none"/>
              </w:rPr>
            </w:pPr>
            <w:r>
              <w:rPr>
                <w:color w:val="auto"/>
                <w:highlight w:val="none"/>
              </w:rPr>
              <w:t>1.4339</w:t>
            </w:r>
          </w:p>
        </w:tc>
        <w:tc>
          <w:tcPr>
            <w:tcW w:w="1676" w:type="dxa"/>
            <w:tcBorders>
              <w:tl2br w:val="nil"/>
              <w:tr2bl w:val="nil"/>
            </w:tcBorders>
            <w:vAlign w:val="center"/>
          </w:tcPr>
          <w:p>
            <w:pPr>
              <w:pStyle w:val="28"/>
              <w:widowControl w:val="0"/>
              <w:rPr>
                <w:color w:val="auto"/>
                <w:highlight w:val="none"/>
              </w:rPr>
            </w:pPr>
            <w:r>
              <w:rPr>
                <w:color w:val="auto"/>
                <w:highlight w:val="none"/>
              </w:rPr>
              <w:t>0.7169</w:t>
            </w:r>
          </w:p>
        </w:tc>
        <w:tc>
          <w:tcPr>
            <w:tcW w:w="1784" w:type="dxa"/>
            <w:tcBorders>
              <w:tl2br w:val="nil"/>
              <w:tr2bl w:val="nil"/>
            </w:tcBorders>
            <w:vAlign w:val="center"/>
          </w:tcPr>
          <w:p>
            <w:pPr>
              <w:pStyle w:val="28"/>
              <w:widowControl w:val="0"/>
              <w:rPr>
                <w:color w:val="auto"/>
                <w:highlight w:val="none"/>
              </w:rPr>
            </w:pPr>
            <w:r>
              <w:rPr>
                <w:color w:val="auto"/>
                <w:highlight w:val="none"/>
              </w:rPr>
              <w:t>0.0478</w:t>
            </w:r>
          </w:p>
        </w:tc>
        <w:tc>
          <w:tcPr>
            <w:tcW w:w="1658" w:type="dxa"/>
            <w:tcBorders>
              <w:tl2br w:val="nil"/>
              <w:tr2bl w:val="nil"/>
            </w:tcBorders>
            <w:vAlign w:val="center"/>
          </w:tcPr>
          <w:p>
            <w:pPr>
              <w:pStyle w:val="28"/>
              <w:widowControl w:val="0"/>
              <w:rPr>
                <w:color w:val="auto"/>
                <w:highlight w:val="none"/>
              </w:rPr>
            </w:pPr>
            <w:r>
              <w:rPr>
                <w:color w:val="auto"/>
                <w:highlight w:val="none"/>
              </w:rPr>
              <w:t>0.4780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下风向最大浓度出现距离</w:t>
            </w:r>
          </w:p>
        </w:tc>
        <w:tc>
          <w:tcPr>
            <w:tcW w:w="1801" w:type="dxa"/>
            <w:tcBorders>
              <w:tl2br w:val="nil"/>
              <w:tr2bl w:val="nil"/>
            </w:tcBorders>
            <w:vAlign w:val="center"/>
          </w:tcPr>
          <w:p>
            <w:pPr>
              <w:pStyle w:val="28"/>
              <w:widowControl w:val="0"/>
              <w:rPr>
                <w:color w:val="auto"/>
                <w:highlight w:val="none"/>
              </w:rPr>
            </w:pPr>
            <w:r>
              <w:rPr>
                <w:color w:val="auto"/>
                <w:highlight w:val="none"/>
              </w:rPr>
              <w:t>26.0</w:t>
            </w:r>
          </w:p>
        </w:tc>
        <w:tc>
          <w:tcPr>
            <w:tcW w:w="1676" w:type="dxa"/>
            <w:tcBorders>
              <w:tl2br w:val="nil"/>
              <w:tr2bl w:val="nil"/>
            </w:tcBorders>
            <w:vAlign w:val="center"/>
          </w:tcPr>
          <w:p>
            <w:pPr>
              <w:pStyle w:val="28"/>
              <w:widowControl w:val="0"/>
              <w:rPr>
                <w:color w:val="auto"/>
                <w:highlight w:val="none"/>
              </w:rPr>
            </w:pPr>
            <w:r>
              <w:rPr>
                <w:color w:val="auto"/>
                <w:highlight w:val="none"/>
              </w:rPr>
              <w:t>26.0</w:t>
            </w:r>
          </w:p>
        </w:tc>
        <w:tc>
          <w:tcPr>
            <w:tcW w:w="1784" w:type="dxa"/>
            <w:tcBorders>
              <w:tl2br w:val="nil"/>
              <w:tr2bl w:val="nil"/>
            </w:tcBorders>
            <w:vAlign w:val="center"/>
          </w:tcPr>
          <w:p>
            <w:pPr>
              <w:pStyle w:val="28"/>
              <w:widowControl w:val="0"/>
              <w:rPr>
                <w:color w:val="auto"/>
                <w:highlight w:val="none"/>
              </w:rPr>
            </w:pPr>
            <w:r>
              <w:rPr>
                <w:color w:val="auto"/>
                <w:highlight w:val="none"/>
              </w:rPr>
              <w:t>26.0</w:t>
            </w:r>
          </w:p>
        </w:tc>
        <w:tc>
          <w:tcPr>
            <w:tcW w:w="1658" w:type="dxa"/>
            <w:tcBorders>
              <w:tl2br w:val="nil"/>
              <w:tr2bl w:val="nil"/>
            </w:tcBorders>
            <w:vAlign w:val="center"/>
          </w:tcPr>
          <w:p>
            <w:pPr>
              <w:pStyle w:val="28"/>
              <w:widowControl w:val="0"/>
              <w:rPr>
                <w:color w:val="auto"/>
                <w:highlight w:val="none"/>
              </w:rPr>
            </w:pPr>
            <w:r>
              <w:rPr>
                <w:color w:val="auto"/>
                <w:highlight w:val="none"/>
              </w:rPr>
              <w:t>26.0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701" w:type="dxa"/>
            <w:tcBorders>
              <w:tl2br w:val="nil"/>
              <w:tr2bl w:val="nil"/>
            </w:tcBorders>
            <w:vAlign w:val="center"/>
          </w:tcPr>
          <w:p>
            <w:pPr>
              <w:pStyle w:val="28"/>
              <w:widowControl w:val="0"/>
              <w:rPr>
                <w:color w:val="auto"/>
                <w:highlight w:val="none"/>
              </w:rPr>
            </w:pPr>
            <w:r>
              <w:rPr>
                <w:color w:val="auto"/>
                <w:highlight w:val="none"/>
              </w:rPr>
              <w:t>D10%最远距离</w:t>
            </w:r>
          </w:p>
        </w:tc>
        <w:tc>
          <w:tcPr>
            <w:tcW w:w="1801" w:type="dxa"/>
            <w:tcBorders>
              <w:tl2br w:val="nil"/>
              <w:tr2bl w:val="nil"/>
            </w:tcBorders>
            <w:vAlign w:val="center"/>
          </w:tcPr>
          <w:p>
            <w:pPr>
              <w:pStyle w:val="28"/>
              <w:widowControl w:val="0"/>
              <w:rPr>
                <w:color w:val="auto"/>
                <w:highlight w:val="none"/>
              </w:rPr>
            </w:pPr>
            <w:r>
              <w:rPr>
                <w:color w:val="auto"/>
                <w:highlight w:val="none"/>
              </w:rPr>
              <w:t>/</w:t>
            </w:r>
          </w:p>
        </w:tc>
        <w:tc>
          <w:tcPr>
            <w:tcW w:w="1676" w:type="dxa"/>
            <w:tcBorders>
              <w:tl2br w:val="nil"/>
              <w:tr2bl w:val="nil"/>
            </w:tcBorders>
            <w:vAlign w:val="center"/>
          </w:tcPr>
          <w:p>
            <w:pPr>
              <w:pStyle w:val="28"/>
              <w:widowControl w:val="0"/>
              <w:rPr>
                <w:color w:val="auto"/>
                <w:highlight w:val="none"/>
              </w:rPr>
            </w:pPr>
            <w:r>
              <w:rPr>
                <w:color w:val="auto"/>
                <w:highlight w:val="none"/>
              </w:rPr>
              <w:t>/</w:t>
            </w:r>
          </w:p>
        </w:tc>
        <w:tc>
          <w:tcPr>
            <w:tcW w:w="1784" w:type="dxa"/>
            <w:tcBorders>
              <w:tl2br w:val="nil"/>
              <w:tr2bl w:val="nil"/>
            </w:tcBorders>
            <w:vAlign w:val="center"/>
          </w:tcPr>
          <w:p>
            <w:pPr>
              <w:pStyle w:val="28"/>
              <w:widowControl w:val="0"/>
              <w:rPr>
                <w:color w:val="auto"/>
                <w:highlight w:val="none"/>
              </w:rPr>
            </w:pPr>
            <w:r>
              <w:rPr>
                <w:color w:val="auto"/>
                <w:highlight w:val="none"/>
              </w:rPr>
              <w:t>/</w:t>
            </w:r>
          </w:p>
        </w:tc>
        <w:tc>
          <w:tcPr>
            <w:tcW w:w="1658" w:type="dxa"/>
            <w:tcBorders>
              <w:tl2br w:val="nil"/>
              <w:tr2bl w:val="nil"/>
            </w:tcBorders>
            <w:vAlign w:val="center"/>
          </w:tcPr>
          <w:p>
            <w:pPr>
              <w:pStyle w:val="28"/>
              <w:widowControl w:val="0"/>
              <w:rPr>
                <w:color w:val="auto"/>
                <w:highlight w:val="none"/>
              </w:rPr>
            </w:pPr>
            <w:r>
              <w:rPr>
                <w:color w:val="auto"/>
                <w:highlight w:val="none"/>
              </w:rPr>
              <w:t>/</w:t>
            </w:r>
          </w:p>
        </w:tc>
      </w:tr>
    </w:tbl>
    <w:p>
      <w:pPr>
        <w:widowControl w:val="0"/>
        <w:ind w:firstLine="480"/>
        <w:rPr>
          <w:color w:val="auto"/>
          <w:highlight w:val="none"/>
        </w:rPr>
      </w:pPr>
      <w:r>
        <w:rPr>
          <w:rFonts w:hint="eastAsia"/>
          <w:color w:val="auto"/>
          <w:highlight w:val="none"/>
        </w:rPr>
        <w:t>由上述预测计算结果可知，项目各项污染源污染物均满足《环境影响评价技术导则 大气环境》（</w:t>
      </w:r>
      <w:r>
        <w:rPr>
          <w:color w:val="auto"/>
          <w:highlight w:val="none"/>
        </w:rPr>
        <w:t>HJ 2.2-2018</w:t>
      </w:r>
      <w:r>
        <w:rPr>
          <w:rFonts w:hint="eastAsia"/>
          <w:color w:val="auto"/>
          <w:highlight w:val="none"/>
        </w:rPr>
        <w:t>）中“附录 D.1其他污染物空气质量浓度参考限值”有关标准要求。</w:t>
      </w:r>
    </w:p>
    <w:p>
      <w:pPr>
        <w:widowControl w:val="0"/>
        <w:ind w:firstLine="480"/>
        <w:rPr>
          <w:color w:val="auto"/>
          <w:highlight w:val="none"/>
        </w:rPr>
      </w:pPr>
      <w:r>
        <w:rPr>
          <w:rFonts w:hint="eastAsia"/>
          <w:color w:val="auto"/>
          <w:highlight w:val="none"/>
        </w:rPr>
        <w:t>综上所述，本项目排放的大气污染物能够满足相关标准要求，不会改变大气环境功能，满足环境空气功能区划要求，项目排放的废气对环境空气质量影响较小。</w:t>
      </w:r>
    </w:p>
    <w:p>
      <w:pPr>
        <w:pStyle w:val="6"/>
        <w:widowControl w:val="0"/>
        <w:ind w:left="-160" w:firstLineChars="0"/>
        <w:rPr>
          <w:color w:val="auto"/>
          <w:highlight w:val="none"/>
        </w:rPr>
      </w:pPr>
      <w:r>
        <w:rPr>
          <w:rFonts w:hint="eastAsia"/>
          <w:color w:val="auto"/>
          <w:highlight w:val="none"/>
        </w:rPr>
        <w:t>污染物排放量核算</w:t>
      </w:r>
    </w:p>
    <w:p>
      <w:pPr>
        <w:widowControl w:val="0"/>
        <w:ind w:firstLine="480"/>
        <w:rPr>
          <w:color w:val="auto"/>
          <w:highlight w:val="none"/>
        </w:rPr>
      </w:pPr>
      <w:r>
        <w:rPr>
          <w:rFonts w:hint="eastAsia"/>
          <w:color w:val="auto"/>
          <w:highlight w:val="none"/>
        </w:rPr>
        <w:t>根据导则HJ2.2-2018，项目废气污染物排放量核算见下表。</w:t>
      </w:r>
    </w:p>
    <w:p>
      <w:pPr>
        <w:widowControl w:val="0"/>
        <w:ind w:firstLine="480"/>
        <w:rPr>
          <w:color w:val="auto"/>
          <w:highlight w:val="none"/>
        </w:rPr>
      </w:pPr>
      <w:r>
        <w:rPr>
          <w:rFonts w:hint="eastAsia"/>
          <w:color w:val="auto"/>
          <w:highlight w:val="none"/>
        </w:rPr>
        <w:t>①有组织排放量核算</w:t>
      </w:r>
    </w:p>
    <w:p>
      <w:pPr>
        <w:pStyle w:val="27"/>
        <w:widowControl w:val="0"/>
        <w:rPr>
          <w:color w:val="auto"/>
          <w:highlight w:val="none"/>
        </w:rPr>
      </w:pPr>
      <w:r>
        <w:rPr>
          <w:rFonts w:hint="eastAsia"/>
          <w:color w:val="auto"/>
          <w:highlight w:val="none"/>
        </w:rPr>
        <w:t>大气污染物有组织排放量核算表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170"/>
        <w:gridCol w:w="945"/>
        <w:gridCol w:w="1485"/>
        <w:gridCol w:w="1530"/>
        <w:gridCol w:w="1500"/>
        <w:gridCol w:w="23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170" w:type="dxa"/>
            <w:tcBorders>
              <w:tl2br w:val="nil"/>
              <w:tr2bl w:val="nil"/>
            </w:tcBorders>
            <w:vAlign w:val="center"/>
          </w:tcPr>
          <w:p>
            <w:pPr>
              <w:pStyle w:val="28"/>
              <w:widowControl w:val="0"/>
              <w:rPr>
                <w:b/>
                <w:bCs/>
                <w:color w:val="auto"/>
                <w:highlight w:val="none"/>
              </w:rPr>
            </w:pPr>
            <w:r>
              <w:rPr>
                <w:rFonts w:hint="eastAsia"/>
                <w:b/>
                <w:bCs/>
                <w:color w:val="auto"/>
                <w:highlight w:val="none"/>
              </w:rPr>
              <w:t>排气筒编号</w:t>
            </w:r>
          </w:p>
        </w:tc>
        <w:tc>
          <w:tcPr>
            <w:tcW w:w="945" w:type="dxa"/>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1485" w:type="dxa"/>
            <w:tcBorders>
              <w:tl2br w:val="nil"/>
              <w:tr2bl w:val="nil"/>
            </w:tcBorders>
            <w:vAlign w:val="center"/>
          </w:tcPr>
          <w:p>
            <w:pPr>
              <w:pStyle w:val="28"/>
              <w:widowControl w:val="0"/>
              <w:rPr>
                <w:b/>
                <w:bCs/>
                <w:color w:val="auto"/>
                <w:highlight w:val="none"/>
              </w:rPr>
            </w:pPr>
            <w:r>
              <w:rPr>
                <w:rFonts w:hint="eastAsia"/>
                <w:b/>
                <w:bCs/>
                <w:color w:val="auto"/>
                <w:highlight w:val="none"/>
              </w:rPr>
              <w:t>核算排放浓度（mg/m</w:t>
            </w:r>
            <w:r>
              <w:rPr>
                <w:rFonts w:hint="eastAsia"/>
                <w:b/>
                <w:bCs/>
                <w:color w:val="auto"/>
                <w:highlight w:val="none"/>
                <w:vertAlign w:val="superscript"/>
              </w:rPr>
              <w:t>3</w:t>
            </w:r>
            <w:r>
              <w:rPr>
                <w:rFonts w:hint="eastAsia"/>
                <w:b/>
                <w:bCs/>
                <w:color w:val="auto"/>
                <w:highlight w:val="none"/>
              </w:rPr>
              <w:t>）</w:t>
            </w:r>
          </w:p>
        </w:tc>
        <w:tc>
          <w:tcPr>
            <w:tcW w:w="1530" w:type="dxa"/>
            <w:tcBorders>
              <w:tl2br w:val="nil"/>
              <w:tr2bl w:val="nil"/>
            </w:tcBorders>
            <w:vAlign w:val="center"/>
          </w:tcPr>
          <w:p>
            <w:pPr>
              <w:pStyle w:val="28"/>
              <w:widowControl w:val="0"/>
              <w:rPr>
                <w:b/>
                <w:bCs/>
                <w:color w:val="auto"/>
                <w:highlight w:val="none"/>
              </w:rPr>
            </w:pPr>
            <w:r>
              <w:rPr>
                <w:rFonts w:hint="eastAsia"/>
                <w:b/>
                <w:bCs/>
                <w:color w:val="auto"/>
                <w:highlight w:val="none"/>
              </w:rPr>
              <w:t>核算排放速率（kg/h）</w:t>
            </w:r>
          </w:p>
        </w:tc>
        <w:tc>
          <w:tcPr>
            <w:tcW w:w="1500" w:type="dxa"/>
            <w:tcBorders>
              <w:tl2br w:val="nil"/>
              <w:tr2bl w:val="nil"/>
            </w:tcBorders>
            <w:vAlign w:val="center"/>
          </w:tcPr>
          <w:p>
            <w:pPr>
              <w:pStyle w:val="28"/>
              <w:widowControl w:val="0"/>
              <w:rPr>
                <w:b/>
                <w:bCs/>
                <w:color w:val="auto"/>
                <w:highlight w:val="none"/>
              </w:rPr>
            </w:pPr>
            <w:r>
              <w:rPr>
                <w:rFonts w:hint="eastAsia"/>
                <w:b/>
                <w:bCs/>
                <w:color w:val="auto"/>
                <w:highlight w:val="none"/>
              </w:rPr>
              <w:t>核算年排放量（t/a）</w:t>
            </w:r>
          </w:p>
        </w:tc>
        <w:tc>
          <w:tcPr>
            <w:tcW w:w="2343"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1170" w:type="dxa"/>
            <w:vMerge w:val="restart"/>
            <w:tcBorders>
              <w:tl2br w:val="nil"/>
              <w:tr2bl w:val="nil"/>
            </w:tcBorders>
            <w:vAlign w:val="center"/>
          </w:tcPr>
          <w:p>
            <w:pPr>
              <w:pStyle w:val="28"/>
              <w:widowControl w:val="0"/>
              <w:rPr>
                <w:color w:val="auto"/>
                <w:highlight w:val="none"/>
              </w:rPr>
            </w:pPr>
            <w:r>
              <w:rPr>
                <w:rFonts w:hint="eastAsia"/>
                <w:color w:val="auto"/>
                <w:highlight w:val="none"/>
              </w:rPr>
              <w:t>P1排气筒</w:t>
            </w:r>
          </w:p>
        </w:tc>
        <w:tc>
          <w:tcPr>
            <w:tcW w:w="945" w:type="dxa"/>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48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0.013</w:t>
            </w:r>
          </w:p>
        </w:tc>
        <w:tc>
          <w:tcPr>
            <w:tcW w:w="153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0.004</w:t>
            </w:r>
          </w:p>
        </w:tc>
        <w:tc>
          <w:tcPr>
            <w:tcW w:w="150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0.027</w:t>
            </w:r>
          </w:p>
        </w:tc>
        <w:tc>
          <w:tcPr>
            <w:tcW w:w="2343" w:type="dxa"/>
            <w:vMerge w:val="restart"/>
            <w:tcBorders>
              <w:tl2br w:val="nil"/>
              <w:tr2bl w:val="nil"/>
            </w:tcBorders>
            <w:vAlign w:val="center"/>
          </w:tcPr>
          <w:p>
            <w:pPr>
              <w:pStyle w:val="28"/>
              <w:widowControl w:val="0"/>
              <w:rPr>
                <w:color w:val="auto"/>
                <w:highlight w:val="none"/>
              </w:rPr>
            </w:pPr>
            <w:r>
              <w:rPr>
                <w:rFonts w:hint="eastAsia"/>
                <w:color w:val="auto"/>
                <w:highlight w:val="none"/>
              </w:rPr>
              <w:t>P1排气筒为待宰圈和污水处理间排气筒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28"/>
              <w:widowControl w:val="0"/>
              <w:rPr>
                <w:color w:val="auto"/>
                <w:highlight w:val="none"/>
              </w:rPr>
            </w:pPr>
          </w:p>
        </w:tc>
        <w:tc>
          <w:tcPr>
            <w:tcW w:w="1170" w:type="dxa"/>
            <w:vMerge w:val="continue"/>
            <w:tcBorders>
              <w:tl2br w:val="nil"/>
              <w:tr2bl w:val="nil"/>
            </w:tcBorders>
            <w:vAlign w:val="center"/>
          </w:tcPr>
          <w:p>
            <w:pPr>
              <w:pStyle w:val="28"/>
              <w:widowControl w:val="0"/>
              <w:rPr>
                <w:color w:val="auto"/>
                <w:highlight w:val="none"/>
              </w:rPr>
            </w:pPr>
          </w:p>
        </w:tc>
        <w:tc>
          <w:tcPr>
            <w:tcW w:w="945" w:type="dxa"/>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48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0.0013</w:t>
            </w:r>
          </w:p>
        </w:tc>
        <w:tc>
          <w:tcPr>
            <w:tcW w:w="153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0.0004</w:t>
            </w:r>
          </w:p>
        </w:tc>
        <w:tc>
          <w:tcPr>
            <w:tcW w:w="150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0.0015</w:t>
            </w:r>
          </w:p>
        </w:tc>
        <w:tc>
          <w:tcPr>
            <w:tcW w:w="2343"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l2br w:val="nil"/>
              <w:tr2bl w:val="nil"/>
            </w:tcBorders>
            <w:vAlign w:val="center"/>
          </w:tcPr>
          <w:p>
            <w:pPr>
              <w:pStyle w:val="28"/>
              <w:widowControl w:val="0"/>
              <w:rPr>
                <w:color w:val="auto"/>
                <w:highlight w:val="none"/>
              </w:rPr>
            </w:pPr>
            <w:r>
              <w:rPr>
                <w:rFonts w:hint="eastAsia"/>
                <w:color w:val="auto"/>
                <w:highlight w:val="none"/>
              </w:rPr>
              <w:t>2</w:t>
            </w:r>
          </w:p>
        </w:tc>
        <w:tc>
          <w:tcPr>
            <w:tcW w:w="1170" w:type="dxa"/>
            <w:vMerge w:val="restart"/>
            <w:tcBorders>
              <w:tl2br w:val="nil"/>
              <w:tr2bl w:val="nil"/>
            </w:tcBorders>
            <w:vAlign w:val="center"/>
          </w:tcPr>
          <w:p>
            <w:pPr>
              <w:pStyle w:val="28"/>
              <w:widowControl w:val="0"/>
              <w:rPr>
                <w:color w:val="auto"/>
                <w:highlight w:val="none"/>
              </w:rPr>
            </w:pPr>
            <w:r>
              <w:rPr>
                <w:rFonts w:hint="eastAsia"/>
                <w:color w:val="auto"/>
                <w:highlight w:val="none"/>
              </w:rPr>
              <w:t>P2排气筒</w:t>
            </w:r>
          </w:p>
        </w:tc>
        <w:tc>
          <w:tcPr>
            <w:tcW w:w="945" w:type="dxa"/>
            <w:tcBorders>
              <w:tl2br w:val="nil"/>
              <w:tr2bl w:val="nil"/>
            </w:tcBorders>
            <w:vAlign w:val="center"/>
          </w:tcPr>
          <w:p>
            <w:pPr>
              <w:pStyle w:val="28"/>
              <w:widowControl w:val="0"/>
              <w:rPr>
                <w:color w:val="auto"/>
                <w:highlight w:val="none"/>
              </w:rPr>
            </w:pPr>
            <w:r>
              <w:rPr>
                <w:color w:val="auto"/>
                <w:highlight w:val="none"/>
              </w:rPr>
              <w:t>NH</w:t>
            </w:r>
            <w:r>
              <w:rPr>
                <w:color w:val="auto"/>
                <w:highlight w:val="none"/>
                <w:vertAlign w:val="subscript"/>
              </w:rPr>
              <w:t>3</w:t>
            </w:r>
          </w:p>
        </w:tc>
        <w:tc>
          <w:tcPr>
            <w:tcW w:w="148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0.07</w:t>
            </w:r>
          </w:p>
        </w:tc>
        <w:tc>
          <w:tcPr>
            <w:tcW w:w="153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0.0045</w:t>
            </w:r>
          </w:p>
        </w:tc>
        <w:tc>
          <w:tcPr>
            <w:tcW w:w="150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0.02</w:t>
            </w:r>
          </w:p>
        </w:tc>
        <w:tc>
          <w:tcPr>
            <w:tcW w:w="2343" w:type="dxa"/>
            <w:vMerge w:val="restart"/>
            <w:tcBorders>
              <w:tl2br w:val="nil"/>
              <w:tr2bl w:val="nil"/>
            </w:tcBorders>
            <w:vAlign w:val="center"/>
          </w:tcPr>
          <w:p>
            <w:pPr>
              <w:pStyle w:val="28"/>
              <w:widowControl w:val="0"/>
              <w:rPr>
                <w:color w:val="auto"/>
                <w:highlight w:val="none"/>
              </w:rPr>
            </w:pPr>
            <w:r>
              <w:rPr>
                <w:rFonts w:hint="eastAsia"/>
                <w:color w:val="auto"/>
                <w:highlight w:val="none"/>
              </w:rPr>
              <w:t>P2排气筒为屠宰车间排气筒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28"/>
              <w:widowControl w:val="0"/>
              <w:rPr>
                <w:color w:val="auto"/>
                <w:highlight w:val="none"/>
              </w:rPr>
            </w:pPr>
          </w:p>
        </w:tc>
        <w:tc>
          <w:tcPr>
            <w:tcW w:w="1170" w:type="dxa"/>
            <w:vMerge w:val="continue"/>
            <w:tcBorders>
              <w:tl2br w:val="nil"/>
              <w:tr2bl w:val="nil"/>
            </w:tcBorders>
            <w:vAlign w:val="center"/>
          </w:tcPr>
          <w:p>
            <w:pPr>
              <w:pStyle w:val="28"/>
              <w:widowControl w:val="0"/>
              <w:rPr>
                <w:color w:val="auto"/>
                <w:highlight w:val="none"/>
              </w:rPr>
            </w:pPr>
          </w:p>
        </w:tc>
        <w:tc>
          <w:tcPr>
            <w:tcW w:w="945" w:type="dxa"/>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p>
        </w:tc>
        <w:tc>
          <w:tcPr>
            <w:tcW w:w="1485"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0.014</w:t>
            </w:r>
          </w:p>
        </w:tc>
        <w:tc>
          <w:tcPr>
            <w:tcW w:w="153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0.0009</w:t>
            </w:r>
          </w:p>
        </w:tc>
        <w:tc>
          <w:tcPr>
            <w:tcW w:w="150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0.002</w:t>
            </w:r>
          </w:p>
        </w:tc>
        <w:tc>
          <w:tcPr>
            <w:tcW w:w="2343"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l2br w:val="nil"/>
              <w:tr2bl w:val="nil"/>
            </w:tcBorders>
            <w:vAlign w:val="center"/>
          </w:tcPr>
          <w:p>
            <w:pPr>
              <w:pStyle w:val="28"/>
              <w:widowControl w:val="0"/>
              <w:rPr>
                <w:color w:val="auto"/>
                <w:highlight w:val="none"/>
              </w:rPr>
            </w:pPr>
            <w:r>
              <w:rPr>
                <w:rFonts w:hint="eastAsia"/>
                <w:color w:val="auto"/>
                <w:highlight w:val="none"/>
              </w:rPr>
              <w:t>3</w:t>
            </w:r>
          </w:p>
        </w:tc>
        <w:tc>
          <w:tcPr>
            <w:tcW w:w="1170" w:type="dxa"/>
            <w:vMerge w:val="restart"/>
            <w:tcBorders>
              <w:tl2br w:val="nil"/>
              <w:tr2bl w:val="nil"/>
            </w:tcBorders>
            <w:vAlign w:val="center"/>
          </w:tcPr>
          <w:p>
            <w:pPr>
              <w:pStyle w:val="28"/>
              <w:widowControl w:val="0"/>
              <w:rPr>
                <w:color w:val="auto"/>
                <w:highlight w:val="none"/>
              </w:rPr>
            </w:pPr>
            <w:r>
              <w:rPr>
                <w:rFonts w:hint="eastAsia"/>
                <w:color w:val="auto"/>
                <w:highlight w:val="none"/>
              </w:rPr>
              <w:t>P3排气筒</w:t>
            </w:r>
          </w:p>
        </w:tc>
        <w:tc>
          <w:tcPr>
            <w:tcW w:w="945" w:type="dxa"/>
            <w:tcBorders>
              <w:tl2br w:val="nil"/>
              <w:tr2bl w:val="nil"/>
            </w:tcBorders>
            <w:vAlign w:val="center"/>
          </w:tcPr>
          <w:p>
            <w:pPr>
              <w:pStyle w:val="28"/>
              <w:widowControl w:val="0"/>
              <w:rPr>
                <w:color w:val="auto"/>
                <w:highlight w:val="none"/>
                <w:vertAlign w:val="subscript"/>
              </w:rPr>
            </w:pPr>
            <w:r>
              <w:rPr>
                <w:rFonts w:hint="eastAsia"/>
                <w:color w:val="auto"/>
                <w:highlight w:val="none"/>
              </w:rPr>
              <w:t>SO</w:t>
            </w:r>
            <w:r>
              <w:rPr>
                <w:rFonts w:hint="eastAsia"/>
                <w:color w:val="auto"/>
                <w:highlight w:val="none"/>
                <w:vertAlign w:val="subscript"/>
              </w:rPr>
              <w:t>2</w:t>
            </w:r>
          </w:p>
        </w:tc>
        <w:tc>
          <w:tcPr>
            <w:tcW w:w="1485"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24</w:t>
            </w:r>
          </w:p>
        </w:tc>
        <w:tc>
          <w:tcPr>
            <w:tcW w:w="153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w:t>
            </w:r>
          </w:p>
        </w:tc>
        <w:tc>
          <w:tcPr>
            <w:tcW w:w="150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0.048</w:t>
            </w:r>
          </w:p>
        </w:tc>
        <w:tc>
          <w:tcPr>
            <w:tcW w:w="2343" w:type="dxa"/>
            <w:vMerge w:val="restart"/>
            <w:tcBorders>
              <w:tl2br w:val="nil"/>
              <w:tr2bl w:val="nil"/>
            </w:tcBorders>
            <w:vAlign w:val="center"/>
          </w:tcPr>
          <w:p>
            <w:pPr>
              <w:pStyle w:val="28"/>
              <w:widowControl w:val="0"/>
              <w:rPr>
                <w:color w:val="auto"/>
                <w:highlight w:val="none"/>
              </w:rPr>
            </w:pPr>
            <w:r>
              <w:rPr>
                <w:rFonts w:hint="eastAsia"/>
                <w:color w:val="auto"/>
                <w:highlight w:val="none"/>
              </w:rPr>
              <w:t>P2排气筒为天然气燃烧废气排气筒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28"/>
              <w:widowControl w:val="0"/>
              <w:rPr>
                <w:color w:val="auto"/>
                <w:highlight w:val="none"/>
              </w:rPr>
            </w:pPr>
          </w:p>
        </w:tc>
        <w:tc>
          <w:tcPr>
            <w:tcW w:w="1170" w:type="dxa"/>
            <w:vMerge w:val="continue"/>
            <w:tcBorders>
              <w:tl2br w:val="nil"/>
              <w:tr2bl w:val="nil"/>
            </w:tcBorders>
            <w:vAlign w:val="center"/>
          </w:tcPr>
          <w:p>
            <w:pPr>
              <w:pStyle w:val="28"/>
              <w:widowControl w:val="0"/>
              <w:rPr>
                <w:color w:val="auto"/>
                <w:highlight w:val="none"/>
              </w:rPr>
            </w:pPr>
          </w:p>
        </w:tc>
        <w:tc>
          <w:tcPr>
            <w:tcW w:w="945" w:type="dxa"/>
            <w:tcBorders>
              <w:tl2br w:val="nil"/>
              <w:tr2bl w:val="nil"/>
            </w:tcBorders>
            <w:vAlign w:val="center"/>
          </w:tcPr>
          <w:p>
            <w:pPr>
              <w:pStyle w:val="28"/>
              <w:widowControl w:val="0"/>
              <w:rPr>
                <w:color w:val="auto"/>
                <w:highlight w:val="none"/>
              </w:rPr>
            </w:pPr>
            <w:r>
              <w:rPr>
                <w:rFonts w:hint="eastAsia"/>
                <w:color w:val="auto"/>
                <w:highlight w:val="none"/>
              </w:rPr>
              <w:t>NOx</w:t>
            </w:r>
          </w:p>
        </w:tc>
        <w:tc>
          <w:tcPr>
            <w:tcW w:w="1485"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106.5</w:t>
            </w:r>
          </w:p>
        </w:tc>
        <w:tc>
          <w:tcPr>
            <w:tcW w:w="153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0.089</w:t>
            </w:r>
          </w:p>
        </w:tc>
        <w:tc>
          <w:tcPr>
            <w:tcW w:w="150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0.213</w:t>
            </w:r>
          </w:p>
        </w:tc>
        <w:tc>
          <w:tcPr>
            <w:tcW w:w="2343"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28"/>
              <w:widowControl w:val="0"/>
              <w:rPr>
                <w:color w:val="auto"/>
                <w:highlight w:val="none"/>
              </w:rPr>
            </w:pPr>
          </w:p>
        </w:tc>
        <w:tc>
          <w:tcPr>
            <w:tcW w:w="1170" w:type="dxa"/>
            <w:vMerge w:val="continue"/>
            <w:tcBorders>
              <w:tl2br w:val="nil"/>
              <w:tr2bl w:val="nil"/>
            </w:tcBorders>
            <w:vAlign w:val="center"/>
          </w:tcPr>
          <w:p>
            <w:pPr>
              <w:pStyle w:val="28"/>
              <w:widowControl w:val="0"/>
              <w:rPr>
                <w:color w:val="auto"/>
                <w:highlight w:val="none"/>
              </w:rPr>
            </w:pPr>
          </w:p>
        </w:tc>
        <w:tc>
          <w:tcPr>
            <w:tcW w:w="945" w:type="dxa"/>
            <w:tcBorders>
              <w:tl2br w:val="nil"/>
              <w:tr2bl w:val="nil"/>
            </w:tcBorders>
            <w:vAlign w:val="center"/>
          </w:tcPr>
          <w:p>
            <w:pPr>
              <w:pStyle w:val="28"/>
              <w:widowControl w:val="0"/>
              <w:rPr>
                <w:color w:val="auto"/>
                <w:highlight w:val="none"/>
              </w:rPr>
            </w:pPr>
            <w:r>
              <w:rPr>
                <w:rFonts w:hint="eastAsia"/>
                <w:color w:val="auto"/>
                <w:highlight w:val="none"/>
              </w:rPr>
              <w:t>颗粒物</w:t>
            </w:r>
          </w:p>
        </w:tc>
        <w:tc>
          <w:tcPr>
            <w:tcW w:w="1485"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14.5</w:t>
            </w:r>
          </w:p>
        </w:tc>
        <w:tc>
          <w:tcPr>
            <w:tcW w:w="153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0.012</w:t>
            </w:r>
          </w:p>
        </w:tc>
        <w:tc>
          <w:tcPr>
            <w:tcW w:w="1500" w:type="dxa"/>
            <w:tcBorders>
              <w:tl2br w:val="nil"/>
              <w:tr2bl w:val="nil"/>
            </w:tcBorders>
            <w:vAlign w:val="center"/>
          </w:tcPr>
          <w:p>
            <w:pPr>
              <w:widowControl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0.029</w:t>
            </w:r>
          </w:p>
        </w:tc>
        <w:tc>
          <w:tcPr>
            <w:tcW w:w="2343" w:type="dxa"/>
            <w:vMerge w:val="continue"/>
            <w:tcBorders>
              <w:tl2br w:val="nil"/>
              <w:tr2bl w:val="nil"/>
            </w:tcBorders>
            <w:vAlign w:val="center"/>
          </w:tcPr>
          <w:p>
            <w:pPr>
              <w:pStyle w:val="28"/>
              <w:widowControl w:val="0"/>
              <w:rPr>
                <w:color w:val="auto"/>
                <w:highlight w:val="none"/>
              </w:rPr>
            </w:pPr>
          </w:p>
        </w:tc>
      </w:tr>
    </w:tbl>
    <w:p>
      <w:pPr>
        <w:widowControl w:val="0"/>
        <w:ind w:firstLine="480"/>
        <w:rPr>
          <w:rFonts w:hint="eastAsia"/>
          <w:color w:val="auto"/>
          <w:highlight w:val="none"/>
        </w:rPr>
      </w:pPr>
      <w:r>
        <w:rPr>
          <w:rFonts w:hint="eastAsia"/>
          <w:color w:val="auto"/>
          <w:highlight w:val="none"/>
        </w:rPr>
        <w:t>②无组织排放量核算</w:t>
      </w:r>
    </w:p>
    <w:p>
      <w:pPr>
        <w:widowControl w:val="0"/>
        <w:ind w:firstLine="480"/>
        <w:rPr>
          <w:rFonts w:hint="eastAsia"/>
          <w:color w:val="auto"/>
          <w:highlight w:val="none"/>
        </w:rPr>
      </w:pPr>
    </w:p>
    <w:p>
      <w:pPr>
        <w:widowControl w:val="0"/>
        <w:ind w:firstLine="480"/>
        <w:rPr>
          <w:rFonts w:hint="eastAsia"/>
          <w:color w:val="auto"/>
          <w:highlight w:val="none"/>
        </w:rPr>
      </w:pPr>
    </w:p>
    <w:p>
      <w:pPr>
        <w:pStyle w:val="27"/>
        <w:widowControl w:val="0"/>
        <w:rPr>
          <w:color w:val="auto"/>
          <w:highlight w:val="none"/>
        </w:rPr>
      </w:pPr>
      <w:r>
        <w:rPr>
          <w:rFonts w:hint="eastAsia"/>
          <w:color w:val="auto"/>
          <w:highlight w:val="none"/>
        </w:rPr>
        <w:t>大气污染物无组织排放量核算表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522"/>
        <w:gridCol w:w="523"/>
        <w:gridCol w:w="856"/>
        <w:gridCol w:w="2788"/>
        <w:gridCol w:w="1733"/>
        <w:gridCol w:w="1358"/>
        <w:gridCol w:w="1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045" w:type="dxa"/>
            <w:gridSpan w:val="2"/>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产污环节</w:t>
            </w:r>
          </w:p>
        </w:tc>
        <w:tc>
          <w:tcPr>
            <w:tcW w:w="856"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污染物</w:t>
            </w:r>
          </w:p>
        </w:tc>
        <w:tc>
          <w:tcPr>
            <w:tcW w:w="2788"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主要污染防治措施</w:t>
            </w:r>
          </w:p>
        </w:tc>
        <w:tc>
          <w:tcPr>
            <w:tcW w:w="3091" w:type="dxa"/>
            <w:gridSpan w:val="2"/>
            <w:tcBorders>
              <w:tl2br w:val="nil"/>
              <w:tr2bl w:val="nil"/>
            </w:tcBorders>
            <w:vAlign w:val="center"/>
          </w:tcPr>
          <w:p>
            <w:pPr>
              <w:pStyle w:val="28"/>
              <w:widowControl w:val="0"/>
              <w:rPr>
                <w:b/>
                <w:bCs/>
                <w:color w:val="auto"/>
                <w:highlight w:val="none"/>
              </w:rPr>
            </w:pPr>
            <w:r>
              <w:rPr>
                <w:rFonts w:hint="eastAsia"/>
                <w:b/>
                <w:bCs/>
                <w:color w:val="auto"/>
                <w:highlight w:val="none"/>
              </w:rPr>
              <w:t>国家或地方污染物排放标准</w:t>
            </w:r>
          </w:p>
        </w:tc>
        <w:tc>
          <w:tcPr>
            <w:tcW w:w="1324"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1045" w:type="dxa"/>
            <w:gridSpan w:val="2"/>
            <w:vMerge w:val="continue"/>
            <w:tcBorders>
              <w:tl2br w:val="nil"/>
              <w:tr2bl w:val="nil"/>
            </w:tcBorders>
            <w:vAlign w:val="center"/>
          </w:tcPr>
          <w:p>
            <w:pPr>
              <w:pStyle w:val="28"/>
              <w:widowControl w:val="0"/>
              <w:rPr>
                <w:color w:val="auto"/>
                <w:highlight w:val="none"/>
              </w:rPr>
            </w:pPr>
          </w:p>
        </w:tc>
        <w:tc>
          <w:tcPr>
            <w:tcW w:w="856" w:type="dxa"/>
            <w:vMerge w:val="continue"/>
            <w:tcBorders>
              <w:tl2br w:val="nil"/>
              <w:tr2bl w:val="nil"/>
            </w:tcBorders>
            <w:vAlign w:val="center"/>
          </w:tcPr>
          <w:p>
            <w:pPr>
              <w:pStyle w:val="28"/>
              <w:widowControl w:val="0"/>
              <w:rPr>
                <w:color w:val="auto"/>
                <w:highlight w:val="none"/>
              </w:rPr>
            </w:pPr>
          </w:p>
        </w:tc>
        <w:tc>
          <w:tcPr>
            <w:tcW w:w="2788" w:type="dxa"/>
            <w:vMerge w:val="continue"/>
            <w:tcBorders>
              <w:tl2br w:val="nil"/>
              <w:tr2bl w:val="nil"/>
            </w:tcBorders>
            <w:vAlign w:val="center"/>
          </w:tcPr>
          <w:p>
            <w:pPr>
              <w:pStyle w:val="28"/>
              <w:widowControl w:val="0"/>
              <w:rPr>
                <w:color w:val="auto"/>
                <w:highlight w:val="none"/>
              </w:rPr>
            </w:pPr>
          </w:p>
        </w:tc>
        <w:tc>
          <w:tcPr>
            <w:tcW w:w="1733" w:type="dxa"/>
            <w:tcBorders>
              <w:tl2br w:val="nil"/>
              <w:tr2bl w:val="nil"/>
            </w:tcBorders>
            <w:vAlign w:val="center"/>
          </w:tcPr>
          <w:p>
            <w:pPr>
              <w:pStyle w:val="28"/>
              <w:widowControl w:val="0"/>
              <w:rPr>
                <w:b/>
                <w:bCs/>
                <w:color w:val="auto"/>
                <w:highlight w:val="none"/>
              </w:rPr>
            </w:pPr>
            <w:r>
              <w:rPr>
                <w:rFonts w:hint="eastAsia"/>
                <w:b/>
                <w:bCs/>
                <w:color w:val="auto"/>
                <w:highlight w:val="none"/>
              </w:rPr>
              <w:t>标准名称</w:t>
            </w:r>
          </w:p>
        </w:tc>
        <w:tc>
          <w:tcPr>
            <w:tcW w:w="1358" w:type="dxa"/>
            <w:tcBorders>
              <w:tl2br w:val="nil"/>
              <w:tr2bl w:val="nil"/>
            </w:tcBorders>
            <w:vAlign w:val="center"/>
          </w:tcPr>
          <w:p>
            <w:pPr>
              <w:pStyle w:val="28"/>
              <w:widowControl w:val="0"/>
              <w:rPr>
                <w:b/>
                <w:bCs/>
                <w:color w:val="auto"/>
                <w:highlight w:val="none"/>
              </w:rPr>
            </w:pPr>
            <w:r>
              <w:rPr>
                <w:rFonts w:hint="eastAsia"/>
                <w:b/>
                <w:bCs/>
                <w:color w:val="auto"/>
                <w:highlight w:val="none"/>
              </w:rPr>
              <w:t>浓度限值（mg/m</w:t>
            </w:r>
            <w:r>
              <w:rPr>
                <w:rFonts w:hint="eastAsia"/>
                <w:b/>
                <w:bCs/>
                <w:color w:val="auto"/>
                <w:highlight w:val="none"/>
                <w:vertAlign w:val="superscript"/>
              </w:rPr>
              <w:t>3</w:t>
            </w:r>
            <w:r>
              <w:rPr>
                <w:rFonts w:hint="eastAsia"/>
                <w:b/>
                <w:bCs/>
                <w:color w:val="auto"/>
                <w:highlight w:val="none"/>
              </w:rPr>
              <w:t>）</w:t>
            </w:r>
          </w:p>
        </w:tc>
        <w:tc>
          <w:tcPr>
            <w:tcW w:w="1324" w:type="dxa"/>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28"/>
              <w:widowControl w:val="0"/>
              <w:rPr>
                <w:color w:val="auto"/>
                <w:highlight w:val="none"/>
              </w:rPr>
            </w:pPr>
            <w:r>
              <w:rPr>
                <w:rFonts w:hint="eastAsia"/>
                <w:color w:val="auto"/>
                <w:highlight w:val="none"/>
              </w:rPr>
              <w:t>1</w:t>
            </w:r>
          </w:p>
        </w:tc>
        <w:tc>
          <w:tcPr>
            <w:tcW w:w="522" w:type="dxa"/>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523" w:type="dxa"/>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2788" w:type="dxa"/>
            <w:vMerge w:val="restart"/>
            <w:tcBorders>
              <w:tl2br w:val="nil"/>
              <w:tr2bl w:val="nil"/>
            </w:tcBorders>
            <w:vAlign w:val="center"/>
          </w:tcPr>
          <w:p>
            <w:pPr>
              <w:pStyle w:val="28"/>
              <w:widowControl w:val="0"/>
              <w:jc w:val="both"/>
              <w:rPr>
                <w:color w:val="auto"/>
                <w:highlight w:val="none"/>
              </w:rPr>
            </w:pPr>
            <w:r>
              <w:rPr>
                <w:color w:val="auto"/>
                <w:highlight w:val="none"/>
              </w:rPr>
              <w:t>屠宰车间为全密闭，设置强制通风设施，车间</w:t>
            </w:r>
            <w:r>
              <w:rPr>
                <w:rFonts w:hint="eastAsia"/>
                <w:color w:val="auto"/>
                <w:highlight w:val="none"/>
                <w:lang w:eastAsia="zh-CN"/>
              </w:rPr>
              <w:t>每小时换气3次</w:t>
            </w:r>
            <w:r>
              <w:rPr>
                <w:color w:val="auto"/>
                <w:highlight w:val="none"/>
              </w:rPr>
              <w:t>，保持车间负压；车间生产线及时清洗，肠胃内容物和猪毛等污物及时清运，保持屠宰车间清洁；定期对车间进行消毒处理</w:t>
            </w:r>
            <w:r>
              <w:rPr>
                <w:rFonts w:hint="eastAsia"/>
                <w:color w:val="auto"/>
                <w:highlight w:val="none"/>
              </w:rPr>
              <w:t>。</w:t>
            </w:r>
          </w:p>
        </w:tc>
        <w:tc>
          <w:tcPr>
            <w:tcW w:w="1733" w:type="dxa"/>
            <w:vMerge w:val="restart"/>
            <w:tcBorders>
              <w:tl2br w:val="nil"/>
              <w:tr2bl w:val="nil"/>
            </w:tcBorders>
            <w:vAlign w:val="center"/>
          </w:tcPr>
          <w:p>
            <w:pPr>
              <w:pStyle w:val="28"/>
              <w:widowControl w:val="0"/>
              <w:rPr>
                <w:color w:val="auto"/>
                <w:highlight w:val="none"/>
              </w:rPr>
            </w:pPr>
            <w:r>
              <w:rPr>
                <w:rFonts w:hint="eastAsia"/>
                <w:color w:val="auto"/>
                <w:highlight w:val="none"/>
              </w:rPr>
              <w:t>《.恶臭污染物排放标准》（GB14554-93）</w:t>
            </w:r>
          </w:p>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522" w:type="dxa"/>
            <w:vMerge w:val="continue"/>
            <w:tcBorders>
              <w:tl2br w:val="nil"/>
              <w:tr2bl w:val="nil"/>
            </w:tcBorders>
            <w:vAlign w:val="center"/>
          </w:tcPr>
          <w:p>
            <w:pPr>
              <w:pStyle w:val="28"/>
              <w:widowControl w:val="0"/>
              <w:rPr>
                <w:color w:val="auto"/>
                <w:highlight w:val="none"/>
              </w:rPr>
            </w:pPr>
          </w:p>
        </w:tc>
        <w:tc>
          <w:tcPr>
            <w:tcW w:w="523" w:type="dxa"/>
            <w:vMerge w:val="continue"/>
            <w:tcBorders>
              <w:tl2br w:val="nil"/>
              <w:tr2bl w:val="nil"/>
            </w:tcBorders>
            <w:vAlign w:val="center"/>
          </w:tcPr>
          <w:p>
            <w:pPr>
              <w:pStyle w:val="28"/>
              <w:widowControl w:val="0"/>
              <w:rPr>
                <w:color w:val="auto"/>
                <w:highlight w:val="none"/>
              </w:rPr>
            </w:pP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788" w:type="dxa"/>
            <w:vMerge w:val="continue"/>
            <w:tcBorders>
              <w:tl2br w:val="nil"/>
              <w:tr2bl w:val="nil"/>
            </w:tcBorders>
            <w:vAlign w:val="center"/>
          </w:tcPr>
          <w:p>
            <w:pPr>
              <w:pStyle w:val="28"/>
              <w:widowControl w:val="0"/>
              <w:rPr>
                <w:color w:val="auto"/>
                <w:highlight w:val="none"/>
              </w:rPr>
            </w:pPr>
          </w:p>
        </w:tc>
        <w:tc>
          <w:tcPr>
            <w:tcW w:w="1733" w:type="dxa"/>
            <w:vMerge w:val="continue"/>
            <w:tcBorders>
              <w:tl2br w:val="nil"/>
              <w:tr2bl w:val="nil"/>
            </w:tcBorders>
            <w:vAlign w:val="center"/>
          </w:tcPr>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522" w:type="dxa"/>
            <w:vMerge w:val="continue"/>
            <w:tcBorders>
              <w:tl2br w:val="nil"/>
              <w:tr2bl w:val="nil"/>
            </w:tcBorders>
            <w:vAlign w:val="center"/>
          </w:tcPr>
          <w:p>
            <w:pPr>
              <w:pStyle w:val="28"/>
              <w:widowControl w:val="0"/>
              <w:rPr>
                <w:color w:val="auto"/>
                <w:highlight w:val="none"/>
              </w:rPr>
            </w:pPr>
          </w:p>
        </w:tc>
        <w:tc>
          <w:tcPr>
            <w:tcW w:w="523" w:type="dxa"/>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2788" w:type="dxa"/>
            <w:vMerge w:val="continue"/>
            <w:tcBorders>
              <w:tl2br w:val="nil"/>
              <w:tr2bl w:val="nil"/>
            </w:tcBorders>
            <w:vAlign w:val="center"/>
          </w:tcPr>
          <w:p>
            <w:pPr>
              <w:pStyle w:val="28"/>
              <w:widowControl w:val="0"/>
              <w:rPr>
                <w:color w:val="auto"/>
                <w:highlight w:val="none"/>
              </w:rPr>
            </w:pPr>
          </w:p>
        </w:tc>
        <w:tc>
          <w:tcPr>
            <w:tcW w:w="1733" w:type="dxa"/>
            <w:vMerge w:val="continue"/>
            <w:tcBorders>
              <w:tl2br w:val="nil"/>
              <w:tr2bl w:val="nil"/>
            </w:tcBorders>
            <w:vAlign w:val="center"/>
          </w:tcPr>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13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522" w:type="dxa"/>
            <w:vMerge w:val="continue"/>
            <w:tcBorders>
              <w:tl2br w:val="nil"/>
              <w:tr2bl w:val="nil"/>
            </w:tcBorders>
            <w:vAlign w:val="center"/>
          </w:tcPr>
          <w:p>
            <w:pPr>
              <w:pStyle w:val="28"/>
              <w:widowControl w:val="0"/>
              <w:rPr>
                <w:color w:val="auto"/>
                <w:highlight w:val="none"/>
              </w:rPr>
            </w:pPr>
          </w:p>
        </w:tc>
        <w:tc>
          <w:tcPr>
            <w:tcW w:w="523" w:type="dxa"/>
            <w:vMerge w:val="continue"/>
            <w:tcBorders>
              <w:tl2br w:val="nil"/>
              <w:tr2bl w:val="nil"/>
            </w:tcBorders>
            <w:vAlign w:val="center"/>
          </w:tcPr>
          <w:p>
            <w:pPr>
              <w:pStyle w:val="28"/>
              <w:widowControl w:val="0"/>
              <w:rPr>
                <w:color w:val="auto"/>
                <w:highlight w:val="none"/>
              </w:rPr>
            </w:pP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788" w:type="dxa"/>
            <w:vMerge w:val="continue"/>
            <w:tcBorders>
              <w:tl2br w:val="nil"/>
              <w:tr2bl w:val="nil"/>
            </w:tcBorders>
            <w:vAlign w:val="center"/>
          </w:tcPr>
          <w:p>
            <w:pPr>
              <w:pStyle w:val="28"/>
              <w:widowControl w:val="0"/>
              <w:rPr>
                <w:color w:val="auto"/>
                <w:highlight w:val="none"/>
              </w:rPr>
            </w:pPr>
          </w:p>
        </w:tc>
        <w:tc>
          <w:tcPr>
            <w:tcW w:w="1733" w:type="dxa"/>
            <w:vMerge w:val="continue"/>
            <w:tcBorders>
              <w:tl2br w:val="nil"/>
              <w:tr2bl w:val="nil"/>
            </w:tcBorders>
            <w:vAlign w:val="center"/>
          </w:tcPr>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324"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lang w:val="en-US" w:eastAsia="zh-CN"/>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28"/>
              <w:widowControl w:val="0"/>
              <w:rPr>
                <w:color w:val="auto"/>
                <w:highlight w:val="none"/>
              </w:rPr>
            </w:pPr>
            <w:r>
              <w:rPr>
                <w:rFonts w:hint="eastAsia"/>
                <w:color w:val="auto"/>
                <w:highlight w:val="none"/>
              </w:rPr>
              <w:t>2</w:t>
            </w:r>
          </w:p>
        </w:tc>
        <w:tc>
          <w:tcPr>
            <w:tcW w:w="1045" w:type="dxa"/>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2788" w:type="dxa"/>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r>
              <w:rPr>
                <w:color w:val="auto"/>
                <w:highlight w:val="none"/>
              </w:rPr>
              <w:t>全密闭，设置强制通风设施，保持车间负压；喷洒生物除臭剂，猪粪采用水冲式，设水雾喷淋装置，保持</w:t>
            </w:r>
            <w:r>
              <w:rPr>
                <w:rFonts w:hint="eastAsia"/>
                <w:color w:val="auto"/>
                <w:highlight w:val="none"/>
              </w:rPr>
              <w:t>待宰圈</w:t>
            </w:r>
            <w:r>
              <w:rPr>
                <w:color w:val="auto"/>
                <w:highlight w:val="none"/>
              </w:rPr>
              <w:t>清洁</w:t>
            </w:r>
          </w:p>
        </w:tc>
        <w:tc>
          <w:tcPr>
            <w:tcW w:w="1733" w:type="dxa"/>
            <w:vMerge w:val="restart"/>
            <w:tcBorders>
              <w:tl2br w:val="nil"/>
              <w:tr2bl w:val="nil"/>
            </w:tcBorders>
            <w:vAlign w:val="center"/>
          </w:tcPr>
          <w:p>
            <w:pPr>
              <w:pStyle w:val="28"/>
              <w:widowControl w:val="0"/>
              <w:rPr>
                <w:color w:val="auto"/>
                <w:highlight w:val="none"/>
              </w:rPr>
            </w:pPr>
            <w:r>
              <w:rPr>
                <w:rFonts w:hint="eastAsia"/>
                <w:color w:val="auto"/>
                <w:highlight w:val="none"/>
              </w:rPr>
              <w:t>《.恶臭污染物排放标准》（GB14554-93）</w:t>
            </w:r>
          </w:p>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1045" w:type="dxa"/>
            <w:gridSpan w:val="2"/>
            <w:vMerge w:val="continue"/>
            <w:tcBorders>
              <w:tl2br w:val="nil"/>
              <w:tr2bl w:val="nil"/>
            </w:tcBorders>
            <w:vAlign w:val="center"/>
          </w:tcPr>
          <w:p>
            <w:pPr>
              <w:pStyle w:val="28"/>
              <w:widowControl w:val="0"/>
              <w:rPr>
                <w:color w:val="auto"/>
                <w:highlight w:val="none"/>
              </w:rPr>
            </w:pP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788" w:type="dxa"/>
            <w:vMerge w:val="continue"/>
            <w:tcBorders>
              <w:tl2br w:val="nil"/>
              <w:tr2bl w:val="nil"/>
            </w:tcBorders>
            <w:vAlign w:val="center"/>
          </w:tcPr>
          <w:p>
            <w:pPr>
              <w:pStyle w:val="28"/>
              <w:widowControl w:val="0"/>
              <w:rPr>
                <w:color w:val="auto"/>
                <w:highlight w:val="none"/>
              </w:rPr>
            </w:pPr>
          </w:p>
        </w:tc>
        <w:tc>
          <w:tcPr>
            <w:tcW w:w="1733" w:type="dxa"/>
            <w:vMerge w:val="continue"/>
            <w:tcBorders>
              <w:tl2br w:val="nil"/>
              <w:tr2bl w:val="nil"/>
            </w:tcBorders>
            <w:vAlign w:val="center"/>
          </w:tcPr>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28"/>
              <w:widowControl w:val="0"/>
              <w:rPr>
                <w:color w:val="auto"/>
                <w:highlight w:val="none"/>
              </w:rPr>
            </w:pPr>
            <w:r>
              <w:rPr>
                <w:rFonts w:hint="eastAsia"/>
                <w:color w:val="auto"/>
                <w:highlight w:val="none"/>
              </w:rPr>
              <w:t>3</w:t>
            </w:r>
          </w:p>
        </w:tc>
        <w:tc>
          <w:tcPr>
            <w:tcW w:w="1045" w:type="dxa"/>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2788" w:type="dxa"/>
            <w:vMerge w:val="restart"/>
            <w:tcBorders>
              <w:tl2br w:val="nil"/>
              <w:tr2bl w:val="nil"/>
            </w:tcBorders>
            <w:vAlign w:val="center"/>
          </w:tcPr>
          <w:p>
            <w:pPr>
              <w:pStyle w:val="28"/>
              <w:widowControl w:val="0"/>
              <w:rPr>
                <w:color w:val="auto"/>
                <w:highlight w:val="none"/>
              </w:rPr>
            </w:pPr>
            <w:r>
              <w:rPr>
                <w:rFonts w:hint="eastAsia"/>
                <w:color w:val="auto"/>
                <w:highlight w:val="none"/>
              </w:rPr>
              <w:t>污水处理站采用半地埋式，对整个污水处理单元进行全部密闭，地面加盖，采用微负压抽风系统收集。</w:t>
            </w:r>
          </w:p>
        </w:tc>
        <w:tc>
          <w:tcPr>
            <w:tcW w:w="1733" w:type="dxa"/>
            <w:vMerge w:val="restart"/>
            <w:tcBorders>
              <w:tl2br w:val="nil"/>
              <w:tr2bl w:val="nil"/>
            </w:tcBorders>
            <w:vAlign w:val="center"/>
          </w:tcPr>
          <w:p>
            <w:pPr>
              <w:pStyle w:val="28"/>
              <w:widowControl w:val="0"/>
              <w:rPr>
                <w:color w:val="auto"/>
                <w:highlight w:val="none"/>
              </w:rPr>
            </w:pPr>
            <w:r>
              <w:rPr>
                <w:rFonts w:hint="eastAsia"/>
                <w:color w:val="auto"/>
                <w:highlight w:val="none"/>
              </w:rPr>
              <w:t>《.恶臭污染物排放标准》（GB14554-93）</w:t>
            </w:r>
          </w:p>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1.5</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28"/>
              <w:widowControl w:val="0"/>
              <w:rPr>
                <w:color w:val="auto"/>
                <w:highlight w:val="none"/>
              </w:rPr>
            </w:pPr>
          </w:p>
        </w:tc>
        <w:tc>
          <w:tcPr>
            <w:tcW w:w="1045" w:type="dxa"/>
            <w:gridSpan w:val="2"/>
            <w:vMerge w:val="continue"/>
            <w:tcBorders>
              <w:tl2br w:val="nil"/>
              <w:tr2bl w:val="nil"/>
            </w:tcBorders>
            <w:vAlign w:val="center"/>
          </w:tcPr>
          <w:p>
            <w:pPr>
              <w:pStyle w:val="28"/>
              <w:widowControl w:val="0"/>
              <w:rPr>
                <w:color w:val="auto"/>
                <w:highlight w:val="none"/>
              </w:rPr>
            </w:pPr>
          </w:p>
        </w:tc>
        <w:tc>
          <w:tcPr>
            <w:tcW w:w="856" w:type="dxa"/>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788" w:type="dxa"/>
            <w:vMerge w:val="continue"/>
            <w:tcBorders>
              <w:tl2br w:val="nil"/>
              <w:tr2bl w:val="nil"/>
            </w:tcBorders>
            <w:vAlign w:val="center"/>
          </w:tcPr>
          <w:p>
            <w:pPr>
              <w:pStyle w:val="28"/>
              <w:widowControl w:val="0"/>
              <w:rPr>
                <w:color w:val="auto"/>
                <w:highlight w:val="none"/>
              </w:rPr>
            </w:pPr>
          </w:p>
        </w:tc>
        <w:tc>
          <w:tcPr>
            <w:tcW w:w="1733" w:type="dxa"/>
            <w:vMerge w:val="continue"/>
            <w:tcBorders>
              <w:tl2br w:val="nil"/>
              <w:tr2bl w:val="nil"/>
            </w:tcBorders>
            <w:vAlign w:val="center"/>
          </w:tcPr>
          <w:p>
            <w:pPr>
              <w:pStyle w:val="28"/>
              <w:widowControl w:val="0"/>
              <w:rPr>
                <w:color w:val="auto"/>
                <w:highlight w:val="none"/>
              </w:rPr>
            </w:pPr>
          </w:p>
        </w:tc>
        <w:tc>
          <w:tcPr>
            <w:tcW w:w="1358" w:type="dxa"/>
            <w:tcBorders>
              <w:tl2br w:val="nil"/>
              <w:tr2bl w:val="nil"/>
            </w:tcBorders>
            <w:vAlign w:val="center"/>
          </w:tcPr>
          <w:p>
            <w:pPr>
              <w:pStyle w:val="28"/>
              <w:widowControl w:val="0"/>
              <w:rPr>
                <w:color w:val="auto"/>
                <w:highlight w:val="none"/>
              </w:rPr>
            </w:pPr>
            <w:r>
              <w:rPr>
                <w:rFonts w:hint="eastAsia"/>
                <w:color w:val="auto"/>
                <w:highlight w:val="none"/>
              </w:rPr>
              <w:t>0.06</w:t>
            </w:r>
          </w:p>
        </w:tc>
        <w:tc>
          <w:tcPr>
            <w:tcW w:w="1324" w:type="dxa"/>
            <w:tcBorders>
              <w:tl2br w:val="nil"/>
              <w:tr2bl w:val="nil"/>
            </w:tcBorders>
            <w:vAlign w:val="center"/>
          </w:tcPr>
          <w:p>
            <w:pPr>
              <w:pStyle w:val="28"/>
              <w:widowControl w:val="0"/>
              <w:rPr>
                <w:color w:val="auto"/>
                <w:highlight w:val="none"/>
              </w:rPr>
            </w:pPr>
            <w:r>
              <w:rPr>
                <w:rFonts w:hint="eastAsia"/>
                <w:color w:val="auto"/>
                <w:highlight w:val="none"/>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8"/>
            <w:tcBorders>
              <w:tl2br w:val="nil"/>
              <w:tr2bl w:val="nil"/>
            </w:tcBorders>
            <w:vAlign w:val="center"/>
          </w:tcPr>
          <w:p>
            <w:pPr>
              <w:pStyle w:val="28"/>
              <w:widowControl w:val="0"/>
              <w:rPr>
                <w:color w:val="auto"/>
                <w:highlight w:val="none"/>
              </w:rPr>
            </w:pPr>
            <w:r>
              <w:rPr>
                <w:rFonts w:hint="eastAsia"/>
                <w:color w:val="auto"/>
                <w:highlight w:val="none"/>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9" w:type="dxa"/>
            <w:gridSpan w:val="4"/>
            <w:vMerge w:val="restart"/>
            <w:tcBorders>
              <w:tl2br w:val="nil"/>
              <w:tr2bl w:val="nil"/>
            </w:tcBorders>
            <w:vAlign w:val="center"/>
          </w:tcPr>
          <w:p>
            <w:pPr>
              <w:pStyle w:val="28"/>
              <w:widowControl w:val="0"/>
              <w:rPr>
                <w:color w:val="auto"/>
                <w:highlight w:val="none"/>
              </w:rPr>
            </w:pPr>
            <w:r>
              <w:rPr>
                <w:rFonts w:hint="eastAsia"/>
                <w:color w:val="auto"/>
                <w:highlight w:val="none"/>
              </w:rPr>
              <w:t>无组织排放总计</w:t>
            </w:r>
          </w:p>
        </w:tc>
        <w:tc>
          <w:tcPr>
            <w:tcW w:w="4521" w:type="dxa"/>
            <w:gridSpan w:val="2"/>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2682" w:type="dxa"/>
            <w:gridSpan w:val="2"/>
            <w:tcBorders>
              <w:tl2br w:val="nil"/>
              <w:tr2bl w:val="nil"/>
            </w:tcBorders>
            <w:vAlign w:val="center"/>
          </w:tcPr>
          <w:p>
            <w:pPr>
              <w:pStyle w:val="28"/>
              <w:widowControl w:val="0"/>
              <w:rPr>
                <w:color w:val="auto"/>
                <w:highlight w:val="none"/>
              </w:rPr>
            </w:pPr>
            <w:r>
              <w:rPr>
                <w:rFonts w:hint="eastAsia"/>
                <w:color w:val="auto"/>
                <w:highlight w:val="none"/>
              </w:rPr>
              <w:t>0.03</w:t>
            </w:r>
            <w:r>
              <w:rPr>
                <w:rFonts w:hint="eastAsia"/>
                <w:color w:val="auto"/>
                <w:highlight w:val="none"/>
                <w:lang w:val="en-US" w:eastAsia="zh-CN"/>
              </w:rPr>
              <w:t>72</w:t>
            </w:r>
            <w:r>
              <w:rPr>
                <w:rFonts w:hint="eastAsia"/>
                <w:color w:val="auto"/>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9" w:type="dxa"/>
            <w:gridSpan w:val="4"/>
            <w:vMerge w:val="continue"/>
            <w:tcBorders>
              <w:tl2br w:val="nil"/>
              <w:tr2bl w:val="nil"/>
            </w:tcBorders>
            <w:vAlign w:val="center"/>
          </w:tcPr>
          <w:p>
            <w:pPr>
              <w:pStyle w:val="28"/>
              <w:widowControl w:val="0"/>
              <w:rPr>
                <w:color w:val="auto"/>
                <w:highlight w:val="none"/>
              </w:rPr>
            </w:pPr>
          </w:p>
        </w:tc>
        <w:tc>
          <w:tcPr>
            <w:tcW w:w="4521" w:type="dxa"/>
            <w:gridSpan w:val="2"/>
            <w:tcBorders>
              <w:tl2br w:val="nil"/>
              <w:tr2bl w:val="nil"/>
            </w:tcBorders>
            <w:vAlign w:val="center"/>
          </w:tcPr>
          <w:p>
            <w:pPr>
              <w:pStyle w:val="28"/>
              <w:widowControl w:val="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2682" w:type="dxa"/>
            <w:gridSpan w:val="2"/>
            <w:tcBorders>
              <w:tl2br w:val="nil"/>
              <w:tr2bl w:val="nil"/>
            </w:tcBorders>
            <w:vAlign w:val="center"/>
          </w:tcPr>
          <w:p>
            <w:pPr>
              <w:pStyle w:val="28"/>
              <w:widowControl w:val="0"/>
              <w:rPr>
                <w:color w:val="auto"/>
                <w:highlight w:val="none"/>
              </w:rPr>
            </w:pPr>
            <w:r>
              <w:rPr>
                <w:rFonts w:hint="eastAsia"/>
                <w:color w:val="auto"/>
                <w:highlight w:val="none"/>
              </w:rPr>
              <w:t>0.00</w:t>
            </w:r>
            <w:r>
              <w:rPr>
                <w:rFonts w:hint="eastAsia"/>
                <w:color w:val="auto"/>
                <w:highlight w:val="none"/>
                <w:lang w:val="en-US" w:eastAsia="zh-CN"/>
              </w:rPr>
              <w:t>412</w:t>
            </w:r>
            <w:r>
              <w:rPr>
                <w:rFonts w:hint="eastAsia"/>
                <w:color w:val="auto"/>
                <w:highlight w:val="none"/>
              </w:rPr>
              <w:t>t/a</w:t>
            </w:r>
          </w:p>
        </w:tc>
      </w:tr>
    </w:tbl>
    <w:p>
      <w:pPr>
        <w:pStyle w:val="6"/>
        <w:widowControl w:val="0"/>
        <w:ind w:left="-160" w:firstLineChars="0"/>
        <w:rPr>
          <w:color w:val="auto"/>
          <w:highlight w:val="none"/>
        </w:rPr>
      </w:pPr>
      <w:r>
        <w:rPr>
          <w:rFonts w:hint="eastAsia"/>
          <w:color w:val="auto"/>
          <w:highlight w:val="none"/>
        </w:rPr>
        <w:t>大气防护距离</w:t>
      </w:r>
    </w:p>
    <w:p>
      <w:pPr>
        <w:widowControl w:val="0"/>
        <w:ind w:firstLine="480"/>
        <w:rPr>
          <w:color w:val="auto"/>
          <w:highlight w:val="none"/>
        </w:rPr>
      </w:pPr>
      <w:r>
        <w:rPr>
          <w:rFonts w:hint="eastAsia"/>
          <w:color w:val="auto"/>
          <w:highlight w:val="none"/>
        </w:rPr>
        <w:t>根据</w:t>
      </w:r>
      <w:r>
        <w:rPr>
          <w:color w:val="auto"/>
          <w:highlight w:val="none"/>
        </w:rPr>
        <w:t>AERSCREEN</w:t>
      </w:r>
      <w:r>
        <w:rPr>
          <w:rFonts w:hint="eastAsia"/>
          <w:color w:val="auto"/>
          <w:highlight w:val="none"/>
        </w:rPr>
        <w:t>模式计算项目污染源的最大环境影响，计算得出本项目最大浓度占标率为P3排气筒排放的NOx，</w:t>
      </w:r>
      <w:r>
        <w:rPr>
          <w:color w:val="auto"/>
          <w:highlight w:val="none"/>
        </w:rPr>
        <w:t>Pmax</w:t>
      </w:r>
      <w:r>
        <w:rPr>
          <w:rFonts w:hint="eastAsia"/>
          <w:color w:val="auto"/>
          <w:highlight w:val="none"/>
        </w:rPr>
        <w:t>值为</w:t>
      </w:r>
      <w:r>
        <w:rPr>
          <w:rFonts w:hint="eastAsia"/>
          <w:color w:val="auto"/>
          <w:highlight w:val="none"/>
          <w:lang w:eastAsia="zh-CN"/>
        </w:rPr>
        <w:t>9.7546</w:t>
      </w:r>
      <w:r>
        <w:rPr>
          <w:color w:val="auto"/>
          <w:highlight w:val="none"/>
        </w:rPr>
        <w:t>%</w:t>
      </w:r>
      <w:r>
        <w:rPr>
          <w:rFonts w:hint="eastAsia"/>
          <w:color w:val="auto"/>
          <w:highlight w:val="none"/>
        </w:rPr>
        <w:t>，</w:t>
      </w:r>
      <w:r>
        <w:rPr>
          <w:color w:val="auto"/>
          <w:highlight w:val="none"/>
        </w:rPr>
        <w:t>Cmax</w:t>
      </w:r>
      <w:r>
        <w:rPr>
          <w:rFonts w:hint="eastAsia"/>
          <w:color w:val="auto"/>
          <w:highlight w:val="none"/>
        </w:rPr>
        <w:t>为</w:t>
      </w:r>
      <w:r>
        <w:rPr>
          <w:color w:val="auto"/>
          <w:highlight w:val="none"/>
        </w:rPr>
        <w:t>10.6359mg/m</w:t>
      </w:r>
      <w:r>
        <w:rPr>
          <w:color w:val="auto"/>
          <w:highlight w:val="none"/>
          <w:vertAlign w:val="superscript"/>
        </w:rPr>
        <w:t>3</w:t>
      </w:r>
      <w:r>
        <w:rPr>
          <w:rFonts w:hint="eastAsia"/>
          <w:color w:val="auto"/>
          <w:highlight w:val="none"/>
        </w:rPr>
        <w:t>。</w:t>
      </w:r>
    </w:p>
    <w:p>
      <w:pPr>
        <w:widowControl w:val="0"/>
        <w:ind w:firstLine="480"/>
        <w:rPr>
          <w:color w:val="auto"/>
          <w:highlight w:val="none"/>
        </w:rPr>
      </w:pPr>
      <w:r>
        <w:rPr>
          <w:rFonts w:hint="eastAsia"/>
          <w:color w:val="auto"/>
          <w:highlight w:val="none"/>
        </w:rPr>
        <w:t>本项目厂界污染物浓度满足大气污染物厂界浓度限值，同时厂界外大气污染物短期贡献浓度也满足环境质量浓度限值，根据《环境影响评价技术导则大气环境》（</w:t>
      </w:r>
      <w:r>
        <w:rPr>
          <w:color w:val="auto"/>
          <w:highlight w:val="none"/>
        </w:rPr>
        <w:t>HJ2.2-2018</w:t>
      </w:r>
      <w:r>
        <w:rPr>
          <w:rFonts w:hint="eastAsia"/>
          <w:color w:val="auto"/>
          <w:highlight w:val="none"/>
        </w:rPr>
        <w:t>），无需设置大气环境防护距离。</w:t>
      </w:r>
    </w:p>
    <w:p>
      <w:pPr>
        <w:pStyle w:val="6"/>
        <w:widowControl w:val="0"/>
        <w:ind w:left="-160" w:firstLineChars="0"/>
        <w:rPr>
          <w:color w:val="auto"/>
          <w:highlight w:val="none"/>
        </w:rPr>
      </w:pPr>
      <w:r>
        <w:rPr>
          <w:rFonts w:hint="eastAsia"/>
          <w:color w:val="auto"/>
          <w:highlight w:val="none"/>
        </w:rPr>
        <w:t>卫生防护距离</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）卫生防护距离划定</w:t>
      </w:r>
    </w:p>
    <w:p>
      <w:pPr>
        <w:widowControl w:val="0"/>
        <w:ind w:firstLine="480"/>
        <w:rPr>
          <w:color w:val="auto"/>
          <w:highlight w:val="none"/>
        </w:rPr>
      </w:pPr>
      <w:r>
        <w:rPr>
          <w:rFonts w:hint="eastAsia"/>
          <w:color w:val="auto"/>
          <w:highlight w:val="none"/>
        </w:rPr>
        <w:t>根据工程分析，项目主要恶臭源为屠宰车间、待宰圈、污水处理站。</w:t>
      </w:r>
    </w:p>
    <w:p>
      <w:pPr>
        <w:snapToGrid w:val="0"/>
        <w:spacing w:line="360" w:lineRule="auto"/>
        <w:ind w:firstLine="480" w:firstLineChars="200"/>
        <w:rPr>
          <w:rFonts w:ascii="Times New Roman" w:hAnsi="Times New Roman"/>
          <w:bCs/>
          <w:color w:val="auto"/>
          <w:sz w:val="24"/>
          <w:highlight w:val="none"/>
        </w:rPr>
      </w:pPr>
      <w:r>
        <w:rPr>
          <w:rFonts w:hint="eastAsia" w:ascii="Times New Roman" w:hAnsi="Times New Roman"/>
          <w:bCs/>
          <w:color w:val="auto"/>
          <w:sz w:val="24"/>
          <w:highlight w:val="none"/>
        </w:rPr>
        <w:t>根据《大气有害物质无组织排放卫生防护距离推导技术导则》（GB/T39499-2020）中有关方法，结合本项目工程分析和无组织废气排放特点，本项目最终确定H</w:t>
      </w:r>
      <w:r>
        <w:rPr>
          <w:rFonts w:hint="eastAsia" w:ascii="Times New Roman" w:hAnsi="Times New Roman"/>
          <w:bCs/>
          <w:color w:val="auto"/>
          <w:sz w:val="24"/>
          <w:highlight w:val="none"/>
          <w:vertAlign w:val="subscript"/>
        </w:rPr>
        <w:t>2</w:t>
      </w:r>
      <w:r>
        <w:rPr>
          <w:rFonts w:hint="eastAsia" w:ascii="Times New Roman" w:hAnsi="Times New Roman"/>
          <w:bCs/>
          <w:color w:val="auto"/>
          <w:sz w:val="24"/>
          <w:highlight w:val="none"/>
        </w:rPr>
        <w:t>S和NH</w:t>
      </w:r>
      <w:r>
        <w:rPr>
          <w:rFonts w:hint="eastAsia" w:ascii="Times New Roman" w:hAnsi="Times New Roman"/>
          <w:bCs/>
          <w:color w:val="auto"/>
          <w:sz w:val="24"/>
          <w:highlight w:val="none"/>
          <w:vertAlign w:val="subscript"/>
        </w:rPr>
        <w:t>3</w:t>
      </w:r>
      <w:r>
        <w:rPr>
          <w:rFonts w:hint="eastAsia" w:ascii="Times New Roman" w:hAnsi="Times New Roman"/>
          <w:bCs/>
          <w:color w:val="auto"/>
          <w:sz w:val="24"/>
          <w:highlight w:val="none"/>
        </w:rPr>
        <w:t>为主要特征大气有害物质。</w:t>
      </w:r>
    </w:p>
    <w:p>
      <w:pPr>
        <w:snapToGrid w:val="0"/>
        <w:spacing w:line="360" w:lineRule="auto"/>
        <w:ind w:firstLine="480" w:firstLineChars="200"/>
        <w:rPr>
          <w:rFonts w:ascii="Times New Roman" w:hAnsi="Times New Roman"/>
          <w:bCs/>
          <w:color w:val="auto"/>
          <w:sz w:val="24"/>
          <w:highlight w:val="none"/>
        </w:rPr>
      </w:pPr>
      <w:r>
        <w:rPr>
          <w:rFonts w:hint="eastAsia" w:ascii="Times New Roman" w:hAnsi="Times New Roman"/>
          <w:bCs/>
          <w:color w:val="auto"/>
          <w:sz w:val="24"/>
          <w:highlight w:val="none"/>
        </w:rPr>
        <w:t>根据《大气有害物质无组织排放卫生防护距离推导技术导则》（GB/T39499-2020）中第4条规定“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pPr>
        <w:widowControl w:val="0"/>
        <w:ind w:firstLine="480"/>
        <w:rPr>
          <w:rFonts w:hint="eastAsia"/>
          <w:bCs/>
          <w:color w:val="auto"/>
          <w:sz w:val="24"/>
          <w:highlight w:val="none"/>
          <w:lang w:val="en-US" w:eastAsia="zh-CN"/>
        </w:rPr>
      </w:pPr>
      <w:r>
        <w:rPr>
          <w:rFonts w:hint="eastAsia"/>
          <w:color w:val="auto"/>
          <w:highlight w:val="none"/>
          <w:lang w:val="en-US" w:eastAsia="zh-CN"/>
        </w:rPr>
        <w:t>因此，分别计算各无组织排放单元</w:t>
      </w:r>
      <w:r>
        <w:rPr>
          <w:rFonts w:hint="eastAsia" w:ascii="Times New Roman" w:hAnsi="Times New Roman"/>
          <w:bCs/>
          <w:color w:val="auto"/>
          <w:sz w:val="24"/>
          <w:highlight w:val="none"/>
        </w:rPr>
        <w:t>H</w:t>
      </w:r>
      <w:r>
        <w:rPr>
          <w:rFonts w:hint="eastAsia" w:ascii="Times New Roman" w:hAnsi="Times New Roman"/>
          <w:bCs/>
          <w:color w:val="auto"/>
          <w:sz w:val="24"/>
          <w:highlight w:val="none"/>
          <w:vertAlign w:val="subscript"/>
        </w:rPr>
        <w:t>2</w:t>
      </w:r>
      <w:r>
        <w:rPr>
          <w:rFonts w:hint="eastAsia" w:ascii="Times New Roman" w:hAnsi="Times New Roman"/>
          <w:bCs/>
          <w:color w:val="auto"/>
          <w:sz w:val="24"/>
          <w:highlight w:val="none"/>
        </w:rPr>
        <w:t>S及NH</w:t>
      </w:r>
      <w:r>
        <w:rPr>
          <w:rFonts w:hint="eastAsia" w:ascii="Times New Roman" w:hAnsi="Times New Roman"/>
          <w:bCs/>
          <w:color w:val="auto"/>
          <w:sz w:val="24"/>
          <w:highlight w:val="none"/>
          <w:vertAlign w:val="subscript"/>
        </w:rPr>
        <w:t>3</w:t>
      </w:r>
      <w:r>
        <w:rPr>
          <w:rFonts w:hint="eastAsia" w:ascii="Times New Roman" w:hAnsi="Times New Roman"/>
          <w:bCs/>
          <w:color w:val="auto"/>
          <w:sz w:val="24"/>
          <w:highlight w:val="none"/>
        </w:rPr>
        <w:t>的等标排放量</w:t>
      </w:r>
      <w:r>
        <w:rPr>
          <w:rFonts w:hint="eastAsia"/>
          <w:bCs/>
          <w:color w:val="auto"/>
          <w:sz w:val="24"/>
          <w:highlight w:val="none"/>
          <w:lang w:eastAsia="zh-CN"/>
        </w:rPr>
        <w:t>，</w:t>
      </w:r>
      <w:r>
        <w:rPr>
          <w:rFonts w:hint="eastAsia"/>
          <w:bCs/>
          <w:color w:val="auto"/>
          <w:sz w:val="24"/>
          <w:highlight w:val="none"/>
          <w:lang w:val="en-US" w:eastAsia="zh-CN"/>
        </w:rPr>
        <w:t>计算结果见下表。</w:t>
      </w:r>
    </w:p>
    <w:p>
      <w:pPr>
        <w:pStyle w:val="27"/>
        <w:ind w:firstLine="480"/>
        <w:rPr>
          <w:rFonts w:hint="default"/>
          <w:bCs/>
          <w:color w:val="auto"/>
          <w:sz w:val="24"/>
          <w:highlight w:val="none"/>
          <w:lang w:val="en-US" w:eastAsia="zh-CN"/>
        </w:rPr>
      </w:pPr>
      <w:r>
        <w:rPr>
          <w:rFonts w:hint="eastAsia"/>
          <w:bCs/>
          <w:color w:val="auto"/>
          <w:sz w:val="24"/>
          <w:highlight w:val="none"/>
          <w:lang w:val="en-US" w:eastAsia="zh-CN"/>
        </w:rPr>
        <w:t>各无组织废气排放单元等标排放量计算结果一览表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1407"/>
        <w:gridCol w:w="1784"/>
        <w:gridCol w:w="2249"/>
        <w:gridCol w:w="2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无组织排放源</w:t>
            </w:r>
          </w:p>
        </w:tc>
        <w:tc>
          <w:tcPr>
            <w:tcW w:w="732"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污染物</w:t>
            </w:r>
          </w:p>
        </w:tc>
        <w:tc>
          <w:tcPr>
            <w:tcW w:w="928"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排放量（t/a）</w:t>
            </w:r>
          </w:p>
        </w:tc>
        <w:tc>
          <w:tcPr>
            <w:tcW w:w="1170"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等标排放量（mg/m</w:t>
            </w:r>
            <w:r>
              <w:rPr>
                <w:rFonts w:hint="eastAsia"/>
                <w:b/>
                <w:bCs/>
                <w:color w:val="auto"/>
                <w:highlight w:val="none"/>
                <w:vertAlign w:val="superscript"/>
                <w:lang w:val="en-US" w:eastAsia="zh-CN"/>
              </w:rPr>
              <w:t>3</w:t>
            </w:r>
            <w:r>
              <w:rPr>
                <w:rFonts w:hint="eastAsia"/>
                <w:b/>
                <w:bCs/>
                <w:color w:val="auto"/>
                <w:highlight w:val="none"/>
                <w:vertAlign w:val="baseline"/>
                <w:lang w:val="en-US" w:eastAsia="zh-CN"/>
              </w:rPr>
              <w:t>）</w:t>
            </w:r>
          </w:p>
        </w:tc>
        <w:tc>
          <w:tcPr>
            <w:tcW w:w="1170"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污染物等标排放相差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生猪屠宰车间</w:t>
            </w: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NH</w:t>
            </w:r>
            <w:r>
              <w:rPr>
                <w:rFonts w:hint="eastAsia"/>
                <w:color w:val="auto"/>
                <w:highlight w:val="none"/>
                <w:vertAlign w:val="subscript"/>
              </w:rPr>
              <w:t>3</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0.0006</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200</w:t>
            </w:r>
          </w:p>
        </w:tc>
        <w:tc>
          <w:tcPr>
            <w:tcW w:w="1170" w:type="pct"/>
            <w:vMerge w:val="restar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&gt;10%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0.00002</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100</w:t>
            </w:r>
          </w:p>
        </w:tc>
        <w:tc>
          <w:tcPr>
            <w:tcW w:w="1170"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肉牛屠宰车间</w:t>
            </w: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NH</w:t>
            </w:r>
            <w:r>
              <w:rPr>
                <w:rFonts w:hint="eastAsia"/>
                <w:color w:val="auto"/>
                <w:highlight w:val="none"/>
                <w:vertAlign w:val="subscript"/>
              </w:rPr>
              <w:t>3</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lang w:val="en-US" w:eastAsia="zh-CN"/>
              </w:rPr>
              <w:t>0.0056</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1867</w:t>
            </w:r>
          </w:p>
        </w:tc>
        <w:tc>
          <w:tcPr>
            <w:tcW w:w="2250" w:type="dxa"/>
            <w:vMerge w:val="restar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vertAlign w:val="baseline"/>
                <w:lang w:val="en-US" w:eastAsia="zh-CN"/>
              </w:rPr>
              <w:t>&gt;10%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lang w:val="en-US" w:eastAsia="zh-CN"/>
              </w:rPr>
              <w:t>0.0018</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15000</w:t>
            </w:r>
          </w:p>
        </w:tc>
        <w:tc>
          <w:tcPr>
            <w:tcW w:w="1170"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待宰圈</w:t>
            </w: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NH</w:t>
            </w:r>
            <w:r>
              <w:rPr>
                <w:rFonts w:hint="eastAsia"/>
                <w:color w:val="auto"/>
                <w:highlight w:val="none"/>
                <w:vertAlign w:val="subscript"/>
              </w:rPr>
              <w:t>3</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0.029</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2667</w:t>
            </w:r>
          </w:p>
        </w:tc>
        <w:tc>
          <w:tcPr>
            <w:tcW w:w="2250" w:type="dxa"/>
            <w:vMerge w:val="restar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vertAlign w:val="baseline"/>
                <w:lang w:val="en-US" w:eastAsia="zh-CN"/>
              </w:rPr>
              <w:t>&gt;10%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0.0017</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6667</w:t>
            </w:r>
          </w:p>
        </w:tc>
        <w:tc>
          <w:tcPr>
            <w:tcW w:w="1170"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污水处理站</w:t>
            </w: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NH</w:t>
            </w:r>
            <w:r>
              <w:rPr>
                <w:rFonts w:hint="eastAsia"/>
                <w:color w:val="auto"/>
                <w:highlight w:val="none"/>
                <w:vertAlign w:val="subscript"/>
              </w:rPr>
              <w:t>3</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0.002</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1333</w:t>
            </w:r>
          </w:p>
        </w:tc>
        <w:tc>
          <w:tcPr>
            <w:tcW w:w="2250" w:type="dxa"/>
            <w:vMerge w:val="restar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vertAlign w:val="baseline"/>
                <w:lang w:val="en-US" w:eastAsia="zh-CN"/>
              </w:rPr>
              <w:t>&gt;10%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c>
          <w:tcPr>
            <w:tcW w:w="732" w:type="pct"/>
            <w:tcBorders>
              <w:tl2br w:val="nil"/>
              <w:tr2bl w:val="nil"/>
            </w:tcBorders>
            <w:vAlign w:val="center"/>
          </w:tcPr>
          <w:p>
            <w:pPr>
              <w:pStyle w:val="28"/>
              <w:widowControl w:val="0"/>
              <w:ind w:firstLine="0" w:firstLineChars="0"/>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928" w:type="pct"/>
            <w:tcBorders>
              <w:tl2br w:val="nil"/>
              <w:tr2bl w:val="nil"/>
            </w:tcBorders>
            <w:vAlign w:val="center"/>
          </w:tcPr>
          <w:p>
            <w:pPr>
              <w:pStyle w:val="28"/>
              <w:widowControl w:val="0"/>
              <w:ind w:firstLine="0" w:firstLineChars="0"/>
              <w:rPr>
                <w:rFonts w:hint="default"/>
                <w:color w:val="auto"/>
                <w:highlight w:val="none"/>
                <w:vertAlign w:val="baseline"/>
                <w:lang w:val="en-US" w:eastAsia="zh-CN"/>
              </w:rPr>
            </w:pPr>
            <w:r>
              <w:rPr>
                <w:rFonts w:hint="eastAsia"/>
                <w:color w:val="auto"/>
                <w:highlight w:val="none"/>
              </w:rPr>
              <w:t>0.0006</w:t>
            </w:r>
          </w:p>
        </w:tc>
        <w:tc>
          <w:tcPr>
            <w:tcW w:w="117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1667</w:t>
            </w:r>
          </w:p>
        </w:tc>
        <w:tc>
          <w:tcPr>
            <w:tcW w:w="1170" w:type="pct"/>
            <w:vMerge w:val="continue"/>
            <w:tcBorders>
              <w:tl2br w:val="nil"/>
              <w:tr2bl w:val="nil"/>
            </w:tcBorders>
            <w:vAlign w:val="center"/>
          </w:tcPr>
          <w:p>
            <w:pPr>
              <w:pStyle w:val="28"/>
              <w:widowControl w:val="0"/>
              <w:rPr>
                <w:rFonts w:hint="default"/>
                <w:color w:val="auto"/>
                <w:highlight w:val="none"/>
                <w:vertAlign w:val="baseline"/>
                <w:lang w:val="en-US" w:eastAsia="zh-CN"/>
              </w:rPr>
            </w:pPr>
          </w:p>
        </w:tc>
      </w:tr>
    </w:tbl>
    <w:p>
      <w:pPr>
        <w:widowControl w:val="0"/>
        <w:ind w:firstLine="480"/>
        <w:rPr>
          <w:rFonts w:hint="eastAsia" w:eastAsia="宋体"/>
          <w:color w:val="auto"/>
          <w:highlight w:val="none"/>
          <w:lang w:val="en-US" w:eastAsia="zh-CN"/>
        </w:rPr>
      </w:pPr>
      <w:r>
        <w:rPr>
          <w:rFonts w:hint="eastAsia"/>
          <w:color w:val="auto"/>
          <w:highlight w:val="none"/>
          <w:lang w:val="en-US" w:eastAsia="zh-CN"/>
        </w:rPr>
        <w:t>根据上表结果可知，各无组织废气排放单元各污染物等标排放量相差均大于10%，因此，生猪</w:t>
      </w:r>
      <w:r>
        <w:rPr>
          <w:rFonts w:hint="eastAsia"/>
          <w:color w:val="auto"/>
          <w:highlight w:val="none"/>
          <w:vertAlign w:val="baseline"/>
          <w:lang w:val="en-US" w:eastAsia="zh-CN"/>
        </w:rPr>
        <w:t>屠宰车间选择</w:t>
      </w:r>
      <w:r>
        <w:rPr>
          <w:rFonts w:hint="eastAsia"/>
          <w:color w:val="auto"/>
          <w:highlight w:val="none"/>
        </w:rPr>
        <w:t>NH</w:t>
      </w:r>
      <w:r>
        <w:rPr>
          <w:rFonts w:hint="eastAsia"/>
          <w:color w:val="auto"/>
          <w:highlight w:val="none"/>
          <w:vertAlign w:val="subscript"/>
        </w:rPr>
        <w:t>3</w:t>
      </w:r>
      <w:r>
        <w:rPr>
          <w:rFonts w:hint="eastAsia"/>
          <w:color w:val="auto"/>
          <w:highlight w:val="none"/>
          <w:vertAlign w:val="baseline"/>
          <w:lang w:val="en-US" w:eastAsia="zh-CN"/>
        </w:rPr>
        <w:t>作为</w:t>
      </w:r>
      <w:r>
        <w:rPr>
          <w:rFonts w:hint="eastAsia" w:ascii="Times New Roman" w:hAnsi="Times New Roman"/>
          <w:bCs/>
          <w:color w:val="auto"/>
          <w:sz w:val="24"/>
          <w:highlight w:val="none"/>
        </w:rPr>
        <w:t>计算卫生防护距离初值的特征大气有害物质</w:t>
      </w:r>
      <w:r>
        <w:rPr>
          <w:rFonts w:hint="eastAsia"/>
          <w:bCs/>
          <w:color w:val="auto"/>
          <w:sz w:val="24"/>
          <w:highlight w:val="none"/>
          <w:lang w:eastAsia="zh-CN"/>
        </w:rPr>
        <w:t>；</w:t>
      </w:r>
      <w:r>
        <w:rPr>
          <w:rFonts w:hint="eastAsia"/>
          <w:bCs/>
          <w:color w:val="auto"/>
          <w:sz w:val="24"/>
          <w:highlight w:val="none"/>
          <w:lang w:val="en-US" w:eastAsia="zh-CN"/>
        </w:rPr>
        <w:t>肉牛屠宰车间、待宰圈、污水处理站选择</w:t>
      </w:r>
      <w:r>
        <w:rPr>
          <w:rFonts w:hint="eastAsia"/>
          <w:color w:val="auto"/>
          <w:highlight w:val="none"/>
        </w:rPr>
        <w:t>H</w:t>
      </w:r>
      <w:r>
        <w:rPr>
          <w:rFonts w:hint="eastAsia"/>
          <w:color w:val="auto"/>
          <w:highlight w:val="none"/>
          <w:vertAlign w:val="subscript"/>
        </w:rPr>
        <w:t>2</w:t>
      </w:r>
      <w:r>
        <w:rPr>
          <w:rFonts w:hint="eastAsia"/>
          <w:color w:val="auto"/>
          <w:highlight w:val="none"/>
        </w:rPr>
        <w:t>S</w:t>
      </w:r>
      <w:r>
        <w:rPr>
          <w:rFonts w:hint="eastAsia" w:ascii="Times New Roman" w:hAnsi="Times New Roman"/>
          <w:bCs/>
          <w:color w:val="auto"/>
          <w:sz w:val="24"/>
          <w:highlight w:val="none"/>
        </w:rPr>
        <w:t>计算卫生防护距离初值的特征大气有害物质</w:t>
      </w:r>
      <w:r>
        <w:rPr>
          <w:rFonts w:hint="eastAsia"/>
          <w:bCs/>
          <w:color w:val="auto"/>
          <w:sz w:val="24"/>
          <w:highlight w:val="none"/>
          <w:lang w:eastAsia="zh-CN"/>
        </w:rPr>
        <w:t>。</w:t>
      </w:r>
    </w:p>
    <w:p>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卫生防护距离的计算方法采用《制定地方大气污染物排放标准的技术方法》（GB/T1203-91）所指定的方法：</w:t>
      </w:r>
    </w:p>
    <w:p>
      <w:pPr>
        <w:spacing w:line="360" w:lineRule="auto"/>
        <w:ind w:firstLine="480"/>
        <w:jc w:val="center"/>
        <w:rPr>
          <w:rFonts w:ascii="Times New Roman" w:hAnsi="Times New Roman"/>
          <w:bCs/>
          <w:color w:val="auto"/>
          <w:sz w:val="24"/>
          <w:highlight w:val="none"/>
        </w:rPr>
      </w:pPr>
      <w:r>
        <w:rPr>
          <w:rFonts w:ascii="Times New Roman" w:hAnsi="Times New Roman"/>
          <w:color w:val="auto"/>
          <w:sz w:val="24"/>
          <w:highlight w:val="none"/>
          <w:lang w:val="zh-CN"/>
        </w:rPr>
        <w:object>
          <v:shape id="_x0000_i1033" o:spt="75" type="#_x0000_t75" style="height:35.3pt;width:140.25pt;" o:ole="t" filled="f" o:preferrelative="t" stroked="f" coordsize="21600,21600">
            <v:path/>
            <v:fill on="f" focussize="0,0"/>
            <v:stroke on="f"/>
            <v:imagedata r:id="rId55" o:title=""/>
            <o:lock v:ext="edit" grouping="f" rotation="f" text="f" aspectratio="t"/>
            <w10:wrap type="none"/>
            <w10:anchorlock/>
          </v:shape>
          <o:OLEObject Type="Embed" ProgID="Equation.3" ShapeID="_x0000_i1033" DrawAspect="Content" ObjectID="_1468075734" r:id="rId54">
            <o:LockedField>false</o:LockedField>
          </o:OLEObject>
        </w:object>
      </w:r>
    </w:p>
    <w:p>
      <w:pPr>
        <w:adjustRightInd w:val="0"/>
        <w:snapToGrid w:val="0"/>
        <w:spacing w:line="360" w:lineRule="auto"/>
        <w:ind w:firstLine="480"/>
        <w:rPr>
          <w:rFonts w:ascii="Times New Roman" w:hAnsi="Times New Roman"/>
          <w:bCs/>
          <w:color w:val="auto"/>
          <w:sz w:val="24"/>
          <w:highlight w:val="none"/>
        </w:rPr>
      </w:pPr>
      <w:r>
        <w:rPr>
          <w:rFonts w:ascii="Times New Roman" w:hAnsi="Times New Roman"/>
          <w:bCs/>
          <w:color w:val="auto"/>
          <w:sz w:val="24"/>
          <w:highlight w:val="none"/>
        </w:rPr>
        <w:t>式中：Qc——污染物的无组织排放量，kg/hr；</w:t>
      </w:r>
    </w:p>
    <w:p>
      <w:pPr>
        <w:adjustRightInd w:val="0"/>
        <w:snapToGrid w:val="0"/>
        <w:spacing w:line="360" w:lineRule="auto"/>
        <w:ind w:firstLine="1200" w:firstLineChars="500"/>
        <w:rPr>
          <w:rFonts w:ascii="Times New Roman" w:hAnsi="Times New Roman"/>
          <w:bCs/>
          <w:color w:val="auto"/>
          <w:sz w:val="24"/>
          <w:highlight w:val="none"/>
        </w:rPr>
      </w:pPr>
      <w:r>
        <w:rPr>
          <w:rFonts w:ascii="Times New Roman" w:hAnsi="Times New Roman"/>
          <w:bCs/>
          <w:color w:val="auto"/>
          <w:sz w:val="24"/>
          <w:highlight w:val="none"/>
        </w:rPr>
        <w:t>Cm——污染物的标准浓度限值，mg/m</w:t>
      </w:r>
      <w:r>
        <w:rPr>
          <w:rFonts w:ascii="Times New Roman" w:hAnsi="Times New Roman"/>
          <w:bCs/>
          <w:color w:val="auto"/>
          <w:sz w:val="24"/>
          <w:highlight w:val="none"/>
          <w:vertAlign w:val="superscript"/>
        </w:rPr>
        <w:t>3</w:t>
      </w:r>
      <w:r>
        <w:rPr>
          <w:rFonts w:ascii="Times New Roman" w:hAnsi="Times New Roman"/>
          <w:bCs/>
          <w:color w:val="auto"/>
          <w:sz w:val="24"/>
          <w:highlight w:val="none"/>
        </w:rPr>
        <w:t>；</w:t>
      </w:r>
    </w:p>
    <w:p>
      <w:pPr>
        <w:adjustRightInd w:val="0"/>
        <w:snapToGrid w:val="0"/>
        <w:spacing w:line="360" w:lineRule="auto"/>
        <w:ind w:firstLine="1200" w:firstLineChars="500"/>
        <w:rPr>
          <w:rFonts w:ascii="Times New Roman" w:hAnsi="Times New Roman"/>
          <w:bCs/>
          <w:color w:val="auto"/>
          <w:sz w:val="24"/>
          <w:highlight w:val="none"/>
        </w:rPr>
      </w:pPr>
      <w:r>
        <w:rPr>
          <w:rFonts w:ascii="Times New Roman" w:hAnsi="Times New Roman"/>
          <w:bCs/>
          <w:color w:val="auto"/>
          <w:sz w:val="24"/>
          <w:highlight w:val="none"/>
        </w:rPr>
        <w:t>L——卫生防护距离，m；</w:t>
      </w:r>
    </w:p>
    <w:p>
      <w:pPr>
        <w:adjustRightInd w:val="0"/>
        <w:snapToGrid w:val="0"/>
        <w:spacing w:line="360" w:lineRule="auto"/>
        <w:ind w:firstLine="1200" w:firstLineChars="500"/>
        <w:rPr>
          <w:rFonts w:ascii="Times New Roman" w:hAnsi="Times New Roman"/>
          <w:bCs/>
          <w:color w:val="auto"/>
          <w:sz w:val="24"/>
          <w:highlight w:val="none"/>
        </w:rPr>
      </w:pPr>
      <w:r>
        <w:rPr>
          <w:rFonts w:ascii="Times New Roman" w:hAnsi="Times New Roman"/>
          <w:bCs/>
          <w:color w:val="auto"/>
          <w:sz w:val="24"/>
          <w:highlight w:val="none"/>
        </w:rPr>
        <w:t>R——生产单元的等效半径，m；</w:t>
      </w:r>
    </w:p>
    <w:p>
      <w:pPr>
        <w:adjustRightInd w:val="0"/>
        <w:snapToGrid w:val="0"/>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A、B、C、D——卫生防护距离初值计算系数，无因次，根据工业企业所在地区近五年平均风速及工业企业大气污染源构成类别从GB/T39499中表1查取。</w:t>
      </w:r>
    </w:p>
    <w:p>
      <w:pPr>
        <w:widowControl w:val="0"/>
        <w:ind w:firstLine="480"/>
        <w:rPr>
          <w:color w:val="auto"/>
          <w:highlight w:val="none"/>
        </w:rPr>
      </w:pPr>
      <w:r>
        <w:rPr>
          <w:rFonts w:hint="eastAsia" w:ascii="Times New Roman" w:hAnsi="Times New Roman"/>
          <w:color w:val="auto"/>
          <w:sz w:val="24"/>
          <w:highlight w:val="none"/>
        </w:rPr>
        <w:t>根据本项目所在地区近五年平均风速及无组织排放污染物构成类别，从《大气有害物质无组织排放卫生防护距离推导技术导则》（GB/T39499-2020）中选取本次卫生防护距离计算系数为：A=400，B=0.01，C=1.85，D=0.78。</w:t>
      </w:r>
      <w:r>
        <w:rPr>
          <w:rFonts w:hint="eastAsia"/>
          <w:color w:val="auto"/>
          <w:highlight w:val="none"/>
        </w:rPr>
        <w:t>代入公式计算后得到卫生防护距离结果见下表。</w:t>
      </w:r>
    </w:p>
    <w:p>
      <w:pPr>
        <w:pStyle w:val="27"/>
        <w:widowControl w:val="0"/>
        <w:rPr>
          <w:color w:val="auto"/>
          <w:highlight w:val="none"/>
        </w:rPr>
      </w:pPr>
      <w:r>
        <w:rPr>
          <w:rFonts w:hint="eastAsia"/>
          <w:color w:val="auto"/>
          <w:highlight w:val="none"/>
        </w:rPr>
        <w:t>卫生防护距离计算结果表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6"/>
        <w:gridCol w:w="810"/>
        <w:gridCol w:w="1350"/>
        <w:gridCol w:w="730"/>
        <w:gridCol w:w="1336"/>
        <w:gridCol w:w="1140"/>
        <w:gridCol w:w="869"/>
        <w:gridCol w:w="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gridSpan w:val="2"/>
            <w:tcBorders>
              <w:tl2br w:val="nil"/>
              <w:tr2bl w:val="nil"/>
            </w:tcBorders>
            <w:vAlign w:val="center"/>
          </w:tcPr>
          <w:p>
            <w:pPr>
              <w:pStyle w:val="28"/>
              <w:widowControl w:val="0"/>
              <w:rPr>
                <w:color w:val="auto"/>
                <w:highlight w:val="none"/>
              </w:rPr>
            </w:pPr>
            <w:r>
              <w:rPr>
                <w:color w:val="auto"/>
                <w:highlight w:val="none"/>
              </w:rPr>
              <w:t>无组织源</w:t>
            </w:r>
          </w:p>
        </w:tc>
        <w:tc>
          <w:tcPr>
            <w:tcW w:w="421" w:type="pct"/>
            <w:tcBorders>
              <w:tl2br w:val="nil"/>
              <w:tr2bl w:val="nil"/>
            </w:tcBorders>
            <w:vAlign w:val="center"/>
          </w:tcPr>
          <w:p>
            <w:pPr>
              <w:pStyle w:val="28"/>
              <w:widowControl w:val="0"/>
              <w:rPr>
                <w:color w:val="auto"/>
                <w:highlight w:val="none"/>
              </w:rPr>
            </w:pPr>
            <w:r>
              <w:rPr>
                <w:color w:val="auto"/>
                <w:highlight w:val="none"/>
              </w:rPr>
              <w:t>污染物</w:t>
            </w:r>
          </w:p>
        </w:tc>
        <w:tc>
          <w:tcPr>
            <w:tcW w:w="702" w:type="pct"/>
            <w:tcBorders>
              <w:tl2br w:val="nil"/>
              <w:tr2bl w:val="nil"/>
            </w:tcBorders>
            <w:vAlign w:val="center"/>
          </w:tcPr>
          <w:p>
            <w:pPr>
              <w:pStyle w:val="28"/>
              <w:widowControl w:val="0"/>
              <w:rPr>
                <w:color w:val="auto"/>
                <w:highlight w:val="none"/>
              </w:rPr>
            </w:pPr>
            <w:r>
              <w:rPr>
                <w:color w:val="auto"/>
                <w:highlight w:val="none"/>
              </w:rPr>
              <w:t>无组织排放量（kg/h）</w:t>
            </w:r>
          </w:p>
        </w:tc>
        <w:tc>
          <w:tcPr>
            <w:tcW w:w="379" w:type="pct"/>
            <w:tcBorders>
              <w:tl2br w:val="nil"/>
              <w:tr2bl w:val="nil"/>
            </w:tcBorders>
            <w:vAlign w:val="center"/>
          </w:tcPr>
          <w:p>
            <w:pPr>
              <w:pStyle w:val="28"/>
              <w:widowControl w:val="0"/>
              <w:rPr>
                <w:color w:val="auto"/>
                <w:highlight w:val="none"/>
              </w:rPr>
            </w:pPr>
            <w:r>
              <w:rPr>
                <w:color w:val="auto"/>
                <w:highlight w:val="none"/>
              </w:rPr>
              <w:t>平均风速</w:t>
            </w:r>
          </w:p>
        </w:tc>
        <w:tc>
          <w:tcPr>
            <w:tcW w:w="695" w:type="pct"/>
            <w:tcBorders>
              <w:tl2br w:val="nil"/>
              <w:tr2bl w:val="nil"/>
            </w:tcBorders>
            <w:vAlign w:val="center"/>
          </w:tcPr>
          <w:p>
            <w:pPr>
              <w:pStyle w:val="28"/>
              <w:widowControl w:val="0"/>
              <w:rPr>
                <w:color w:val="auto"/>
                <w:highlight w:val="none"/>
              </w:rPr>
            </w:pPr>
            <w:r>
              <w:rPr>
                <w:color w:val="auto"/>
                <w:highlight w:val="none"/>
              </w:rPr>
              <w:t>无组织排放面积（m</w:t>
            </w:r>
            <w:r>
              <w:rPr>
                <w:color w:val="auto"/>
                <w:highlight w:val="none"/>
                <w:vertAlign w:val="superscript"/>
              </w:rPr>
              <w:t>2</w:t>
            </w:r>
            <w:r>
              <w:rPr>
                <w:color w:val="auto"/>
                <w:highlight w:val="none"/>
              </w:rPr>
              <w:t>）</w:t>
            </w:r>
          </w:p>
        </w:tc>
        <w:tc>
          <w:tcPr>
            <w:tcW w:w="593" w:type="pct"/>
            <w:tcBorders>
              <w:tl2br w:val="nil"/>
              <w:tr2bl w:val="nil"/>
            </w:tcBorders>
            <w:vAlign w:val="center"/>
          </w:tcPr>
          <w:p>
            <w:pPr>
              <w:pStyle w:val="28"/>
              <w:widowControl w:val="0"/>
              <w:rPr>
                <w:color w:val="auto"/>
                <w:highlight w:val="none"/>
              </w:rPr>
            </w:pPr>
            <w:r>
              <w:rPr>
                <w:color w:val="auto"/>
                <w:highlight w:val="none"/>
              </w:rPr>
              <w:t>评价标准（mg/m</w:t>
            </w:r>
            <w:r>
              <w:rPr>
                <w:color w:val="auto"/>
                <w:highlight w:val="none"/>
                <w:vertAlign w:val="superscript"/>
              </w:rPr>
              <w:t>3</w:t>
            </w:r>
            <w:r>
              <w:rPr>
                <w:color w:val="auto"/>
                <w:highlight w:val="none"/>
              </w:rPr>
              <w:t>）</w:t>
            </w:r>
          </w:p>
        </w:tc>
        <w:tc>
          <w:tcPr>
            <w:tcW w:w="452" w:type="pct"/>
            <w:tcBorders>
              <w:tl2br w:val="nil"/>
              <w:tr2bl w:val="nil"/>
            </w:tcBorders>
            <w:vAlign w:val="center"/>
          </w:tcPr>
          <w:p>
            <w:pPr>
              <w:pStyle w:val="28"/>
              <w:widowControl w:val="0"/>
              <w:rPr>
                <w:color w:val="auto"/>
                <w:highlight w:val="none"/>
              </w:rPr>
            </w:pPr>
            <w:r>
              <w:rPr>
                <w:color w:val="auto"/>
                <w:highlight w:val="none"/>
              </w:rPr>
              <w:t>计算结果</w:t>
            </w:r>
          </w:p>
        </w:tc>
        <w:tc>
          <w:tcPr>
            <w:tcW w:w="490" w:type="pct"/>
            <w:tcBorders>
              <w:tl2br w:val="nil"/>
              <w:tr2bl w:val="nil"/>
            </w:tcBorders>
            <w:vAlign w:val="center"/>
          </w:tcPr>
          <w:p>
            <w:pPr>
              <w:pStyle w:val="28"/>
              <w:widowControl w:val="0"/>
              <w:rPr>
                <w:color w:val="auto"/>
                <w:highlight w:val="none"/>
              </w:rPr>
            </w:pPr>
            <w:r>
              <w:rPr>
                <w:color w:val="auto"/>
                <w:highlight w:val="none"/>
              </w:rPr>
              <w:t>卫生防护距离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32"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632" w:type="pct"/>
            <w:vMerge w:val="restart"/>
            <w:tcBorders>
              <w:tl2br w:val="nil"/>
              <w:tr2bl w:val="nil"/>
            </w:tcBorders>
            <w:vAlign w:val="center"/>
          </w:tcPr>
          <w:p>
            <w:pPr>
              <w:pStyle w:val="28"/>
              <w:widowControl w:val="0"/>
              <w:rPr>
                <w:color w:val="auto"/>
                <w:highlight w:val="none"/>
              </w:rPr>
            </w:pPr>
            <w:r>
              <w:rPr>
                <w:rFonts w:hint="eastAsia"/>
                <w:color w:val="auto"/>
                <w:highlight w:val="none"/>
              </w:rPr>
              <w:t>生猪</w:t>
            </w:r>
          </w:p>
        </w:tc>
        <w:tc>
          <w:tcPr>
            <w:tcW w:w="421" w:type="pct"/>
            <w:tcBorders>
              <w:tl2br w:val="nil"/>
              <w:tr2bl w:val="nil"/>
            </w:tcBorders>
            <w:vAlign w:val="center"/>
          </w:tcPr>
          <w:p>
            <w:pPr>
              <w:pStyle w:val="28"/>
              <w:widowControl w:val="0"/>
              <w:rPr>
                <w:color w:val="auto"/>
                <w:highlight w:val="none"/>
              </w:rPr>
            </w:pPr>
            <w:r>
              <w:rPr>
                <w:rFonts w:hint="eastAsia"/>
                <w:color w:val="auto"/>
                <w:highlight w:val="none"/>
              </w:rPr>
              <w:t>NH</w:t>
            </w:r>
            <w:r>
              <w:rPr>
                <w:rFonts w:hint="eastAsia"/>
                <w:color w:val="auto"/>
                <w:highlight w:val="none"/>
                <w:vertAlign w:val="subscript"/>
              </w:rPr>
              <w:t>3</w:t>
            </w:r>
          </w:p>
        </w:tc>
        <w:tc>
          <w:tcPr>
            <w:tcW w:w="702" w:type="pct"/>
            <w:tcBorders>
              <w:tl2br w:val="nil"/>
              <w:tr2bl w:val="nil"/>
            </w:tcBorders>
            <w:vAlign w:val="center"/>
          </w:tcPr>
          <w:p>
            <w:pPr>
              <w:pStyle w:val="28"/>
              <w:widowControl w:val="0"/>
              <w:rPr>
                <w:color w:val="auto"/>
                <w:highlight w:val="none"/>
              </w:rPr>
            </w:pPr>
            <w:r>
              <w:rPr>
                <w:rFonts w:hint="eastAsia"/>
                <w:color w:val="auto"/>
                <w:highlight w:val="none"/>
              </w:rPr>
              <w:t>0.0003</w:t>
            </w:r>
          </w:p>
        </w:tc>
        <w:tc>
          <w:tcPr>
            <w:tcW w:w="379" w:type="pct"/>
            <w:vMerge w:val="restart"/>
            <w:tcBorders>
              <w:tl2br w:val="nil"/>
              <w:tr2bl w:val="nil"/>
            </w:tcBorders>
            <w:vAlign w:val="center"/>
          </w:tcPr>
          <w:p>
            <w:pPr>
              <w:pStyle w:val="28"/>
              <w:widowControl w:val="0"/>
              <w:rPr>
                <w:color w:val="auto"/>
                <w:highlight w:val="none"/>
              </w:rPr>
            </w:pPr>
            <w:r>
              <w:rPr>
                <w:rFonts w:hint="eastAsia"/>
                <w:color w:val="auto"/>
                <w:highlight w:val="none"/>
              </w:rPr>
              <w:t>0.5</w:t>
            </w:r>
          </w:p>
        </w:tc>
        <w:tc>
          <w:tcPr>
            <w:tcW w:w="695" w:type="pct"/>
            <w:vMerge w:val="restart"/>
            <w:tcBorders>
              <w:tl2br w:val="nil"/>
              <w:tr2bl w:val="nil"/>
            </w:tcBorders>
            <w:vAlign w:val="center"/>
          </w:tcPr>
          <w:p>
            <w:pPr>
              <w:pStyle w:val="28"/>
              <w:widowControl w:val="0"/>
              <w:rPr>
                <w:color w:val="auto"/>
                <w:highlight w:val="none"/>
              </w:rPr>
            </w:pPr>
            <w:r>
              <w:rPr>
                <w:rFonts w:hint="eastAsia"/>
                <w:color w:val="auto"/>
                <w:highlight w:val="none"/>
              </w:rPr>
              <w:t>9500</w:t>
            </w:r>
          </w:p>
        </w:tc>
        <w:tc>
          <w:tcPr>
            <w:tcW w:w="593" w:type="pct"/>
            <w:tcBorders>
              <w:tl2br w:val="nil"/>
              <w:tr2bl w:val="nil"/>
            </w:tcBorders>
            <w:vAlign w:val="center"/>
          </w:tcPr>
          <w:p>
            <w:pPr>
              <w:pStyle w:val="28"/>
              <w:widowControl w:val="0"/>
              <w:rPr>
                <w:color w:val="auto"/>
                <w:highlight w:val="none"/>
              </w:rPr>
            </w:pPr>
            <w:r>
              <w:rPr>
                <w:rFonts w:hint="eastAsia"/>
                <w:color w:val="auto"/>
                <w:highlight w:val="none"/>
              </w:rPr>
              <w:t>1.5</w:t>
            </w:r>
          </w:p>
        </w:tc>
        <w:tc>
          <w:tcPr>
            <w:tcW w:w="452" w:type="pct"/>
            <w:tcBorders>
              <w:tl2br w:val="nil"/>
              <w:tr2bl w:val="nil"/>
            </w:tcBorders>
            <w:vAlign w:val="center"/>
          </w:tcPr>
          <w:p>
            <w:pPr>
              <w:pStyle w:val="28"/>
              <w:widowControl w:val="0"/>
              <w:rPr>
                <w:color w:val="auto"/>
                <w:highlight w:val="none"/>
              </w:rPr>
            </w:pPr>
            <w:r>
              <w:rPr>
                <w:rFonts w:hint="eastAsia"/>
                <w:color w:val="auto"/>
                <w:highlight w:val="none"/>
              </w:rPr>
              <w:t>0.003m</w:t>
            </w:r>
          </w:p>
        </w:tc>
        <w:tc>
          <w:tcPr>
            <w:tcW w:w="490" w:type="pct"/>
            <w:tcBorders>
              <w:tl2br w:val="nil"/>
              <w:tr2bl w:val="nil"/>
            </w:tcBorders>
            <w:vAlign w:val="center"/>
          </w:tcPr>
          <w:p>
            <w:pPr>
              <w:pStyle w:val="28"/>
              <w:widowControl w:val="0"/>
              <w:rPr>
                <w:rFonts w:hint="eastAsia" w:eastAsia="宋体"/>
                <w:color w:val="auto"/>
                <w:highlight w:val="none"/>
                <w:lang w:val="en-US" w:eastAsia="zh-CN"/>
              </w:rPr>
            </w:pPr>
            <w:r>
              <w:rPr>
                <w:color w:val="auto"/>
                <w:highlight w:val="none"/>
              </w:rPr>
              <w:t>50</w:t>
            </w:r>
            <w:r>
              <w:rPr>
                <w:rFonts w:hint="eastAsia"/>
                <w:color w:val="auto"/>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2" w:type="pct"/>
            <w:vMerge w:val="continue"/>
            <w:tcBorders>
              <w:tl2br w:val="nil"/>
              <w:tr2bl w:val="nil"/>
            </w:tcBorders>
            <w:vAlign w:val="center"/>
          </w:tcPr>
          <w:p>
            <w:pPr>
              <w:pStyle w:val="28"/>
              <w:widowControl w:val="0"/>
              <w:rPr>
                <w:color w:val="auto"/>
                <w:highlight w:val="none"/>
              </w:rPr>
            </w:pPr>
          </w:p>
        </w:tc>
        <w:tc>
          <w:tcPr>
            <w:tcW w:w="632" w:type="pct"/>
            <w:vMerge w:val="restart"/>
            <w:tcBorders>
              <w:tl2br w:val="nil"/>
              <w:tr2bl w:val="nil"/>
            </w:tcBorders>
            <w:vAlign w:val="center"/>
          </w:tcPr>
          <w:p>
            <w:pPr>
              <w:pStyle w:val="28"/>
              <w:widowControl w:val="0"/>
              <w:rPr>
                <w:color w:val="auto"/>
                <w:highlight w:val="none"/>
              </w:rPr>
            </w:pPr>
            <w:r>
              <w:rPr>
                <w:rFonts w:hint="eastAsia"/>
                <w:color w:val="auto"/>
                <w:highlight w:val="none"/>
              </w:rPr>
              <w:t>肉牛</w:t>
            </w:r>
          </w:p>
        </w:tc>
        <w:tc>
          <w:tcPr>
            <w:tcW w:w="421" w:type="pct"/>
            <w:tcBorders>
              <w:tl2br w:val="nil"/>
              <w:tr2bl w:val="nil"/>
            </w:tcBorders>
            <w:vAlign w:val="center"/>
          </w:tcPr>
          <w:p>
            <w:pPr>
              <w:pStyle w:val="28"/>
              <w:widowControl w:val="0"/>
              <w:ind w:firstLine="0" w:firstLineChars="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702" w:type="pct"/>
            <w:tcBorders>
              <w:tl2br w:val="nil"/>
              <w:tr2bl w:val="nil"/>
            </w:tcBorders>
            <w:vAlign w:val="center"/>
          </w:tcPr>
          <w:p>
            <w:pPr>
              <w:pStyle w:val="28"/>
              <w:widowControl w:val="0"/>
              <w:ind w:firstLine="0" w:firstLineChars="0"/>
              <w:rPr>
                <w:rFonts w:hint="default" w:eastAsia="宋体"/>
                <w:color w:val="auto"/>
                <w:highlight w:val="none"/>
                <w:lang w:val="en-US" w:eastAsia="zh-CN"/>
              </w:rPr>
            </w:pPr>
            <w:r>
              <w:rPr>
                <w:rFonts w:hint="eastAsia"/>
                <w:color w:val="auto"/>
                <w:highlight w:val="none"/>
                <w:lang w:val="en-US" w:eastAsia="zh-CN"/>
              </w:rPr>
              <w:t>0.0009</w:t>
            </w:r>
          </w:p>
        </w:tc>
        <w:tc>
          <w:tcPr>
            <w:tcW w:w="379" w:type="pct"/>
            <w:vMerge w:val="restart"/>
            <w:tcBorders>
              <w:tl2br w:val="nil"/>
              <w:tr2bl w:val="nil"/>
            </w:tcBorders>
            <w:vAlign w:val="center"/>
          </w:tcPr>
          <w:p>
            <w:pPr>
              <w:pStyle w:val="28"/>
              <w:widowControl w:val="0"/>
              <w:rPr>
                <w:color w:val="auto"/>
                <w:highlight w:val="none"/>
              </w:rPr>
            </w:pPr>
            <w:r>
              <w:rPr>
                <w:rFonts w:hint="eastAsia"/>
                <w:color w:val="auto"/>
                <w:highlight w:val="none"/>
              </w:rPr>
              <w:t>0.5</w:t>
            </w:r>
          </w:p>
        </w:tc>
        <w:tc>
          <w:tcPr>
            <w:tcW w:w="695" w:type="pct"/>
            <w:vMerge w:val="restart"/>
            <w:tcBorders>
              <w:tl2br w:val="nil"/>
              <w:tr2bl w:val="nil"/>
            </w:tcBorders>
            <w:vAlign w:val="center"/>
          </w:tcPr>
          <w:p>
            <w:pPr>
              <w:pStyle w:val="28"/>
              <w:widowControl w:val="0"/>
              <w:rPr>
                <w:color w:val="auto"/>
                <w:highlight w:val="none"/>
              </w:rPr>
            </w:pPr>
            <w:r>
              <w:rPr>
                <w:rFonts w:hint="eastAsia"/>
                <w:color w:val="auto"/>
                <w:highlight w:val="none"/>
              </w:rPr>
              <w:t>1950</w:t>
            </w:r>
          </w:p>
        </w:tc>
        <w:tc>
          <w:tcPr>
            <w:tcW w:w="593" w:type="pct"/>
            <w:tcBorders>
              <w:tl2br w:val="nil"/>
              <w:tr2bl w:val="nil"/>
            </w:tcBorders>
            <w:vAlign w:val="center"/>
          </w:tcPr>
          <w:p>
            <w:pPr>
              <w:pStyle w:val="28"/>
              <w:widowControl w:val="0"/>
              <w:rPr>
                <w:color w:val="auto"/>
                <w:highlight w:val="none"/>
              </w:rPr>
            </w:pPr>
            <w:r>
              <w:rPr>
                <w:rFonts w:hint="eastAsia"/>
                <w:color w:val="auto"/>
                <w:highlight w:val="none"/>
              </w:rPr>
              <w:t>0.06</w:t>
            </w:r>
          </w:p>
        </w:tc>
        <w:tc>
          <w:tcPr>
            <w:tcW w:w="452" w:type="pct"/>
            <w:tcBorders>
              <w:tl2br w:val="nil"/>
              <w:tr2bl w:val="nil"/>
            </w:tcBorders>
            <w:vAlign w:val="center"/>
          </w:tcPr>
          <w:p>
            <w:pPr>
              <w:pStyle w:val="28"/>
              <w:widowControl w:val="0"/>
              <w:rPr>
                <w:color w:val="auto"/>
                <w:highlight w:val="none"/>
              </w:rPr>
            </w:pPr>
            <w:r>
              <w:rPr>
                <w:rFonts w:hint="eastAsia"/>
                <w:color w:val="auto"/>
                <w:highlight w:val="none"/>
              </w:rPr>
              <w:t>0.</w:t>
            </w:r>
            <w:r>
              <w:rPr>
                <w:rFonts w:hint="eastAsia"/>
                <w:color w:val="auto"/>
                <w:highlight w:val="none"/>
                <w:lang w:val="en-US" w:eastAsia="zh-CN"/>
              </w:rPr>
              <w:t>357</w:t>
            </w:r>
            <w:r>
              <w:rPr>
                <w:rFonts w:hint="eastAsia"/>
                <w:color w:val="auto"/>
                <w:highlight w:val="none"/>
              </w:rPr>
              <w:t>m</w:t>
            </w:r>
          </w:p>
        </w:tc>
        <w:tc>
          <w:tcPr>
            <w:tcW w:w="490" w:type="pct"/>
            <w:tcBorders>
              <w:tl2br w:val="nil"/>
              <w:tr2bl w:val="nil"/>
            </w:tcBorders>
            <w:vAlign w:val="center"/>
          </w:tcPr>
          <w:p>
            <w:pPr>
              <w:pStyle w:val="28"/>
              <w:widowControl w:val="0"/>
              <w:rPr>
                <w:rFonts w:hint="eastAsia" w:eastAsia="宋体"/>
                <w:color w:val="auto"/>
                <w:highlight w:val="none"/>
                <w:lang w:val="en-US" w:eastAsia="zh-CN"/>
              </w:rPr>
            </w:pPr>
            <w:r>
              <w:rPr>
                <w:color w:val="auto"/>
                <w:highlight w:val="none"/>
              </w:rPr>
              <w:t>50</w:t>
            </w:r>
            <w:r>
              <w:rPr>
                <w:rFonts w:hint="eastAsia"/>
                <w:color w:val="auto"/>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pct"/>
            <w:gridSpan w:val="2"/>
            <w:vMerge w:val="restart"/>
            <w:tcBorders>
              <w:tl2br w:val="nil"/>
              <w:tr2bl w:val="nil"/>
            </w:tcBorders>
            <w:vAlign w:val="center"/>
          </w:tcPr>
          <w:p>
            <w:pPr>
              <w:pStyle w:val="28"/>
              <w:widowControl w:val="0"/>
              <w:rPr>
                <w:color w:val="auto"/>
                <w:highlight w:val="none"/>
              </w:rPr>
            </w:pPr>
            <w:r>
              <w:rPr>
                <w:rFonts w:hint="eastAsia"/>
                <w:color w:val="auto"/>
                <w:highlight w:val="none"/>
              </w:rPr>
              <w:t>待宰圈</w:t>
            </w:r>
          </w:p>
        </w:tc>
        <w:tc>
          <w:tcPr>
            <w:tcW w:w="81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3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0.0004</w:t>
            </w:r>
          </w:p>
        </w:tc>
        <w:tc>
          <w:tcPr>
            <w:tcW w:w="379" w:type="pct"/>
            <w:vMerge w:val="restart"/>
            <w:tcBorders>
              <w:tl2br w:val="nil"/>
              <w:tr2bl w:val="nil"/>
            </w:tcBorders>
            <w:vAlign w:val="center"/>
          </w:tcPr>
          <w:p>
            <w:pPr>
              <w:pStyle w:val="28"/>
              <w:widowControl w:val="0"/>
              <w:rPr>
                <w:color w:val="auto"/>
                <w:highlight w:val="none"/>
              </w:rPr>
            </w:pPr>
            <w:r>
              <w:rPr>
                <w:rFonts w:hint="eastAsia"/>
                <w:color w:val="auto"/>
                <w:highlight w:val="none"/>
              </w:rPr>
              <w:t>0.5</w:t>
            </w:r>
          </w:p>
        </w:tc>
        <w:tc>
          <w:tcPr>
            <w:tcW w:w="695" w:type="pct"/>
            <w:vMerge w:val="restart"/>
            <w:tcBorders>
              <w:tl2br w:val="nil"/>
              <w:tr2bl w:val="nil"/>
            </w:tcBorders>
            <w:vAlign w:val="center"/>
          </w:tcPr>
          <w:p>
            <w:pPr>
              <w:pStyle w:val="28"/>
              <w:widowControl w:val="0"/>
              <w:rPr>
                <w:color w:val="auto"/>
                <w:highlight w:val="none"/>
              </w:rPr>
            </w:pPr>
            <w:r>
              <w:rPr>
                <w:rFonts w:hint="eastAsia"/>
                <w:color w:val="auto"/>
                <w:highlight w:val="none"/>
              </w:rPr>
              <w:t>2850</w:t>
            </w:r>
          </w:p>
        </w:tc>
        <w:tc>
          <w:tcPr>
            <w:tcW w:w="114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0.06</w:t>
            </w:r>
          </w:p>
        </w:tc>
        <w:tc>
          <w:tcPr>
            <w:tcW w:w="869"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0.109m</w:t>
            </w:r>
          </w:p>
        </w:tc>
        <w:tc>
          <w:tcPr>
            <w:tcW w:w="942" w:type="dxa"/>
            <w:tcBorders>
              <w:tl2br w:val="nil"/>
              <w:tr2bl w:val="nil"/>
            </w:tcBorders>
            <w:vAlign w:val="center"/>
          </w:tcPr>
          <w:p>
            <w:pPr>
              <w:pStyle w:val="28"/>
              <w:widowControl w:val="0"/>
              <w:ind w:firstLine="0" w:firstLineChars="0"/>
              <w:rPr>
                <w:rFonts w:hint="eastAsia" w:eastAsia="宋体"/>
                <w:color w:val="auto"/>
                <w:highlight w:val="none"/>
                <w:lang w:val="en-US" w:eastAsia="zh-CN"/>
              </w:rPr>
            </w:pPr>
            <w:r>
              <w:rPr>
                <w:color w:val="auto"/>
                <w:highlight w:val="none"/>
              </w:rPr>
              <w:t>50</w:t>
            </w:r>
            <w:r>
              <w:rPr>
                <w:rFonts w:hint="eastAsia"/>
                <w:color w:val="auto"/>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pct"/>
            <w:gridSpan w:val="2"/>
            <w:tcBorders>
              <w:tl2br w:val="nil"/>
              <w:tr2bl w:val="nil"/>
            </w:tcBorders>
            <w:vAlign w:val="center"/>
          </w:tcPr>
          <w:p>
            <w:pPr>
              <w:pStyle w:val="28"/>
              <w:widowControl w:val="0"/>
              <w:rPr>
                <w:color w:val="auto"/>
                <w:highlight w:val="none"/>
              </w:rPr>
            </w:pPr>
            <w:r>
              <w:rPr>
                <w:rFonts w:hint="eastAsia"/>
                <w:color w:val="auto"/>
                <w:highlight w:val="none"/>
              </w:rPr>
              <w:t>污水处理站</w:t>
            </w:r>
          </w:p>
        </w:tc>
        <w:tc>
          <w:tcPr>
            <w:tcW w:w="81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H</w:t>
            </w:r>
            <w:r>
              <w:rPr>
                <w:rFonts w:hint="eastAsia"/>
                <w:color w:val="auto"/>
                <w:highlight w:val="none"/>
                <w:vertAlign w:val="subscript"/>
              </w:rPr>
              <w:t>2</w:t>
            </w:r>
            <w:r>
              <w:rPr>
                <w:rFonts w:hint="eastAsia"/>
                <w:color w:val="auto"/>
                <w:highlight w:val="none"/>
              </w:rPr>
              <w:t>S</w:t>
            </w:r>
          </w:p>
        </w:tc>
        <w:tc>
          <w:tcPr>
            <w:tcW w:w="135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0.0001</w:t>
            </w:r>
          </w:p>
        </w:tc>
        <w:tc>
          <w:tcPr>
            <w:tcW w:w="379" w:type="pct"/>
            <w:tcBorders>
              <w:tl2br w:val="nil"/>
              <w:tr2bl w:val="nil"/>
            </w:tcBorders>
            <w:vAlign w:val="center"/>
          </w:tcPr>
          <w:p>
            <w:pPr>
              <w:pStyle w:val="28"/>
              <w:widowControl w:val="0"/>
              <w:rPr>
                <w:color w:val="auto"/>
                <w:highlight w:val="none"/>
              </w:rPr>
            </w:pPr>
            <w:r>
              <w:rPr>
                <w:rFonts w:hint="eastAsia"/>
                <w:color w:val="auto"/>
                <w:highlight w:val="none"/>
              </w:rPr>
              <w:t>0.5</w:t>
            </w:r>
          </w:p>
        </w:tc>
        <w:tc>
          <w:tcPr>
            <w:tcW w:w="695" w:type="pct"/>
            <w:tcBorders>
              <w:tl2br w:val="nil"/>
              <w:tr2bl w:val="nil"/>
            </w:tcBorders>
            <w:vAlign w:val="center"/>
          </w:tcPr>
          <w:p>
            <w:pPr>
              <w:pStyle w:val="28"/>
              <w:widowControl w:val="0"/>
              <w:rPr>
                <w:color w:val="auto"/>
                <w:highlight w:val="none"/>
              </w:rPr>
            </w:pPr>
            <w:r>
              <w:rPr>
                <w:rFonts w:hint="eastAsia"/>
                <w:color w:val="auto"/>
                <w:highlight w:val="none"/>
              </w:rPr>
              <w:t>600</w:t>
            </w:r>
          </w:p>
        </w:tc>
        <w:tc>
          <w:tcPr>
            <w:tcW w:w="1140"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0.06</w:t>
            </w:r>
          </w:p>
        </w:tc>
        <w:tc>
          <w:tcPr>
            <w:tcW w:w="869" w:type="dxa"/>
            <w:tcBorders>
              <w:tl2br w:val="nil"/>
              <w:tr2bl w:val="nil"/>
            </w:tcBorders>
            <w:vAlign w:val="center"/>
          </w:tcPr>
          <w:p>
            <w:pPr>
              <w:pStyle w:val="28"/>
              <w:widowControl w:val="0"/>
              <w:ind w:firstLine="0" w:firstLineChars="0"/>
              <w:rPr>
                <w:color w:val="auto"/>
                <w:highlight w:val="none"/>
              </w:rPr>
            </w:pPr>
            <w:r>
              <w:rPr>
                <w:rFonts w:hint="eastAsia"/>
                <w:color w:val="auto"/>
                <w:highlight w:val="none"/>
              </w:rPr>
              <w:t>0.053m</w:t>
            </w:r>
          </w:p>
        </w:tc>
        <w:tc>
          <w:tcPr>
            <w:tcW w:w="942" w:type="dxa"/>
            <w:tcBorders>
              <w:tl2br w:val="nil"/>
              <w:tr2bl w:val="nil"/>
            </w:tcBorders>
            <w:vAlign w:val="center"/>
          </w:tcPr>
          <w:p>
            <w:pPr>
              <w:pStyle w:val="28"/>
              <w:widowControl w:val="0"/>
              <w:ind w:firstLine="0" w:firstLineChars="0"/>
              <w:rPr>
                <w:rFonts w:hint="eastAsia" w:eastAsia="宋体"/>
                <w:color w:val="auto"/>
                <w:highlight w:val="none"/>
                <w:lang w:val="en-US" w:eastAsia="zh-CN"/>
              </w:rPr>
            </w:pPr>
            <w:r>
              <w:rPr>
                <w:color w:val="auto"/>
                <w:highlight w:val="none"/>
              </w:rPr>
              <w:t>50</w:t>
            </w:r>
            <w:r>
              <w:rPr>
                <w:rFonts w:hint="eastAsia"/>
                <w:color w:val="auto"/>
                <w:highlight w:val="none"/>
                <w:lang w:val="en-US" w:eastAsia="zh-CN"/>
              </w:rPr>
              <w:t>m</w:t>
            </w:r>
          </w:p>
        </w:tc>
      </w:tr>
    </w:tbl>
    <w:p>
      <w:pPr>
        <w:widowControl w:val="0"/>
        <w:ind w:firstLine="480"/>
        <w:rPr>
          <w:color w:val="auto"/>
          <w:highlight w:val="none"/>
        </w:rPr>
      </w:pPr>
      <w:r>
        <w:rPr>
          <w:rFonts w:hint="eastAsia" w:ascii="Times New Roman" w:hAnsi="Times New Roman"/>
          <w:bCs/>
          <w:color w:val="auto"/>
          <w:sz w:val="24"/>
          <w:highlight w:val="none"/>
        </w:rPr>
        <w:t>根据《大气有害物质无组织排放卫生防护距离推导技术导则》（GB/T39499-2020）中6.1.1“卫生防护距离初值小于50m时，级差为50m。如计算初值小于50m，卫生防护距离终值取50m”。</w:t>
      </w:r>
      <w:r>
        <w:rPr>
          <w:rFonts w:hint="eastAsia"/>
          <w:color w:val="auto"/>
          <w:highlight w:val="none"/>
        </w:rPr>
        <w:t>因此，最终确定本项目无组织排放单元的卫生防护距离为：以本项目恶臭气体产污单元（待宰圈、屠宰车间和污水处理站）各无组织单元，向外延伸</w:t>
      </w:r>
      <w:r>
        <w:rPr>
          <w:rFonts w:hint="eastAsia"/>
          <w:color w:val="auto"/>
          <w:highlight w:val="none"/>
          <w:lang w:val="en-US" w:eastAsia="zh-CN"/>
        </w:rPr>
        <w:t>50</w:t>
      </w:r>
      <w:r>
        <w:rPr>
          <w:rFonts w:hint="eastAsia"/>
          <w:color w:val="auto"/>
          <w:highlight w:val="none"/>
        </w:rPr>
        <w:t>m。</w:t>
      </w:r>
    </w:p>
    <w:p>
      <w:pPr>
        <w:widowControl w:val="0"/>
        <w:ind w:firstLine="480"/>
        <w:rPr>
          <w:rFonts w:hint="eastAsia"/>
          <w:color w:val="auto"/>
          <w:highlight w:val="none"/>
        </w:rPr>
      </w:pPr>
      <w:r>
        <w:rPr>
          <w:rFonts w:hint="eastAsia"/>
          <w:color w:val="auto"/>
          <w:highlight w:val="none"/>
        </w:rPr>
        <w:t>与本项目恶臭气体产</w:t>
      </w:r>
      <w:r>
        <w:rPr>
          <w:rFonts w:hint="eastAsia"/>
          <w:color w:val="auto"/>
          <w:highlight w:val="none"/>
          <w:lang w:val="en-US" w:eastAsia="zh-CN"/>
        </w:rPr>
        <w:t>污</w:t>
      </w:r>
      <w:r>
        <w:rPr>
          <w:rFonts w:hint="eastAsia"/>
          <w:color w:val="auto"/>
          <w:highlight w:val="none"/>
        </w:rPr>
        <w:t>单元最近的敏感点为北侧</w:t>
      </w:r>
      <w:r>
        <w:rPr>
          <w:rFonts w:hint="eastAsia"/>
          <w:color w:val="auto"/>
          <w:highlight w:val="none"/>
          <w:lang w:val="en-US" w:eastAsia="zh-CN"/>
        </w:rPr>
        <w:t>85</w:t>
      </w:r>
      <w:r>
        <w:rPr>
          <w:rFonts w:hint="eastAsia"/>
          <w:color w:val="auto"/>
          <w:highlight w:val="none"/>
        </w:rPr>
        <w:t>m处的石泉村散户，</w:t>
      </w:r>
      <w:r>
        <w:rPr>
          <w:rFonts w:hint="eastAsia"/>
          <w:color w:val="auto"/>
          <w:highlight w:val="none"/>
          <w:lang w:val="en-US" w:eastAsia="zh-CN"/>
        </w:rPr>
        <w:t>因此，</w:t>
      </w:r>
      <w:r>
        <w:rPr>
          <w:rFonts w:hint="eastAsia"/>
          <w:color w:val="auto"/>
          <w:highlight w:val="none"/>
        </w:rPr>
        <w:t>本项目卫生防护距离范围内无村庄、住宅、学校</w:t>
      </w:r>
      <w:r>
        <w:rPr>
          <w:rFonts w:hint="eastAsia"/>
          <w:color w:val="auto"/>
          <w:highlight w:val="none"/>
          <w:lang w:eastAsia="zh-CN"/>
        </w:rPr>
        <w:t>、</w:t>
      </w:r>
      <w:r>
        <w:rPr>
          <w:rFonts w:hint="eastAsia"/>
          <w:color w:val="auto"/>
          <w:highlight w:val="none"/>
          <w:lang w:val="en-US" w:eastAsia="zh-CN"/>
        </w:rPr>
        <w:t>医院</w:t>
      </w:r>
      <w:r>
        <w:rPr>
          <w:rFonts w:hint="eastAsia"/>
          <w:color w:val="auto"/>
          <w:highlight w:val="none"/>
        </w:rPr>
        <w:t>等敏感点，现状周边外环境可以满足卫生防护距离要求。</w:t>
      </w:r>
    </w:p>
    <w:p>
      <w:pPr>
        <w:spacing w:line="360" w:lineRule="auto"/>
        <w:ind w:firstLine="482" w:firstLineChars="200"/>
        <w:rPr>
          <w:color w:val="auto"/>
          <w:highlight w:val="none"/>
        </w:rPr>
      </w:pPr>
      <w:r>
        <w:rPr>
          <w:rFonts w:ascii="Times New Roman" w:hAnsi="Times New Roman"/>
          <w:b/>
          <w:bCs/>
          <w:color w:val="auto"/>
          <w:sz w:val="24"/>
          <w:highlight w:val="none"/>
        </w:rPr>
        <w:t>环评要求：在划定的50m卫生防护距离内不得新建医院、学校、居住区等环境敏感项目。</w:t>
      </w:r>
    </w:p>
    <w:p>
      <w:pPr>
        <w:pStyle w:val="6"/>
        <w:widowControl w:val="0"/>
        <w:ind w:left="-160" w:firstLineChars="0"/>
        <w:rPr>
          <w:color w:val="auto"/>
          <w:highlight w:val="none"/>
        </w:rPr>
      </w:pPr>
      <w:r>
        <w:rPr>
          <w:rFonts w:hint="eastAsia"/>
          <w:color w:val="auto"/>
          <w:highlight w:val="none"/>
        </w:rPr>
        <w:t>对厂界的影响分析</w:t>
      </w:r>
    </w:p>
    <w:p>
      <w:pPr>
        <w:widowControl w:val="0"/>
        <w:ind w:firstLine="480"/>
        <w:rPr>
          <w:color w:val="auto"/>
          <w:szCs w:val="24"/>
          <w:highlight w:val="none"/>
        </w:rPr>
      </w:pPr>
      <w:r>
        <w:rPr>
          <w:rFonts w:hint="eastAsia" w:cs="宋体"/>
          <w:color w:val="auto"/>
          <w:szCs w:val="24"/>
          <w:highlight w:val="none"/>
          <w:lang w:bidi="ar"/>
        </w:rPr>
        <w:t>根据厂区布局，考虑同种污染落地浓度叠加，评价根据导则推荐的估算模式估算结果，项目厂界可达《恶臭污染物排放标准》（</w:t>
      </w:r>
      <w:r>
        <w:rPr>
          <w:color w:val="auto"/>
          <w:szCs w:val="24"/>
          <w:highlight w:val="none"/>
          <w:lang w:bidi="ar"/>
        </w:rPr>
        <w:t>GB14554-93</w:t>
      </w:r>
      <w:r>
        <w:rPr>
          <w:rFonts w:hint="eastAsia" w:cs="宋体"/>
          <w:color w:val="auto"/>
          <w:szCs w:val="24"/>
          <w:highlight w:val="none"/>
          <w:lang w:bidi="ar"/>
        </w:rPr>
        <w:t>）表</w:t>
      </w:r>
      <w:r>
        <w:rPr>
          <w:color w:val="auto"/>
          <w:szCs w:val="24"/>
          <w:highlight w:val="none"/>
          <w:lang w:bidi="ar"/>
        </w:rPr>
        <w:t>1</w:t>
      </w:r>
      <w:r>
        <w:rPr>
          <w:rFonts w:hint="eastAsia" w:cs="宋体"/>
          <w:color w:val="auto"/>
          <w:szCs w:val="24"/>
          <w:highlight w:val="none"/>
          <w:lang w:bidi="ar"/>
        </w:rPr>
        <w:t>新扩改建厂界二级标准值的要求（即</w:t>
      </w:r>
      <w:r>
        <w:rPr>
          <w:color w:val="auto"/>
          <w:szCs w:val="24"/>
          <w:highlight w:val="none"/>
          <w:lang w:bidi="ar"/>
        </w:rPr>
        <w:t>NH</w:t>
      </w:r>
      <w:r>
        <w:rPr>
          <w:color w:val="auto"/>
          <w:szCs w:val="24"/>
          <w:highlight w:val="none"/>
          <w:vertAlign w:val="subscript"/>
          <w:lang w:bidi="ar"/>
        </w:rPr>
        <w:t>3</w:t>
      </w:r>
      <w:r>
        <w:rPr>
          <w:rFonts w:hint="eastAsia" w:cs="宋体"/>
          <w:color w:val="auto"/>
          <w:szCs w:val="24"/>
          <w:highlight w:val="none"/>
          <w:lang w:bidi="ar"/>
        </w:rPr>
        <w:t>为</w:t>
      </w:r>
      <w:r>
        <w:rPr>
          <w:color w:val="auto"/>
          <w:szCs w:val="24"/>
          <w:highlight w:val="none"/>
          <w:lang w:bidi="ar"/>
        </w:rPr>
        <w:t>1.5mg/m</w:t>
      </w:r>
      <w:r>
        <w:rPr>
          <w:color w:val="auto"/>
          <w:szCs w:val="24"/>
          <w:highlight w:val="none"/>
          <w:vertAlign w:val="superscript"/>
          <w:lang w:bidi="ar"/>
        </w:rPr>
        <w:t>3</w:t>
      </w:r>
      <w:r>
        <w:rPr>
          <w:rFonts w:hint="eastAsia" w:cs="宋体"/>
          <w:color w:val="auto"/>
          <w:szCs w:val="24"/>
          <w:highlight w:val="none"/>
          <w:lang w:bidi="ar"/>
        </w:rPr>
        <w:t>，</w:t>
      </w:r>
      <w:r>
        <w:rPr>
          <w:color w:val="auto"/>
          <w:szCs w:val="24"/>
          <w:highlight w:val="none"/>
          <w:lang w:bidi="ar"/>
        </w:rPr>
        <w:t>H</w:t>
      </w:r>
      <w:r>
        <w:rPr>
          <w:color w:val="auto"/>
          <w:szCs w:val="24"/>
          <w:highlight w:val="none"/>
          <w:vertAlign w:val="subscript"/>
          <w:lang w:bidi="ar"/>
        </w:rPr>
        <w:t>2</w:t>
      </w:r>
      <w:r>
        <w:rPr>
          <w:color w:val="auto"/>
          <w:szCs w:val="24"/>
          <w:highlight w:val="none"/>
          <w:lang w:bidi="ar"/>
        </w:rPr>
        <w:t>S</w:t>
      </w:r>
      <w:r>
        <w:rPr>
          <w:rFonts w:hint="eastAsia" w:cs="宋体"/>
          <w:color w:val="auto"/>
          <w:szCs w:val="24"/>
          <w:highlight w:val="none"/>
          <w:lang w:bidi="ar"/>
        </w:rPr>
        <w:t>为</w:t>
      </w:r>
      <w:r>
        <w:rPr>
          <w:color w:val="auto"/>
          <w:szCs w:val="24"/>
          <w:highlight w:val="none"/>
          <w:lang w:bidi="ar"/>
        </w:rPr>
        <w:t>0.06mg/m</w:t>
      </w:r>
      <w:r>
        <w:rPr>
          <w:color w:val="auto"/>
          <w:szCs w:val="24"/>
          <w:highlight w:val="none"/>
          <w:vertAlign w:val="superscript"/>
          <w:lang w:bidi="ar"/>
        </w:rPr>
        <w:t>3</w:t>
      </w:r>
      <w:r>
        <w:rPr>
          <w:rFonts w:hint="eastAsia" w:cs="宋体"/>
          <w:color w:val="auto"/>
          <w:szCs w:val="24"/>
          <w:highlight w:val="none"/>
          <w:lang w:bidi="ar"/>
        </w:rPr>
        <w:t>）。</w:t>
      </w:r>
    </w:p>
    <w:p>
      <w:pPr>
        <w:pStyle w:val="6"/>
        <w:widowControl w:val="0"/>
        <w:ind w:left="-160" w:firstLineChars="0"/>
        <w:rPr>
          <w:color w:val="auto"/>
          <w:highlight w:val="none"/>
        </w:rPr>
      </w:pPr>
      <w:r>
        <w:rPr>
          <w:rFonts w:hint="eastAsia"/>
          <w:color w:val="auto"/>
          <w:highlight w:val="none"/>
        </w:rPr>
        <w:t>恶臭对周边环境的影响</w:t>
      </w:r>
    </w:p>
    <w:p>
      <w:pPr>
        <w:widowControl w:val="0"/>
        <w:ind w:firstLine="480"/>
        <w:rPr>
          <w:color w:val="auto"/>
          <w:highlight w:val="none"/>
        </w:rPr>
      </w:pPr>
      <w:r>
        <w:rPr>
          <w:rFonts w:hint="eastAsia" w:cs="宋体"/>
          <w:color w:val="auto"/>
          <w:highlight w:val="none"/>
          <w:lang w:bidi="ar"/>
        </w:rPr>
        <w:t>恶臭气体浓度对人体的影响大致可以分为四种情况：</w:t>
      </w:r>
    </w:p>
    <w:p>
      <w:pPr>
        <w:widowControl w:val="0"/>
        <w:ind w:firstLine="480"/>
        <w:rPr>
          <w:color w:val="auto"/>
          <w:highlight w:val="none"/>
        </w:rPr>
      </w:pPr>
      <w:r>
        <w:rPr>
          <w:color w:val="auto"/>
          <w:highlight w:val="none"/>
          <w:lang w:bidi="ar"/>
        </w:rPr>
        <w:t>①</w:t>
      </w:r>
      <w:r>
        <w:rPr>
          <w:rFonts w:hint="eastAsia" w:cs="宋体"/>
          <w:color w:val="auto"/>
          <w:highlight w:val="none"/>
          <w:lang w:bidi="ar"/>
        </w:rPr>
        <w:t>不产生直接或间接的影响；</w:t>
      </w:r>
    </w:p>
    <w:p>
      <w:pPr>
        <w:widowControl w:val="0"/>
        <w:ind w:firstLine="480"/>
        <w:rPr>
          <w:color w:val="auto"/>
          <w:highlight w:val="none"/>
        </w:rPr>
      </w:pPr>
      <w:r>
        <w:rPr>
          <w:color w:val="auto"/>
          <w:highlight w:val="none"/>
          <w:lang w:bidi="ar"/>
        </w:rPr>
        <w:t>②</w:t>
      </w:r>
      <w:r>
        <w:rPr>
          <w:rFonts w:hint="eastAsia" w:cs="宋体"/>
          <w:color w:val="auto"/>
          <w:highlight w:val="none"/>
          <w:lang w:bidi="ar"/>
        </w:rPr>
        <w:t>恶臭气体的浓度已对植物产生危害，则将影响人的眼睛，使其视力下降；</w:t>
      </w:r>
    </w:p>
    <w:p>
      <w:pPr>
        <w:widowControl w:val="0"/>
        <w:ind w:firstLine="480"/>
        <w:rPr>
          <w:color w:val="auto"/>
          <w:highlight w:val="none"/>
        </w:rPr>
      </w:pPr>
      <w:r>
        <w:rPr>
          <w:color w:val="auto"/>
          <w:highlight w:val="none"/>
          <w:lang w:bidi="ar"/>
        </w:rPr>
        <w:t>③</w:t>
      </w:r>
      <w:r>
        <w:rPr>
          <w:rFonts w:hint="eastAsia" w:cs="宋体"/>
          <w:color w:val="auto"/>
          <w:highlight w:val="none"/>
          <w:lang w:bidi="ar"/>
        </w:rPr>
        <w:t>对人的中枢神经产生障碍和病变，并引起慢性病及缩短生命。</w:t>
      </w:r>
    </w:p>
    <w:p>
      <w:pPr>
        <w:widowControl w:val="0"/>
        <w:ind w:firstLine="480"/>
        <w:rPr>
          <w:color w:val="auto"/>
          <w:highlight w:val="none"/>
        </w:rPr>
      </w:pPr>
      <w:r>
        <w:rPr>
          <w:color w:val="auto"/>
          <w:highlight w:val="none"/>
          <w:lang w:bidi="ar"/>
        </w:rPr>
        <w:t>④</w:t>
      </w:r>
      <w:r>
        <w:rPr>
          <w:rFonts w:hint="eastAsia" w:cs="宋体"/>
          <w:color w:val="auto"/>
          <w:highlight w:val="none"/>
          <w:lang w:bidi="ar"/>
        </w:rPr>
        <w:t>引发急性病，并有可能引起死亡。</w:t>
      </w:r>
    </w:p>
    <w:p>
      <w:pPr>
        <w:widowControl w:val="0"/>
        <w:ind w:firstLine="480"/>
        <w:rPr>
          <w:color w:val="auto"/>
          <w:highlight w:val="none"/>
        </w:rPr>
      </w:pPr>
      <w:r>
        <w:rPr>
          <w:rFonts w:hint="eastAsia" w:cs="宋体"/>
          <w:color w:val="auto"/>
          <w:highlight w:val="none"/>
          <w:lang w:bidi="ar"/>
        </w:rPr>
        <w:t>恶臭气体污染对人体的影响一般仅停留在</w:t>
      </w:r>
      <w:r>
        <w:rPr>
          <w:color w:val="auto"/>
          <w:highlight w:val="none"/>
          <w:lang w:bidi="ar"/>
        </w:rPr>
        <w:t>①</w:t>
      </w:r>
      <w:r>
        <w:rPr>
          <w:rFonts w:hint="eastAsia" w:cs="宋体"/>
          <w:color w:val="auto"/>
          <w:highlight w:val="none"/>
          <w:lang w:bidi="ar"/>
        </w:rPr>
        <w:t>、</w:t>
      </w:r>
      <w:r>
        <w:rPr>
          <w:color w:val="auto"/>
          <w:highlight w:val="none"/>
          <w:lang w:bidi="ar"/>
        </w:rPr>
        <w:t>②</w:t>
      </w:r>
      <w:r>
        <w:rPr>
          <w:rFonts w:hint="eastAsia" w:cs="宋体"/>
          <w:color w:val="auto"/>
          <w:highlight w:val="none"/>
          <w:lang w:bidi="ar"/>
        </w:rPr>
        <w:t>浓度水平。当然，如果发生大规模恶臭污染事件，会使恶臭气体污染的浓度达到</w:t>
      </w:r>
      <w:r>
        <w:rPr>
          <w:color w:val="auto"/>
          <w:highlight w:val="none"/>
          <w:lang w:bidi="ar"/>
        </w:rPr>
        <w:t>③</w:t>
      </w:r>
      <w:r>
        <w:rPr>
          <w:rFonts w:hint="eastAsia" w:cs="宋体"/>
          <w:color w:val="auto"/>
          <w:highlight w:val="none"/>
          <w:lang w:bidi="ar"/>
        </w:rPr>
        <w:t>、</w:t>
      </w:r>
      <w:r>
        <w:rPr>
          <w:color w:val="auto"/>
          <w:highlight w:val="none"/>
          <w:lang w:bidi="ar"/>
        </w:rPr>
        <w:t>④</w:t>
      </w:r>
      <w:r>
        <w:rPr>
          <w:rFonts w:hint="eastAsia" w:cs="宋体"/>
          <w:color w:val="auto"/>
          <w:highlight w:val="none"/>
          <w:lang w:bidi="ar"/>
        </w:rPr>
        <w:t>水平。</w:t>
      </w:r>
    </w:p>
    <w:p>
      <w:pPr>
        <w:widowControl w:val="0"/>
        <w:ind w:firstLine="480"/>
        <w:rPr>
          <w:color w:val="auto"/>
          <w:highlight w:val="none"/>
        </w:rPr>
      </w:pPr>
      <w:r>
        <w:rPr>
          <w:rFonts w:hint="eastAsia" w:cs="宋体"/>
          <w:color w:val="auto"/>
          <w:highlight w:val="none"/>
          <w:lang w:bidi="ar"/>
        </w:rPr>
        <w:t>恶臭污染影响一般有两个方面：</w:t>
      </w:r>
    </w:p>
    <w:p>
      <w:pPr>
        <w:widowControl w:val="0"/>
        <w:ind w:firstLine="480"/>
        <w:rPr>
          <w:color w:val="auto"/>
          <w:highlight w:val="none"/>
        </w:rPr>
      </w:pPr>
      <w:r>
        <w:rPr>
          <w:color w:val="auto"/>
          <w:highlight w:val="none"/>
          <w:lang w:bidi="ar"/>
        </w:rPr>
        <w:t>①</w:t>
      </w:r>
      <w:r>
        <w:rPr>
          <w:rFonts w:hint="eastAsia" w:cs="宋体"/>
          <w:color w:val="auto"/>
          <w:highlight w:val="none"/>
          <w:lang w:bidi="ar"/>
        </w:rPr>
        <w:t>使人感到不快、恶心、头疼、食欲不振、营养不良。喝水减少、妨碍睡眠、嗅觉失调、情绪不振，爱发脾气以及诱发哮喘。</w:t>
      </w:r>
    </w:p>
    <w:p>
      <w:pPr>
        <w:widowControl w:val="0"/>
        <w:ind w:firstLine="480"/>
        <w:rPr>
          <w:color w:val="auto"/>
          <w:highlight w:val="none"/>
        </w:rPr>
      </w:pPr>
      <w:r>
        <w:rPr>
          <w:color w:val="auto"/>
          <w:highlight w:val="none"/>
          <w:lang w:bidi="ar"/>
        </w:rPr>
        <w:t>②</w:t>
      </w:r>
      <w:r>
        <w:rPr>
          <w:rFonts w:hint="eastAsia" w:cs="宋体"/>
          <w:color w:val="auto"/>
          <w:highlight w:val="none"/>
          <w:lang w:bidi="ar"/>
        </w:rPr>
        <w:t>社会经济受到损害，如由于恶臭污染使工作人员工作效率降低，受到恶臭污染的地区经济建设商业销售额、旅游事业将受到影响，从而使经济效益受到影响。</w:t>
      </w:r>
    </w:p>
    <w:p>
      <w:pPr>
        <w:widowControl w:val="0"/>
        <w:ind w:firstLine="480"/>
        <w:rPr>
          <w:rFonts w:cs="宋体"/>
          <w:color w:val="auto"/>
          <w:highlight w:val="none"/>
          <w:lang w:bidi="ar"/>
        </w:rPr>
      </w:pPr>
      <w:r>
        <w:rPr>
          <w:rFonts w:hint="eastAsia" w:cs="宋体"/>
          <w:color w:val="auto"/>
          <w:highlight w:val="none"/>
          <w:lang w:bidi="ar"/>
        </w:rPr>
        <w:t>单项恶臭气体对人体影响，如硫化氢（</w:t>
      </w:r>
      <w:r>
        <w:rPr>
          <w:color w:val="auto"/>
          <w:highlight w:val="none"/>
          <w:lang w:bidi="ar"/>
        </w:rPr>
        <w:t>H</w:t>
      </w:r>
      <w:r>
        <w:rPr>
          <w:color w:val="auto"/>
          <w:highlight w:val="none"/>
          <w:vertAlign w:val="subscript"/>
          <w:lang w:bidi="ar"/>
        </w:rPr>
        <w:t>2</w:t>
      </w:r>
      <w:r>
        <w:rPr>
          <w:color w:val="auto"/>
          <w:highlight w:val="none"/>
          <w:lang w:bidi="ar"/>
        </w:rPr>
        <w:t>S</w:t>
      </w:r>
      <w:r>
        <w:rPr>
          <w:rFonts w:hint="eastAsia" w:cs="宋体"/>
          <w:color w:val="auto"/>
          <w:highlight w:val="none"/>
          <w:lang w:bidi="ar"/>
        </w:rPr>
        <w:t>）气体浓度为</w:t>
      </w:r>
      <w:r>
        <w:rPr>
          <w:color w:val="auto"/>
          <w:highlight w:val="none"/>
          <w:lang w:bidi="ar"/>
        </w:rPr>
        <w:t>0.007ppm</w:t>
      </w:r>
      <w:r>
        <w:rPr>
          <w:rFonts w:hint="eastAsia" w:cs="宋体"/>
          <w:color w:val="auto"/>
          <w:highlight w:val="none"/>
          <w:lang w:bidi="ar"/>
        </w:rPr>
        <w:t>时，影响人眼睛对光的反射。硫化氢气体浓度为</w:t>
      </w:r>
      <w:r>
        <w:rPr>
          <w:color w:val="auto"/>
          <w:highlight w:val="none"/>
          <w:lang w:bidi="ar"/>
        </w:rPr>
        <w:t>10ppm</w:t>
      </w:r>
      <w:r>
        <w:rPr>
          <w:rFonts w:hint="eastAsia" w:cs="宋体"/>
          <w:color w:val="auto"/>
          <w:highlight w:val="none"/>
          <w:lang w:bidi="ar"/>
        </w:rPr>
        <w:t>是刺激人眼睛的最小浓度。又如氨气浓度为</w:t>
      </w:r>
      <w:r>
        <w:rPr>
          <w:color w:val="auto"/>
          <w:highlight w:val="none"/>
          <w:lang w:bidi="ar"/>
        </w:rPr>
        <w:t>17ppm</w:t>
      </w:r>
      <w:r>
        <w:rPr>
          <w:rFonts w:hint="eastAsia" w:cs="宋体"/>
          <w:color w:val="auto"/>
          <w:highlight w:val="none"/>
          <w:lang w:bidi="ar"/>
        </w:rPr>
        <w:t>时，人在此环境中暴露</w:t>
      </w:r>
      <w:r>
        <w:rPr>
          <w:color w:val="auto"/>
          <w:highlight w:val="none"/>
          <w:lang w:bidi="ar"/>
        </w:rPr>
        <w:t>7-8</w:t>
      </w:r>
      <w:r>
        <w:rPr>
          <w:rFonts w:hint="eastAsia" w:cs="宋体"/>
          <w:color w:val="auto"/>
          <w:highlight w:val="none"/>
          <w:lang w:bidi="ar"/>
        </w:rPr>
        <w:t>小时，则尿中的</w:t>
      </w:r>
      <w:r>
        <w:rPr>
          <w:color w:val="auto"/>
          <w:highlight w:val="none"/>
          <w:lang w:bidi="ar"/>
        </w:rPr>
        <w:t>NH</w:t>
      </w:r>
      <w:r>
        <w:rPr>
          <w:color w:val="auto"/>
          <w:highlight w:val="none"/>
          <w:vertAlign w:val="subscript"/>
          <w:lang w:bidi="ar"/>
        </w:rPr>
        <w:t>3</w:t>
      </w:r>
      <w:r>
        <w:rPr>
          <w:rFonts w:hint="eastAsia" w:cs="宋体"/>
          <w:color w:val="auto"/>
          <w:highlight w:val="none"/>
          <w:lang w:bidi="ar"/>
        </w:rPr>
        <w:t>量增加，同时氧的消耗量降低，呼吸频率下降。如在高浓度三甲胺气体暴露下，会刺激眼睛、催泪并患结膜炎等。项目位于山区丘陵地区，各生产线较为分散，防疫条件好，总平面布局合理。</w:t>
      </w:r>
    </w:p>
    <w:p>
      <w:pPr>
        <w:widowControl w:val="0"/>
        <w:ind w:firstLine="480"/>
        <w:rPr>
          <w:rFonts w:cs="宋体"/>
          <w:color w:val="auto"/>
          <w:highlight w:val="none"/>
          <w:lang w:bidi="ar"/>
        </w:rPr>
      </w:pPr>
      <w:r>
        <w:rPr>
          <w:rFonts w:hint="eastAsia" w:cs="宋体"/>
          <w:color w:val="auto"/>
          <w:highlight w:val="none"/>
          <w:lang w:bidi="ar"/>
        </w:rPr>
        <w:t>对此项目采取了对恶臭气体的控制及处理措施，见下表。</w:t>
      </w:r>
    </w:p>
    <w:p>
      <w:pPr>
        <w:pStyle w:val="27"/>
        <w:widowControl w:val="0"/>
        <w:rPr>
          <w:color w:val="auto"/>
          <w:highlight w:val="none"/>
        </w:rPr>
      </w:pPr>
      <w:r>
        <w:rPr>
          <w:rFonts w:hint="eastAsia"/>
          <w:color w:val="auto"/>
          <w:highlight w:val="none"/>
        </w:rPr>
        <w:t>恶臭控制措施及处理措施一览表</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8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28"/>
              <w:widowControl w:val="0"/>
              <w:rPr>
                <w:b/>
                <w:bCs/>
                <w:color w:val="auto"/>
                <w:highlight w:val="none"/>
              </w:rPr>
            </w:pPr>
            <w:r>
              <w:rPr>
                <w:rFonts w:hint="eastAsia"/>
                <w:b/>
                <w:bCs/>
                <w:color w:val="auto"/>
                <w:highlight w:val="none"/>
              </w:rPr>
              <w:t>恶臭产生源</w:t>
            </w:r>
          </w:p>
        </w:tc>
        <w:tc>
          <w:tcPr>
            <w:tcW w:w="4188" w:type="pct"/>
            <w:tcBorders>
              <w:tl2br w:val="nil"/>
              <w:tr2bl w:val="nil"/>
            </w:tcBorders>
            <w:vAlign w:val="center"/>
          </w:tcPr>
          <w:p>
            <w:pPr>
              <w:pStyle w:val="28"/>
              <w:widowControl w:val="0"/>
              <w:rPr>
                <w:b/>
                <w:bCs/>
                <w:color w:val="auto"/>
                <w:highlight w:val="none"/>
              </w:rPr>
            </w:pPr>
            <w:r>
              <w:rPr>
                <w:rFonts w:hint="eastAsia"/>
                <w:b/>
                <w:bCs/>
                <w:color w:val="auto"/>
                <w:highlight w:val="none"/>
              </w:rPr>
              <w:t>控制及处理措施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28"/>
              <w:widowControl w:val="0"/>
              <w:rPr>
                <w:rFonts w:hint="default"/>
                <w:color w:val="auto"/>
                <w:highlight w:val="none"/>
                <w:lang w:val="en-US"/>
              </w:rPr>
            </w:pPr>
            <w:r>
              <w:rPr>
                <w:rFonts w:hint="eastAsia"/>
                <w:color w:val="auto"/>
                <w:highlight w:val="none"/>
              </w:rPr>
              <w:t>待宰圈</w:t>
            </w:r>
            <w:r>
              <w:rPr>
                <w:rFonts w:hint="eastAsia"/>
                <w:color w:val="auto"/>
                <w:highlight w:val="none"/>
                <w:lang w:eastAsia="zh-CN"/>
              </w:rPr>
              <w:t>、</w:t>
            </w:r>
            <w:r>
              <w:rPr>
                <w:rFonts w:hint="eastAsia"/>
                <w:color w:val="auto"/>
                <w:highlight w:val="none"/>
                <w:lang w:val="en-US" w:eastAsia="zh-CN"/>
              </w:rPr>
              <w:t>生猪屠宰车间</w:t>
            </w:r>
          </w:p>
        </w:tc>
        <w:tc>
          <w:tcPr>
            <w:tcW w:w="4188" w:type="pct"/>
            <w:tcBorders>
              <w:tl2br w:val="nil"/>
              <w:tr2bl w:val="nil"/>
            </w:tcBorders>
            <w:vAlign w:val="center"/>
          </w:tcPr>
          <w:p>
            <w:pPr>
              <w:pStyle w:val="28"/>
              <w:widowControl w:val="0"/>
              <w:jc w:val="both"/>
              <w:rPr>
                <w:color w:val="auto"/>
                <w:highlight w:val="none"/>
              </w:rPr>
            </w:pPr>
            <w:r>
              <w:rPr>
                <w:rFonts w:hint="eastAsia"/>
                <w:color w:val="auto"/>
                <w:highlight w:val="none"/>
              </w:rPr>
              <w:t>污染控制措施：</w:t>
            </w:r>
          </w:p>
          <w:p>
            <w:pPr>
              <w:pStyle w:val="28"/>
              <w:widowControl w:val="0"/>
              <w:jc w:val="both"/>
              <w:rPr>
                <w:color w:val="auto"/>
                <w:highlight w:val="none"/>
              </w:rPr>
            </w:pPr>
            <w:r>
              <w:rPr>
                <w:rFonts w:hint="eastAsia"/>
                <w:color w:val="auto"/>
                <w:highlight w:val="none"/>
              </w:rPr>
              <w:t>待宰圈</w:t>
            </w:r>
            <w:r>
              <w:rPr>
                <w:color w:val="auto"/>
                <w:highlight w:val="none"/>
              </w:rPr>
              <w:t>全密闭，设置强制通风设施，保持车间负压；喷洒生物除臭剂，猪粪采用水冲式，设水雾喷淋装置，保持</w:t>
            </w:r>
            <w:r>
              <w:rPr>
                <w:rFonts w:hint="eastAsia"/>
                <w:color w:val="auto"/>
                <w:highlight w:val="none"/>
              </w:rPr>
              <w:t>待宰圈</w:t>
            </w:r>
            <w:r>
              <w:rPr>
                <w:color w:val="auto"/>
                <w:highlight w:val="none"/>
              </w:rPr>
              <w:t>清洁</w:t>
            </w:r>
            <w:r>
              <w:rPr>
                <w:rFonts w:hint="eastAsia"/>
                <w:color w:val="auto"/>
                <w:highlight w:val="none"/>
                <w:lang w:eastAsia="zh-CN"/>
              </w:rPr>
              <w:t>，</w:t>
            </w:r>
            <w:r>
              <w:rPr>
                <w:color w:val="auto"/>
                <w:highlight w:val="none"/>
              </w:rPr>
              <w:t>可以减少80%的产生量</w:t>
            </w:r>
            <w:r>
              <w:rPr>
                <w:rFonts w:hint="eastAsia"/>
                <w:color w:val="auto"/>
                <w:highlight w:val="none"/>
              </w:rPr>
              <w:t>；</w:t>
            </w:r>
            <w:r>
              <w:rPr>
                <w:rFonts w:hint="eastAsia"/>
                <w:color w:val="auto"/>
                <w:highlight w:val="none"/>
                <w:lang w:val="en-US" w:eastAsia="zh-CN"/>
              </w:rPr>
              <w:t>生猪</w:t>
            </w:r>
            <w:r>
              <w:rPr>
                <w:color w:val="auto"/>
                <w:highlight w:val="none"/>
              </w:rPr>
              <w:t>屠宰车间为全密闭，设置强制通风设施，车间</w:t>
            </w:r>
            <w:r>
              <w:rPr>
                <w:rFonts w:hint="eastAsia"/>
                <w:color w:val="auto"/>
                <w:highlight w:val="none"/>
                <w:lang w:eastAsia="zh-CN"/>
              </w:rPr>
              <w:t>每小时换气3次</w:t>
            </w:r>
            <w:r>
              <w:rPr>
                <w:color w:val="auto"/>
                <w:highlight w:val="none"/>
              </w:rPr>
              <w:t>，保持车间负压；车间生产线及时清洗，肠胃内容物和</w:t>
            </w:r>
            <w:r>
              <w:rPr>
                <w:rFonts w:hint="eastAsia"/>
                <w:color w:val="auto"/>
                <w:highlight w:val="none"/>
                <w:lang w:val="en-US" w:eastAsia="zh-CN"/>
              </w:rPr>
              <w:t>猪毛</w:t>
            </w:r>
            <w:r>
              <w:rPr>
                <w:color w:val="auto"/>
                <w:highlight w:val="none"/>
              </w:rPr>
              <w:t>等污物及时清运，保持屠宰车间清洁；定期对车间进行消毒处理，可以减少80%的产生量</w:t>
            </w:r>
            <w:r>
              <w:rPr>
                <w:rFonts w:hint="eastAsia"/>
                <w:color w:val="auto"/>
                <w:highlight w:val="none"/>
                <w:lang w:eastAsia="zh-CN"/>
              </w:rPr>
              <w:t>；</w:t>
            </w:r>
            <w:r>
              <w:rPr>
                <w:rFonts w:hint="eastAsia"/>
                <w:color w:val="auto"/>
                <w:highlight w:val="none"/>
              </w:rPr>
              <w:t>。</w:t>
            </w:r>
          </w:p>
          <w:p>
            <w:pPr>
              <w:pStyle w:val="28"/>
              <w:widowControl w:val="0"/>
              <w:jc w:val="both"/>
              <w:rPr>
                <w:color w:val="auto"/>
                <w:highlight w:val="none"/>
              </w:rPr>
            </w:pPr>
            <w:r>
              <w:rPr>
                <w:rFonts w:hint="eastAsia"/>
                <w:color w:val="auto"/>
                <w:highlight w:val="none"/>
              </w:rPr>
              <w:t>污染治理措施：</w:t>
            </w:r>
          </w:p>
          <w:p>
            <w:pPr>
              <w:pStyle w:val="28"/>
              <w:widowControl w:val="0"/>
              <w:jc w:val="left"/>
              <w:rPr>
                <w:color w:val="auto"/>
                <w:highlight w:val="none"/>
              </w:rPr>
            </w:pPr>
            <w:r>
              <w:rPr>
                <w:rFonts w:hint="eastAsia"/>
                <w:color w:val="auto"/>
                <w:highlight w:val="none"/>
              </w:rPr>
              <w:t>臭气收集后采用1套UV光解+生物洗涤塔处理后15m排气筒（P1）排放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肉牛</w:t>
            </w:r>
            <w:r>
              <w:rPr>
                <w:rFonts w:hint="eastAsia"/>
                <w:color w:val="auto"/>
                <w:highlight w:val="none"/>
              </w:rPr>
              <w:t>屠宰车间</w:t>
            </w:r>
            <w:r>
              <w:rPr>
                <w:rFonts w:hint="eastAsia"/>
                <w:color w:val="auto"/>
                <w:highlight w:val="none"/>
                <w:lang w:eastAsia="zh-CN"/>
              </w:rPr>
              <w:t>、</w:t>
            </w:r>
            <w:r>
              <w:rPr>
                <w:rFonts w:hint="eastAsia"/>
                <w:color w:val="auto"/>
                <w:highlight w:val="none"/>
                <w:lang w:val="en-US" w:eastAsia="zh-CN"/>
              </w:rPr>
              <w:t>污水处理站</w:t>
            </w:r>
          </w:p>
        </w:tc>
        <w:tc>
          <w:tcPr>
            <w:tcW w:w="4188" w:type="pct"/>
            <w:tcBorders>
              <w:tl2br w:val="nil"/>
              <w:tr2bl w:val="nil"/>
            </w:tcBorders>
            <w:vAlign w:val="center"/>
          </w:tcPr>
          <w:p>
            <w:pPr>
              <w:pStyle w:val="28"/>
              <w:widowControl w:val="0"/>
              <w:jc w:val="both"/>
              <w:rPr>
                <w:color w:val="auto"/>
                <w:highlight w:val="none"/>
              </w:rPr>
            </w:pPr>
            <w:r>
              <w:rPr>
                <w:rFonts w:hint="eastAsia"/>
                <w:color w:val="auto"/>
                <w:highlight w:val="none"/>
              </w:rPr>
              <w:t>污染控制措施：</w:t>
            </w:r>
          </w:p>
          <w:p>
            <w:pPr>
              <w:pStyle w:val="28"/>
              <w:widowControl w:val="0"/>
              <w:jc w:val="both"/>
              <w:rPr>
                <w:color w:val="auto"/>
                <w:highlight w:val="none"/>
              </w:rPr>
            </w:pPr>
            <w:r>
              <w:rPr>
                <w:rFonts w:hint="eastAsia"/>
                <w:color w:val="auto"/>
                <w:highlight w:val="none"/>
                <w:lang w:val="en-US" w:eastAsia="zh-CN"/>
              </w:rPr>
              <w:t>肉牛</w:t>
            </w:r>
            <w:r>
              <w:rPr>
                <w:color w:val="auto"/>
                <w:highlight w:val="none"/>
              </w:rPr>
              <w:t>屠宰车间为全密闭，设置强制通风设施，车间</w:t>
            </w:r>
            <w:r>
              <w:rPr>
                <w:rFonts w:hint="eastAsia"/>
                <w:color w:val="auto"/>
                <w:highlight w:val="none"/>
                <w:lang w:eastAsia="zh-CN"/>
              </w:rPr>
              <w:t>每小时换气3次</w:t>
            </w:r>
            <w:r>
              <w:rPr>
                <w:color w:val="auto"/>
                <w:highlight w:val="none"/>
              </w:rPr>
              <w:t>，保持车间负压；车间生产线及时清洗，肠胃内容物和</w:t>
            </w:r>
            <w:r>
              <w:rPr>
                <w:rFonts w:hint="eastAsia"/>
                <w:color w:val="auto"/>
                <w:highlight w:val="none"/>
                <w:lang w:val="en-US" w:eastAsia="zh-CN"/>
              </w:rPr>
              <w:t>牛毛</w:t>
            </w:r>
            <w:r>
              <w:rPr>
                <w:color w:val="auto"/>
                <w:highlight w:val="none"/>
              </w:rPr>
              <w:t>等污物及时清运，保持屠宰车间清洁；定期对车间进行消毒处理，可以减少80%的产生量</w:t>
            </w:r>
            <w:r>
              <w:rPr>
                <w:rFonts w:hint="eastAsia"/>
                <w:color w:val="auto"/>
                <w:highlight w:val="none"/>
                <w:lang w:eastAsia="zh-CN"/>
              </w:rPr>
              <w:t>；</w:t>
            </w:r>
            <w:r>
              <w:rPr>
                <w:rFonts w:hint="eastAsia"/>
                <w:color w:val="auto"/>
                <w:highlight w:val="none"/>
              </w:rPr>
              <w:t>污水处理站采用半地埋式，对整个污水处理单元进行全部密闭，地面加盖，采用微负压抽风系统收集</w:t>
            </w:r>
            <w:r>
              <w:rPr>
                <w:rFonts w:hint="eastAsia"/>
                <w:color w:val="auto"/>
                <w:highlight w:val="none"/>
                <w:lang w:eastAsia="zh-CN"/>
              </w:rPr>
              <w:t>，</w:t>
            </w:r>
            <w:r>
              <w:rPr>
                <w:color w:val="auto"/>
                <w:highlight w:val="none"/>
              </w:rPr>
              <w:t>可以减少80%的产生量</w:t>
            </w:r>
            <w:r>
              <w:rPr>
                <w:rFonts w:hint="eastAsia"/>
                <w:color w:val="auto"/>
                <w:highlight w:val="none"/>
                <w:lang w:eastAsia="zh-CN"/>
              </w:rPr>
              <w:t>。</w:t>
            </w:r>
          </w:p>
          <w:p>
            <w:pPr>
              <w:pStyle w:val="28"/>
              <w:widowControl w:val="0"/>
              <w:jc w:val="both"/>
              <w:rPr>
                <w:color w:val="auto"/>
                <w:highlight w:val="none"/>
              </w:rPr>
            </w:pPr>
            <w:r>
              <w:rPr>
                <w:rFonts w:hint="eastAsia"/>
                <w:color w:val="auto"/>
                <w:highlight w:val="none"/>
              </w:rPr>
              <w:t>污染治理措施：</w:t>
            </w:r>
          </w:p>
          <w:p>
            <w:pPr>
              <w:pStyle w:val="28"/>
              <w:widowControl w:val="0"/>
              <w:jc w:val="left"/>
              <w:rPr>
                <w:color w:val="auto"/>
                <w:highlight w:val="none"/>
              </w:rPr>
            </w:pPr>
            <w:r>
              <w:rPr>
                <w:rFonts w:hint="eastAsia"/>
                <w:color w:val="auto"/>
                <w:highlight w:val="none"/>
              </w:rPr>
              <w:t>臭气收集后采用1套UV光解+生物洗涤塔处理后15m排气筒（P2）排放</w:t>
            </w:r>
          </w:p>
        </w:tc>
      </w:tr>
    </w:tbl>
    <w:p>
      <w:pPr>
        <w:widowControl w:val="0"/>
        <w:ind w:firstLine="480"/>
        <w:rPr>
          <w:color w:val="auto"/>
          <w:highlight w:val="none"/>
        </w:rPr>
      </w:pPr>
      <w:r>
        <w:rPr>
          <w:rFonts w:hint="eastAsia" w:cs="宋体"/>
          <w:color w:val="auto"/>
          <w:szCs w:val="24"/>
          <w:highlight w:val="none"/>
          <w:lang w:bidi="ar"/>
        </w:rPr>
        <w:t>通过以上措施，项目各单元产生的恶臭气体均能实现达标排放，对周边环境影响较小，经实地调查，本项目核算卫生防护距离范围内有无住户，无城镇居民区，</w:t>
      </w:r>
      <w:r>
        <w:rPr>
          <w:rFonts w:hint="eastAsia" w:cs="宋体"/>
          <w:color w:val="auto"/>
          <w:szCs w:val="24"/>
          <w:highlight w:val="none"/>
          <w:lang w:val="en-US" w:eastAsia="zh-CN" w:bidi="ar"/>
        </w:rPr>
        <w:t>无医院、学校等环境敏感点，</w:t>
      </w:r>
      <w:r>
        <w:rPr>
          <w:rFonts w:hint="eastAsia" w:cs="宋体"/>
          <w:color w:val="auto"/>
          <w:szCs w:val="24"/>
          <w:highlight w:val="none"/>
          <w:lang w:bidi="ar"/>
        </w:rPr>
        <w:t>满足卫生防护距离要求</w:t>
      </w:r>
      <w:r>
        <w:rPr>
          <w:rFonts w:hint="eastAsia" w:cs="宋体"/>
          <w:color w:val="auto"/>
          <w:highlight w:val="none"/>
          <w:lang w:bidi="ar"/>
        </w:rPr>
        <w:t>，恶臭经一段距离后，臭气对环境影响甚微</w:t>
      </w:r>
      <w:r>
        <w:rPr>
          <w:rFonts w:hint="eastAsia" w:cs="宋体"/>
          <w:color w:val="auto"/>
          <w:szCs w:val="24"/>
          <w:highlight w:val="none"/>
          <w:lang w:bidi="ar"/>
        </w:rPr>
        <w:t>。</w:t>
      </w:r>
    </w:p>
    <w:p>
      <w:pPr>
        <w:pStyle w:val="6"/>
        <w:widowControl w:val="0"/>
        <w:ind w:left="-160" w:firstLineChars="0"/>
        <w:rPr>
          <w:color w:val="auto"/>
          <w:highlight w:val="none"/>
          <w:lang w:val="zh-CN"/>
        </w:rPr>
      </w:pPr>
      <w:r>
        <w:rPr>
          <w:rFonts w:hint="eastAsia"/>
          <w:color w:val="auto"/>
          <w:highlight w:val="none"/>
          <w:lang w:val="zh-CN"/>
        </w:rPr>
        <w:t>食堂油烟影响分析</w:t>
      </w:r>
    </w:p>
    <w:p>
      <w:pPr>
        <w:widowControl w:val="0"/>
        <w:ind w:firstLine="520"/>
        <w:rPr>
          <w:color w:val="auto"/>
          <w:spacing w:val="10"/>
          <w:szCs w:val="24"/>
          <w:highlight w:val="none"/>
        </w:rPr>
      </w:pPr>
      <w:r>
        <w:rPr>
          <w:rFonts w:hint="eastAsia" w:cs="宋体"/>
          <w:color w:val="auto"/>
          <w:spacing w:val="10"/>
          <w:szCs w:val="24"/>
          <w:highlight w:val="none"/>
          <w:lang w:bidi="ar"/>
        </w:rPr>
        <w:t>项目食堂油烟</w:t>
      </w:r>
      <w:r>
        <w:rPr>
          <w:rFonts w:hint="eastAsia" w:cs="宋体"/>
          <w:color w:val="auto"/>
          <w:spacing w:val="10"/>
          <w:highlight w:val="none"/>
          <w:lang w:bidi="ar"/>
        </w:rPr>
        <w:t>经油烟净化处理后，油烟排放浓度为</w:t>
      </w:r>
      <w:r>
        <w:rPr>
          <w:rFonts w:hint="eastAsia"/>
          <w:color w:val="auto"/>
          <w:spacing w:val="10"/>
          <w:highlight w:val="none"/>
          <w:lang w:bidi="ar"/>
        </w:rPr>
        <w:t>1.2</w:t>
      </w:r>
      <w:r>
        <w:rPr>
          <w:color w:val="auto"/>
          <w:spacing w:val="10"/>
          <w:highlight w:val="none"/>
          <w:lang w:bidi="ar"/>
        </w:rPr>
        <w:t>mg/m</w:t>
      </w:r>
      <w:r>
        <w:rPr>
          <w:color w:val="auto"/>
          <w:spacing w:val="10"/>
          <w:highlight w:val="none"/>
          <w:vertAlign w:val="superscript"/>
          <w:lang w:bidi="ar"/>
        </w:rPr>
        <w:t>3</w:t>
      </w:r>
      <w:r>
        <w:rPr>
          <w:rFonts w:hint="eastAsia" w:cs="宋体"/>
          <w:color w:val="auto"/>
          <w:spacing w:val="10"/>
          <w:szCs w:val="24"/>
          <w:highlight w:val="none"/>
          <w:lang w:bidi="ar"/>
        </w:rPr>
        <w:t>，符合《饮食业油烟排放标准》（</w:t>
      </w:r>
      <w:r>
        <w:rPr>
          <w:color w:val="auto"/>
          <w:spacing w:val="10"/>
          <w:szCs w:val="24"/>
          <w:highlight w:val="none"/>
          <w:lang w:bidi="ar"/>
        </w:rPr>
        <w:t>GB18483-2001</w:t>
      </w:r>
      <w:r>
        <w:rPr>
          <w:rFonts w:hint="eastAsia" w:cs="宋体"/>
          <w:color w:val="auto"/>
          <w:spacing w:val="10"/>
          <w:szCs w:val="24"/>
          <w:highlight w:val="none"/>
          <w:lang w:bidi="ar"/>
        </w:rPr>
        <w:t>）小型的排放标准</w:t>
      </w:r>
      <w:r>
        <w:rPr>
          <w:color w:val="auto"/>
          <w:spacing w:val="10"/>
          <w:szCs w:val="24"/>
          <w:highlight w:val="none"/>
          <w:lang w:bidi="ar"/>
        </w:rPr>
        <w:t>2.0mg/m</w:t>
      </w:r>
      <w:r>
        <w:rPr>
          <w:color w:val="auto"/>
          <w:spacing w:val="10"/>
          <w:szCs w:val="24"/>
          <w:highlight w:val="none"/>
          <w:vertAlign w:val="superscript"/>
          <w:lang w:bidi="ar"/>
        </w:rPr>
        <w:t>3</w:t>
      </w:r>
      <w:r>
        <w:rPr>
          <w:rFonts w:hint="eastAsia" w:cs="宋体"/>
          <w:color w:val="auto"/>
          <w:spacing w:val="10"/>
          <w:szCs w:val="24"/>
          <w:highlight w:val="none"/>
          <w:lang w:bidi="ar"/>
        </w:rPr>
        <w:t>的要求。油烟经风机引入屋顶排放，经大气稀释扩散后对周边环境影响较小。</w:t>
      </w:r>
    </w:p>
    <w:p>
      <w:pPr>
        <w:pStyle w:val="6"/>
        <w:widowControl w:val="0"/>
        <w:ind w:left="-160" w:firstLineChars="0"/>
        <w:rPr>
          <w:color w:val="auto"/>
          <w:highlight w:val="none"/>
          <w:lang w:val="zh-CN"/>
        </w:rPr>
      </w:pPr>
      <w:r>
        <w:rPr>
          <w:rFonts w:hint="eastAsia"/>
          <w:color w:val="auto"/>
          <w:highlight w:val="none"/>
          <w:lang w:val="zh-CN"/>
        </w:rPr>
        <w:t>柴油发电机烟气影响分析</w:t>
      </w:r>
    </w:p>
    <w:p>
      <w:pPr>
        <w:widowControl w:val="0"/>
        <w:ind w:firstLine="520"/>
        <w:rPr>
          <w:color w:val="auto"/>
          <w:highlight w:val="none"/>
        </w:rPr>
      </w:pPr>
      <w:r>
        <w:rPr>
          <w:rFonts w:hint="eastAsia" w:cs="宋体"/>
          <w:color w:val="auto"/>
          <w:spacing w:val="10"/>
          <w:szCs w:val="24"/>
          <w:highlight w:val="none"/>
          <w:lang w:bidi="ar"/>
        </w:rPr>
        <w:t>项目发电机房内保持着良好的通风性，柴油发电机烟气经“自带烟气净化器”处理后于屋顶排放。由于应急柴油发电机只有在停电时使用，使用的频率很小、排放量少、排放间断性强，采用上述措施后完全能够做到达标排放，对周围环境影响很小。</w:t>
      </w:r>
    </w:p>
    <w:p>
      <w:pPr>
        <w:pStyle w:val="6"/>
        <w:widowControl w:val="0"/>
        <w:ind w:left="-160" w:firstLineChars="0"/>
        <w:rPr>
          <w:color w:val="auto"/>
          <w:highlight w:val="none"/>
        </w:rPr>
      </w:pPr>
      <w:r>
        <w:rPr>
          <w:rFonts w:hint="eastAsia"/>
          <w:color w:val="auto"/>
          <w:highlight w:val="none"/>
        </w:rPr>
        <w:t>锅炉天然气燃烧废气影响分析</w:t>
      </w:r>
    </w:p>
    <w:p>
      <w:pPr>
        <w:widowControl w:val="0"/>
        <w:ind w:firstLine="480"/>
        <w:rPr>
          <w:color w:val="auto"/>
          <w:highlight w:val="none"/>
        </w:rPr>
      </w:pPr>
      <w:r>
        <w:rPr>
          <w:rFonts w:hint="eastAsia"/>
          <w:color w:val="auto"/>
          <w:highlight w:val="none"/>
        </w:rPr>
        <w:t>天然气属清洁能源，产生的燃烧废气，对周边环境影响较小，项目采取增强厂区绿化，排气筒设置远离居民敏感点，采取上述措施后，天然气产生的燃烧废气影响较小。</w:t>
      </w:r>
    </w:p>
    <w:p>
      <w:pPr>
        <w:pStyle w:val="6"/>
        <w:widowControl w:val="0"/>
        <w:ind w:left="-160" w:firstLineChars="0"/>
        <w:rPr>
          <w:color w:val="auto"/>
          <w:highlight w:val="none"/>
        </w:rPr>
      </w:pPr>
      <w:r>
        <w:rPr>
          <w:rFonts w:hint="eastAsia"/>
          <w:color w:val="auto"/>
          <w:highlight w:val="none"/>
        </w:rPr>
        <w:t>小结</w:t>
      </w:r>
    </w:p>
    <w:p>
      <w:pPr>
        <w:widowControl w:val="0"/>
        <w:ind w:firstLine="520"/>
        <w:rPr>
          <w:color w:val="auto"/>
          <w:spacing w:val="10"/>
          <w:szCs w:val="24"/>
          <w:highlight w:val="none"/>
        </w:rPr>
      </w:pPr>
      <w:r>
        <w:rPr>
          <w:rFonts w:hint="eastAsia" w:cs="宋体"/>
          <w:color w:val="auto"/>
          <w:spacing w:val="10"/>
          <w:szCs w:val="24"/>
          <w:highlight w:val="none"/>
          <w:lang w:bidi="ar"/>
        </w:rPr>
        <w:t>（</w:t>
      </w:r>
      <w:r>
        <w:rPr>
          <w:color w:val="auto"/>
          <w:spacing w:val="10"/>
          <w:szCs w:val="24"/>
          <w:highlight w:val="none"/>
          <w:lang w:bidi="ar"/>
        </w:rPr>
        <w:t>1</w:t>
      </w:r>
      <w:r>
        <w:rPr>
          <w:rFonts w:hint="eastAsia" w:cs="宋体"/>
          <w:color w:val="auto"/>
          <w:spacing w:val="10"/>
          <w:szCs w:val="24"/>
          <w:highlight w:val="none"/>
          <w:lang w:bidi="ar"/>
        </w:rPr>
        <w:t>）项目NH</w:t>
      </w:r>
      <w:r>
        <w:rPr>
          <w:rFonts w:hint="eastAsia" w:cs="宋体"/>
          <w:color w:val="auto"/>
          <w:spacing w:val="10"/>
          <w:szCs w:val="24"/>
          <w:highlight w:val="none"/>
          <w:vertAlign w:val="subscript"/>
          <w:lang w:bidi="ar"/>
        </w:rPr>
        <w:t>3</w:t>
      </w:r>
      <w:r>
        <w:rPr>
          <w:rFonts w:hint="eastAsia" w:cs="宋体"/>
          <w:color w:val="auto"/>
          <w:spacing w:val="10"/>
          <w:szCs w:val="24"/>
          <w:highlight w:val="none"/>
          <w:lang w:bidi="ar"/>
        </w:rPr>
        <w:t>-N、H</w:t>
      </w:r>
      <w:r>
        <w:rPr>
          <w:rFonts w:hint="eastAsia" w:cs="宋体"/>
          <w:color w:val="auto"/>
          <w:spacing w:val="10"/>
          <w:szCs w:val="24"/>
          <w:highlight w:val="none"/>
          <w:vertAlign w:val="subscript"/>
          <w:lang w:bidi="ar"/>
        </w:rPr>
        <w:t>2</w:t>
      </w:r>
      <w:r>
        <w:rPr>
          <w:rFonts w:hint="eastAsia" w:cs="宋体"/>
          <w:color w:val="auto"/>
          <w:spacing w:val="10"/>
          <w:szCs w:val="24"/>
          <w:highlight w:val="none"/>
          <w:lang w:bidi="ar"/>
        </w:rPr>
        <w:t>S</w:t>
      </w:r>
      <w:r>
        <w:rPr>
          <w:rFonts w:hint="eastAsia" w:cs="宋体"/>
          <w:color w:val="auto"/>
          <w:szCs w:val="24"/>
          <w:highlight w:val="none"/>
          <w:lang w:bidi="ar"/>
        </w:rPr>
        <w:t>落地浓度均能达到《</w:t>
      </w:r>
      <w:r>
        <w:rPr>
          <w:rFonts w:hint="eastAsia" w:cs="宋体"/>
          <w:color w:val="auto"/>
          <w:kern w:val="0"/>
          <w:szCs w:val="24"/>
          <w:highlight w:val="none"/>
          <w:lang w:bidi="ar"/>
        </w:rPr>
        <w:t>环境影响评价技术导则  大气环境》（</w:t>
      </w:r>
      <w:r>
        <w:rPr>
          <w:color w:val="auto"/>
          <w:kern w:val="0"/>
          <w:szCs w:val="24"/>
          <w:highlight w:val="none"/>
          <w:lang w:bidi="ar"/>
        </w:rPr>
        <w:t>HJ2.2-2018</w:t>
      </w:r>
      <w:r>
        <w:rPr>
          <w:rFonts w:hint="eastAsia" w:cs="宋体"/>
          <w:color w:val="auto"/>
          <w:kern w:val="0"/>
          <w:szCs w:val="24"/>
          <w:highlight w:val="none"/>
          <w:lang w:bidi="ar"/>
        </w:rPr>
        <w:t>）</w:t>
      </w:r>
      <w:r>
        <w:rPr>
          <w:rFonts w:hint="eastAsia" w:cs="宋体"/>
          <w:color w:val="auto"/>
          <w:szCs w:val="24"/>
          <w:highlight w:val="none"/>
          <w:lang w:bidi="ar"/>
        </w:rPr>
        <w:t>附录</w:t>
      </w:r>
      <w:r>
        <w:rPr>
          <w:color w:val="auto"/>
          <w:szCs w:val="24"/>
          <w:highlight w:val="none"/>
          <w:lang w:bidi="ar"/>
        </w:rPr>
        <w:t>D</w:t>
      </w:r>
      <w:r>
        <w:rPr>
          <w:rFonts w:hint="eastAsia" w:cs="宋体"/>
          <w:color w:val="auto"/>
          <w:szCs w:val="24"/>
          <w:highlight w:val="none"/>
          <w:lang w:bidi="ar"/>
        </w:rPr>
        <w:t>浓度限值（</w:t>
      </w:r>
      <w:r>
        <w:rPr>
          <w:color w:val="auto"/>
          <w:szCs w:val="24"/>
          <w:highlight w:val="none"/>
          <w:lang w:bidi="ar"/>
        </w:rPr>
        <w:t>H</w:t>
      </w:r>
      <w:r>
        <w:rPr>
          <w:color w:val="auto"/>
          <w:szCs w:val="24"/>
          <w:highlight w:val="none"/>
          <w:vertAlign w:val="subscript"/>
          <w:lang w:bidi="ar"/>
        </w:rPr>
        <w:t>2</w:t>
      </w:r>
      <w:r>
        <w:rPr>
          <w:color w:val="auto"/>
          <w:szCs w:val="24"/>
          <w:highlight w:val="none"/>
          <w:lang w:bidi="ar"/>
        </w:rPr>
        <w:t>S≤10µg/m</w:t>
      </w:r>
      <w:r>
        <w:rPr>
          <w:color w:val="auto"/>
          <w:szCs w:val="24"/>
          <w:highlight w:val="none"/>
          <w:vertAlign w:val="superscript"/>
          <w:lang w:bidi="ar"/>
        </w:rPr>
        <w:t>3</w:t>
      </w:r>
      <w:r>
        <w:rPr>
          <w:rFonts w:hint="eastAsia" w:cs="宋体"/>
          <w:color w:val="auto"/>
          <w:szCs w:val="24"/>
          <w:highlight w:val="none"/>
          <w:lang w:bidi="ar"/>
        </w:rPr>
        <w:t>，</w:t>
      </w:r>
      <w:r>
        <w:rPr>
          <w:color w:val="auto"/>
          <w:szCs w:val="24"/>
          <w:highlight w:val="none"/>
          <w:lang w:bidi="ar"/>
        </w:rPr>
        <w:t>NH</w:t>
      </w:r>
      <w:r>
        <w:rPr>
          <w:color w:val="auto"/>
          <w:szCs w:val="24"/>
          <w:highlight w:val="none"/>
          <w:vertAlign w:val="subscript"/>
          <w:lang w:bidi="ar"/>
        </w:rPr>
        <w:t>3</w:t>
      </w:r>
      <w:r>
        <w:rPr>
          <w:color w:val="auto"/>
          <w:szCs w:val="24"/>
          <w:highlight w:val="none"/>
          <w:lang w:bidi="ar"/>
        </w:rPr>
        <w:t>≤200µg/m</w:t>
      </w:r>
      <w:r>
        <w:rPr>
          <w:color w:val="auto"/>
          <w:szCs w:val="24"/>
          <w:highlight w:val="none"/>
          <w:vertAlign w:val="superscript"/>
          <w:lang w:bidi="ar"/>
        </w:rPr>
        <w:t>3</w:t>
      </w:r>
      <w:r>
        <w:rPr>
          <w:rFonts w:hint="eastAsia" w:cs="宋体"/>
          <w:color w:val="auto"/>
          <w:szCs w:val="24"/>
          <w:highlight w:val="none"/>
          <w:lang w:bidi="ar"/>
        </w:rPr>
        <w:t>），周边</w:t>
      </w:r>
      <w:r>
        <w:rPr>
          <w:color w:val="auto"/>
          <w:szCs w:val="24"/>
          <w:highlight w:val="none"/>
          <w:lang w:bidi="ar"/>
        </w:rPr>
        <w:t>500m</w:t>
      </w:r>
      <w:r>
        <w:rPr>
          <w:rFonts w:hint="eastAsia" w:cs="宋体"/>
          <w:color w:val="auto"/>
          <w:szCs w:val="24"/>
          <w:highlight w:val="none"/>
          <w:lang w:bidi="ar"/>
        </w:rPr>
        <w:t>范围内无城市和城镇居民集中区，恶臭对周边环境影响不大。</w:t>
      </w:r>
    </w:p>
    <w:p>
      <w:pPr>
        <w:widowControl w:val="0"/>
        <w:ind w:firstLine="520"/>
        <w:rPr>
          <w:color w:val="auto"/>
          <w:szCs w:val="24"/>
          <w:highlight w:val="none"/>
        </w:rPr>
      </w:pPr>
      <w:r>
        <w:rPr>
          <w:rFonts w:hint="eastAsia" w:cs="宋体"/>
          <w:color w:val="auto"/>
          <w:spacing w:val="10"/>
          <w:szCs w:val="24"/>
          <w:highlight w:val="none"/>
          <w:lang w:bidi="ar"/>
        </w:rPr>
        <w:t>（</w:t>
      </w:r>
      <w:r>
        <w:rPr>
          <w:color w:val="auto"/>
          <w:spacing w:val="10"/>
          <w:szCs w:val="24"/>
          <w:highlight w:val="none"/>
          <w:lang w:bidi="ar"/>
        </w:rPr>
        <w:t>2</w:t>
      </w:r>
      <w:r>
        <w:rPr>
          <w:rFonts w:hint="eastAsia" w:cs="宋体"/>
          <w:color w:val="auto"/>
          <w:spacing w:val="10"/>
          <w:szCs w:val="24"/>
          <w:highlight w:val="none"/>
          <w:lang w:bidi="ar"/>
        </w:rPr>
        <w:t>）</w:t>
      </w:r>
      <w:r>
        <w:rPr>
          <w:rFonts w:hint="eastAsia" w:cs="宋体"/>
          <w:color w:val="auto"/>
          <w:szCs w:val="24"/>
          <w:highlight w:val="none"/>
          <w:lang w:bidi="ar"/>
        </w:rPr>
        <w:t>本项目的卫生防护距离划定</w:t>
      </w:r>
      <w:r>
        <w:rPr>
          <w:rFonts w:hint="eastAsia" w:cs="宋体"/>
          <w:color w:val="auto"/>
          <w:szCs w:val="24"/>
          <w:highlight w:val="none"/>
          <w:lang w:val="en-US" w:eastAsia="zh-CN" w:bidi="ar"/>
        </w:rPr>
        <w:t>50</w:t>
      </w:r>
      <w:r>
        <w:rPr>
          <w:color w:val="auto"/>
          <w:szCs w:val="24"/>
          <w:highlight w:val="none"/>
          <w:lang w:bidi="ar"/>
        </w:rPr>
        <w:t>m</w:t>
      </w:r>
      <w:r>
        <w:rPr>
          <w:rFonts w:hint="eastAsia" w:cs="宋体"/>
          <w:color w:val="auto"/>
          <w:szCs w:val="24"/>
          <w:highlight w:val="none"/>
          <w:lang w:bidi="ar"/>
        </w:rPr>
        <w:t>范围，供有关规划部门参考。经实地调查，本项目核算卫生防护距离范围内无住户，无城镇居民区，满足卫生防护距离要求。</w:t>
      </w:r>
    </w:p>
    <w:p>
      <w:pPr>
        <w:widowControl w:val="0"/>
        <w:ind w:firstLine="520"/>
        <w:rPr>
          <w:color w:val="auto"/>
          <w:spacing w:val="10"/>
          <w:szCs w:val="24"/>
          <w:highlight w:val="none"/>
        </w:rPr>
      </w:pPr>
      <w:r>
        <w:rPr>
          <w:rFonts w:hint="eastAsia" w:cs="宋体"/>
          <w:color w:val="auto"/>
          <w:spacing w:val="10"/>
          <w:szCs w:val="24"/>
          <w:highlight w:val="none"/>
          <w:lang w:bidi="ar"/>
        </w:rPr>
        <w:t>（</w:t>
      </w:r>
      <w:r>
        <w:rPr>
          <w:color w:val="auto"/>
          <w:spacing w:val="10"/>
          <w:szCs w:val="24"/>
          <w:highlight w:val="none"/>
          <w:lang w:bidi="ar"/>
        </w:rPr>
        <w:t>3</w:t>
      </w:r>
      <w:r>
        <w:rPr>
          <w:rFonts w:hint="eastAsia" w:cs="宋体"/>
          <w:color w:val="auto"/>
          <w:spacing w:val="10"/>
          <w:szCs w:val="24"/>
          <w:highlight w:val="none"/>
          <w:lang w:bidi="ar"/>
        </w:rPr>
        <w:t>）食堂油烟经油烟净化处理器处理并引到屋顶排放，对周边环境影响很小。</w:t>
      </w:r>
    </w:p>
    <w:p>
      <w:pPr>
        <w:widowControl w:val="0"/>
        <w:ind w:firstLine="520"/>
        <w:rPr>
          <w:color w:val="auto"/>
          <w:szCs w:val="24"/>
          <w:highlight w:val="none"/>
        </w:rPr>
      </w:pPr>
      <w:r>
        <w:rPr>
          <w:rFonts w:hint="eastAsia" w:cs="宋体"/>
          <w:color w:val="auto"/>
          <w:spacing w:val="10"/>
          <w:szCs w:val="24"/>
          <w:highlight w:val="none"/>
          <w:lang w:bidi="ar"/>
        </w:rPr>
        <w:t>（</w:t>
      </w:r>
      <w:r>
        <w:rPr>
          <w:color w:val="auto"/>
          <w:spacing w:val="10"/>
          <w:szCs w:val="24"/>
          <w:highlight w:val="none"/>
          <w:lang w:bidi="ar"/>
        </w:rPr>
        <w:t>4</w:t>
      </w:r>
      <w:r>
        <w:rPr>
          <w:rFonts w:hint="eastAsia" w:cs="宋体"/>
          <w:color w:val="auto"/>
          <w:spacing w:val="10"/>
          <w:szCs w:val="24"/>
          <w:highlight w:val="none"/>
          <w:lang w:bidi="ar"/>
        </w:rPr>
        <w:t>）柴油发电机烟气经</w:t>
      </w:r>
      <w:r>
        <w:rPr>
          <w:rFonts w:hint="eastAsia"/>
          <w:color w:val="auto"/>
          <w:spacing w:val="10"/>
          <w:szCs w:val="24"/>
          <w:highlight w:val="none"/>
          <w:lang w:bidi="ar"/>
        </w:rPr>
        <w:t>“</w:t>
      </w:r>
      <w:r>
        <w:rPr>
          <w:rFonts w:hint="eastAsia" w:cs="宋体"/>
          <w:color w:val="auto"/>
          <w:spacing w:val="10"/>
          <w:szCs w:val="24"/>
          <w:highlight w:val="none"/>
          <w:lang w:bidi="ar"/>
        </w:rPr>
        <w:t>自带烟气净化器</w:t>
      </w:r>
      <w:r>
        <w:rPr>
          <w:rFonts w:hint="eastAsia"/>
          <w:color w:val="auto"/>
          <w:spacing w:val="10"/>
          <w:szCs w:val="24"/>
          <w:highlight w:val="none"/>
          <w:lang w:bidi="ar"/>
        </w:rPr>
        <w:t>”</w:t>
      </w:r>
      <w:r>
        <w:rPr>
          <w:rFonts w:hint="eastAsia" w:cs="宋体"/>
          <w:color w:val="auto"/>
          <w:spacing w:val="10"/>
          <w:szCs w:val="24"/>
          <w:highlight w:val="none"/>
          <w:lang w:bidi="ar"/>
        </w:rPr>
        <w:t>处理后于屋顶排放，能够做到达标排放，对周围环境影响很小。</w:t>
      </w:r>
    </w:p>
    <w:p>
      <w:pPr>
        <w:widowControl w:val="0"/>
        <w:ind w:firstLine="480"/>
        <w:rPr>
          <w:color w:val="auto"/>
          <w:highlight w:val="none"/>
        </w:rPr>
      </w:pPr>
      <w:r>
        <w:rPr>
          <w:rFonts w:hint="eastAsia"/>
          <w:color w:val="auto"/>
          <w:highlight w:val="none"/>
        </w:rPr>
        <w:t>（5）锅炉天然气燃烧废气经排气筒高空排放，对周围环境影响很小。</w:t>
      </w:r>
    </w:p>
    <w:p>
      <w:pPr>
        <w:pStyle w:val="5"/>
        <w:widowControl w:val="0"/>
        <w:ind w:firstLine="120"/>
        <w:rPr>
          <w:color w:val="auto"/>
          <w:highlight w:val="none"/>
        </w:rPr>
      </w:pPr>
      <w:r>
        <w:rPr>
          <w:rFonts w:hint="eastAsia"/>
          <w:color w:val="auto"/>
          <w:highlight w:val="none"/>
        </w:rPr>
        <w:t>噪声环境影响预测及评价</w:t>
      </w:r>
    </w:p>
    <w:p>
      <w:pPr>
        <w:pStyle w:val="6"/>
        <w:widowControl w:val="0"/>
        <w:ind w:left="-160" w:firstLineChars="0"/>
        <w:rPr>
          <w:color w:val="auto"/>
          <w:highlight w:val="none"/>
        </w:rPr>
      </w:pPr>
      <w:r>
        <w:rPr>
          <w:rFonts w:hint="eastAsia"/>
          <w:color w:val="auto"/>
          <w:highlight w:val="none"/>
        </w:rPr>
        <w:t>主要噪声源</w:t>
      </w:r>
    </w:p>
    <w:p>
      <w:pPr>
        <w:widowControl w:val="0"/>
        <w:ind w:firstLine="480"/>
        <w:rPr>
          <w:color w:val="auto"/>
          <w:highlight w:val="none"/>
        </w:rPr>
      </w:pPr>
      <w:r>
        <w:rPr>
          <w:rFonts w:hint="eastAsia"/>
          <w:color w:val="auto"/>
          <w:highlight w:val="none"/>
        </w:rPr>
        <w:t>本项目营运期主要噪声源来自猪叫声、屠宰设备及配套设备噪声，噪声值约在</w:t>
      </w:r>
      <w:r>
        <w:rPr>
          <w:color w:val="auto"/>
          <w:highlight w:val="none"/>
        </w:rPr>
        <w:t>70~105dB</w:t>
      </w:r>
      <w:r>
        <w:rPr>
          <w:rFonts w:hint="eastAsia"/>
          <w:color w:val="auto"/>
          <w:highlight w:val="none"/>
        </w:rPr>
        <w:t>（</w:t>
      </w:r>
      <w:r>
        <w:rPr>
          <w:color w:val="auto"/>
          <w:highlight w:val="none"/>
        </w:rPr>
        <w:t>A</w:t>
      </w:r>
      <w:r>
        <w:rPr>
          <w:rFonts w:hint="eastAsia"/>
          <w:color w:val="auto"/>
          <w:highlight w:val="none"/>
        </w:rPr>
        <w:t>）范围，项目在采取减震、减震隔声、风机加消声器等措施后，声功率减小。</w:t>
      </w:r>
    </w:p>
    <w:p>
      <w:pPr>
        <w:pStyle w:val="6"/>
        <w:widowControl w:val="0"/>
        <w:ind w:left="-160" w:firstLineChars="0"/>
        <w:rPr>
          <w:color w:val="auto"/>
          <w:highlight w:val="none"/>
        </w:rPr>
      </w:pPr>
      <w:r>
        <w:rPr>
          <w:rFonts w:hint="eastAsia"/>
          <w:color w:val="auto"/>
          <w:highlight w:val="none"/>
        </w:rPr>
        <w:t>预测内容</w:t>
      </w:r>
    </w:p>
    <w:p>
      <w:pPr>
        <w:widowControl w:val="0"/>
        <w:ind w:firstLine="480"/>
        <w:rPr>
          <w:color w:val="auto"/>
          <w:highlight w:val="none"/>
        </w:rPr>
      </w:pPr>
      <w:r>
        <w:rPr>
          <w:rFonts w:hint="eastAsia" w:ascii="宋体" w:hAnsi="宋体"/>
          <w:color w:val="auto"/>
          <w:szCs w:val="24"/>
          <w:highlight w:val="none"/>
        </w:rPr>
        <w:t>根据工程特征和项目地区规划，预测因子为厂界噪声和项目东侧居民环境敏感点。</w:t>
      </w:r>
    </w:p>
    <w:p>
      <w:pPr>
        <w:pStyle w:val="6"/>
        <w:widowControl w:val="0"/>
        <w:ind w:left="-160" w:firstLineChars="0"/>
        <w:rPr>
          <w:color w:val="auto"/>
          <w:highlight w:val="none"/>
        </w:rPr>
      </w:pPr>
      <w:r>
        <w:rPr>
          <w:rFonts w:hint="eastAsia"/>
          <w:color w:val="auto"/>
          <w:highlight w:val="none"/>
        </w:rPr>
        <w:t>预测模式</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）噪声衰减公式</w:t>
      </w:r>
    </w:p>
    <w:p>
      <w:pPr>
        <w:widowControl w:val="0"/>
        <w:ind w:firstLine="480"/>
        <w:rPr>
          <w:color w:val="auto"/>
          <w:highlight w:val="none"/>
        </w:rPr>
      </w:pPr>
      <m:oMathPara>
        <m:oMath>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2</m:t>
              </m:r>
              <m:ctrlPr>
                <w:rPr>
                  <w:rFonts w:ascii="Cambria Math" w:hAnsi="Cambria Math"/>
                  <w:i/>
                  <w:color w:val="auto"/>
                  <w:highlight w:val="none"/>
                </w:rPr>
              </m:ctrlPr>
            </m:sub>
          </m:sSub>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1</m:t>
              </m:r>
              <m:ctrlPr>
                <w:rPr>
                  <w:rFonts w:ascii="Cambria Math" w:hAnsi="Cambria Math"/>
                  <w:i/>
                  <w:color w:val="auto"/>
                  <w:highlight w:val="none"/>
                </w:rPr>
              </m:ctrlPr>
            </m:sub>
          </m:sSub>
          <m:r>
            <m:rPr/>
            <w:rPr>
              <w:rFonts w:ascii="Cambria Math" w:hAnsi="Cambria Math"/>
              <w:color w:val="auto"/>
              <w:highlight w:val="none"/>
            </w:rPr>
            <m:t>−20lg</m:t>
          </m:r>
          <m:sSub>
            <m:sSubPr>
              <m:ctrlPr>
                <w:rPr>
                  <w:rFonts w:ascii="Cambria Math" w:hAnsi="Cambria Math"/>
                  <w:i/>
                  <w:color w:val="auto"/>
                  <w:highlight w:val="none"/>
                </w:rPr>
              </m:ctrlPr>
            </m:sSubPr>
            <m:e>
              <m:r>
                <m:rPr/>
                <w:rPr>
                  <w:rFonts w:ascii="Cambria Math" w:hAnsi="Cambria Math"/>
                  <w:color w:val="auto"/>
                  <w:highlight w:val="none"/>
                </w:rPr>
                <m:t>r</m:t>
              </m:r>
              <m:ctrlPr>
                <w:rPr>
                  <w:rFonts w:ascii="Cambria Math" w:hAnsi="Cambria Math"/>
                  <w:i/>
                  <w:color w:val="auto"/>
                  <w:highlight w:val="none"/>
                </w:rPr>
              </m:ctrlPr>
            </m:e>
            <m:sub>
              <m:r>
                <m:rPr/>
                <w:rPr>
                  <w:rFonts w:ascii="Cambria Math" w:hAnsi="Cambria Math"/>
                  <w:color w:val="auto"/>
                  <w:highlight w:val="none"/>
                </w:rPr>
                <m:t>1</m:t>
              </m:r>
              <m:ctrlPr>
                <w:rPr>
                  <w:rFonts w:ascii="Cambria Math" w:hAnsi="Cambria Math"/>
                  <w:i/>
                  <w:color w:val="auto"/>
                  <w:highlight w:val="none"/>
                </w:rPr>
              </m:ctrlPr>
            </m:sub>
          </m:sSub>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r</m:t>
              </m:r>
              <m:ctrlPr>
                <w:rPr>
                  <w:rFonts w:ascii="Cambria Math" w:hAnsi="Cambria Math"/>
                  <w:i/>
                  <w:color w:val="auto"/>
                  <w:highlight w:val="none"/>
                </w:rPr>
              </m:ctrlPr>
            </m:e>
            <m:sub>
              <m:r>
                <m:rPr/>
                <w:rPr>
                  <w:rFonts w:ascii="Cambria Math" w:hAnsi="Cambria Math"/>
                  <w:color w:val="auto"/>
                  <w:highlight w:val="none"/>
                </w:rPr>
                <m:t>1</m:t>
              </m:r>
              <m:ctrlPr>
                <w:rPr>
                  <w:rFonts w:ascii="Cambria Math" w:hAnsi="Cambria Math"/>
                  <w:i/>
                  <w:color w:val="auto"/>
                  <w:highlight w:val="none"/>
                </w:rPr>
              </m:ctrlPr>
            </m:sub>
          </m:sSub>
          <m:r>
            <m:rPr/>
            <w:rPr>
              <w:rFonts w:ascii="Cambria Math" w:hAnsi="Cambria Math"/>
              <w:color w:val="auto"/>
              <w:highlight w:val="none"/>
            </w:rPr>
            <m:t>−∆L</m:t>
          </m:r>
        </m:oMath>
      </m:oMathPara>
    </w:p>
    <w:p>
      <w:pPr>
        <w:widowControl w:val="0"/>
        <w:ind w:firstLine="480"/>
        <w:jc w:val="left"/>
        <w:rPr>
          <w:rFonts w:ascii="宋体" w:hAnsi="宋体"/>
          <w:color w:val="auto"/>
          <w:szCs w:val="24"/>
          <w:highlight w:val="none"/>
        </w:rPr>
      </w:pPr>
      <w:r>
        <w:rPr>
          <w:rFonts w:hint="eastAsia" w:ascii="宋体" w:hAnsi="宋体"/>
          <w:color w:val="auto"/>
          <w:szCs w:val="24"/>
          <w:highlight w:val="none"/>
        </w:rPr>
        <w:t>式中：</w:t>
      </w:r>
    </w:p>
    <w:p>
      <w:pPr>
        <w:widowControl w:val="0"/>
        <w:ind w:firstLine="1200" w:firstLineChars="500"/>
        <w:jc w:val="left"/>
        <w:rPr>
          <w:rFonts w:ascii="宋体" w:hAnsi="宋体"/>
          <w:color w:val="auto"/>
          <w:szCs w:val="24"/>
          <w:highlight w:val="none"/>
        </w:rPr>
      </w:pPr>
      <w:r>
        <w:rPr>
          <w:rFonts w:eastAsia="Times New Roman"/>
          <w:color w:val="auto"/>
          <w:szCs w:val="24"/>
          <w:highlight w:val="none"/>
        </w:rPr>
        <w:t>L</w:t>
      </w:r>
      <w:r>
        <w:rPr>
          <w:rFonts w:eastAsia="Times New Roman"/>
          <w:color w:val="auto"/>
          <w:sz w:val="16"/>
          <w:szCs w:val="24"/>
          <w:highlight w:val="none"/>
        </w:rPr>
        <w:t>2</w:t>
      </w:r>
      <w:r>
        <w:rPr>
          <w:rFonts w:hint="eastAsia" w:ascii="TimesNewRomanPSMT" w:hAnsi="TimesNewRomanPSMT"/>
          <w:color w:val="auto"/>
          <w:szCs w:val="24"/>
          <w:highlight w:val="none"/>
        </w:rPr>
        <w:t>——</w:t>
      </w:r>
      <w:r>
        <w:rPr>
          <w:rFonts w:hint="eastAsia" w:ascii="宋体" w:hAnsi="宋体"/>
          <w:color w:val="auto"/>
          <w:szCs w:val="24"/>
          <w:highlight w:val="none"/>
        </w:rPr>
        <w:t>距声源</w:t>
      </w:r>
      <w:r>
        <w:rPr>
          <w:rFonts w:eastAsia="Times New Roman"/>
          <w:color w:val="auto"/>
          <w:szCs w:val="24"/>
          <w:highlight w:val="none"/>
        </w:rPr>
        <w:t>r</w:t>
      </w:r>
      <w:r>
        <w:rPr>
          <w:rFonts w:eastAsia="Times New Roman"/>
          <w:color w:val="auto"/>
          <w:sz w:val="16"/>
          <w:szCs w:val="24"/>
          <w:highlight w:val="none"/>
        </w:rPr>
        <w:t>2</w:t>
      </w:r>
      <w:r>
        <w:rPr>
          <w:rFonts w:hint="eastAsia" w:ascii="宋体" w:hAnsi="宋体"/>
          <w:color w:val="auto"/>
          <w:szCs w:val="24"/>
          <w:highlight w:val="none"/>
        </w:rPr>
        <w:t>处声源值</w:t>
      </w:r>
      <w:r>
        <w:rPr>
          <w:rFonts w:eastAsia="Times New Roman"/>
          <w:color w:val="auto"/>
          <w:szCs w:val="24"/>
          <w:highlight w:val="none"/>
        </w:rPr>
        <w:t>[dB</w:t>
      </w:r>
      <w:r>
        <w:rPr>
          <w:rFonts w:hint="eastAsia"/>
          <w:color w:val="auto"/>
          <w:szCs w:val="24"/>
          <w:highlight w:val="none"/>
        </w:rPr>
        <w:t>（</w:t>
      </w:r>
      <w:r>
        <w:rPr>
          <w:rFonts w:eastAsia="Times New Roman"/>
          <w:color w:val="auto"/>
          <w:szCs w:val="24"/>
          <w:highlight w:val="none"/>
        </w:rPr>
        <w:t>A</w:t>
      </w:r>
      <w:r>
        <w:rPr>
          <w:rFonts w:hint="eastAsia"/>
          <w:color w:val="auto"/>
          <w:szCs w:val="24"/>
          <w:highlight w:val="none"/>
        </w:rPr>
        <w:t>）</w:t>
      </w:r>
      <w:r>
        <w:rPr>
          <w:rFonts w:eastAsia="Times New Roman"/>
          <w:color w:val="auto"/>
          <w:szCs w:val="24"/>
          <w:highlight w:val="none"/>
        </w:rPr>
        <w:t>]</w:t>
      </w:r>
      <w:r>
        <w:rPr>
          <w:rFonts w:hint="eastAsia" w:ascii="宋体" w:hAnsi="宋体"/>
          <w:color w:val="auto"/>
          <w:szCs w:val="24"/>
          <w:highlight w:val="none"/>
        </w:rPr>
        <w:t>；</w:t>
      </w:r>
    </w:p>
    <w:p>
      <w:pPr>
        <w:widowControl w:val="0"/>
        <w:ind w:firstLine="1200" w:firstLineChars="500"/>
        <w:jc w:val="left"/>
        <w:rPr>
          <w:rFonts w:ascii="宋体" w:hAnsi="宋体"/>
          <w:color w:val="auto"/>
          <w:szCs w:val="24"/>
          <w:highlight w:val="none"/>
        </w:rPr>
      </w:pPr>
      <w:r>
        <w:rPr>
          <w:rFonts w:eastAsia="Times New Roman"/>
          <w:color w:val="auto"/>
          <w:szCs w:val="24"/>
          <w:highlight w:val="none"/>
        </w:rPr>
        <w:t>L</w:t>
      </w:r>
      <w:r>
        <w:rPr>
          <w:rFonts w:eastAsia="Times New Roman"/>
          <w:color w:val="auto"/>
          <w:sz w:val="16"/>
          <w:szCs w:val="24"/>
          <w:highlight w:val="none"/>
        </w:rPr>
        <w:t>1</w:t>
      </w:r>
      <w:r>
        <w:rPr>
          <w:rFonts w:hint="eastAsia" w:ascii="TimesNewRomanPSMT" w:hAnsi="TimesNewRomanPSMT"/>
          <w:color w:val="auto"/>
          <w:szCs w:val="24"/>
          <w:highlight w:val="none"/>
        </w:rPr>
        <w:t>——</w:t>
      </w:r>
      <w:r>
        <w:rPr>
          <w:rFonts w:hint="eastAsia" w:ascii="宋体" w:hAnsi="宋体"/>
          <w:color w:val="auto"/>
          <w:szCs w:val="24"/>
          <w:highlight w:val="none"/>
        </w:rPr>
        <w:t>距声源</w:t>
      </w:r>
      <w:r>
        <w:rPr>
          <w:rFonts w:eastAsia="Times New Roman"/>
          <w:color w:val="auto"/>
          <w:szCs w:val="24"/>
          <w:highlight w:val="none"/>
        </w:rPr>
        <w:t>r</w:t>
      </w:r>
      <w:r>
        <w:rPr>
          <w:rFonts w:eastAsia="Times New Roman"/>
          <w:color w:val="auto"/>
          <w:sz w:val="16"/>
          <w:szCs w:val="24"/>
          <w:highlight w:val="none"/>
        </w:rPr>
        <w:t>1</w:t>
      </w:r>
      <w:r>
        <w:rPr>
          <w:rFonts w:hint="eastAsia" w:ascii="宋体" w:hAnsi="宋体"/>
          <w:color w:val="auto"/>
          <w:szCs w:val="24"/>
          <w:highlight w:val="none"/>
        </w:rPr>
        <w:t>处声源值</w:t>
      </w:r>
      <w:r>
        <w:rPr>
          <w:rFonts w:eastAsia="Times New Roman"/>
          <w:color w:val="auto"/>
          <w:szCs w:val="24"/>
          <w:highlight w:val="none"/>
        </w:rPr>
        <w:t>[dB</w:t>
      </w:r>
      <w:r>
        <w:rPr>
          <w:rFonts w:hint="eastAsia"/>
          <w:color w:val="auto"/>
          <w:szCs w:val="24"/>
          <w:highlight w:val="none"/>
        </w:rPr>
        <w:t>（</w:t>
      </w:r>
      <w:r>
        <w:rPr>
          <w:rFonts w:eastAsia="Times New Roman"/>
          <w:color w:val="auto"/>
          <w:szCs w:val="24"/>
          <w:highlight w:val="none"/>
        </w:rPr>
        <w:t>A</w:t>
      </w:r>
      <w:r>
        <w:rPr>
          <w:rFonts w:hint="eastAsia"/>
          <w:color w:val="auto"/>
          <w:szCs w:val="24"/>
          <w:highlight w:val="none"/>
        </w:rPr>
        <w:t>）</w:t>
      </w:r>
      <w:r>
        <w:rPr>
          <w:rFonts w:eastAsia="Times New Roman"/>
          <w:color w:val="auto"/>
          <w:szCs w:val="24"/>
          <w:highlight w:val="none"/>
        </w:rPr>
        <w:t>]</w:t>
      </w:r>
      <w:r>
        <w:rPr>
          <w:rFonts w:hint="eastAsia" w:ascii="宋体" w:hAnsi="宋体"/>
          <w:color w:val="auto"/>
          <w:szCs w:val="24"/>
          <w:highlight w:val="none"/>
        </w:rPr>
        <w:t>；</w:t>
      </w:r>
    </w:p>
    <w:p>
      <w:pPr>
        <w:widowControl w:val="0"/>
        <w:ind w:firstLine="1200" w:firstLineChars="500"/>
        <w:jc w:val="left"/>
        <w:rPr>
          <w:rFonts w:ascii="宋体" w:hAnsi="宋体"/>
          <w:color w:val="auto"/>
          <w:szCs w:val="24"/>
          <w:highlight w:val="none"/>
        </w:rPr>
      </w:pPr>
      <w:r>
        <w:rPr>
          <w:rFonts w:eastAsia="Times New Roman"/>
          <w:color w:val="auto"/>
          <w:szCs w:val="24"/>
          <w:highlight w:val="none"/>
        </w:rPr>
        <w:t>r</w:t>
      </w:r>
      <w:r>
        <w:rPr>
          <w:rFonts w:eastAsia="Times New Roman"/>
          <w:color w:val="auto"/>
          <w:sz w:val="16"/>
          <w:szCs w:val="24"/>
          <w:highlight w:val="none"/>
        </w:rPr>
        <w:t>2</w:t>
      </w:r>
      <w:r>
        <w:rPr>
          <w:rFonts w:hint="eastAsia" w:ascii="宋体" w:hAnsi="宋体"/>
          <w:color w:val="auto"/>
          <w:szCs w:val="24"/>
          <w:highlight w:val="none"/>
        </w:rPr>
        <w:t>、</w:t>
      </w:r>
      <w:r>
        <w:rPr>
          <w:rFonts w:eastAsia="Times New Roman"/>
          <w:color w:val="auto"/>
          <w:szCs w:val="24"/>
          <w:highlight w:val="none"/>
        </w:rPr>
        <w:t>r</w:t>
      </w:r>
      <w:r>
        <w:rPr>
          <w:rFonts w:eastAsia="Times New Roman"/>
          <w:color w:val="auto"/>
          <w:sz w:val="16"/>
          <w:szCs w:val="24"/>
          <w:highlight w:val="none"/>
        </w:rPr>
        <w:t>1</w:t>
      </w:r>
      <w:r>
        <w:rPr>
          <w:rFonts w:hint="eastAsia" w:ascii="TimesNewRomanPSMT" w:hAnsi="TimesNewRomanPSMT"/>
          <w:color w:val="auto"/>
          <w:szCs w:val="24"/>
          <w:highlight w:val="none"/>
        </w:rPr>
        <w:t>——</w:t>
      </w:r>
      <w:r>
        <w:rPr>
          <w:rFonts w:hint="eastAsia" w:ascii="宋体" w:hAnsi="宋体"/>
          <w:color w:val="auto"/>
          <w:szCs w:val="24"/>
          <w:highlight w:val="none"/>
        </w:rPr>
        <w:t>与声源的距离</w:t>
      </w:r>
      <w:r>
        <w:rPr>
          <w:rFonts w:hint="eastAsia"/>
          <w:color w:val="auto"/>
          <w:szCs w:val="24"/>
          <w:highlight w:val="none"/>
        </w:rPr>
        <w:t>（</w:t>
      </w:r>
      <w:r>
        <w:rPr>
          <w:rFonts w:eastAsia="Times New Roman"/>
          <w:color w:val="auto"/>
          <w:szCs w:val="24"/>
          <w:highlight w:val="none"/>
        </w:rPr>
        <w:t>m</w:t>
      </w:r>
      <w:r>
        <w:rPr>
          <w:rFonts w:hint="eastAsia"/>
          <w:color w:val="auto"/>
          <w:szCs w:val="24"/>
          <w:highlight w:val="none"/>
        </w:rPr>
        <w:t>）</w:t>
      </w:r>
      <w:r>
        <w:rPr>
          <w:rFonts w:hint="eastAsia" w:ascii="宋体" w:hAnsi="宋体"/>
          <w:color w:val="auto"/>
          <w:szCs w:val="24"/>
          <w:highlight w:val="none"/>
        </w:rPr>
        <w:t>；</w:t>
      </w:r>
    </w:p>
    <w:p>
      <w:pPr>
        <w:widowControl w:val="0"/>
        <w:ind w:firstLine="1200" w:firstLineChars="500"/>
        <w:rPr>
          <w:color w:val="auto"/>
          <w:highlight w:val="none"/>
        </w:rPr>
      </w:pPr>
      <w:r>
        <w:rPr>
          <w:rFonts w:hint="eastAsia" w:ascii="CambriaMath" w:hAnsi="CambriaMath" w:eastAsia="CambriaMath"/>
          <w:color w:val="auto"/>
          <w:szCs w:val="24"/>
          <w:highlight w:val="none"/>
        </w:rPr>
        <w:t>△</w:t>
      </w:r>
      <w:r>
        <w:rPr>
          <w:rFonts w:eastAsia="Times New Roman"/>
          <w:color w:val="auto"/>
          <w:szCs w:val="24"/>
          <w:highlight w:val="none"/>
        </w:rPr>
        <w:t>L</w:t>
      </w:r>
      <w:r>
        <w:rPr>
          <w:rFonts w:hint="eastAsia" w:ascii="TimesNewRomanPSMT" w:hAnsi="TimesNewRomanPSMT"/>
          <w:color w:val="auto"/>
          <w:szCs w:val="24"/>
          <w:highlight w:val="none"/>
        </w:rPr>
        <w:t>——</w:t>
      </w:r>
      <w:r>
        <w:rPr>
          <w:rFonts w:hint="eastAsia" w:ascii="宋体" w:hAnsi="宋体"/>
          <w:color w:val="auto"/>
          <w:szCs w:val="24"/>
          <w:highlight w:val="none"/>
        </w:rPr>
        <w:t>采取各种措施后的噪声衰减量。</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）噪声叠加公式</w:t>
      </w:r>
    </w:p>
    <w:p>
      <w:pPr>
        <w:widowControl w:val="0"/>
        <w:ind w:firstLine="480"/>
        <w:rPr>
          <w:color w:val="auto"/>
          <w:highlight w:val="none"/>
        </w:rPr>
      </w:pPr>
      <m:oMathPara>
        <m:oMath>
          <m:r>
            <m:rPr>
              <m:sty m:val="p"/>
            </m:rPr>
            <w:rPr>
              <w:rFonts w:ascii="Cambria Math" w:hAnsi="Cambria Math"/>
              <w:color w:val="auto"/>
              <w:highlight w:val="none"/>
            </w:rPr>
            <m:t>L=10lg</m:t>
          </m:r>
          <m:nary>
            <m:naryPr>
              <m:chr m:val="∑"/>
              <m:limLoc m:val="undOvr"/>
              <m:ctrlPr>
                <w:rPr>
                  <w:rFonts w:ascii="Cambria Math" w:hAnsi="Cambria Math"/>
                  <w:color w:val="auto"/>
                  <w:highlight w:val="none"/>
                </w:rPr>
              </m:ctrlPr>
            </m:naryPr>
            <m:sub>
              <m:r>
                <m:rPr>
                  <m:sty m:val="p"/>
                </m:rPr>
                <w:rPr>
                  <w:rFonts w:ascii="Cambria Math" w:hAnsi="Cambria Math"/>
                  <w:color w:val="auto"/>
                  <w:highlight w:val="none"/>
                </w:rPr>
                <m:t>i=1</m:t>
              </m:r>
              <m:ctrlPr>
                <w:rPr>
                  <w:rFonts w:ascii="Cambria Math" w:hAnsi="Cambria Math"/>
                  <w:color w:val="auto"/>
                  <w:highlight w:val="none"/>
                </w:rPr>
              </m:ctrlPr>
            </m:sub>
            <m:sup>
              <m:r>
                <m:rPr>
                  <m:sty m:val="p"/>
                </m:rPr>
                <w:rPr>
                  <w:rFonts w:ascii="Cambria Math" w:hAnsi="Cambria Math"/>
                  <w:color w:val="auto"/>
                  <w:highlight w:val="none"/>
                </w:rPr>
                <m:t>n</m:t>
              </m:r>
              <m:ctrlPr>
                <w:rPr>
                  <w:rFonts w:ascii="Cambria Math" w:hAnsi="Cambria Math"/>
                  <w:color w:val="auto"/>
                  <w:highlight w:val="none"/>
                </w:rPr>
              </m:ctrlPr>
            </m:sup>
            <m:e>
              <m:sSup>
                <m:sSupPr>
                  <m:ctrlPr>
                    <w:rPr>
                      <w:rFonts w:ascii="Cambria Math" w:hAnsi="Cambria Math"/>
                      <w:color w:val="auto"/>
                      <w:highlight w:val="none"/>
                    </w:rPr>
                  </m:ctrlPr>
                </m:sSupPr>
                <m:e>
                  <m:r>
                    <m:rPr>
                      <m:sty m:val="p"/>
                    </m:rPr>
                    <w:rPr>
                      <w:rFonts w:ascii="Cambria Math" w:hAnsi="Cambria Math"/>
                      <w:color w:val="auto"/>
                      <w:highlight w:val="none"/>
                    </w:rPr>
                    <m:t>10</m:t>
                  </m:r>
                  <m:ctrlPr>
                    <w:rPr>
                      <w:rFonts w:ascii="Cambria Math" w:hAnsi="Cambria Math"/>
                      <w:color w:val="auto"/>
                      <w:highlight w:val="none"/>
                    </w:rPr>
                  </m:ctrlPr>
                </m:e>
                <m:sup>
                  <m:r>
                    <m:rPr>
                      <m:sty m:val="p"/>
                    </m:rPr>
                    <w:rPr>
                      <w:rFonts w:ascii="Cambria Math" w:hAnsi="Cambria Math"/>
                      <w:color w:val="auto"/>
                      <w:highlight w:val="none"/>
                    </w:rPr>
                    <m:t>Li/10</m:t>
                  </m:r>
                  <m:ctrlPr>
                    <w:rPr>
                      <w:rFonts w:ascii="Cambria Math" w:hAnsi="Cambria Math"/>
                      <w:color w:val="auto"/>
                      <w:highlight w:val="none"/>
                    </w:rPr>
                  </m:ctrlPr>
                </m:sup>
              </m:sSup>
              <m:ctrlPr>
                <w:rPr>
                  <w:rFonts w:ascii="Cambria Math" w:hAnsi="Cambria Math"/>
                  <w:color w:val="auto"/>
                  <w:highlight w:val="none"/>
                </w:rPr>
              </m:ctrlPr>
            </m:e>
          </m:nary>
        </m:oMath>
      </m:oMathPara>
    </w:p>
    <w:p>
      <w:pPr>
        <w:widowControl w:val="0"/>
        <w:ind w:firstLine="480"/>
        <w:rPr>
          <w:color w:val="auto"/>
          <w:highlight w:val="none"/>
        </w:rPr>
      </w:pPr>
      <w:r>
        <w:rPr>
          <w:rFonts w:hint="eastAsia"/>
          <w:color w:val="auto"/>
          <w:highlight w:val="none"/>
        </w:rPr>
        <w:t>式中：</w:t>
      </w:r>
    </w:p>
    <w:p>
      <w:pPr>
        <w:widowControl w:val="0"/>
        <w:ind w:firstLine="1200" w:firstLineChars="500"/>
        <w:rPr>
          <w:color w:val="auto"/>
          <w:highlight w:val="none"/>
        </w:rPr>
      </w:pPr>
      <w:r>
        <w:rPr>
          <w:color w:val="auto"/>
          <w:highlight w:val="none"/>
        </w:rPr>
        <w:t>L</w:t>
      </w:r>
      <w:r>
        <w:rPr>
          <w:color w:val="auto"/>
          <w:highlight w:val="none"/>
          <w:vertAlign w:val="subscript"/>
        </w:rPr>
        <w:t>i</w:t>
      </w:r>
      <w:r>
        <w:rPr>
          <w:rFonts w:hint="eastAsia"/>
          <w:color w:val="auto"/>
          <w:highlight w:val="none"/>
        </w:rPr>
        <w:t>——第</w:t>
      </w:r>
      <w:r>
        <w:rPr>
          <w:color w:val="auto"/>
          <w:highlight w:val="none"/>
        </w:rPr>
        <w:t>i</w:t>
      </w:r>
      <w:r>
        <w:rPr>
          <w:rFonts w:hint="eastAsia"/>
          <w:color w:val="auto"/>
          <w:highlight w:val="none"/>
        </w:rPr>
        <w:t>个声源的噪声值，</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widowControl w:val="0"/>
        <w:ind w:firstLine="1200" w:firstLineChars="500"/>
        <w:rPr>
          <w:color w:val="auto"/>
          <w:highlight w:val="none"/>
        </w:rPr>
      </w:pPr>
      <w:r>
        <w:rPr>
          <w:color w:val="auto"/>
          <w:highlight w:val="none"/>
        </w:rPr>
        <w:t>L</w:t>
      </w:r>
      <w:r>
        <w:rPr>
          <w:rFonts w:hint="eastAsia"/>
          <w:color w:val="auto"/>
          <w:highlight w:val="none"/>
        </w:rPr>
        <w:t>——某点噪声总迭加值，</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widowControl w:val="0"/>
        <w:ind w:firstLine="1200" w:firstLineChars="500"/>
        <w:rPr>
          <w:color w:val="auto"/>
          <w:highlight w:val="none"/>
        </w:rPr>
      </w:pPr>
      <w:r>
        <w:rPr>
          <w:color w:val="auto"/>
          <w:highlight w:val="none"/>
        </w:rPr>
        <w:t>n</w:t>
      </w:r>
      <w:r>
        <w:rPr>
          <w:rFonts w:hint="eastAsia"/>
          <w:color w:val="auto"/>
          <w:highlight w:val="none"/>
        </w:rPr>
        <w:t>——声源个数。</w:t>
      </w:r>
    </w:p>
    <w:p>
      <w:pPr>
        <w:pStyle w:val="6"/>
        <w:widowControl w:val="0"/>
        <w:ind w:left="-160" w:firstLineChars="0"/>
        <w:rPr>
          <w:color w:val="auto"/>
          <w:highlight w:val="none"/>
        </w:rPr>
      </w:pPr>
      <w:r>
        <w:rPr>
          <w:rFonts w:hint="eastAsia"/>
          <w:color w:val="auto"/>
          <w:highlight w:val="none"/>
        </w:rPr>
        <w:t>噪声预测结果</w:t>
      </w:r>
    </w:p>
    <w:p>
      <w:pPr>
        <w:widowControl w:val="0"/>
        <w:ind w:firstLine="482"/>
        <w:rPr>
          <w:b/>
          <w:bCs/>
          <w:color w:val="auto"/>
          <w:highlight w:val="none"/>
        </w:rPr>
      </w:pPr>
      <w:r>
        <w:rPr>
          <w:rFonts w:hint="eastAsia"/>
          <w:b/>
          <w:bCs/>
          <w:color w:val="auto"/>
          <w:highlight w:val="none"/>
        </w:rPr>
        <w:t>（1）厂界噪声预测值</w:t>
      </w:r>
    </w:p>
    <w:p>
      <w:pPr>
        <w:widowControl w:val="0"/>
        <w:ind w:firstLine="480"/>
        <w:rPr>
          <w:color w:val="auto"/>
          <w:highlight w:val="none"/>
        </w:rPr>
      </w:pPr>
      <w:r>
        <w:rPr>
          <w:rFonts w:hint="eastAsia"/>
          <w:color w:val="auto"/>
          <w:highlight w:val="none"/>
        </w:rPr>
        <w:t>正常运行时厂界噪声预测值见下表。</w:t>
      </w:r>
    </w:p>
    <w:p>
      <w:pPr>
        <w:pStyle w:val="27"/>
        <w:widowControl w:val="0"/>
        <w:rPr>
          <w:color w:val="auto"/>
          <w:highlight w:val="none"/>
        </w:rPr>
      </w:pPr>
      <w:r>
        <w:rPr>
          <w:rFonts w:hint="eastAsia"/>
          <w:color w:val="auto"/>
          <w:highlight w:val="none"/>
        </w:rPr>
        <w:t>噪声预测值（单位：</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005"/>
        <w:gridCol w:w="1230"/>
        <w:gridCol w:w="1395"/>
        <w:gridCol w:w="1185"/>
        <w:gridCol w:w="1549"/>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pStyle w:val="28"/>
              <w:widowControl w:val="0"/>
              <w:rPr>
                <w:b/>
                <w:bCs/>
                <w:color w:val="auto"/>
                <w:highlight w:val="none"/>
              </w:rPr>
            </w:pPr>
            <w:r>
              <w:rPr>
                <w:rFonts w:hint="eastAsia"/>
                <w:b/>
                <w:bCs/>
                <w:color w:val="auto"/>
                <w:highlight w:val="none"/>
              </w:rPr>
              <w:t>预测点</w:t>
            </w:r>
          </w:p>
        </w:tc>
        <w:tc>
          <w:tcPr>
            <w:tcW w:w="1005" w:type="dxa"/>
            <w:tcBorders>
              <w:tl2br w:val="nil"/>
              <w:tr2bl w:val="nil"/>
            </w:tcBorders>
            <w:vAlign w:val="center"/>
          </w:tcPr>
          <w:p>
            <w:pPr>
              <w:pStyle w:val="28"/>
              <w:widowControl w:val="0"/>
              <w:rPr>
                <w:b/>
                <w:bCs/>
                <w:color w:val="auto"/>
                <w:highlight w:val="none"/>
              </w:rPr>
            </w:pPr>
            <w:r>
              <w:rPr>
                <w:rFonts w:hint="eastAsia"/>
                <w:b/>
                <w:bCs/>
                <w:color w:val="auto"/>
                <w:highlight w:val="none"/>
              </w:rPr>
              <w:t>时段</w:t>
            </w:r>
          </w:p>
        </w:tc>
        <w:tc>
          <w:tcPr>
            <w:tcW w:w="1230" w:type="dxa"/>
            <w:tcBorders>
              <w:tl2br w:val="nil"/>
              <w:tr2bl w:val="nil"/>
            </w:tcBorders>
            <w:vAlign w:val="center"/>
          </w:tcPr>
          <w:p>
            <w:pPr>
              <w:pStyle w:val="28"/>
              <w:widowControl w:val="0"/>
              <w:rPr>
                <w:b/>
                <w:bCs/>
                <w:color w:val="auto"/>
                <w:highlight w:val="none"/>
              </w:rPr>
            </w:pPr>
            <w:r>
              <w:rPr>
                <w:rFonts w:hint="eastAsia"/>
                <w:b/>
                <w:bCs/>
                <w:color w:val="auto"/>
                <w:highlight w:val="none"/>
              </w:rPr>
              <w:t>源强</w:t>
            </w:r>
          </w:p>
          <w:p>
            <w:pPr>
              <w:pStyle w:val="28"/>
              <w:widowControl w:val="0"/>
              <w:rPr>
                <w:b/>
                <w:bCs/>
                <w:color w:val="auto"/>
                <w:highlight w:val="none"/>
              </w:rPr>
            </w:pPr>
            <w:r>
              <w:rPr>
                <w:b/>
                <w:bCs/>
                <w:color w:val="auto"/>
                <w:szCs w:val="21"/>
                <w:highlight w:val="none"/>
                <w:lang w:bidi="ar"/>
              </w:rPr>
              <w:t>dB</w:t>
            </w:r>
            <w:r>
              <w:rPr>
                <w:rFonts w:hint="eastAsia" w:cs="宋体"/>
                <w:b/>
                <w:bCs/>
                <w:color w:val="auto"/>
                <w:szCs w:val="21"/>
                <w:highlight w:val="none"/>
                <w:lang w:bidi="ar"/>
              </w:rPr>
              <w:t>（</w:t>
            </w:r>
            <w:r>
              <w:rPr>
                <w:b/>
                <w:bCs/>
                <w:color w:val="auto"/>
                <w:szCs w:val="21"/>
                <w:highlight w:val="none"/>
                <w:lang w:bidi="ar"/>
              </w:rPr>
              <w:t>A</w:t>
            </w:r>
            <w:r>
              <w:rPr>
                <w:rFonts w:hint="eastAsia" w:cs="宋体"/>
                <w:b/>
                <w:bCs/>
                <w:color w:val="auto"/>
                <w:szCs w:val="21"/>
                <w:highlight w:val="none"/>
                <w:lang w:bidi="ar"/>
              </w:rPr>
              <w:t>）</w:t>
            </w:r>
          </w:p>
        </w:tc>
        <w:tc>
          <w:tcPr>
            <w:tcW w:w="1395" w:type="dxa"/>
            <w:tcBorders>
              <w:tl2br w:val="nil"/>
              <w:tr2bl w:val="nil"/>
            </w:tcBorders>
            <w:vAlign w:val="center"/>
          </w:tcPr>
          <w:p>
            <w:pPr>
              <w:pStyle w:val="28"/>
              <w:widowControl w:val="0"/>
              <w:rPr>
                <w:color w:val="auto"/>
                <w:highlight w:val="none"/>
              </w:rPr>
            </w:pPr>
            <w:r>
              <w:rPr>
                <w:rFonts w:hint="eastAsia"/>
                <w:b/>
                <w:bCs/>
                <w:color w:val="auto"/>
                <w:highlight w:val="none"/>
              </w:rPr>
              <w:t>距离</w:t>
            </w:r>
            <w:r>
              <w:rPr>
                <w:b/>
                <w:bCs/>
                <w:color w:val="auto"/>
                <w:highlight w:val="none"/>
              </w:rPr>
              <w:t>m</w:t>
            </w:r>
          </w:p>
        </w:tc>
        <w:tc>
          <w:tcPr>
            <w:tcW w:w="1185" w:type="dxa"/>
            <w:tcBorders>
              <w:tl2br w:val="nil"/>
              <w:tr2bl w:val="nil"/>
            </w:tcBorders>
            <w:vAlign w:val="center"/>
          </w:tcPr>
          <w:p>
            <w:pPr>
              <w:pStyle w:val="28"/>
              <w:widowControl w:val="0"/>
              <w:rPr>
                <w:b/>
                <w:bCs/>
                <w:color w:val="auto"/>
                <w:highlight w:val="none"/>
              </w:rPr>
            </w:pPr>
            <w:r>
              <w:rPr>
                <w:rFonts w:hint="eastAsia"/>
                <w:b/>
                <w:bCs/>
                <w:color w:val="auto"/>
                <w:highlight w:val="none"/>
              </w:rPr>
              <w:t>预测值</w:t>
            </w:r>
          </w:p>
        </w:tc>
        <w:tc>
          <w:tcPr>
            <w:tcW w:w="1549" w:type="dxa"/>
            <w:tcBorders>
              <w:tl2br w:val="nil"/>
              <w:tr2bl w:val="nil"/>
            </w:tcBorders>
            <w:vAlign w:val="center"/>
          </w:tcPr>
          <w:p>
            <w:pPr>
              <w:pStyle w:val="28"/>
              <w:widowControl w:val="0"/>
              <w:rPr>
                <w:b/>
                <w:bCs/>
                <w:color w:val="auto"/>
                <w:highlight w:val="none"/>
              </w:rPr>
            </w:pPr>
            <w:r>
              <w:rPr>
                <w:rFonts w:hint="eastAsia"/>
                <w:b/>
                <w:bCs/>
                <w:color w:val="auto"/>
                <w:highlight w:val="none"/>
              </w:rPr>
              <w:t>标准值</w:t>
            </w:r>
          </w:p>
        </w:tc>
        <w:tc>
          <w:tcPr>
            <w:tcW w:w="1925" w:type="dxa"/>
            <w:tcBorders>
              <w:tl2br w:val="nil"/>
              <w:tr2bl w:val="nil"/>
            </w:tcBorders>
            <w:vAlign w:val="center"/>
          </w:tcPr>
          <w:p>
            <w:pPr>
              <w:pStyle w:val="28"/>
              <w:widowControl w:val="0"/>
              <w:rPr>
                <w:b/>
                <w:bCs/>
                <w:color w:val="auto"/>
                <w:highlight w:val="none"/>
              </w:rPr>
            </w:pPr>
            <w:r>
              <w:rPr>
                <w:rFonts w:hint="eastAsia"/>
                <w:b/>
                <w:bCs/>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28"/>
              <w:widowControl w:val="0"/>
              <w:rPr>
                <w:color w:val="auto"/>
                <w:highlight w:val="none"/>
              </w:rPr>
            </w:pPr>
            <w:r>
              <w:rPr>
                <w:rFonts w:hint="eastAsia"/>
                <w:color w:val="auto"/>
                <w:highlight w:val="none"/>
              </w:rPr>
              <w:t>东厂界</w:t>
            </w: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昼间</w:t>
            </w:r>
          </w:p>
        </w:tc>
        <w:tc>
          <w:tcPr>
            <w:tcW w:w="1230" w:type="dxa"/>
            <w:vMerge w:val="restart"/>
            <w:tcBorders>
              <w:tl2br w:val="nil"/>
              <w:tr2bl w:val="nil"/>
            </w:tcBorders>
            <w:vAlign w:val="center"/>
          </w:tcPr>
          <w:p>
            <w:pPr>
              <w:pStyle w:val="28"/>
              <w:widowControl w:val="0"/>
              <w:rPr>
                <w:color w:val="auto"/>
                <w:highlight w:val="none"/>
              </w:rPr>
            </w:pPr>
            <w:r>
              <w:rPr>
                <w:rFonts w:hint="eastAsia"/>
                <w:color w:val="auto"/>
                <w:highlight w:val="none"/>
              </w:rPr>
              <w:t>75</w:t>
            </w:r>
          </w:p>
        </w:tc>
        <w:tc>
          <w:tcPr>
            <w:tcW w:w="1395" w:type="dxa"/>
            <w:vMerge w:val="restart"/>
            <w:tcBorders>
              <w:tl2br w:val="nil"/>
              <w:tr2bl w:val="nil"/>
            </w:tcBorders>
            <w:vAlign w:val="center"/>
          </w:tcPr>
          <w:p>
            <w:pPr>
              <w:pStyle w:val="28"/>
              <w:widowControl w:val="0"/>
              <w:rPr>
                <w:color w:val="auto"/>
                <w:highlight w:val="none"/>
              </w:rPr>
            </w:pPr>
            <w:r>
              <w:rPr>
                <w:rFonts w:hint="eastAsia"/>
                <w:color w:val="auto"/>
                <w:highlight w:val="none"/>
              </w:rPr>
              <w:t>35</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54.34</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28"/>
              <w:widowControl w:val="0"/>
              <w:rPr>
                <w:color w:val="auto"/>
                <w:highlight w:val="none"/>
              </w:rPr>
            </w:pP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夜间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continue"/>
            <w:tcBorders>
              <w:tl2br w:val="nil"/>
              <w:tr2bl w:val="nil"/>
            </w:tcBorders>
            <w:vAlign w:val="center"/>
          </w:tcPr>
          <w:p>
            <w:pPr>
              <w:pStyle w:val="28"/>
              <w:widowControl w:val="0"/>
              <w:rPr>
                <w:color w:val="auto"/>
                <w:highlight w:val="none"/>
              </w:rPr>
            </w:pP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40.36</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28"/>
              <w:widowControl w:val="0"/>
              <w:rPr>
                <w:color w:val="auto"/>
                <w:highlight w:val="none"/>
              </w:rPr>
            </w:pPr>
            <w:r>
              <w:rPr>
                <w:rFonts w:hint="eastAsia"/>
                <w:color w:val="auto"/>
                <w:highlight w:val="none"/>
              </w:rPr>
              <w:t>南厂界</w:t>
            </w: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昼间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restart"/>
            <w:tcBorders>
              <w:tl2br w:val="nil"/>
              <w:tr2bl w:val="nil"/>
            </w:tcBorders>
            <w:vAlign w:val="center"/>
          </w:tcPr>
          <w:p>
            <w:pPr>
              <w:pStyle w:val="28"/>
              <w:widowControl w:val="0"/>
              <w:rPr>
                <w:color w:val="auto"/>
                <w:highlight w:val="none"/>
              </w:rPr>
            </w:pPr>
            <w:r>
              <w:rPr>
                <w:rFonts w:hint="eastAsia"/>
                <w:color w:val="auto"/>
                <w:highlight w:val="none"/>
              </w:rPr>
              <w:t>20</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56.11</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28"/>
              <w:widowControl w:val="0"/>
              <w:rPr>
                <w:color w:val="auto"/>
                <w:highlight w:val="none"/>
              </w:rPr>
            </w:pP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夜间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continue"/>
            <w:tcBorders>
              <w:tl2br w:val="nil"/>
              <w:tr2bl w:val="nil"/>
            </w:tcBorders>
            <w:vAlign w:val="center"/>
          </w:tcPr>
          <w:p>
            <w:pPr>
              <w:pStyle w:val="28"/>
              <w:widowControl w:val="0"/>
              <w:rPr>
                <w:color w:val="auto"/>
                <w:highlight w:val="none"/>
              </w:rPr>
            </w:pP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42.38</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28"/>
              <w:widowControl w:val="0"/>
              <w:rPr>
                <w:color w:val="auto"/>
                <w:highlight w:val="none"/>
              </w:rPr>
            </w:pPr>
            <w:r>
              <w:rPr>
                <w:rFonts w:hint="eastAsia"/>
                <w:color w:val="auto"/>
                <w:highlight w:val="none"/>
              </w:rPr>
              <w:t>西厂界</w:t>
            </w: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昼间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restart"/>
            <w:tcBorders>
              <w:tl2br w:val="nil"/>
              <w:tr2bl w:val="nil"/>
            </w:tcBorders>
            <w:vAlign w:val="center"/>
          </w:tcPr>
          <w:p>
            <w:pPr>
              <w:pStyle w:val="28"/>
              <w:widowControl w:val="0"/>
              <w:rPr>
                <w:color w:val="auto"/>
                <w:highlight w:val="none"/>
              </w:rPr>
            </w:pPr>
            <w:r>
              <w:rPr>
                <w:rFonts w:hint="eastAsia"/>
                <w:color w:val="auto"/>
                <w:highlight w:val="none"/>
              </w:rPr>
              <w:t>48</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50.66</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28"/>
              <w:widowControl w:val="0"/>
              <w:rPr>
                <w:color w:val="auto"/>
                <w:highlight w:val="none"/>
              </w:rPr>
            </w:pP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夜间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continue"/>
            <w:tcBorders>
              <w:tl2br w:val="nil"/>
              <w:tr2bl w:val="nil"/>
            </w:tcBorders>
            <w:vAlign w:val="center"/>
          </w:tcPr>
          <w:p>
            <w:pPr>
              <w:pStyle w:val="28"/>
              <w:widowControl w:val="0"/>
              <w:rPr>
                <w:color w:val="auto"/>
                <w:highlight w:val="none"/>
              </w:rPr>
            </w:pP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39.68</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28"/>
              <w:widowControl w:val="0"/>
              <w:rPr>
                <w:color w:val="auto"/>
                <w:highlight w:val="none"/>
              </w:rPr>
            </w:pPr>
            <w:r>
              <w:rPr>
                <w:rFonts w:hint="eastAsia"/>
                <w:color w:val="auto"/>
                <w:highlight w:val="none"/>
              </w:rPr>
              <w:t>北厂界</w:t>
            </w: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昼间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restart"/>
            <w:tcBorders>
              <w:tl2br w:val="nil"/>
              <w:tr2bl w:val="nil"/>
            </w:tcBorders>
            <w:vAlign w:val="center"/>
          </w:tcPr>
          <w:p>
            <w:pPr>
              <w:pStyle w:val="28"/>
              <w:widowControl w:val="0"/>
              <w:rPr>
                <w:color w:val="auto"/>
                <w:highlight w:val="none"/>
              </w:rPr>
            </w:pPr>
            <w:r>
              <w:rPr>
                <w:rFonts w:hint="eastAsia"/>
                <w:color w:val="auto"/>
                <w:highlight w:val="none"/>
              </w:rPr>
              <w:t>80</w:t>
            </w: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42.38</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60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28"/>
              <w:widowControl w:val="0"/>
              <w:rPr>
                <w:color w:val="auto"/>
                <w:highlight w:val="none"/>
              </w:rPr>
            </w:pPr>
          </w:p>
        </w:tc>
        <w:tc>
          <w:tcPr>
            <w:tcW w:w="1005" w:type="dxa"/>
            <w:tcBorders>
              <w:tl2br w:val="nil"/>
              <w:tr2bl w:val="nil"/>
            </w:tcBorders>
            <w:vAlign w:val="center"/>
          </w:tcPr>
          <w:p>
            <w:pPr>
              <w:pStyle w:val="28"/>
              <w:widowControl w:val="0"/>
              <w:rPr>
                <w:color w:val="auto"/>
                <w:highlight w:val="none"/>
              </w:rPr>
            </w:pPr>
            <w:r>
              <w:rPr>
                <w:rFonts w:hint="eastAsia"/>
                <w:color w:val="auto"/>
                <w:highlight w:val="none"/>
              </w:rPr>
              <w:t>夜间</w:t>
            </w:r>
          </w:p>
        </w:tc>
        <w:tc>
          <w:tcPr>
            <w:tcW w:w="1230" w:type="dxa"/>
            <w:vMerge w:val="continue"/>
            <w:tcBorders>
              <w:tl2br w:val="nil"/>
              <w:tr2bl w:val="nil"/>
            </w:tcBorders>
            <w:vAlign w:val="center"/>
          </w:tcPr>
          <w:p>
            <w:pPr>
              <w:pStyle w:val="28"/>
              <w:widowControl w:val="0"/>
              <w:rPr>
                <w:color w:val="auto"/>
                <w:highlight w:val="none"/>
              </w:rPr>
            </w:pPr>
          </w:p>
        </w:tc>
        <w:tc>
          <w:tcPr>
            <w:tcW w:w="1395" w:type="dxa"/>
            <w:vMerge w:val="continue"/>
            <w:tcBorders>
              <w:tl2br w:val="nil"/>
              <w:tr2bl w:val="nil"/>
            </w:tcBorders>
            <w:vAlign w:val="center"/>
          </w:tcPr>
          <w:p>
            <w:pPr>
              <w:pStyle w:val="28"/>
              <w:widowControl w:val="0"/>
              <w:rPr>
                <w:color w:val="auto"/>
                <w:highlight w:val="none"/>
              </w:rPr>
            </w:pPr>
          </w:p>
        </w:tc>
        <w:tc>
          <w:tcPr>
            <w:tcW w:w="1185" w:type="dxa"/>
            <w:tcBorders>
              <w:tl2br w:val="nil"/>
              <w:tr2bl w:val="nil"/>
            </w:tcBorders>
            <w:vAlign w:val="center"/>
          </w:tcPr>
          <w:p>
            <w:pPr>
              <w:pStyle w:val="28"/>
              <w:widowControl w:val="0"/>
              <w:rPr>
                <w:color w:val="auto"/>
                <w:highlight w:val="none"/>
              </w:rPr>
            </w:pPr>
            <w:r>
              <w:rPr>
                <w:rFonts w:hint="eastAsia"/>
                <w:color w:val="auto"/>
                <w:highlight w:val="none"/>
              </w:rPr>
              <w:t>35.43</w:t>
            </w:r>
          </w:p>
        </w:tc>
        <w:tc>
          <w:tcPr>
            <w:tcW w:w="1549" w:type="dxa"/>
            <w:tcBorders>
              <w:tl2br w:val="nil"/>
              <w:tr2bl w:val="nil"/>
            </w:tcBorders>
            <w:vAlign w:val="center"/>
          </w:tcPr>
          <w:p>
            <w:pPr>
              <w:pStyle w:val="28"/>
              <w:widowControl w:val="0"/>
              <w:rPr>
                <w:color w:val="auto"/>
                <w:highlight w:val="none"/>
              </w:rPr>
            </w:pPr>
            <w:r>
              <w:rPr>
                <w:rFonts w:hint="eastAsia"/>
                <w:color w:val="auto"/>
                <w:highlight w:val="none"/>
              </w:rPr>
              <w:t>50</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达标</w:t>
            </w:r>
          </w:p>
        </w:tc>
      </w:tr>
    </w:tbl>
    <w:p>
      <w:pPr>
        <w:widowControl w:val="0"/>
        <w:ind w:firstLine="480"/>
        <w:rPr>
          <w:color w:val="auto"/>
          <w:highlight w:val="none"/>
        </w:rPr>
      </w:pPr>
      <w:r>
        <w:rPr>
          <w:rFonts w:hint="eastAsia"/>
          <w:color w:val="auto"/>
          <w:highlight w:val="none"/>
        </w:rPr>
        <w:t>根据上表可知，本项目运营期间，在采取减振、消声、隔声等措施后，四周厂界噪声夜间均满足《工业企业厂界环境噪声排放标准》（</w:t>
      </w:r>
      <w:r>
        <w:rPr>
          <w:color w:val="auto"/>
          <w:highlight w:val="none"/>
        </w:rPr>
        <w:t>GB12348-2008</w:t>
      </w:r>
      <w:r>
        <w:rPr>
          <w:rFonts w:hint="eastAsia"/>
          <w:color w:val="auto"/>
          <w:highlight w:val="none"/>
        </w:rPr>
        <w:t>）</w:t>
      </w:r>
      <w:r>
        <w:rPr>
          <w:color w:val="auto"/>
          <w:highlight w:val="none"/>
        </w:rPr>
        <w:t>2</w:t>
      </w:r>
      <w:r>
        <w:rPr>
          <w:rFonts w:hint="eastAsia"/>
          <w:color w:val="auto"/>
          <w:highlight w:val="none"/>
        </w:rPr>
        <w:t>类标准。</w:t>
      </w:r>
    </w:p>
    <w:p>
      <w:pPr>
        <w:widowControl w:val="0"/>
        <w:ind w:firstLine="482"/>
        <w:rPr>
          <w:b/>
          <w:bCs/>
          <w:color w:val="auto"/>
          <w:highlight w:val="none"/>
        </w:rPr>
      </w:pPr>
      <w:r>
        <w:rPr>
          <w:rFonts w:hint="eastAsia"/>
          <w:b/>
          <w:bCs/>
          <w:color w:val="auto"/>
          <w:highlight w:val="none"/>
        </w:rPr>
        <w:t>（2）敏感点噪声预测</w:t>
      </w:r>
    </w:p>
    <w:p>
      <w:pPr>
        <w:widowControl w:val="0"/>
        <w:ind w:firstLine="480"/>
        <w:rPr>
          <w:color w:val="auto"/>
          <w:highlight w:val="none"/>
        </w:rPr>
      </w:pPr>
      <w:r>
        <w:rPr>
          <w:rFonts w:hint="eastAsia"/>
          <w:color w:val="auto"/>
          <w:highlight w:val="none"/>
        </w:rPr>
        <w:t>正常运行时敏感点噪声预测值见下表。</w:t>
      </w:r>
    </w:p>
    <w:p>
      <w:pPr>
        <w:pStyle w:val="27"/>
        <w:widowControl w:val="0"/>
        <w:rPr>
          <w:color w:val="auto"/>
          <w:highlight w:val="none"/>
        </w:rPr>
      </w:pPr>
      <w:r>
        <w:rPr>
          <w:rFonts w:hint="eastAsia"/>
          <w:color w:val="auto"/>
          <w:highlight w:val="none"/>
        </w:rPr>
        <w:t>敏感点噪声预测值（单位：</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439"/>
        <w:gridCol w:w="1094"/>
        <w:gridCol w:w="1169"/>
        <w:gridCol w:w="964"/>
        <w:gridCol w:w="1202"/>
        <w:gridCol w:w="1202"/>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5" w:type="pct"/>
            <w:tcBorders>
              <w:tl2br w:val="nil"/>
              <w:tr2bl w:val="nil"/>
            </w:tcBorders>
            <w:vAlign w:val="center"/>
          </w:tcPr>
          <w:p>
            <w:pPr>
              <w:pStyle w:val="28"/>
              <w:widowControl w:val="0"/>
              <w:rPr>
                <w:b/>
                <w:bCs/>
                <w:color w:val="auto"/>
                <w:highlight w:val="none"/>
              </w:rPr>
            </w:pPr>
            <w:r>
              <w:rPr>
                <w:rFonts w:hint="eastAsia"/>
                <w:b/>
                <w:bCs/>
                <w:color w:val="auto"/>
                <w:highlight w:val="none"/>
              </w:rPr>
              <w:t>敏感点名称</w:t>
            </w:r>
          </w:p>
        </w:tc>
        <w:tc>
          <w:tcPr>
            <w:tcW w:w="748" w:type="pct"/>
            <w:tcBorders>
              <w:tl2br w:val="nil"/>
              <w:tr2bl w:val="nil"/>
            </w:tcBorders>
            <w:vAlign w:val="center"/>
          </w:tcPr>
          <w:p>
            <w:pPr>
              <w:pStyle w:val="28"/>
              <w:widowControl w:val="0"/>
              <w:rPr>
                <w:b/>
                <w:bCs/>
                <w:color w:val="auto"/>
                <w:highlight w:val="none"/>
              </w:rPr>
            </w:pPr>
            <w:r>
              <w:rPr>
                <w:rFonts w:hint="eastAsia"/>
                <w:b/>
                <w:bCs/>
                <w:color w:val="auto"/>
                <w:highlight w:val="none"/>
              </w:rPr>
              <w:t>距厂界距离</w:t>
            </w:r>
          </w:p>
        </w:tc>
        <w:tc>
          <w:tcPr>
            <w:tcW w:w="569" w:type="pct"/>
            <w:tcBorders>
              <w:tl2br w:val="nil"/>
              <w:tr2bl w:val="nil"/>
            </w:tcBorders>
            <w:vAlign w:val="center"/>
          </w:tcPr>
          <w:p>
            <w:pPr>
              <w:pStyle w:val="28"/>
              <w:widowControl w:val="0"/>
              <w:rPr>
                <w:b/>
                <w:bCs/>
                <w:color w:val="auto"/>
                <w:highlight w:val="none"/>
              </w:rPr>
            </w:pPr>
            <w:r>
              <w:rPr>
                <w:rFonts w:hint="eastAsia"/>
                <w:b/>
                <w:bCs/>
                <w:color w:val="auto"/>
                <w:highlight w:val="none"/>
              </w:rPr>
              <w:t>时段</w:t>
            </w:r>
          </w:p>
        </w:tc>
        <w:tc>
          <w:tcPr>
            <w:tcW w:w="608" w:type="pct"/>
            <w:tcBorders>
              <w:tl2br w:val="nil"/>
              <w:tr2bl w:val="nil"/>
            </w:tcBorders>
            <w:vAlign w:val="center"/>
          </w:tcPr>
          <w:p>
            <w:pPr>
              <w:pStyle w:val="28"/>
              <w:widowControl w:val="0"/>
              <w:rPr>
                <w:b/>
                <w:bCs/>
                <w:color w:val="auto"/>
                <w:highlight w:val="none"/>
              </w:rPr>
            </w:pPr>
            <w:r>
              <w:rPr>
                <w:rFonts w:hint="eastAsia"/>
                <w:b/>
                <w:bCs/>
                <w:color w:val="auto"/>
                <w:highlight w:val="none"/>
              </w:rPr>
              <w:t>背景值</w:t>
            </w:r>
          </w:p>
        </w:tc>
        <w:tc>
          <w:tcPr>
            <w:tcW w:w="501" w:type="pct"/>
            <w:tcBorders>
              <w:tl2br w:val="nil"/>
              <w:tr2bl w:val="nil"/>
            </w:tcBorders>
            <w:vAlign w:val="center"/>
          </w:tcPr>
          <w:p>
            <w:pPr>
              <w:pStyle w:val="28"/>
              <w:widowControl w:val="0"/>
              <w:rPr>
                <w:rFonts w:hint="eastAsia" w:eastAsia="宋体"/>
                <w:b/>
                <w:bCs/>
                <w:color w:val="auto"/>
                <w:highlight w:val="none"/>
                <w:lang w:val="en-US" w:eastAsia="zh-CN"/>
              </w:rPr>
            </w:pPr>
            <w:r>
              <w:rPr>
                <w:rFonts w:hint="eastAsia"/>
                <w:b/>
                <w:bCs/>
                <w:color w:val="auto"/>
                <w:highlight w:val="none"/>
                <w:lang w:val="en-US" w:eastAsia="zh-CN"/>
              </w:rPr>
              <w:t>贡献值</w:t>
            </w:r>
          </w:p>
        </w:tc>
        <w:tc>
          <w:tcPr>
            <w:tcW w:w="625" w:type="pct"/>
            <w:tcBorders>
              <w:tl2br w:val="nil"/>
              <w:tr2bl w:val="nil"/>
            </w:tcBorders>
            <w:vAlign w:val="center"/>
          </w:tcPr>
          <w:p>
            <w:pPr>
              <w:pStyle w:val="28"/>
              <w:widowControl w:val="0"/>
              <w:rPr>
                <w:b/>
                <w:bCs/>
                <w:color w:val="auto"/>
                <w:highlight w:val="none"/>
              </w:rPr>
            </w:pPr>
            <w:r>
              <w:rPr>
                <w:rFonts w:hint="eastAsia"/>
                <w:b/>
                <w:bCs/>
                <w:color w:val="auto"/>
                <w:highlight w:val="none"/>
              </w:rPr>
              <w:t>预测值</w:t>
            </w:r>
          </w:p>
        </w:tc>
        <w:tc>
          <w:tcPr>
            <w:tcW w:w="625" w:type="pct"/>
            <w:tcBorders>
              <w:tl2br w:val="nil"/>
              <w:tr2bl w:val="nil"/>
            </w:tcBorders>
            <w:vAlign w:val="center"/>
          </w:tcPr>
          <w:p>
            <w:pPr>
              <w:pStyle w:val="28"/>
              <w:widowControl w:val="0"/>
              <w:rPr>
                <w:b/>
                <w:bCs/>
                <w:color w:val="auto"/>
                <w:highlight w:val="none"/>
              </w:rPr>
            </w:pPr>
            <w:r>
              <w:rPr>
                <w:rFonts w:hint="eastAsia"/>
                <w:b/>
                <w:bCs/>
                <w:color w:val="auto"/>
                <w:highlight w:val="none"/>
              </w:rPr>
              <w:t>标准值</w:t>
            </w:r>
          </w:p>
        </w:tc>
        <w:tc>
          <w:tcPr>
            <w:tcW w:w="625" w:type="pct"/>
            <w:tcBorders>
              <w:tl2br w:val="nil"/>
              <w:tr2bl w:val="nil"/>
            </w:tcBorders>
            <w:vAlign w:val="center"/>
          </w:tcPr>
          <w:p>
            <w:pPr>
              <w:pStyle w:val="28"/>
              <w:widowControl w:val="0"/>
              <w:rPr>
                <w:b/>
                <w:bCs/>
                <w:color w:val="auto"/>
                <w:highlight w:val="none"/>
              </w:rPr>
            </w:pPr>
            <w:r>
              <w:rPr>
                <w:rFonts w:hint="eastAsia"/>
                <w:b/>
                <w:bCs/>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5" w:type="pct"/>
            <w:vMerge w:val="restart"/>
            <w:tcBorders>
              <w:tl2br w:val="nil"/>
              <w:tr2bl w:val="nil"/>
            </w:tcBorders>
            <w:vAlign w:val="center"/>
          </w:tcPr>
          <w:p>
            <w:pPr>
              <w:pStyle w:val="28"/>
              <w:widowControl w:val="0"/>
              <w:rPr>
                <w:color w:val="auto"/>
                <w:highlight w:val="none"/>
              </w:rPr>
            </w:pPr>
            <w:r>
              <w:rPr>
                <w:rFonts w:hint="eastAsia"/>
                <w:color w:val="auto"/>
                <w:highlight w:val="none"/>
              </w:rPr>
              <w:t>石泉村居民</w:t>
            </w:r>
          </w:p>
        </w:tc>
        <w:tc>
          <w:tcPr>
            <w:tcW w:w="748" w:type="pct"/>
            <w:vMerge w:val="restart"/>
            <w:tcBorders>
              <w:tl2br w:val="nil"/>
              <w:tr2bl w:val="nil"/>
            </w:tcBorders>
            <w:vAlign w:val="center"/>
          </w:tcPr>
          <w:p>
            <w:pPr>
              <w:pStyle w:val="28"/>
              <w:widowControl w:val="0"/>
              <w:rPr>
                <w:color w:val="auto"/>
                <w:highlight w:val="none"/>
              </w:rPr>
            </w:pPr>
            <w:r>
              <w:rPr>
                <w:rFonts w:hint="eastAsia"/>
                <w:color w:val="auto"/>
                <w:highlight w:val="none"/>
                <w:lang w:val="en-US" w:eastAsia="zh-CN"/>
              </w:rPr>
              <w:t>10</w:t>
            </w:r>
            <w:r>
              <w:rPr>
                <w:rFonts w:hint="eastAsia"/>
                <w:color w:val="auto"/>
                <w:highlight w:val="none"/>
              </w:rPr>
              <w:t>m</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昼间</w:t>
            </w:r>
          </w:p>
        </w:tc>
        <w:tc>
          <w:tcPr>
            <w:tcW w:w="608" w:type="pct"/>
            <w:tcBorders>
              <w:tl2br w:val="nil"/>
              <w:tr2bl w:val="nil"/>
            </w:tcBorders>
            <w:vAlign w:val="center"/>
          </w:tcPr>
          <w:p>
            <w:pPr>
              <w:pStyle w:val="28"/>
              <w:widowControl w:val="0"/>
              <w:rPr>
                <w:color w:val="auto"/>
                <w:highlight w:val="none"/>
              </w:rPr>
            </w:pPr>
            <w:r>
              <w:rPr>
                <w:rFonts w:hint="eastAsia"/>
                <w:color w:val="auto"/>
                <w:highlight w:val="none"/>
              </w:rPr>
              <w:t>54</w:t>
            </w:r>
          </w:p>
        </w:tc>
        <w:tc>
          <w:tcPr>
            <w:tcW w:w="501"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48</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55.4</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60</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5" w:type="pct"/>
            <w:vMerge w:val="continue"/>
            <w:tcBorders>
              <w:tl2br w:val="nil"/>
              <w:tr2bl w:val="nil"/>
            </w:tcBorders>
            <w:vAlign w:val="center"/>
          </w:tcPr>
          <w:p>
            <w:pPr>
              <w:pStyle w:val="28"/>
              <w:widowControl w:val="0"/>
              <w:rPr>
                <w:color w:val="auto"/>
                <w:highlight w:val="none"/>
              </w:rPr>
            </w:pPr>
          </w:p>
        </w:tc>
        <w:tc>
          <w:tcPr>
            <w:tcW w:w="748" w:type="pct"/>
            <w:vMerge w:val="continue"/>
            <w:tcBorders>
              <w:tl2br w:val="nil"/>
              <w:tr2bl w:val="nil"/>
            </w:tcBorders>
            <w:vAlign w:val="center"/>
          </w:tcPr>
          <w:p>
            <w:pPr>
              <w:pStyle w:val="28"/>
              <w:widowControl w:val="0"/>
              <w:rPr>
                <w:color w:val="auto"/>
                <w:highlight w:val="none"/>
              </w:rPr>
            </w:pP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夜间</w:t>
            </w:r>
          </w:p>
        </w:tc>
        <w:tc>
          <w:tcPr>
            <w:tcW w:w="608" w:type="pct"/>
            <w:tcBorders>
              <w:tl2br w:val="nil"/>
              <w:tr2bl w:val="nil"/>
            </w:tcBorders>
            <w:vAlign w:val="center"/>
          </w:tcPr>
          <w:p>
            <w:pPr>
              <w:pStyle w:val="28"/>
              <w:widowControl w:val="0"/>
              <w:rPr>
                <w:color w:val="auto"/>
                <w:highlight w:val="none"/>
              </w:rPr>
            </w:pPr>
            <w:r>
              <w:rPr>
                <w:rFonts w:hint="eastAsia"/>
                <w:color w:val="auto"/>
                <w:highlight w:val="none"/>
              </w:rPr>
              <w:t>43</w:t>
            </w:r>
          </w:p>
        </w:tc>
        <w:tc>
          <w:tcPr>
            <w:tcW w:w="501" w:type="pct"/>
            <w:tcBorders>
              <w:tl2br w:val="nil"/>
              <w:tr2bl w:val="nil"/>
            </w:tcBorders>
            <w:vAlign w:val="center"/>
          </w:tcPr>
          <w:p>
            <w:pPr>
              <w:pStyle w:val="28"/>
              <w:widowControl w:val="0"/>
              <w:rPr>
                <w:rFonts w:hint="default" w:eastAsia="宋体"/>
                <w:color w:val="auto"/>
                <w:highlight w:val="none"/>
                <w:lang w:val="en-US" w:eastAsia="zh-CN"/>
              </w:rPr>
            </w:pPr>
            <w:r>
              <w:rPr>
                <w:rFonts w:hint="eastAsia"/>
                <w:color w:val="auto"/>
                <w:highlight w:val="none"/>
                <w:lang w:val="en-US" w:eastAsia="zh-CN"/>
              </w:rPr>
              <w:t>36</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44.8</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50</w:t>
            </w:r>
          </w:p>
        </w:tc>
        <w:tc>
          <w:tcPr>
            <w:tcW w:w="625" w:type="pct"/>
            <w:tcBorders>
              <w:tl2br w:val="nil"/>
              <w:tr2bl w:val="nil"/>
            </w:tcBorders>
            <w:vAlign w:val="center"/>
          </w:tcPr>
          <w:p>
            <w:pPr>
              <w:pStyle w:val="28"/>
              <w:widowControl w:val="0"/>
              <w:rPr>
                <w:color w:val="auto"/>
                <w:highlight w:val="none"/>
              </w:rPr>
            </w:pPr>
            <w:r>
              <w:rPr>
                <w:rFonts w:hint="eastAsia"/>
                <w:color w:val="auto"/>
                <w:highlight w:val="none"/>
              </w:rPr>
              <w:t>达标</w:t>
            </w:r>
          </w:p>
        </w:tc>
      </w:tr>
    </w:tbl>
    <w:p>
      <w:pPr>
        <w:widowControl w:val="0"/>
        <w:ind w:firstLine="480"/>
        <w:jc w:val="left"/>
        <w:rPr>
          <w:color w:val="auto"/>
          <w:highlight w:val="none"/>
        </w:rPr>
      </w:pPr>
      <w:r>
        <w:rPr>
          <w:rFonts w:hint="eastAsia" w:ascii="宋体" w:hAnsi="宋体"/>
          <w:color w:val="auto"/>
          <w:szCs w:val="24"/>
          <w:highlight w:val="none"/>
        </w:rPr>
        <w:t>根据预测结果可知，本项目周围各敏感点昼、夜间噪声预测值均符合《声环境质量标准》（</w:t>
      </w:r>
      <w:r>
        <w:rPr>
          <w:rFonts w:eastAsia="Times New Roman"/>
          <w:color w:val="auto"/>
          <w:szCs w:val="24"/>
          <w:highlight w:val="none"/>
        </w:rPr>
        <w:t>GB3096-2008</w:t>
      </w:r>
      <w:r>
        <w:rPr>
          <w:rFonts w:hint="eastAsia" w:ascii="宋体" w:hAnsi="宋体"/>
          <w:color w:val="auto"/>
          <w:szCs w:val="24"/>
          <w:highlight w:val="none"/>
        </w:rPr>
        <w:t>）</w:t>
      </w:r>
      <w:r>
        <w:rPr>
          <w:rFonts w:eastAsia="Times New Roman"/>
          <w:color w:val="auto"/>
          <w:szCs w:val="24"/>
          <w:highlight w:val="none"/>
        </w:rPr>
        <w:t xml:space="preserve">2 </w:t>
      </w:r>
      <w:r>
        <w:rPr>
          <w:rFonts w:hint="eastAsia" w:ascii="宋体" w:hAnsi="宋体"/>
          <w:color w:val="auto"/>
          <w:szCs w:val="24"/>
          <w:highlight w:val="none"/>
        </w:rPr>
        <w:t>类区标准。</w:t>
      </w:r>
    </w:p>
    <w:p>
      <w:pPr>
        <w:pStyle w:val="6"/>
        <w:widowControl w:val="0"/>
        <w:ind w:left="-160" w:firstLineChars="0"/>
        <w:rPr>
          <w:color w:val="auto"/>
          <w:highlight w:val="none"/>
        </w:rPr>
      </w:pPr>
      <w:r>
        <w:rPr>
          <w:rFonts w:hint="eastAsia"/>
          <w:color w:val="auto"/>
          <w:highlight w:val="none"/>
        </w:rPr>
        <w:t>噪声预测结论</w:t>
      </w:r>
    </w:p>
    <w:p>
      <w:pPr>
        <w:widowControl w:val="0"/>
        <w:ind w:firstLine="480"/>
        <w:rPr>
          <w:color w:val="auto"/>
          <w:highlight w:val="none"/>
        </w:rPr>
      </w:pPr>
      <w:r>
        <w:rPr>
          <w:rFonts w:hint="eastAsia"/>
          <w:color w:val="auto"/>
          <w:highlight w:val="none"/>
        </w:rPr>
        <w:t>由上述分析可知，本项目采取有效的工程措施减少噪声排放，项目对周边声环境影响不大。</w:t>
      </w:r>
    </w:p>
    <w:p>
      <w:pPr>
        <w:pStyle w:val="5"/>
        <w:widowControl w:val="0"/>
        <w:ind w:firstLine="120"/>
        <w:rPr>
          <w:color w:val="auto"/>
          <w:highlight w:val="none"/>
        </w:rPr>
      </w:pPr>
      <w:r>
        <w:rPr>
          <w:rFonts w:hint="eastAsia"/>
          <w:color w:val="auto"/>
          <w:highlight w:val="none"/>
        </w:rPr>
        <w:t>固废影响分析及评价</w:t>
      </w:r>
    </w:p>
    <w:p>
      <w:pPr>
        <w:widowControl w:val="0"/>
        <w:ind w:firstLine="480"/>
        <w:rPr>
          <w:color w:val="auto"/>
          <w:highlight w:val="none"/>
        </w:rPr>
      </w:pPr>
      <w:r>
        <w:rPr>
          <w:rFonts w:hint="eastAsia"/>
          <w:color w:val="auto"/>
          <w:highlight w:val="none"/>
        </w:rPr>
        <w:t>项目营运期产生的固废主要为一般工业固废（检疫不合格猪及病胴体、病内脏，不可食用内脏，猪粪及肠胃内容物，检验后残渣、废弃动物组织及碎肉碎骨等，污水处理站栅渣、废油脂和污泥、废包装材料、废胶皮手套）、生活垃圾、餐厨垃圾、废试纸、废</w:t>
      </w:r>
      <w:r>
        <w:rPr>
          <w:color w:val="auto"/>
          <w:highlight w:val="none"/>
        </w:rPr>
        <w:t>PCR</w:t>
      </w:r>
      <w:r>
        <w:rPr>
          <w:rFonts w:hint="eastAsia"/>
          <w:color w:val="auto"/>
          <w:highlight w:val="none"/>
        </w:rPr>
        <w:t>试剂盒和危险固废（废润滑油及废油桶）。</w:t>
      </w:r>
    </w:p>
    <w:p>
      <w:pPr>
        <w:widowControl w:val="0"/>
        <w:ind w:firstLine="480"/>
        <w:rPr>
          <w:color w:val="auto"/>
          <w:highlight w:val="none"/>
        </w:rPr>
      </w:pPr>
      <w:r>
        <w:rPr>
          <w:rFonts w:hint="eastAsia"/>
          <w:color w:val="auto"/>
          <w:highlight w:val="none"/>
        </w:rPr>
        <w:t>根据工程分析，本项目营运期产生的检疫不合格猪及病胴体、病内脏、不可食用内脏、检验后残渣、废弃动物组织及碎肉碎骨等送至无害化暂存间进行处置；猪粪及肠胃内容物和污水处理站栅渣交由生产有机肥料的单位进行处置；污水处理站产生的废油脂委托有资质的单位定期清掏处置；生活垃圾和污水处理站产生的污泥交由环卫部门统一清运；餐厨垃圾收集后由经城管部门许可的餐厨垃圾收运单位处置；废试纸、废</w:t>
      </w:r>
      <w:r>
        <w:rPr>
          <w:color w:val="auto"/>
          <w:highlight w:val="none"/>
        </w:rPr>
        <w:t>PCR</w:t>
      </w:r>
      <w:r>
        <w:rPr>
          <w:rFonts w:hint="eastAsia"/>
          <w:color w:val="auto"/>
          <w:highlight w:val="none"/>
        </w:rPr>
        <w:t>试剂</w:t>
      </w:r>
      <w:r>
        <w:rPr>
          <w:rFonts w:hint="eastAsia"/>
          <w:color w:val="auto"/>
          <w:highlight w:val="none"/>
          <w:lang w:val="en-US" w:eastAsia="zh-CN"/>
        </w:rPr>
        <w:t>按照</w:t>
      </w:r>
      <w:r>
        <w:rPr>
          <w:rFonts w:hint="eastAsia"/>
          <w:color w:val="auto"/>
          <w:highlight w:val="none"/>
        </w:rPr>
        <w:t>农业行政管理部门</w:t>
      </w:r>
      <w:r>
        <w:rPr>
          <w:rFonts w:hint="eastAsia"/>
          <w:color w:val="auto"/>
          <w:highlight w:val="none"/>
          <w:lang w:val="en-US" w:eastAsia="zh-CN"/>
        </w:rPr>
        <w:t>的管理要求，定期交由相应单位处理</w:t>
      </w:r>
      <w:r>
        <w:rPr>
          <w:rFonts w:hint="eastAsia"/>
          <w:color w:val="auto"/>
          <w:highlight w:val="none"/>
        </w:rPr>
        <w:t>；设备维护产生的废润滑油、废油桶分别交由具有相应资质的单位进行处置。</w:t>
      </w:r>
    </w:p>
    <w:p>
      <w:pPr>
        <w:widowControl w:val="0"/>
        <w:ind w:firstLine="482"/>
        <w:rPr>
          <w:b/>
          <w:bCs/>
          <w:color w:val="auto"/>
          <w:highlight w:val="none"/>
        </w:rPr>
      </w:pPr>
      <w:r>
        <w:rPr>
          <w:rFonts w:hint="eastAsia"/>
          <w:b/>
          <w:bCs/>
          <w:color w:val="auto"/>
          <w:highlight w:val="none"/>
        </w:rPr>
        <w:t>固体废物场区管理要求：</w:t>
      </w:r>
    </w:p>
    <w:p>
      <w:pPr>
        <w:widowControl w:val="0"/>
        <w:numPr>
          <w:ilvl w:val="0"/>
          <w:numId w:val="14"/>
        </w:numPr>
        <w:ind w:firstLine="482" w:firstLineChars="0"/>
        <w:rPr>
          <w:b/>
          <w:bCs/>
          <w:color w:val="auto"/>
          <w:highlight w:val="none"/>
        </w:rPr>
      </w:pPr>
      <w:r>
        <w:rPr>
          <w:rFonts w:hint="eastAsia"/>
          <w:b/>
          <w:bCs/>
          <w:color w:val="auto"/>
          <w:highlight w:val="none"/>
        </w:rPr>
        <w:t>无害化暂存间</w:t>
      </w:r>
    </w:p>
    <w:p>
      <w:pPr>
        <w:widowControl w:val="0"/>
        <w:ind w:firstLine="480"/>
        <w:rPr>
          <w:color w:val="auto"/>
          <w:highlight w:val="none"/>
        </w:rPr>
      </w:pPr>
      <w:r>
        <w:rPr>
          <w:rFonts w:hint="eastAsia"/>
          <w:color w:val="auto"/>
          <w:highlight w:val="none"/>
        </w:rPr>
        <w:t>病猪在急宰间急宰后暂存于无害化暂存间，胴体、病内脏、不可食用内脏、检验后残渣、废弃动物组织及碎肉碎骨等分类收集桶装后暂存于无害化暂存间内，检疫不合格猪及病胴体、病内脏在当地防疫部门的指导下，按《病害动物和病害动物产品生物安全处理规程》</w:t>
      </w:r>
      <w:r>
        <w:rPr>
          <w:color w:val="auto"/>
          <w:highlight w:val="none"/>
        </w:rPr>
        <w:t>(GB16548-2006)</w:t>
      </w:r>
      <w:r>
        <w:rPr>
          <w:rFonts w:hint="eastAsia"/>
          <w:color w:val="auto"/>
          <w:highlight w:val="none"/>
        </w:rPr>
        <w:t>》处理交由具有无害化处理资质的单位进行处理，不可食用内脏、废弃动物组织及碎肉碎骨等一并交由具有无害化处理资质的单位进行处理，日产日清。无害化暂存间按冻库标准建设，实施冷冻存放，同时进行重点防渗。</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）粪便及肠胃内容物暂存设施</w:t>
      </w:r>
    </w:p>
    <w:p>
      <w:pPr>
        <w:widowControl w:val="0"/>
        <w:ind w:firstLine="480"/>
        <w:rPr>
          <w:color w:val="auto"/>
          <w:highlight w:val="none"/>
        </w:rPr>
      </w:pPr>
      <w:r>
        <w:rPr>
          <w:rFonts w:hint="eastAsia"/>
          <w:color w:val="auto"/>
          <w:highlight w:val="none"/>
        </w:rPr>
        <w:t>待宰间内设置单独设置一处粪便收集区，并设置</w:t>
      </w:r>
      <w:r>
        <w:rPr>
          <w:color w:val="auto"/>
          <w:highlight w:val="none"/>
        </w:rPr>
        <w:t>1</w:t>
      </w:r>
      <w:r>
        <w:rPr>
          <w:rFonts w:hint="eastAsia"/>
          <w:color w:val="auto"/>
          <w:highlight w:val="none"/>
        </w:rPr>
        <w:t>个</w:t>
      </w:r>
      <w:r>
        <w:rPr>
          <w:color w:val="auto"/>
          <w:highlight w:val="none"/>
        </w:rPr>
        <w:t>5m</w:t>
      </w:r>
      <w:r>
        <w:rPr>
          <w:rFonts w:hint="eastAsia"/>
          <w:color w:val="auto"/>
          <w:highlight w:val="none"/>
          <w:vertAlign w:val="superscript"/>
        </w:rPr>
        <w:t>3</w:t>
      </w:r>
      <w:r>
        <w:rPr>
          <w:rFonts w:hint="eastAsia"/>
          <w:color w:val="auto"/>
          <w:highlight w:val="none"/>
        </w:rPr>
        <w:t>的封闭垃圾箱，每日产生的猪粪直接暂存至垃圾箱内，每日屠宰完毕后交由生产有机肥料的单位进行处置。</w:t>
      </w:r>
    </w:p>
    <w:p>
      <w:pPr>
        <w:widowControl w:val="0"/>
        <w:ind w:firstLine="480"/>
        <w:rPr>
          <w:color w:val="auto"/>
          <w:highlight w:val="none"/>
        </w:rPr>
      </w:pPr>
      <w:r>
        <w:rPr>
          <w:rFonts w:hint="eastAsia"/>
          <w:color w:val="auto"/>
          <w:highlight w:val="none"/>
        </w:rPr>
        <w:t>肠胃内容物产生于屠宰车间的内脏处理间，建设单位在红白内脏处理间各设置</w:t>
      </w:r>
      <w:r>
        <w:rPr>
          <w:color w:val="auto"/>
          <w:highlight w:val="none"/>
        </w:rPr>
        <w:t xml:space="preserve">1 </w:t>
      </w:r>
      <w:r>
        <w:rPr>
          <w:rFonts w:hint="eastAsia"/>
          <w:color w:val="auto"/>
          <w:highlight w:val="none"/>
        </w:rPr>
        <w:t>个垃圾桶专门收集肠胃内容物，每日与猪粪一并交由生产有机肥料的单位进行处置。</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）废油脂处理措施</w:t>
      </w:r>
    </w:p>
    <w:p>
      <w:pPr>
        <w:widowControl w:val="0"/>
        <w:ind w:firstLine="480"/>
        <w:rPr>
          <w:color w:val="auto"/>
          <w:highlight w:val="none"/>
        </w:rPr>
      </w:pPr>
      <w:r>
        <w:rPr>
          <w:rFonts w:hint="eastAsia"/>
          <w:color w:val="auto"/>
          <w:highlight w:val="none"/>
        </w:rPr>
        <w:t>污水处理站格栅隔油池产生的废油脂委托有资质的单位定期进行处置，不暂存。</w:t>
      </w:r>
    </w:p>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）生活垃圾暂存点</w:t>
      </w:r>
    </w:p>
    <w:p>
      <w:pPr>
        <w:widowControl w:val="0"/>
        <w:ind w:firstLine="480"/>
        <w:rPr>
          <w:color w:val="auto"/>
          <w:highlight w:val="none"/>
        </w:rPr>
      </w:pPr>
      <w:r>
        <w:rPr>
          <w:rFonts w:hint="eastAsia"/>
          <w:color w:val="auto"/>
          <w:highlight w:val="none"/>
        </w:rPr>
        <w:t>项目产生的生活垃圾经袋装后暂存于生活垃圾暂存点，每日交由环卫部门统一清运。</w:t>
      </w:r>
    </w:p>
    <w:p>
      <w:pPr>
        <w:widowControl w:val="0"/>
        <w:ind w:firstLine="482"/>
        <w:rPr>
          <w:b/>
          <w:bCs/>
          <w:color w:val="auto"/>
          <w:highlight w:val="none"/>
        </w:rPr>
      </w:pPr>
      <w:r>
        <w:rPr>
          <w:rFonts w:hint="eastAsia"/>
          <w:b/>
          <w:bCs/>
          <w:color w:val="auto"/>
          <w:highlight w:val="none"/>
        </w:rPr>
        <w:t>（</w:t>
      </w:r>
      <w:r>
        <w:rPr>
          <w:b/>
          <w:bCs/>
          <w:color w:val="auto"/>
          <w:highlight w:val="none"/>
        </w:rPr>
        <w:t>6</w:t>
      </w:r>
      <w:r>
        <w:rPr>
          <w:rFonts w:hint="eastAsia"/>
          <w:b/>
          <w:bCs/>
          <w:color w:val="auto"/>
          <w:highlight w:val="none"/>
        </w:rPr>
        <w:t>）危废暂存设施</w:t>
      </w:r>
    </w:p>
    <w:p>
      <w:pPr>
        <w:widowControl w:val="0"/>
        <w:ind w:firstLine="480"/>
        <w:rPr>
          <w:color w:val="auto"/>
          <w:highlight w:val="none"/>
        </w:rPr>
      </w:pPr>
      <w:r>
        <w:rPr>
          <w:rFonts w:hint="eastAsia"/>
          <w:color w:val="auto"/>
          <w:highlight w:val="none"/>
        </w:rPr>
        <w:t>本项目要求设置</w:t>
      </w:r>
      <w:r>
        <w:rPr>
          <w:color w:val="auto"/>
          <w:highlight w:val="none"/>
        </w:rPr>
        <w:t xml:space="preserve">1 </w:t>
      </w:r>
      <w:r>
        <w:rPr>
          <w:rFonts w:hint="eastAsia"/>
          <w:color w:val="auto"/>
          <w:highlight w:val="none"/>
        </w:rPr>
        <w:t>处危废暂存间用于存废润滑油及废油桶，危废分类收集后暂存至危废暂存间，定期交由有危废资质的单位进行处置，危废暂存间按</w:t>
      </w:r>
      <w:r>
        <w:rPr>
          <w:color w:val="auto"/>
          <w:highlight w:val="none"/>
        </w:rPr>
        <w:t>GB18597</w:t>
      </w:r>
      <w:r>
        <w:rPr>
          <w:rFonts w:hint="eastAsia"/>
          <w:color w:val="auto"/>
          <w:highlight w:val="none"/>
        </w:rPr>
        <w:t>规定采取相应的防渗措施，渗透系数≤</w:t>
      </w:r>
      <w:r>
        <w:rPr>
          <w:color w:val="auto"/>
          <w:highlight w:val="none"/>
        </w:rPr>
        <w:t>10</w:t>
      </w:r>
      <w:r>
        <w:rPr>
          <w:color w:val="auto"/>
          <w:highlight w:val="none"/>
          <w:vertAlign w:val="superscript"/>
        </w:rPr>
        <w:t>-10</w:t>
      </w:r>
      <w:r>
        <w:rPr>
          <w:color w:val="auto"/>
          <w:highlight w:val="none"/>
        </w:rPr>
        <w:t>cm/s</w:t>
      </w:r>
      <w:r>
        <w:rPr>
          <w:rFonts w:hint="eastAsia"/>
          <w:color w:val="auto"/>
          <w:highlight w:val="none"/>
        </w:rPr>
        <w:t>。</w:t>
      </w:r>
    </w:p>
    <w:p>
      <w:pPr>
        <w:widowControl w:val="0"/>
        <w:ind w:firstLine="482"/>
        <w:jc w:val="left"/>
        <w:rPr>
          <w:rFonts w:ascii="宋体" w:hAnsi="宋体"/>
          <w:b/>
          <w:bCs/>
          <w:color w:val="auto"/>
          <w:szCs w:val="24"/>
          <w:highlight w:val="none"/>
        </w:rPr>
      </w:pPr>
      <w:r>
        <w:rPr>
          <w:rFonts w:hint="eastAsia" w:ascii="宋体" w:hAnsi="宋体"/>
          <w:b/>
          <w:bCs/>
          <w:color w:val="auto"/>
          <w:szCs w:val="24"/>
          <w:highlight w:val="none"/>
        </w:rPr>
        <w:t>（</w:t>
      </w:r>
      <w:r>
        <w:rPr>
          <w:rFonts w:eastAsia="Times New Roman"/>
          <w:b/>
          <w:bCs/>
          <w:color w:val="auto"/>
          <w:szCs w:val="24"/>
          <w:highlight w:val="none"/>
        </w:rPr>
        <w:t>7</w:t>
      </w:r>
      <w:r>
        <w:rPr>
          <w:rFonts w:hint="eastAsia" w:ascii="宋体" w:hAnsi="宋体"/>
          <w:b/>
          <w:bCs/>
          <w:color w:val="auto"/>
          <w:szCs w:val="24"/>
          <w:highlight w:val="none"/>
        </w:rPr>
        <w:t>）危废暂存间要求：</w:t>
      </w:r>
    </w:p>
    <w:p>
      <w:pPr>
        <w:widowControl w:val="0"/>
        <w:ind w:firstLine="480"/>
        <w:rPr>
          <w:color w:val="auto"/>
          <w:highlight w:val="none"/>
        </w:rPr>
      </w:pPr>
      <w:r>
        <w:rPr>
          <w:rFonts w:hint="eastAsia"/>
          <w:color w:val="auto"/>
          <w:highlight w:val="none"/>
        </w:rPr>
        <w:t>本项目危废暂存间建筑面积为4</w:t>
      </w:r>
      <w:r>
        <w:rPr>
          <w:color w:val="auto"/>
          <w:highlight w:val="none"/>
        </w:rPr>
        <w:t>0m</w:t>
      </w:r>
      <w:r>
        <w:rPr>
          <w:rFonts w:hint="eastAsia"/>
          <w:color w:val="auto"/>
          <w:highlight w:val="none"/>
          <w:vertAlign w:val="superscript"/>
        </w:rPr>
        <w:t>2</w:t>
      </w:r>
      <w:r>
        <w:rPr>
          <w:rFonts w:hint="eastAsia"/>
          <w:color w:val="auto"/>
          <w:highlight w:val="none"/>
        </w:rPr>
        <w:t>，内设收集桶，位于项目待宰间东侧，根据危险废物特性，交由具有相应资质的单位进行处置。</w:t>
      </w:r>
    </w:p>
    <w:p>
      <w:pPr>
        <w:widowControl w:val="0"/>
        <w:ind w:firstLine="480"/>
        <w:rPr>
          <w:color w:val="auto"/>
          <w:highlight w:val="none"/>
        </w:rPr>
      </w:pPr>
      <w:r>
        <w:rPr>
          <w:rFonts w:hint="eastAsia"/>
          <w:color w:val="auto"/>
          <w:highlight w:val="none"/>
        </w:rPr>
        <w:t>本项目的危险废物暂存间必须按照《危险废物贮存污染控制标准》（</w:t>
      </w:r>
      <w:r>
        <w:rPr>
          <w:color w:val="auto"/>
          <w:highlight w:val="none"/>
        </w:rPr>
        <w:t>GB18597-2001</w:t>
      </w:r>
      <w:r>
        <w:rPr>
          <w:rFonts w:hint="eastAsia"/>
          <w:color w:val="auto"/>
          <w:highlight w:val="none"/>
        </w:rPr>
        <w:t>）及</w:t>
      </w:r>
      <w:r>
        <w:rPr>
          <w:color w:val="auto"/>
          <w:highlight w:val="none"/>
        </w:rPr>
        <w:t>2013</w:t>
      </w:r>
      <w:r>
        <w:rPr>
          <w:rFonts w:hint="eastAsia"/>
          <w:color w:val="auto"/>
          <w:highlight w:val="none"/>
        </w:rPr>
        <w:t>年修改单的要求执行；危废处置过程必须按照国家《</w:t>
      </w:r>
      <w:r>
        <w:rPr>
          <w:rFonts w:ascii="微软雅黑" w:hAnsi="微软雅黑" w:eastAsia="微软雅黑" w:cs="微软雅黑"/>
          <w:i w:val="0"/>
          <w:iCs w:val="0"/>
          <w:caps w:val="0"/>
          <w:color w:val="auto"/>
          <w:spacing w:val="0"/>
          <w:sz w:val="24"/>
          <w:szCs w:val="24"/>
          <w:highlight w:val="none"/>
          <w:shd w:val="clear" w:fill="FFFFFF"/>
        </w:rPr>
        <w:t>危险废物转移管理办法</w:t>
      </w:r>
      <w:r>
        <w:rPr>
          <w:rFonts w:hint="eastAsia"/>
          <w:color w:val="auto"/>
          <w:highlight w:val="none"/>
        </w:rPr>
        <w:t>》（20</w:t>
      </w:r>
      <w:r>
        <w:rPr>
          <w:rFonts w:hint="eastAsia"/>
          <w:color w:val="auto"/>
          <w:highlight w:val="none"/>
          <w:lang w:val="en-US" w:eastAsia="zh-CN"/>
        </w:rPr>
        <w:t>22</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1</w:t>
      </w:r>
      <w:r>
        <w:rPr>
          <w:rFonts w:hint="eastAsia"/>
          <w:color w:val="auto"/>
          <w:highlight w:val="none"/>
        </w:rPr>
        <w:t>日）执行，相关要求为：</w:t>
      </w:r>
    </w:p>
    <w:p>
      <w:pPr>
        <w:widowControl w:val="0"/>
        <w:ind w:firstLine="480"/>
        <w:rPr>
          <w:color w:val="auto"/>
          <w:highlight w:val="none"/>
        </w:rPr>
      </w:pPr>
      <w:r>
        <w:rPr>
          <w:color w:val="auto"/>
          <w:highlight w:val="none"/>
        </w:rPr>
        <w:t>1</w:t>
      </w:r>
      <w:r>
        <w:rPr>
          <w:rFonts w:hint="eastAsia"/>
          <w:color w:val="auto"/>
          <w:highlight w:val="none"/>
        </w:rPr>
        <w:t>）在常温常压下不水解、不挥发的固体危险废物可在贮存设施内分别堆放。危险废物贮存设施都必须按</w:t>
      </w:r>
      <w:r>
        <w:rPr>
          <w:color w:val="auto"/>
          <w:highlight w:val="none"/>
        </w:rPr>
        <w:t xml:space="preserve">GB15562.2 </w:t>
      </w:r>
      <w:r>
        <w:rPr>
          <w:rFonts w:hint="eastAsia"/>
          <w:color w:val="auto"/>
          <w:highlight w:val="none"/>
        </w:rPr>
        <w:t>的规定设置警示标志。</w:t>
      </w:r>
    </w:p>
    <w:p>
      <w:pPr>
        <w:widowControl w:val="0"/>
        <w:ind w:firstLine="480"/>
        <w:rPr>
          <w:color w:val="auto"/>
          <w:highlight w:val="none"/>
        </w:rPr>
      </w:pPr>
      <w:r>
        <w:rPr>
          <w:color w:val="auto"/>
          <w:highlight w:val="none"/>
        </w:rPr>
        <w:t>2</w:t>
      </w:r>
      <w:r>
        <w:rPr>
          <w:rFonts w:hint="eastAsia"/>
          <w:color w:val="auto"/>
          <w:highlight w:val="none"/>
        </w:rPr>
        <w:t>）堆放危险废物的高度应根据地面承载能力确定。应建在易燃、易爆等危险品仓库、高压输电线路防护区域以外。</w:t>
      </w:r>
    </w:p>
    <w:p>
      <w:pPr>
        <w:widowControl w:val="0"/>
        <w:ind w:firstLine="480"/>
        <w:jc w:val="left"/>
        <w:rPr>
          <w:rFonts w:ascii="宋体" w:hAnsi="宋体"/>
          <w:color w:val="auto"/>
          <w:szCs w:val="24"/>
          <w:highlight w:val="none"/>
        </w:rPr>
      </w:pPr>
      <w:r>
        <w:rPr>
          <w:rFonts w:eastAsia="Times New Roman"/>
          <w:color w:val="auto"/>
          <w:szCs w:val="24"/>
          <w:highlight w:val="none"/>
        </w:rPr>
        <w:t>3</w:t>
      </w:r>
      <w:r>
        <w:rPr>
          <w:rFonts w:hint="eastAsia" w:ascii="宋体" w:hAnsi="宋体"/>
          <w:color w:val="auto"/>
          <w:szCs w:val="24"/>
          <w:highlight w:val="none"/>
        </w:rPr>
        <w:t>）必须定期对所贮存的容器设施进行检查，发现破损，应及时采取措施清理更换。</w:t>
      </w:r>
    </w:p>
    <w:p>
      <w:pPr>
        <w:widowControl w:val="0"/>
        <w:ind w:firstLine="480"/>
        <w:rPr>
          <w:color w:val="auto"/>
          <w:highlight w:val="none"/>
        </w:rPr>
      </w:pPr>
      <w:r>
        <w:rPr>
          <w:color w:val="auto"/>
          <w:highlight w:val="none"/>
        </w:rPr>
        <w:t>4</w:t>
      </w:r>
      <w:r>
        <w:rPr>
          <w:rFonts w:hint="eastAsia"/>
          <w:color w:val="auto"/>
          <w:highlight w:val="none"/>
        </w:rPr>
        <w:t>）门地面与裙脚要用坚固、防渗的材料建造，材料必须与危险废物相容。设施底部必须高于地下水最高水位。基础必须防渗，满足渗透系数≤</w:t>
      </w:r>
      <w:r>
        <w:rPr>
          <w:color w:val="auto"/>
          <w:highlight w:val="none"/>
        </w:rPr>
        <w:t>10</w:t>
      </w:r>
      <w:r>
        <w:rPr>
          <w:color w:val="auto"/>
          <w:highlight w:val="none"/>
          <w:vertAlign w:val="superscript"/>
        </w:rPr>
        <w:t>-10</w:t>
      </w:r>
      <w:r>
        <w:rPr>
          <w:color w:val="auto"/>
          <w:highlight w:val="none"/>
        </w:rPr>
        <w:t>cm/s</w:t>
      </w:r>
      <w:r>
        <w:rPr>
          <w:rFonts w:hint="eastAsia"/>
          <w:color w:val="auto"/>
          <w:highlight w:val="none"/>
        </w:rPr>
        <w:t>。危废暂存间周围设有雨水沟，保证</w:t>
      </w:r>
      <w:r>
        <w:rPr>
          <w:color w:val="auto"/>
          <w:highlight w:val="none"/>
        </w:rPr>
        <w:t>25</w:t>
      </w:r>
      <w:r>
        <w:rPr>
          <w:rFonts w:hint="eastAsia"/>
          <w:color w:val="auto"/>
          <w:highlight w:val="none"/>
        </w:rPr>
        <w:t>年一遇的暴雨不会流到危险废物堆里。</w:t>
      </w:r>
    </w:p>
    <w:p>
      <w:pPr>
        <w:widowControl w:val="0"/>
        <w:ind w:firstLine="480"/>
        <w:rPr>
          <w:color w:val="auto"/>
          <w:highlight w:val="none"/>
        </w:rPr>
      </w:pPr>
      <w:r>
        <w:rPr>
          <w:color w:val="auto"/>
          <w:highlight w:val="none"/>
        </w:rPr>
        <w:t>5</w:t>
      </w:r>
      <w:r>
        <w:rPr>
          <w:rFonts w:hint="eastAsia"/>
          <w:color w:val="auto"/>
          <w:highlight w:val="none"/>
        </w:rPr>
        <w:t>）危险废物贮存设施周围应设置围墙或其他防护栅栏。危险废物贮存设施应配备通讯设备、照明设施、安全防护服装及工具，并设有应急防护设施。</w:t>
      </w:r>
    </w:p>
    <w:p>
      <w:pPr>
        <w:widowControl w:val="0"/>
        <w:ind w:firstLine="480"/>
        <w:rPr>
          <w:color w:val="auto"/>
          <w:highlight w:val="none"/>
        </w:rPr>
      </w:pPr>
      <w:r>
        <w:rPr>
          <w:color w:val="auto"/>
          <w:highlight w:val="none"/>
        </w:rPr>
        <w:t>6</w:t>
      </w:r>
      <w:r>
        <w:rPr>
          <w:rFonts w:hint="eastAsia"/>
          <w:color w:val="auto"/>
          <w:highlight w:val="none"/>
        </w:rPr>
        <w:t>）危险废物贮存设施内清理出来的废渣，一律按危险废物处理。</w:t>
      </w:r>
    </w:p>
    <w:p>
      <w:pPr>
        <w:widowControl w:val="0"/>
        <w:ind w:firstLine="480"/>
        <w:rPr>
          <w:color w:val="auto"/>
          <w:highlight w:val="none"/>
        </w:rPr>
      </w:pPr>
      <w:r>
        <w:rPr>
          <w:color w:val="auto"/>
          <w:highlight w:val="none"/>
        </w:rPr>
        <w:t>7</w:t>
      </w:r>
      <w:r>
        <w:rPr>
          <w:rFonts w:hint="eastAsia"/>
          <w:color w:val="auto"/>
          <w:highlight w:val="none"/>
        </w:rPr>
        <w:t>）危废暂存间内设置围堰，并设置托盘放置收集桶。</w:t>
      </w:r>
    </w:p>
    <w:p>
      <w:pPr>
        <w:widowControl w:val="0"/>
        <w:ind w:firstLine="480"/>
        <w:rPr>
          <w:color w:val="auto"/>
          <w:highlight w:val="none"/>
        </w:rPr>
      </w:pPr>
      <w:r>
        <w:rPr>
          <w:color w:val="auto"/>
          <w:highlight w:val="none"/>
        </w:rPr>
        <w:t>8</w:t>
      </w:r>
      <w:r>
        <w:rPr>
          <w:rFonts w:hint="eastAsia"/>
          <w:color w:val="auto"/>
          <w:highlight w:val="none"/>
        </w:rPr>
        <w:t>）按国家污染源管理要求对危险废物贮存设施进行监测。</w:t>
      </w:r>
    </w:p>
    <w:p>
      <w:pPr>
        <w:widowControl w:val="0"/>
        <w:ind w:firstLine="480"/>
        <w:rPr>
          <w:color w:val="auto"/>
          <w:highlight w:val="none"/>
        </w:rPr>
      </w:pPr>
      <w:r>
        <w:rPr>
          <w:color w:val="auto"/>
          <w:highlight w:val="none"/>
        </w:rPr>
        <w:t>9</w:t>
      </w:r>
      <w:r>
        <w:rPr>
          <w:rFonts w:hint="eastAsia"/>
          <w:color w:val="auto"/>
          <w:highlight w:val="none"/>
        </w:rPr>
        <w:t>）建设单位必须做好危险废物的记录，记录上须注明危险废物的名称、来源、数量、特性和包装容器的类别、入库日期、存放库位、废物出库日期及接收单位名称。且记录和货单在危险废物回收后应继续保留三年。</w:t>
      </w:r>
    </w:p>
    <w:p>
      <w:pPr>
        <w:widowControl w:val="0"/>
        <w:ind w:firstLine="480"/>
        <w:rPr>
          <w:color w:val="auto"/>
          <w:highlight w:val="none"/>
        </w:rPr>
      </w:pPr>
      <w:r>
        <w:rPr>
          <w:rFonts w:hint="eastAsia"/>
          <w:color w:val="auto"/>
          <w:highlight w:val="none"/>
        </w:rPr>
        <w:t>此外，危险废物处置过程必须按照国家《</w:t>
      </w:r>
      <w:r>
        <w:rPr>
          <w:rFonts w:ascii="微软雅黑" w:hAnsi="微软雅黑" w:eastAsia="微软雅黑" w:cs="微软雅黑"/>
          <w:i w:val="0"/>
          <w:iCs w:val="0"/>
          <w:caps w:val="0"/>
          <w:color w:val="auto"/>
          <w:spacing w:val="0"/>
          <w:sz w:val="24"/>
          <w:szCs w:val="24"/>
          <w:highlight w:val="none"/>
          <w:shd w:val="clear" w:fill="FFFFFF"/>
        </w:rPr>
        <w:t>危险废物转移管理办法</w:t>
      </w:r>
      <w:r>
        <w:rPr>
          <w:rFonts w:hint="eastAsia"/>
          <w:color w:val="auto"/>
          <w:highlight w:val="none"/>
        </w:rPr>
        <w:t>》（20</w:t>
      </w:r>
      <w:r>
        <w:rPr>
          <w:rFonts w:hint="eastAsia"/>
          <w:color w:val="auto"/>
          <w:highlight w:val="none"/>
          <w:lang w:val="en-US" w:eastAsia="zh-CN"/>
        </w:rPr>
        <w:t>22</w:t>
      </w:r>
      <w:r>
        <w:rPr>
          <w:rFonts w:hint="eastAsia"/>
          <w:color w:val="auto"/>
          <w:highlight w:val="none"/>
        </w:rPr>
        <w:t>年）执行，相关要求为：危险废物运输单位应当如实填写联单的运输单位栏目，按照国家有关危险物品运输的规定，将危险废物安全运抵联单载明的接收地点，并将联单第一联、第二联副联、第三联、第四联、第五联随转移的危险废物交付危险废物接收单位。联单保存期限为五年；贮存危险废物的，其联单保存期限与危险废物贮存期限相同。</w:t>
      </w:r>
    </w:p>
    <w:p>
      <w:pPr>
        <w:widowControl w:val="0"/>
        <w:ind w:firstLine="480"/>
        <w:rPr>
          <w:color w:val="auto"/>
          <w:highlight w:val="none"/>
        </w:rPr>
      </w:pPr>
      <w:r>
        <w:rPr>
          <w:rFonts w:hint="eastAsia"/>
          <w:color w:val="auto"/>
          <w:highlight w:val="none"/>
        </w:rPr>
        <w:t>采取以上措施后，项目运营期产生的危险废物防治措施合理、可行。</w:t>
      </w:r>
    </w:p>
    <w:p>
      <w:pPr>
        <w:widowControl w:val="0"/>
        <w:ind w:firstLine="482"/>
        <w:rPr>
          <w:b/>
          <w:bCs/>
          <w:color w:val="auto"/>
          <w:highlight w:val="none"/>
        </w:rPr>
      </w:pPr>
      <w:r>
        <w:rPr>
          <w:rFonts w:hint="eastAsia"/>
          <w:b/>
          <w:bCs/>
          <w:color w:val="auto"/>
          <w:highlight w:val="none"/>
        </w:rPr>
        <w:t>（</w:t>
      </w:r>
      <w:r>
        <w:rPr>
          <w:b/>
          <w:bCs/>
          <w:color w:val="auto"/>
          <w:highlight w:val="none"/>
        </w:rPr>
        <w:t>7</w:t>
      </w:r>
      <w:r>
        <w:rPr>
          <w:rFonts w:hint="eastAsia"/>
          <w:b/>
          <w:bCs/>
          <w:color w:val="auto"/>
          <w:highlight w:val="none"/>
        </w:rPr>
        <w:t>）固废暂存设施要求</w:t>
      </w:r>
    </w:p>
    <w:p>
      <w:pPr>
        <w:widowControl w:val="0"/>
        <w:ind w:firstLine="482"/>
        <w:rPr>
          <w:b/>
          <w:bCs/>
          <w:color w:val="auto"/>
          <w:highlight w:val="none"/>
        </w:rPr>
      </w:pPr>
      <w:r>
        <w:rPr>
          <w:rFonts w:hint="eastAsia"/>
          <w:b/>
          <w:bCs/>
          <w:color w:val="auto"/>
          <w:highlight w:val="none"/>
        </w:rPr>
        <w:t>①时间要求：</w:t>
      </w:r>
    </w:p>
    <w:p>
      <w:pPr>
        <w:widowControl w:val="0"/>
        <w:ind w:firstLine="480"/>
        <w:rPr>
          <w:color w:val="auto"/>
          <w:highlight w:val="none"/>
        </w:rPr>
      </w:pPr>
      <w:r>
        <w:rPr>
          <w:rFonts w:hint="eastAsia"/>
          <w:color w:val="auto"/>
          <w:highlight w:val="none"/>
        </w:rPr>
        <w:t>应做到日产日清；在春节、国庆等屠宰旺季应提高清运频率，尽量减少猪粪及猪胃内溶物在厂区堆存时间。</w:t>
      </w:r>
    </w:p>
    <w:p>
      <w:pPr>
        <w:widowControl w:val="0"/>
        <w:ind w:firstLine="482"/>
        <w:rPr>
          <w:b/>
          <w:bCs/>
          <w:color w:val="auto"/>
          <w:highlight w:val="none"/>
        </w:rPr>
      </w:pPr>
      <w:r>
        <w:rPr>
          <w:rFonts w:hint="eastAsia"/>
          <w:b/>
          <w:bCs/>
          <w:color w:val="auto"/>
          <w:highlight w:val="none"/>
        </w:rPr>
        <w:t>②地点要求：</w:t>
      </w:r>
    </w:p>
    <w:p>
      <w:pPr>
        <w:widowControl w:val="0"/>
        <w:ind w:firstLine="480"/>
        <w:rPr>
          <w:color w:val="auto"/>
          <w:highlight w:val="none"/>
        </w:rPr>
      </w:pPr>
      <w:r>
        <w:rPr>
          <w:color w:val="auto"/>
          <w:highlight w:val="none"/>
        </w:rPr>
        <w:t>A</w:t>
      </w:r>
      <w:r>
        <w:rPr>
          <w:rFonts w:hint="eastAsia"/>
          <w:color w:val="auto"/>
          <w:highlight w:val="none"/>
        </w:rPr>
        <w:t>、必须与生活垃圾存放地分开，有防雨淋的装置，地基高度应确保设施内不受雨洪冲击或浸泡；</w:t>
      </w:r>
    </w:p>
    <w:p>
      <w:pPr>
        <w:widowControl w:val="0"/>
        <w:ind w:firstLine="480"/>
        <w:rPr>
          <w:color w:val="auto"/>
          <w:highlight w:val="none"/>
        </w:rPr>
      </w:pPr>
      <w:r>
        <w:rPr>
          <w:color w:val="auto"/>
          <w:highlight w:val="none"/>
        </w:rPr>
        <w:t>B</w:t>
      </w:r>
      <w:r>
        <w:rPr>
          <w:rFonts w:hint="eastAsia"/>
          <w:color w:val="auto"/>
          <w:highlight w:val="none"/>
        </w:rPr>
        <w:t>、应有严密的封闭措施，且应地表硬化，做好防渗处理。以及防鼠、防蚊蝇、防蟑螂；</w:t>
      </w:r>
    </w:p>
    <w:p>
      <w:pPr>
        <w:widowControl w:val="0"/>
        <w:ind w:firstLine="480"/>
        <w:rPr>
          <w:color w:val="auto"/>
          <w:highlight w:val="none"/>
        </w:rPr>
      </w:pPr>
      <w:r>
        <w:rPr>
          <w:rFonts w:hint="eastAsia"/>
          <w:color w:val="auto"/>
          <w:highlight w:val="none"/>
        </w:rPr>
        <w:t>此外，生活垃圾堆放场地、垃圾集中箱放置场地要做好防渗处理，及时清运，禁止露天堆放、填埋垃圾渣土；对产生的各类固废要求及时清运，做到日产日清；对固废堆场要经常打药防蚊蝇。</w:t>
      </w:r>
    </w:p>
    <w:p>
      <w:pPr>
        <w:widowControl w:val="0"/>
        <w:ind w:firstLine="482"/>
        <w:rPr>
          <w:color w:val="auto"/>
          <w:highlight w:val="none"/>
        </w:rPr>
      </w:pPr>
      <w:r>
        <w:rPr>
          <w:rFonts w:hint="eastAsia"/>
          <w:b/>
          <w:bCs/>
          <w:color w:val="auto"/>
          <w:highlight w:val="none"/>
        </w:rPr>
        <w:t>综上分析可见，以上固体废弃物处置措施合理，去向明确，采取的防范措施合理，能有效防止固废对环境造成二次污染，不会对周围环境造成影响。</w:t>
      </w:r>
    </w:p>
    <w:p>
      <w:pPr>
        <w:pStyle w:val="5"/>
        <w:widowControl w:val="0"/>
        <w:ind w:firstLine="120"/>
        <w:rPr>
          <w:color w:val="auto"/>
          <w:highlight w:val="none"/>
        </w:rPr>
      </w:pPr>
      <w:r>
        <w:rPr>
          <w:rFonts w:hint="eastAsia"/>
          <w:color w:val="auto"/>
          <w:highlight w:val="none"/>
        </w:rPr>
        <w:t>生态环境影响分析</w:t>
      </w:r>
    </w:p>
    <w:p>
      <w:pPr>
        <w:widowControl w:val="0"/>
        <w:ind w:firstLine="480"/>
        <w:rPr>
          <w:color w:val="auto"/>
          <w:highlight w:val="none"/>
        </w:rPr>
      </w:pPr>
      <w:r>
        <w:rPr>
          <w:rFonts w:hint="eastAsia"/>
          <w:color w:val="auto"/>
          <w:highlight w:val="none"/>
        </w:rPr>
        <w:t>根据现状勘查，本项目周边属于农村生态系统，项目评价区内植被以自然植被为主，但其结构相对简单，物种组成数量少。</w:t>
      </w:r>
    </w:p>
    <w:p>
      <w:pPr>
        <w:widowControl w:val="0"/>
        <w:ind w:firstLine="480"/>
        <w:rPr>
          <w:color w:val="auto"/>
          <w:highlight w:val="none"/>
        </w:rPr>
      </w:pPr>
      <w:r>
        <w:rPr>
          <w:rFonts w:hint="eastAsia"/>
          <w:color w:val="auto"/>
          <w:highlight w:val="none"/>
        </w:rPr>
        <w:t>评价范围内植被主要以杂草和灌木为主的植被，动物主要以小型的麻雀、斑鸠、蛇、老鼠等为主，区域内未发现保护国家及地方珍稀动植物。</w:t>
      </w:r>
    </w:p>
    <w:p>
      <w:pPr>
        <w:widowControl w:val="0"/>
        <w:ind w:firstLine="480"/>
        <w:rPr>
          <w:color w:val="auto"/>
          <w:highlight w:val="none"/>
        </w:rPr>
      </w:pPr>
      <w:r>
        <w:rPr>
          <w:rFonts w:hint="eastAsia"/>
          <w:color w:val="auto"/>
          <w:highlight w:val="none"/>
        </w:rPr>
        <w:t>项目营运期产生的污染物通过防治措施后，对区域环境影响可以接受，同时由于屠宰场附近人为活动频繁，区域偶尔会有鸟类、小型蛇、老鼠等动物出现，且动物的生活习性已和人类活动相适应，因此迁建项目的运营不会对区域动物造成影响。同时通过加强场界绿化植被的建设，栽种常见绿化吸臭植物，也不会对区域植被造成影响。</w:t>
      </w: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r>
        <w:rPr>
          <w:rFonts w:hint="eastAsia"/>
          <w:color w:val="auto"/>
          <w:highlight w:val="none"/>
        </w:rPr>
        <w:br w:type="page"/>
      </w:r>
    </w:p>
    <w:p>
      <w:pPr>
        <w:pStyle w:val="3"/>
        <w:widowControl w:val="0"/>
        <w:ind w:firstLine="643"/>
        <w:rPr>
          <w:color w:val="auto"/>
          <w:highlight w:val="none"/>
        </w:rPr>
      </w:pPr>
      <w:bookmarkStart w:id="75" w:name="_Toc26734"/>
      <w:r>
        <w:rPr>
          <w:rFonts w:hint="eastAsia"/>
          <w:color w:val="auto"/>
          <w:highlight w:val="none"/>
        </w:rPr>
        <w:t>环境风险评价</w:t>
      </w:r>
      <w:bookmarkEnd w:id="75"/>
    </w:p>
    <w:p>
      <w:pPr>
        <w:widowControl w:val="0"/>
        <w:ind w:firstLine="480"/>
        <w:rPr>
          <w:color w:val="auto"/>
          <w:highlight w:val="none"/>
        </w:rPr>
      </w:pPr>
      <w:r>
        <w:rPr>
          <w:rFonts w:hint="eastAsia"/>
          <w:color w:val="auto"/>
          <w:highlight w:val="none"/>
        </w:rPr>
        <w:t>根据《环境影响评价技术导则 环境风险》（</w:t>
      </w:r>
      <w:r>
        <w:rPr>
          <w:color w:val="auto"/>
          <w:highlight w:val="none"/>
        </w:rPr>
        <w:t>HJ 169</w:t>
      </w:r>
      <w:r>
        <w:rPr>
          <w:rFonts w:hint="eastAsia"/>
          <w:color w:val="auto"/>
          <w:highlight w:val="none"/>
        </w:rPr>
        <w:t>－</w:t>
      </w:r>
      <w:r>
        <w:rPr>
          <w:color w:val="auto"/>
          <w:highlight w:val="none"/>
        </w:rPr>
        <w:t>2018</w:t>
      </w:r>
      <w:r>
        <w:rPr>
          <w:rFonts w:hint="eastAsia"/>
          <w:color w:val="auto"/>
          <w:highlight w:val="none"/>
        </w:rPr>
        <w:t>），结合项目生产工艺、污染物性质和所在地环境特点，对建设项目建设和运行期间发生的可预测突发性事件或事故（一般不包括人为破坏及自然灾害）引起有毒有害、易燃易爆等物质泄漏，或突发事件产生新的有毒有害物质，所造成的对人身安全与环境的影响和损害，进行评估，提出防范、应急与减缓措施，以使建设项目事故率、损失和环境影响达到可接受水平。</w:t>
      </w:r>
    </w:p>
    <w:p>
      <w:pPr>
        <w:pStyle w:val="4"/>
        <w:widowControl w:val="0"/>
        <w:rPr>
          <w:color w:val="auto"/>
          <w:highlight w:val="none"/>
        </w:rPr>
      </w:pPr>
      <w:bookmarkStart w:id="76" w:name="_Toc23611"/>
      <w:r>
        <w:rPr>
          <w:rFonts w:hint="eastAsia"/>
          <w:color w:val="auto"/>
          <w:highlight w:val="none"/>
        </w:rPr>
        <w:t>评价依据</w:t>
      </w:r>
      <w:bookmarkEnd w:id="76"/>
    </w:p>
    <w:p>
      <w:pPr>
        <w:pStyle w:val="5"/>
        <w:widowControl w:val="0"/>
        <w:ind w:firstLine="120"/>
        <w:rPr>
          <w:color w:val="auto"/>
          <w:highlight w:val="none"/>
        </w:rPr>
      </w:pPr>
      <w:r>
        <w:rPr>
          <w:rFonts w:hint="eastAsia"/>
          <w:color w:val="auto"/>
          <w:highlight w:val="none"/>
        </w:rPr>
        <w:t>风险调查</w:t>
      </w:r>
    </w:p>
    <w:p>
      <w:pPr>
        <w:pStyle w:val="6"/>
        <w:widowControl w:val="0"/>
        <w:ind w:left="-160" w:firstLineChars="0"/>
        <w:rPr>
          <w:color w:val="auto"/>
          <w:highlight w:val="none"/>
        </w:rPr>
      </w:pPr>
      <w:r>
        <w:rPr>
          <w:rFonts w:hint="eastAsia"/>
          <w:color w:val="auto"/>
          <w:highlight w:val="none"/>
        </w:rPr>
        <w:t>物料风险调查</w:t>
      </w:r>
    </w:p>
    <w:p>
      <w:pPr>
        <w:widowControl w:val="0"/>
        <w:ind w:firstLine="480"/>
        <w:rPr>
          <w:color w:val="auto"/>
          <w:highlight w:val="none"/>
        </w:rPr>
      </w:pPr>
      <w:r>
        <w:rPr>
          <w:rFonts w:hint="eastAsia"/>
          <w:color w:val="auto"/>
          <w:highlight w:val="none"/>
        </w:rPr>
        <w:t>本项目生产过程中使用的原辅材料有</w:t>
      </w:r>
      <w:r>
        <w:rPr>
          <w:color w:val="auto"/>
          <w:highlight w:val="none"/>
        </w:rPr>
        <w:t>R507a</w:t>
      </w:r>
      <w:r>
        <w:rPr>
          <w:rFonts w:hint="eastAsia"/>
          <w:color w:val="auto"/>
          <w:highlight w:val="none"/>
        </w:rPr>
        <w:t>、二氯异氰尿酸钠、聚维酮碘溶液、柴油，物料理化性质见下表。</w:t>
      </w:r>
    </w:p>
    <w:p>
      <w:pPr>
        <w:pStyle w:val="27"/>
        <w:widowControl w:val="0"/>
        <w:rPr>
          <w:color w:val="auto"/>
          <w:highlight w:val="none"/>
        </w:rPr>
      </w:pPr>
      <w:r>
        <w:rPr>
          <w:rFonts w:hint="eastAsia"/>
          <w:color w:val="auto"/>
          <w:highlight w:val="none"/>
        </w:rPr>
        <w:t>项目物料理化性质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8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8538" w:type="dxa"/>
            <w:tcBorders>
              <w:tl2br w:val="nil"/>
              <w:tr2bl w:val="nil"/>
            </w:tcBorders>
            <w:vAlign w:val="center"/>
          </w:tcPr>
          <w:p>
            <w:pPr>
              <w:pStyle w:val="28"/>
              <w:widowControl w:val="0"/>
              <w:rPr>
                <w:b/>
                <w:bCs/>
                <w:color w:val="auto"/>
                <w:highlight w:val="none"/>
              </w:rPr>
            </w:pPr>
            <w:r>
              <w:rPr>
                <w:rFonts w:hint="eastAsia"/>
                <w:b/>
                <w:bCs/>
                <w:color w:val="auto"/>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4" w:type="dxa"/>
            <w:tcBorders>
              <w:tl2br w:val="nil"/>
              <w:tr2bl w:val="nil"/>
            </w:tcBorders>
            <w:vAlign w:val="center"/>
          </w:tcPr>
          <w:p>
            <w:pPr>
              <w:pStyle w:val="28"/>
              <w:widowControl w:val="0"/>
              <w:rPr>
                <w:color w:val="auto"/>
                <w:highlight w:val="none"/>
              </w:rPr>
            </w:pPr>
            <w:r>
              <w:rPr>
                <w:rFonts w:hint="eastAsia"/>
                <w:color w:val="auto"/>
                <w:highlight w:val="none"/>
              </w:rPr>
              <w:t>R507A</w:t>
            </w:r>
          </w:p>
        </w:tc>
        <w:tc>
          <w:tcPr>
            <w:tcW w:w="8538" w:type="dxa"/>
            <w:tcBorders>
              <w:tl2br w:val="nil"/>
              <w:tr2bl w:val="nil"/>
            </w:tcBorders>
          </w:tcPr>
          <w:p>
            <w:pPr>
              <w:pStyle w:val="28"/>
              <w:widowControl w:val="0"/>
              <w:rPr>
                <w:color w:val="auto"/>
                <w:highlight w:val="none"/>
              </w:rPr>
            </w:pPr>
            <w:r>
              <w:rPr>
                <w:rFonts w:hint="eastAsia"/>
                <w:color w:val="auto"/>
                <w:highlight w:val="none"/>
              </w:rPr>
              <w:t>由R-125和R-143a混合而成，在常温下为无色气体，在自身压力下为无色透明液体，无毒不易燃，属于HFC型非共沸环保制冷剂，不会对臭氧层造成破坏，具有清洁、无毒、不燃、制冷效果好等特点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8538" w:type="dxa"/>
            <w:tcBorders>
              <w:tl2br w:val="nil"/>
              <w:tr2bl w:val="nil"/>
            </w:tcBorders>
          </w:tcPr>
          <w:p>
            <w:pPr>
              <w:pStyle w:val="28"/>
              <w:widowControl w:val="0"/>
              <w:rPr>
                <w:color w:val="auto"/>
                <w:highlight w:val="none"/>
              </w:rPr>
            </w:pPr>
            <w:r>
              <w:rPr>
                <w:rFonts w:hint="eastAsia"/>
                <w:color w:val="auto"/>
                <w:highlight w:val="none"/>
              </w:rPr>
              <w:t>白色结晶，有氯气味。熔点230~250</w:t>
            </w:r>
            <w:r>
              <w:rPr>
                <w:color w:val="auto"/>
                <w:highlight w:val="none"/>
              </w:rPr>
              <w:t>℃</w:t>
            </w:r>
            <w:r>
              <w:rPr>
                <w:rFonts w:hint="eastAsia"/>
                <w:color w:val="auto"/>
                <w:highlight w:val="none"/>
              </w:rPr>
              <w:t>，溶于水，用于漂白、消毒、清洗等。急性毒性：LD50：1420mg（大鼠经口）；刺激性：家兔经皮：500mg，重点刺激；家兔经眼：10mg/24h，中毒刺激。禁配物：易燃或可燃物、铵盐、含氮化合物、强氧化剂、强碱、潮湿空气。接触潮气可分解。助燃，具有强刺激性。强氧化剂。与易燃物、有机物接触易着火燃烧。与含氮化合物（如氨、尿素等）反应生成易爆炸的三氯化氮。受热或遇潮易分解释出剧毒的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28"/>
              <w:widowControl w:val="0"/>
              <w:rPr>
                <w:color w:val="auto"/>
                <w:highlight w:val="none"/>
              </w:rPr>
            </w:pPr>
            <w:r>
              <w:rPr>
                <w:rFonts w:hint="eastAsia"/>
                <w:color w:val="auto"/>
                <w:highlight w:val="none"/>
              </w:rPr>
              <w:t>聚维酮碘溶液</w:t>
            </w:r>
          </w:p>
        </w:tc>
        <w:tc>
          <w:tcPr>
            <w:tcW w:w="8538" w:type="dxa"/>
            <w:tcBorders>
              <w:tl2br w:val="nil"/>
              <w:tr2bl w:val="nil"/>
            </w:tcBorders>
          </w:tcPr>
          <w:p>
            <w:pPr>
              <w:pStyle w:val="28"/>
              <w:widowControl w:val="0"/>
              <w:rPr>
                <w:color w:val="auto"/>
                <w:highlight w:val="none"/>
              </w:rPr>
            </w:pPr>
            <w:r>
              <w:rPr>
                <w:rFonts w:hint="eastAsia"/>
                <w:color w:val="auto"/>
                <w:highlight w:val="none"/>
              </w:rPr>
              <w:t>红棕色液体，主要成分为聚维酮碘，辅料为乙二胺四乙酸二钠、碘酸钾、碘化钾、氢氧化钠、纯化水。用于小面积皮肤、黏膜创口的消毒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28"/>
              <w:widowControl w:val="0"/>
              <w:rPr>
                <w:color w:val="auto"/>
                <w:highlight w:val="none"/>
              </w:rPr>
            </w:pPr>
            <w:r>
              <w:rPr>
                <w:rFonts w:hint="eastAsia"/>
                <w:color w:val="auto"/>
                <w:highlight w:val="none"/>
              </w:rPr>
              <w:t>柴油</w:t>
            </w:r>
          </w:p>
        </w:tc>
        <w:tc>
          <w:tcPr>
            <w:tcW w:w="8538" w:type="dxa"/>
            <w:tcBorders>
              <w:tl2br w:val="nil"/>
              <w:tr2bl w:val="nil"/>
            </w:tcBorders>
          </w:tcPr>
          <w:p>
            <w:pPr>
              <w:pStyle w:val="28"/>
              <w:widowControl w:val="0"/>
              <w:rPr>
                <w:color w:val="auto"/>
                <w:highlight w:val="none"/>
              </w:rPr>
            </w:pPr>
            <w:r>
              <w:rPr>
                <w:rFonts w:hint="eastAsia"/>
                <w:color w:val="auto"/>
                <w:highlight w:val="none"/>
              </w:rPr>
              <w:t>稍有粘性的棕色液体，熔点（</w:t>
            </w:r>
            <w:r>
              <w:rPr>
                <w:color w:val="auto"/>
                <w:highlight w:val="none"/>
              </w:rPr>
              <w:t>℃</w:t>
            </w:r>
            <w:r>
              <w:rPr>
                <w:rFonts w:hint="eastAsia"/>
                <w:color w:val="auto"/>
                <w:highlight w:val="none"/>
              </w:rPr>
              <w:t>）：&lt;</w:t>
            </w:r>
            <w:r>
              <w:rPr>
                <w:color w:val="auto"/>
                <w:highlight w:val="none"/>
              </w:rPr>
              <w:t>-18</w:t>
            </w:r>
            <w:r>
              <w:rPr>
                <w:rFonts w:hint="eastAsia"/>
                <w:color w:val="auto"/>
                <w:highlight w:val="none"/>
              </w:rPr>
              <w:t>，沸点（</w:t>
            </w:r>
            <w:r>
              <w:rPr>
                <w:color w:val="auto"/>
                <w:highlight w:val="none"/>
              </w:rPr>
              <w:t>℃</w:t>
            </w:r>
            <w:r>
              <w:rPr>
                <w:rFonts w:hint="eastAsia"/>
                <w:color w:val="auto"/>
                <w:highlight w:val="none"/>
              </w:rPr>
              <w:t>））：</w:t>
            </w:r>
            <w:r>
              <w:rPr>
                <w:color w:val="auto"/>
                <w:highlight w:val="none"/>
              </w:rPr>
              <w:t>282~338</w:t>
            </w:r>
            <w:r>
              <w:rPr>
                <w:rFonts w:hint="eastAsia"/>
                <w:color w:val="auto"/>
                <w:highlight w:val="none"/>
              </w:rPr>
              <w:t>，相对密度（空气</w:t>
            </w:r>
            <w:r>
              <w:rPr>
                <w:color w:val="auto"/>
                <w:highlight w:val="none"/>
              </w:rPr>
              <w:t>=1</w:t>
            </w:r>
            <w:r>
              <w:rPr>
                <w:rFonts w:hint="eastAsia"/>
                <w:color w:val="auto"/>
                <w:highlight w:val="none"/>
              </w:rPr>
              <w:t>）：</w:t>
            </w:r>
            <w:r>
              <w:rPr>
                <w:color w:val="auto"/>
                <w:highlight w:val="none"/>
              </w:rPr>
              <w:t>4</w:t>
            </w:r>
            <w:r>
              <w:rPr>
                <w:rFonts w:hint="eastAsia"/>
                <w:color w:val="auto"/>
                <w:highlight w:val="none"/>
              </w:rPr>
              <w:t>，相对密度（水＝</w:t>
            </w:r>
            <w:r>
              <w:rPr>
                <w:color w:val="auto"/>
                <w:highlight w:val="none"/>
              </w:rPr>
              <w:t>1</w:t>
            </w:r>
            <w:r>
              <w:rPr>
                <w:rFonts w:hint="eastAsia"/>
                <w:color w:val="auto"/>
                <w:highlight w:val="none"/>
              </w:rPr>
              <w:t>：</w:t>
            </w:r>
            <w:r>
              <w:rPr>
                <w:color w:val="auto"/>
                <w:highlight w:val="none"/>
              </w:rPr>
              <w:t>0.87~0.9</w:t>
            </w:r>
            <w:r>
              <w:rPr>
                <w:rFonts w:hint="eastAsia"/>
                <w:color w:val="auto"/>
                <w:highlight w:val="none"/>
              </w:rPr>
              <w:t>，燃烧性：易燃，蒸汽压（</w:t>
            </w:r>
            <w:r>
              <w:rPr>
                <w:color w:val="auto"/>
                <w:highlight w:val="none"/>
              </w:rPr>
              <w:t>kPa</w:t>
            </w:r>
            <w:r>
              <w:rPr>
                <w:rFonts w:hint="eastAsia"/>
                <w:color w:val="auto"/>
                <w:highlight w:val="none"/>
              </w:rPr>
              <w:t>）：</w:t>
            </w:r>
            <w:r>
              <w:rPr>
                <w:color w:val="auto"/>
                <w:highlight w:val="none"/>
              </w:rPr>
              <w:t>4.0</w:t>
            </w:r>
            <w:r>
              <w:rPr>
                <w:rFonts w:hint="eastAsia"/>
                <w:color w:val="auto"/>
                <w:highlight w:val="none"/>
              </w:rPr>
              <w:t>，引燃温度（</w:t>
            </w:r>
            <w:r>
              <w:rPr>
                <w:color w:val="auto"/>
                <w:highlight w:val="none"/>
              </w:rPr>
              <w:t>℃</w:t>
            </w:r>
            <w:r>
              <w:rPr>
                <w:rFonts w:hint="eastAsia"/>
                <w:color w:val="auto"/>
                <w:highlight w:val="none"/>
              </w:rPr>
              <w:t>）：</w:t>
            </w:r>
            <w:r>
              <w:rPr>
                <w:color w:val="auto"/>
                <w:highlight w:val="none"/>
              </w:rPr>
              <w:t>257</w:t>
            </w:r>
            <w:r>
              <w:rPr>
                <w:rFonts w:hint="eastAsia"/>
                <w:color w:val="auto"/>
                <w:highlight w:val="none"/>
              </w:rPr>
              <w:t>，闪点（</w:t>
            </w:r>
            <w:r>
              <w:rPr>
                <w:color w:val="auto"/>
                <w:highlight w:val="none"/>
              </w:rPr>
              <w:t>℃</w:t>
            </w:r>
            <w:r>
              <w:rPr>
                <w:rFonts w:hint="eastAsia"/>
                <w:color w:val="auto"/>
                <w:highlight w:val="none"/>
              </w:rPr>
              <w:t>）：</w:t>
            </w:r>
            <w:r>
              <w:rPr>
                <w:color w:val="auto"/>
                <w:highlight w:val="none"/>
              </w:rPr>
              <w:t>55</w:t>
            </w:r>
            <w:r>
              <w:rPr>
                <w:rFonts w:hint="eastAsia"/>
                <w:color w:val="auto"/>
                <w:highlight w:val="none"/>
              </w:rPr>
              <w:t>，易燃。遇明火、高热或与氧化剂接触，有引起燃烧爆炸的危险。若遇高热，容器内压增大，有开裂和爆炸的危险。燃烧（分解）产物：一氧化碳、二氧化碳、硫氧化物。第</w:t>
            </w:r>
            <w:r>
              <w:rPr>
                <w:color w:val="auto"/>
                <w:highlight w:val="none"/>
              </w:rPr>
              <w:t>3.3</w:t>
            </w:r>
            <w:r>
              <w:rPr>
                <w:rFonts w:hint="eastAsia"/>
                <w:color w:val="auto"/>
                <w:highlight w:val="none"/>
              </w:rPr>
              <w:t>类高闪点易燃液体。</w:t>
            </w:r>
          </w:p>
        </w:tc>
      </w:tr>
    </w:tbl>
    <w:p>
      <w:pPr>
        <w:widowControl w:val="0"/>
        <w:ind w:firstLine="480"/>
        <w:rPr>
          <w:color w:val="auto"/>
          <w:highlight w:val="none"/>
        </w:rPr>
      </w:pPr>
      <w:r>
        <w:rPr>
          <w:rFonts w:hint="eastAsia" w:ascii="宋体" w:hAnsi="宋体"/>
          <w:color w:val="auto"/>
          <w:szCs w:val="24"/>
          <w:highlight w:val="none"/>
        </w:rPr>
        <w:t>根据《建设项目环境风险评价技术导则》（</w:t>
      </w:r>
      <w:r>
        <w:rPr>
          <w:rFonts w:eastAsia="Times New Roman"/>
          <w:color w:val="auto"/>
          <w:szCs w:val="24"/>
          <w:highlight w:val="none"/>
        </w:rPr>
        <w:t>HJ 169-2018</w:t>
      </w:r>
      <w:r>
        <w:rPr>
          <w:rFonts w:hint="eastAsia" w:ascii="宋体" w:hAnsi="宋体"/>
          <w:color w:val="auto"/>
          <w:szCs w:val="24"/>
          <w:highlight w:val="none"/>
        </w:rPr>
        <w:t>）附录</w:t>
      </w:r>
      <w:r>
        <w:rPr>
          <w:rFonts w:eastAsia="Times New Roman"/>
          <w:color w:val="auto"/>
          <w:szCs w:val="24"/>
          <w:highlight w:val="none"/>
        </w:rPr>
        <w:t>B</w:t>
      </w:r>
      <w:r>
        <w:rPr>
          <w:rFonts w:hint="eastAsia" w:ascii="宋体" w:hAnsi="宋体"/>
          <w:color w:val="auto"/>
          <w:szCs w:val="24"/>
          <w:highlight w:val="none"/>
        </w:rPr>
        <w:t>，本项目涉及的环境风险物质为二氯异氰尿酸钠和柴油。</w:t>
      </w:r>
    </w:p>
    <w:p>
      <w:pPr>
        <w:widowControl w:val="0"/>
        <w:ind w:firstLine="480"/>
        <w:rPr>
          <w:color w:val="auto"/>
          <w:highlight w:val="none"/>
        </w:rPr>
      </w:pPr>
    </w:p>
    <w:p>
      <w:pPr>
        <w:pStyle w:val="5"/>
        <w:widowControl w:val="0"/>
        <w:ind w:firstLine="120"/>
        <w:rPr>
          <w:color w:val="auto"/>
          <w:highlight w:val="none"/>
        </w:rPr>
      </w:pPr>
      <w:r>
        <w:rPr>
          <w:rFonts w:hint="eastAsia"/>
          <w:color w:val="auto"/>
          <w:highlight w:val="none"/>
        </w:rPr>
        <w:t>风险潜势初判</w:t>
      </w:r>
    </w:p>
    <w:p>
      <w:pPr>
        <w:pStyle w:val="6"/>
        <w:widowControl w:val="0"/>
        <w:ind w:left="-160" w:firstLineChars="0"/>
        <w:rPr>
          <w:color w:val="auto"/>
          <w:highlight w:val="none"/>
        </w:rPr>
      </w:pPr>
      <w:r>
        <w:rPr>
          <w:rFonts w:hint="eastAsia"/>
          <w:color w:val="auto"/>
          <w:highlight w:val="none"/>
        </w:rPr>
        <w:t>环境风险潜势划分</w:t>
      </w:r>
    </w:p>
    <w:p>
      <w:pPr>
        <w:widowControl w:val="0"/>
        <w:ind w:firstLine="480"/>
        <w:jc w:val="left"/>
        <w:rPr>
          <w:rFonts w:ascii="宋体" w:hAnsi="宋体"/>
          <w:color w:val="auto"/>
          <w:szCs w:val="24"/>
          <w:highlight w:val="none"/>
        </w:rPr>
      </w:pPr>
      <w:r>
        <w:rPr>
          <w:rFonts w:hint="eastAsia" w:ascii="宋体" w:hAnsi="宋体"/>
          <w:color w:val="auto"/>
          <w:szCs w:val="24"/>
          <w:highlight w:val="none"/>
        </w:rPr>
        <w:t>建设项目环境风险潜势划分为Ⅰ、Ⅱ、Ⅲ、Ⅳ</w:t>
      </w:r>
      <w:r>
        <w:rPr>
          <w:rFonts w:hint="eastAsia"/>
          <w:color w:val="auto"/>
          <w:szCs w:val="24"/>
          <w:highlight w:val="none"/>
        </w:rPr>
        <w:t>、</w:t>
      </w:r>
      <w:r>
        <w:rPr>
          <w:rFonts w:hint="eastAsia" w:ascii="宋体" w:hAnsi="宋体"/>
          <w:color w:val="auto"/>
          <w:szCs w:val="24"/>
          <w:highlight w:val="none"/>
        </w:rPr>
        <w:t>Ⅳ</w:t>
      </w:r>
      <w:r>
        <w:rPr>
          <w:rFonts w:eastAsia="Times New Roman"/>
          <w:color w:val="auto"/>
          <w:szCs w:val="24"/>
          <w:highlight w:val="none"/>
        </w:rPr>
        <w:t>+</w:t>
      </w:r>
      <w:r>
        <w:rPr>
          <w:rFonts w:hint="eastAsia" w:ascii="宋体" w:hAnsi="宋体"/>
          <w:color w:val="auto"/>
          <w:szCs w:val="24"/>
          <w:highlight w:val="none"/>
        </w:rPr>
        <w:t>级。根据建设项目涉及的物质和工艺系统的危险性及其所在地的环境敏感程度，结合事故情形下环境影响途径，对建设项目潜在环境危害程度进行概化分析，按照下表确定环境风险潜势。</w:t>
      </w:r>
    </w:p>
    <w:p>
      <w:pPr>
        <w:pStyle w:val="27"/>
        <w:widowControl w:val="0"/>
        <w:rPr>
          <w:color w:val="auto"/>
          <w:highlight w:val="none"/>
        </w:rPr>
      </w:pPr>
      <w:r>
        <w:rPr>
          <w:rFonts w:hint="eastAsia"/>
          <w:color w:val="auto"/>
          <w:highlight w:val="none"/>
        </w:rPr>
        <w:t>建设项目环境风险潜势划分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1853"/>
        <w:gridCol w:w="1853"/>
        <w:gridCol w:w="1853"/>
        <w:gridCol w:w="1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环境敏感程度（E）</w:t>
            </w:r>
          </w:p>
        </w:tc>
        <w:tc>
          <w:tcPr>
            <w:tcW w:w="7413" w:type="dxa"/>
            <w:gridSpan w:val="4"/>
            <w:tcBorders>
              <w:tl2br w:val="nil"/>
              <w:tr2bl w:val="nil"/>
            </w:tcBorders>
            <w:vAlign w:val="center"/>
          </w:tcPr>
          <w:p>
            <w:pPr>
              <w:pStyle w:val="28"/>
              <w:widowControl w:val="0"/>
              <w:rPr>
                <w:b/>
                <w:bCs/>
                <w:color w:val="auto"/>
                <w:highlight w:val="none"/>
              </w:rPr>
            </w:pPr>
            <w:r>
              <w:rPr>
                <w:rFonts w:hint="eastAsia"/>
                <w:b/>
                <w:bCs/>
                <w:color w:val="auto"/>
                <w:highlight w:val="none"/>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vMerge w:val="continue"/>
            <w:tcBorders>
              <w:tl2br w:val="nil"/>
              <w:tr2bl w:val="nil"/>
            </w:tcBorders>
            <w:vAlign w:val="center"/>
          </w:tcPr>
          <w:p>
            <w:pPr>
              <w:pStyle w:val="28"/>
              <w:widowControl w:val="0"/>
              <w:rPr>
                <w:b/>
                <w:bCs/>
                <w:color w:val="auto"/>
                <w:highlight w:val="none"/>
              </w:rPr>
            </w:pPr>
          </w:p>
        </w:tc>
        <w:tc>
          <w:tcPr>
            <w:tcW w:w="1853" w:type="dxa"/>
            <w:tcBorders>
              <w:tl2br w:val="nil"/>
              <w:tr2bl w:val="nil"/>
            </w:tcBorders>
            <w:vAlign w:val="center"/>
          </w:tcPr>
          <w:p>
            <w:pPr>
              <w:pStyle w:val="28"/>
              <w:widowControl w:val="0"/>
              <w:rPr>
                <w:b/>
                <w:bCs/>
                <w:color w:val="auto"/>
                <w:highlight w:val="none"/>
              </w:rPr>
            </w:pPr>
            <w:r>
              <w:rPr>
                <w:rFonts w:hint="eastAsia"/>
                <w:b/>
                <w:bCs/>
                <w:color w:val="auto"/>
                <w:highlight w:val="none"/>
              </w:rPr>
              <w:t>极高危害（P1）</w:t>
            </w:r>
          </w:p>
        </w:tc>
        <w:tc>
          <w:tcPr>
            <w:tcW w:w="1853" w:type="dxa"/>
            <w:tcBorders>
              <w:tl2br w:val="nil"/>
              <w:tr2bl w:val="nil"/>
            </w:tcBorders>
            <w:vAlign w:val="center"/>
          </w:tcPr>
          <w:p>
            <w:pPr>
              <w:pStyle w:val="28"/>
              <w:widowControl w:val="0"/>
              <w:rPr>
                <w:b/>
                <w:bCs/>
                <w:color w:val="auto"/>
                <w:highlight w:val="none"/>
              </w:rPr>
            </w:pPr>
            <w:r>
              <w:rPr>
                <w:rFonts w:hint="eastAsia"/>
                <w:b/>
                <w:bCs/>
                <w:color w:val="auto"/>
                <w:highlight w:val="none"/>
              </w:rPr>
              <w:t>高度危害（P2）</w:t>
            </w:r>
          </w:p>
        </w:tc>
        <w:tc>
          <w:tcPr>
            <w:tcW w:w="1853" w:type="dxa"/>
            <w:tcBorders>
              <w:tl2br w:val="nil"/>
              <w:tr2bl w:val="nil"/>
            </w:tcBorders>
            <w:vAlign w:val="center"/>
          </w:tcPr>
          <w:p>
            <w:pPr>
              <w:pStyle w:val="28"/>
              <w:widowControl w:val="0"/>
              <w:rPr>
                <w:b/>
                <w:bCs/>
                <w:color w:val="auto"/>
                <w:highlight w:val="none"/>
              </w:rPr>
            </w:pPr>
            <w:r>
              <w:rPr>
                <w:rFonts w:hint="eastAsia"/>
                <w:b/>
                <w:bCs/>
                <w:color w:val="auto"/>
                <w:highlight w:val="none"/>
              </w:rPr>
              <w:t>中度危害（P3）</w:t>
            </w:r>
          </w:p>
        </w:tc>
        <w:tc>
          <w:tcPr>
            <w:tcW w:w="1854" w:type="dxa"/>
            <w:tcBorders>
              <w:tl2br w:val="nil"/>
              <w:tr2bl w:val="nil"/>
            </w:tcBorders>
            <w:vAlign w:val="center"/>
          </w:tcPr>
          <w:p>
            <w:pPr>
              <w:pStyle w:val="28"/>
              <w:widowControl w:val="0"/>
              <w:rPr>
                <w:b/>
                <w:bCs/>
                <w:color w:val="auto"/>
                <w:highlight w:val="none"/>
              </w:rPr>
            </w:pPr>
            <w:r>
              <w:rPr>
                <w:rFonts w:hint="eastAsia"/>
                <w:b/>
                <w:bCs/>
                <w:color w:val="auto"/>
                <w:highlight w:val="none"/>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28"/>
              <w:widowControl w:val="0"/>
              <w:rPr>
                <w:color w:val="auto"/>
                <w:highlight w:val="none"/>
              </w:rPr>
            </w:pPr>
            <w:r>
              <w:rPr>
                <w:rFonts w:hint="eastAsia"/>
                <w:color w:val="auto"/>
                <w:highlight w:val="none"/>
              </w:rPr>
              <w:t>环境高度敏感区（E1）</w:t>
            </w:r>
          </w:p>
        </w:tc>
        <w:tc>
          <w:tcPr>
            <w:tcW w:w="1853" w:type="dxa"/>
            <w:tcBorders>
              <w:tl2br w:val="nil"/>
              <w:tr2bl w:val="nil"/>
            </w:tcBorders>
            <w:vAlign w:val="center"/>
          </w:tcPr>
          <w:p>
            <w:pPr>
              <w:pStyle w:val="28"/>
              <w:widowControl w:val="0"/>
              <w:rPr>
                <w:color w:val="auto"/>
                <w:highlight w:val="none"/>
              </w:rPr>
            </w:pPr>
            <w:r>
              <w:rPr>
                <w:color w:val="auto"/>
                <w:highlight w:val="none"/>
              </w:rPr>
              <w:t>Ⅳ</w:t>
            </w:r>
            <w:r>
              <w:rPr>
                <w:rFonts w:hint="eastAsia"/>
                <w:color w:val="auto"/>
                <w:highlight w:val="none"/>
              </w:rPr>
              <w:t>+</w:t>
            </w:r>
          </w:p>
        </w:tc>
        <w:tc>
          <w:tcPr>
            <w:tcW w:w="1853" w:type="dxa"/>
            <w:tcBorders>
              <w:tl2br w:val="nil"/>
              <w:tr2bl w:val="nil"/>
            </w:tcBorders>
            <w:vAlign w:val="center"/>
          </w:tcPr>
          <w:p>
            <w:pPr>
              <w:pStyle w:val="28"/>
              <w:widowControl w:val="0"/>
              <w:rPr>
                <w:color w:val="auto"/>
                <w:highlight w:val="none"/>
              </w:rPr>
            </w:pPr>
            <w:r>
              <w:rPr>
                <w:color w:val="auto"/>
                <w:highlight w:val="none"/>
              </w:rPr>
              <w:t>Ⅳ</w:t>
            </w:r>
          </w:p>
        </w:tc>
        <w:tc>
          <w:tcPr>
            <w:tcW w:w="1853" w:type="dxa"/>
            <w:tcBorders>
              <w:tl2br w:val="nil"/>
              <w:tr2bl w:val="nil"/>
            </w:tcBorders>
            <w:vAlign w:val="center"/>
          </w:tcPr>
          <w:p>
            <w:pPr>
              <w:pStyle w:val="28"/>
              <w:widowControl w:val="0"/>
              <w:rPr>
                <w:color w:val="auto"/>
                <w:highlight w:val="none"/>
              </w:rPr>
            </w:pPr>
            <w:r>
              <w:rPr>
                <w:color w:val="auto"/>
                <w:highlight w:val="none"/>
              </w:rPr>
              <w:t>Ⅲ</w:t>
            </w:r>
          </w:p>
        </w:tc>
        <w:tc>
          <w:tcPr>
            <w:tcW w:w="1854" w:type="dxa"/>
            <w:tcBorders>
              <w:tl2br w:val="nil"/>
              <w:tr2bl w:val="nil"/>
            </w:tcBorders>
            <w:vAlign w:val="center"/>
          </w:tcPr>
          <w:p>
            <w:pPr>
              <w:pStyle w:val="28"/>
              <w:widowControl w:val="0"/>
              <w:rPr>
                <w:color w:val="auto"/>
                <w:highlight w:val="none"/>
              </w:rPr>
            </w:pPr>
            <w:r>
              <w:rPr>
                <w:color w:val="auto"/>
                <w:highlight w:val="none"/>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28"/>
              <w:widowControl w:val="0"/>
              <w:rPr>
                <w:color w:val="auto"/>
                <w:highlight w:val="none"/>
              </w:rPr>
            </w:pPr>
            <w:r>
              <w:rPr>
                <w:rFonts w:hint="eastAsia"/>
                <w:color w:val="auto"/>
                <w:highlight w:val="none"/>
              </w:rPr>
              <w:t>环境中度敏感区（E2）</w:t>
            </w:r>
          </w:p>
        </w:tc>
        <w:tc>
          <w:tcPr>
            <w:tcW w:w="1853" w:type="dxa"/>
            <w:tcBorders>
              <w:tl2br w:val="nil"/>
              <w:tr2bl w:val="nil"/>
            </w:tcBorders>
            <w:vAlign w:val="center"/>
          </w:tcPr>
          <w:p>
            <w:pPr>
              <w:pStyle w:val="28"/>
              <w:widowControl w:val="0"/>
              <w:rPr>
                <w:color w:val="auto"/>
                <w:highlight w:val="none"/>
              </w:rPr>
            </w:pPr>
            <w:r>
              <w:rPr>
                <w:color w:val="auto"/>
                <w:highlight w:val="none"/>
              </w:rPr>
              <w:t>Ⅳ</w:t>
            </w:r>
          </w:p>
        </w:tc>
        <w:tc>
          <w:tcPr>
            <w:tcW w:w="1853" w:type="dxa"/>
            <w:tcBorders>
              <w:tl2br w:val="nil"/>
              <w:tr2bl w:val="nil"/>
            </w:tcBorders>
            <w:vAlign w:val="center"/>
          </w:tcPr>
          <w:p>
            <w:pPr>
              <w:pStyle w:val="28"/>
              <w:widowControl w:val="0"/>
              <w:rPr>
                <w:color w:val="auto"/>
                <w:highlight w:val="none"/>
              </w:rPr>
            </w:pPr>
            <w:r>
              <w:rPr>
                <w:color w:val="auto"/>
                <w:highlight w:val="none"/>
              </w:rPr>
              <w:t>Ⅲ</w:t>
            </w:r>
          </w:p>
        </w:tc>
        <w:tc>
          <w:tcPr>
            <w:tcW w:w="1853" w:type="dxa"/>
            <w:tcBorders>
              <w:tl2br w:val="nil"/>
              <w:tr2bl w:val="nil"/>
            </w:tcBorders>
            <w:vAlign w:val="center"/>
          </w:tcPr>
          <w:p>
            <w:pPr>
              <w:pStyle w:val="28"/>
              <w:widowControl w:val="0"/>
              <w:rPr>
                <w:color w:val="auto"/>
                <w:highlight w:val="none"/>
              </w:rPr>
            </w:pPr>
            <w:r>
              <w:rPr>
                <w:color w:val="auto"/>
                <w:highlight w:val="none"/>
              </w:rPr>
              <w:t>Ⅲ</w:t>
            </w:r>
          </w:p>
        </w:tc>
        <w:tc>
          <w:tcPr>
            <w:tcW w:w="1854" w:type="dxa"/>
            <w:tcBorders>
              <w:tl2br w:val="nil"/>
              <w:tr2bl w:val="nil"/>
            </w:tcBorders>
            <w:vAlign w:val="center"/>
          </w:tcPr>
          <w:p>
            <w:pPr>
              <w:pStyle w:val="28"/>
              <w:widowControl w:val="0"/>
              <w:rPr>
                <w:color w:val="auto"/>
                <w:highlight w:val="none"/>
              </w:rPr>
            </w:pPr>
            <w:r>
              <w:rPr>
                <w:color w:val="auto"/>
                <w:highlight w:val="none"/>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28"/>
              <w:widowControl w:val="0"/>
              <w:rPr>
                <w:color w:val="auto"/>
                <w:highlight w:val="none"/>
              </w:rPr>
            </w:pPr>
            <w:r>
              <w:rPr>
                <w:rFonts w:hint="eastAsia"/>
                <w:color w:val="auto"/>
                <w:highlight w:val="none"/>
              </w:rPr>
              <w:t>环境低度敏感区（E3）</w:t>
            </w:r>
          </w:p>
        </w:tc>
        <w:tc>
          <w:tcPr>
            <w:tcW w:w="1853" w:type="dxa"/>
            <w:tcBorders>
              <w:tl2br w:val="nil"/>
              <w:tr2bl w:val="nil"/>
            </w:tcBorders>
            <w:vAlign w:val="center"/>
          </w:tcPr>
          <w:p>
            <w:pPr>
              <w:pStyle w:val="28"/>
              <w:widowControl w:val="0"/>
              <w:rPr>
                <w:color w:val="auto"/>
                <w:highlight w:val="none"/>
              </w:rPr>
            </w:pPr>
            <w:r>
              <w:rPr>
                <w:color w:val="auto"/>
                <w:highlight w:val="none"/>
              </w:rPr>
              <w:t>Ⅲ</w:t>
            </w:r>
          </w:p>
        </w:tc>
        <w:tc>
          <w:tcPr>
            <w:tcW w:w="1853" w:type="dxa"/>
            <w:tcBorders>
              <w:tl2br w:val="nil"/>
              <w:tr2bl w:val="nil"/>
            </w:tcBorders>
            <w:vAlign w:val="center"/>
          </w:tcPr>
          <w:p>
            <w:pPr>
              <w:pStyle w:val="28"/>
              <w:widowControl w:val="0"/>
              <w:rPr>
                <w:color w:val="auto"/>
                <w:highlight w:val="none"/>
              </w:rPr>
            </w:pPr>
            <w:r>
              <w:rPr>
                <w:color w:val="auto"/>
                <w:highlight w:val="none"/>
              </w:rPr>
              <w:t>Ⅲ</w:t>
            </w:r>
          </w:p>
        </w:tc>
        <w:tc>
          <w:tcPr>
            <w:tcW w:w="1853" w:type="dxa"/>
            <w:tcBorders>
              <w:tl2br w:val="nil"/>
              <w:tr2bl w:val="nil"/>
            </w:tcBorders>
            <w:vAlign w:val="center"/>
          </w:tcPr>
          <w:p>
            <w:pPr>
              <w:pStyle w:val="28"/>
              <w:widowControl w:val="0"/>
              <w:rPr>
                <w:color w:val="auto"/>
                <w:highlight w:val="none"/>
              </w:rPr>
            </w:pPr>
            <w:r>
              <w:rPr>
                <w:color w:val="auto"/>
                <w:highlight w:val="none"/>
              </w:rPr>
              <w:t>Ⅱ</w:t>
            </w:r>
          </w:p>
        </w:tc>
        <w:tc>
          <w:tcPr>
            <w:tcW w:w="1854" w:type="dxa"/>
            <w:tcBorders>
              <w:tl2br w:val="nil"/>
              <w:tr2bl w:val="nil"/>
            </w:tcBorders>
            <w:vAlign w:val="center"/>
          </w:tcPr>
          <w:p>
            <w:pPr>
              <w:pStyle w:val="28"/>
              <w:widowControl w:val="0"/>
              <w:rPr>
                <w:color w:val="auto"/>
                <w:highlight w:val="none"/>
              </w:rPr>
            </w:pPr>
            <w:r>
              <w:rPr>
                <w:color w:val="auto"/>
                <w:highlight w:val="none"/>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jc w:val="both"/>
              <w:rPr>
                <w:color w:val="auto"/>
                <w:highlight w:val="none"/>
              </w:rPr>
            </w:pPr>
            <w:r>
              <w:rPr>
                <w:rFonts w:hint="eastAsia"/>
                <w:color w:val="auto"/>
                <w:highlight w:val="none"/>
              </w:rPr>
              <w:t>注：</w:t>
            </w:r>
            <w:r>
              <w:rPr>
                <w:color w:val="auto"/>
                <w:highlight w:val="none"/>
              </w:rPr>
              <w:t>Ⅳ</w:t>
            </w:r>
            <w:r>
              <w:rPr>
                <w:rFonts w:hint="eastAsia"/>
                <w:color w:val="auto"/>
                <w:highlight w:val="none"/>
              </w:rPr>
              <w:t>+为极高环境风险</w:t>
            </w:r>
          </w:p>
        </w:tc>
      </w:tr>
    </w:tbl>
    <w:p>
      <w:pPr>
        <w:pStyle w:val="6"/>
        <w:widowControl w:val="0"/>
        <w:ind w:left="-160" w:firstLineChars="0"/>
        <w:rPr>
          <w:color w:val="auto"/>
          <w:highlight w:val="none"/>
        </w:rPr>
      </w:pPr>
      <w:r>
        <w:rPr>
          <w:rFonts w:hint="eastAsia"/>
          <w:color w:val="auto"/>
          <w:highlight w:val="none"/>
        </w:rPr>
        <w:t>风险潜势判断</w:t>
      </w:r>
    </w:p>
    <w:p>
      <w:pPr>
        <w:widowControl w:val="0"/>
        <w:ind w:firstLine="480"/>
        <w:rPr>
          <w:color w:val="auto"/>
          <w:highlight w:val="none"/>
        </w:rPr>
      </w:pPr>
      <w:r>
        <w:rPr>
          <w:rFonts w:hint="eastAsia"/>
          <w:color w:val="auto"/>
          <w:highlight w:val="none"/>
        </w:rPr>
        <w:t>依据导则附录</w:t>
      </w:r>
      <w:r>
        <w:rPr>
          <w:color w:val="auto"/>
          <w:highlight w:val="none"/>
        </w:rPr>
        <w:t>B</w:t>
      </w:r>
      <w:r>
        <w:rPr>
          <w:rFonts w:hint="eastAsia"/>
          <w:color w:val="auto"/>
          <w:highlight w:val="none"/>
        </w:rPr>
        <w:t>，确定项目涉及的危险物质，并且以危险物质使用情况和贮存情况为基础，根据导则附录</w:t>
      </w:r>
      <w:r>
        <w:rPr>
          <w:color w:val="auto"/>
          <w:highlight w:val="none"/>
        </w:rPr>
        <w:t>C</w:t>
      </w:r>
      <w:r>
        <w:rPr>
          <w:rFonts w:hint="eastAsia"/>
          <w:color w:val="auto"/>
          <w:highlight w:val="none"/>
        </w:rPr>
        <w:t>进行危险物质存在量（如存在量呈动态变化，则按年度内最大存在量计算）与临界量比值（</w:t>
      </w:r>
      <w:r>
        <w:rPr>
          <w:color w:val="auto"/>
          <w:highlight w:val="none"/>
        </w:rPr>
        <w:t>Q</w:t>
      </w:r>
      <w:r>
        <w:rPr>
          <w:rFonts w:hint="eastAsia"/>
          <w:color w:val="auto"/>
          <w:highlight w:val="none"/>
        </w:rPr>
        <w:t>）的定量估算。</w:t>
      </w:r>
    </w:p>
    <w:p>
      <w:pPr>
        <w:widowControl w:val="0"/>
        <w:ind w:firstLine="480"/>
        <w:rPr>
          <w:color w:val="auto"/>
          <w:highlight w:val="none"/>
        </w:rPr>
      </w:pPr>
      <w:r>
        <w:rPr>
          <w:rFonts w:hint="eastAsia"/>
          <w:color w:val="auto"/>
          <w:highlight w:val="none"/>
        </w:rPr>
        <w:t>当只涉及一种危险物质时，计算该物质的总量与其临界量的比值，即为</w:t>
      </w:r>
      <w:r>
        <w:rPr>
          <w:color w:val="auto"/>
          <w:highlight w:val="none"/>
        </w:rPr>
        <w:t>Q</w:t>
      </w:r>
      <w:r>
        <w:rPr>
          <w:rFonts w:hint="eastAsia"/>
          <w:color w:val="auto"/>
          <w:highlight w:val="none"/>
        </w:rPr>
        <w:t>。</w:t>
      </w:r>
    </w:p>
    <w:p>
      <w:pPr>
        <w:widowControl w:val="0"/>
        <w:ind w:firstLine="480"/>
        <w:rPr>
          <w:color w:val="auto"/>
          <w:highlight w:val="none"/>
        </w:rPr>
      </w:pPr>
      <w:r>
        <w:rPr>
          <w:rFonts w:hint="eastAsia"/>
          <w:color w:val="auto"/>
          <w:highlight w:val="none"/>
        </w:rPr>
        <w:t>当存在多种危险物质时，则按下式计算物质数量与临界量比值（</w:t>
      </w:r>
      <w:r>
        <w:rPr>
          <w:color w:val="auto"/>
          <w:highlight w:val="none"/>
        </w:rPr>
        <w:t>Q</w:t>
      </w:r>
      <w:r>
        <w:rPr>
          <w:rFonts w:hint="eastAsia"/>
          <w:color w:val="auto"/>
          <w:highlight w:val="none"/>
        </w:rPr>
        <w:t>）：</w:t>
      </w:r>
    </w:p>
    <w:p>
      <w:pPr>
        <w:widowControl w:val="0"/>
        <w:ind w:firstLine="0" w:firstLineChars="0"/>
        <w:jc w:val="left"/>
        <w:rPr>
          <w:rFonts w:ascii="宋体" w:hAnsi="宋体"/>
          <w:color w:val="auto"/>
          <w:szCs w:val="24"/>
          <w:highlight w:val="none"/>
        </w:rPr>
      </w:pPr>
      <m:oMathPara>
        <m:oMath>
          <m:r>
            <m:rPr>
              <m:sty m:val="p"/>
            </m:rPr>
            <w:rPr>
              <w:rFonts w:ascii="Cambria Math" w:hAnsi="Cambria Math"/>
              <w:color w:val="auto"/>
              <w:szCs w:val="24"/>
              <w:highlight w:val="none"/>
            </w:rPr>
            <m:t>Q=</m:t>
          </m:r>
          <m:f>
            <m:fPr>
              <m:ctrlPr>
                <w:rPr>
                  <w:rFonts w:ascii="Cambria Math" w:hAnsi="Cambria Math"/>
                  <w:color w:val="auto"/>
                  <w:szCs w:val="24"/>
                  <w:highlight w:val="none"/>
                </w:rPr>
              </m:ctrlPr>
            </m:fPr>
            <m:num>
              <m:sSub>
                <m:sSubPr>
                  <m:ctrlPr>
                    <w:rPr>
                      <w:rFonts w:ascii="Cambria Math" w:hAnsi="Cambria Math"/>
                      <w:color w:val="auto"/>
                      <w:szCs w:val="24"/>
                      <w:highlight w:val="none"/>
                    </w:rPr>
                  </m:ctrlPr>
                </m:sSubPr>
                <m:e>
                  <m:r>
                    <m:rPr>
                      <m:sty m:val="p"/>
                    </m:rPr>
                    <w:rPr>
                      <w:rFonts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1</m:t>
                  </m:r>
                  <m:ctrlPr>
                    <w:rPr>
                      <w:rFonts w:ascii="Cambria Math" w:hAnsi="Cambria Math"/>
                      <w:color w:val="auto"/>
                      <w:szCs w:val="24"/>
                      <w:highlight w:val="none"/>
                    </w:rPr>
                  </m:ctrlPr>
                </m:sub>
              </m:sSub>
              <m:ctrlPr>
                <w:rPr>
                  <w:rFonts w:ascii="Cambria Math" w:hAnsi="Cambria Math"/>
                  <w:color w:val="auto"/>
                  <w:szCs w:val="24"/>
                  <w:highlight w:val="none"/>
                </w:rPr>
              </m:ctrlPr>
            </m:num>
            <m:den>
              <m:sSub>
                <m:sSubPr>
                  <m:ctrlPr>
                    <w:rPr>
                      <w:rFonts w:ascii="Cambria Math" w:hAnsi="Cambria Math"/>
                      <w:color w:val="auto"/>
                      <w:szCs w:val="24"/>
                      <w:highlight w:val="none"/>
                    </w:rPr>
                  </m:ctrlPr>
                </m:sSubPr>
                <m:e>
                  <m:r>
                    <m:rPr>
                      <m:sty m:val="p"/>
                    </m:rPr>
                    <w:rPr>
                      <w:rFonts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1</m:t>
                  </m:r>
                  <m:ctrlPr>
                    <w:rPr>
                      <w:rFonts w:ascii="Cambria Math" w:hAnsi="Cambria Math"/>
                      <w:color w:val="auto"/>
                      <w:szCs w:val="24"/>
                      <w:highlight w:val="none"/>
                    </w:rPr>
                  </m:ctrlPr>
                </m:sub>
              </m:sSub>
              <m:ctrlPr>
                <w:rPr>
                  <w:rFonts w:ascii="Cambria Math" w:hAnsi="Cambria Math"/>
                  <w:color w:val="auto"/>
                  <w:szCs w:val="24"/>
                  <w:highlight w:val="none"/>
                </w:rPr>
              </m:ctrlPr>
            </m:den>
          </m:f>
          <m:r>
            <m:rPr>
              <m:sty m:val="p"/>
            </m:rPr>
            <w:rPr>
              <w:rFonts w:ascii="Cambria Math" w:hAnsi="Cambria Math"/>
              <w:color w:val="auto"/>
              <w:szCs w:val="24"/>
              <w:highlight w:val="none"/>
            </w:rPr>
            <m:t>+</m:t>
          </m:r>
          <m:f>
            <m:fPr>
              <m:ctrlPr>
                <w:rPr>
                  <w:rFonts w:ascii="Cambria Math" w:hAnsi="Cambria Math"/>
                  <w:color w:val="auto"/>
                  <w:szCs w:val="24"/>
                  <w:highlight w:val="none"/>
                </w:rPr>
              </m:ctrlPr>
            </m:fPr>
            <m:num>
              <m:sSub>
                <m:sSubPr>
                  <m:ctrlPr>
                    <w:rPr>
                      <w:rFonts w:ascii="Cambria Math" w:hAnsi="Cambria Math"/>
                      <w:color w:val="auto"/>
                      <w:szCs w:val="24"/>
                      <w:highlight w:val="none"/>
                    </w:rPr>
                  </m:ctrlPr>
                </m:sSubPr>
                <m:e>
                  <m:r>
                    <m:rPr>
                      <m:sty m:val="p"/>
                    </m:rPr>
                    <w:rPr>
                      <w:rFonts w:hint="eastAsia"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2</m:t>
                  </m:r>
                  <m:ctrlPr>
                    <w:rPr>
                      <w:rFonts w:ascii="Cambria Math" w:hAnsi="Cambria Math"/>
                      <w:color w:val="auto"/>
                      <w:szCs w:val="24"/>
                      <w:highlight w:val="none"/>
                    </w:rPr>
                  </m:ctrlPr>
                </m:sub>
              </m:sSub>
              <m:ctrlPr>
                <w:rPr>
                  <w:rFonts w:ascii="Cambria Math" w:hAnsi="Cambria Math"/>
                  <w:color w:val="auto"/>
                  <w:szCs w:val="24"/>
                  <w:highlight w:val="none"/>
                </w:rPr>
              </m:ctrlPr>
            </m:num>
            <m:den>
              <m:sSub>
                <m:sSubPr>
                  <m:ctrlPr>
                    <w:rPr>
                      <w:rFonts w:ascii="Cambria Math" w:hAnsi="Cambria Math"/>
                      <w:color w:val="auto"/>
                      <w:szCs w:val="24"/>
                      <w:highlight w:val="none"/>
                    </w:rPr>
                  </m:ctrlPr>
                </m:sSubPr>
                <m:e>
                  <m:r>
                    <m:rPr>
                      <m:sty m:val="p"/>
                    </m:rPr>
                    <w:rPr>
                      <w:rFonts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2</m:t>
                  </m:r>
                  <m:ctrlPr>
                    <w:rPr>
                      <w:rFonts w:ascii="Cambria Math" w:hAnsi="Cambria Math"/>
                      <w:color w:val="auto"/>
                      <w:szCs w:val="24"/>
                      <w:highlight w:val="none"/>
                    </w:rPr>
                  </m:ctrlPr>
                </m:sub>
              </m:sSub>
              <m:ctrlPr>
                <w:rPr>
                  <w:rFonts w:ascii="Cambria Math" w:hAnsi="Cambria Math"/>
                  <w:color w:val="auto"/>
                  <w:szCs w:val="24"/>
                  <w:highlight w:val="none"/>
                </w:rPr>
              </m:ctrlPr>
            </m:den>
          </m:f>
          <m:r>
            <m:rPr>
              <m:sty m:val="p"/>
            </m:rPr>
            <w:rPr>
              <w:rFonts w:ascii="Cambria Math" w:hAnsi="Cambria Math"/>
              <w:color w:val="auto"/>
              <w:szCs w:val="24"/>
              <w:highlight w:val="none"/>
            </w:rPr>
            <m:t>+⋯+</m:t>
          </m:r>
          <m:f>
            <m:fPr>
              <m:ctrlPr>
                <w:rPr>
                  <w:rFonts w:ascii="Cambria Math" w:hAnsi="Cambria Math"/>
                  <w:color w:val="auto"/>
                  <w:szCs w:val="24"/>
                  <w:highlight w:val="none"/>
                </w:rPr>
              </m:ctrlPr>
            </m:fPr>
            <m:num>
              <m:sSub>
                <m:sSubPr>
                  <m:ctrlPr>
                    <w:rPr>
                      <w:rFonts w:ascii="Cambria Math" w:hAnsi="Cambria Math"/>
                      <w:color w:val="auto"/>
                      <w:szCs w:val="24"/>
                      <w:highlight w:val="none"/>
                    </w:rPr>
                  </m:ctrlPr>
                </m:sSubPr>
                <m:e>
                  <m:r>
                    <m:rPr>
                      <m:sty m:val="p"/>
                    </m:rPr>
                    <w:rPr>
                      <w:rFonts w:hint="eastAsia"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n</m:t>
                  </m:r>
                  <m:ctrlPr>
                    <w:rPr>
                      <w:rFonts w:ascii="Cambria Math" w:hAnsi="Cambria Math"/>
                      <w:color w:val="auto"/>
                      <w:szCs w:val="24"/>
                      <w:highlight w:val="none"/>
                    </w:rPr>
                  </m:ctrlPr>
                </m:sub>
              </m:sSub>
              <m:ctrlPr>
                <w:rPr>
                  <w:rFonts w:ascii="Cambria Math" w:hAnsi="Cambria Math"/>
                  <w:color w:val="auto"/>
                  <w:szCs w:val="24"/>
                  <w:highlight w:val="none"/>
                </w:rPr>
              </m:ctrlPr>
            </m:num>
            <m:den>
              <m:sSub>
                <m:sSubPr>
                  <m:ctrlPr>
                    <w:rPr>
                      <w:rFonts w:ascii="Cambria Math" w:hAnsi="Cambria Math"/>
                      <w:color w:val="auto"/>
                      <w:szCs w:val="24"/>
                      <w:highlight w:val="none"/>
                    </w:rPr>
                  </m:ctrlPr>
                </m:sSubPr>
                <m:e>
                  <m:r>
                    <m:rPr>
                      <m:sty m:val="p"/>
                    </m:rPr>
                    <w:rPr>
                      <w:rFonts w:ascii="Cambria Math" w:hAnsi="Cambria Math"/>
                      <w:color w:val="auto"/>
                      <w:szCs w:val="24"/>
                      <w:highlight w:val="none"/>
                    </w:rPr>
                    <m:t>Q</m:t>
                  </m:r>
                  <m:ctrlPr>
                    <w:rPr>
                      <w:rFonts w:ascii="Cambria Math" w:hAnsi="Cambria Math"/>
                      <w:color w:val="auto"/>
                      <w:szCs w:val="24"/>
                      <w:highlight w:val="none"/>
                    </w:rPr>
                  </m:ctrlPr>
                </m:e>
                <m:sub>
                  <m:r>
                    <m:rPr>
                      <m:sty m:val="p"/>
                    </m:rPr>
                    <w:rPr>
                      <w:rFonts w:ascii="Cambria Math" w:hAnsi="Cambria Math"/>
                      <w:color w:val="auto"/>
                      <w:szCs w:val="24"/>
                      <w:highlight w:val="none"/>
                    </w:rPr>
                    <m:t>n</m:t>
                  </m:r>
                  <m:ctrlPr>
                    <w:rPr>
                      <w:rFonts w:ascii="Cambria Math" w:hAnsi="Cambria Math"/>
                      <w:color w:val="auto"/>
                      <w:szCs w:val="24"/>
                      <w:highlight w:val="none"/>
                    </w:rPr>
                  </m:ctrlPr>
                </m:sub>
              </m:sSub>
              <m:ctrlPr>
                <w:rPr>
                  <w:rFonts w:ascii="Cambria Math" w:hAnsi="Cambria Math"/>
                  <w:color w:val="auto"/>
                  <w:szCs w:val="24"/>
                  <w:highlight w:val="none"/>
                </w:rPr>
              </m:ctrlPr>
            </m:den>
          </m:f>
        </m:oMath>
      </m:oMathPara>
    </w:p>
    <w:p>
      <w:pPr>
        <w:widowControl w:val="0"/>
        <w:ind w:firstLine="480"/>
        <w:jc w:val="left"/>
        <w:rPr>
          <w:rFonts w:ascii="宋体" w:hAnsi="宋体"/>
          <w:color w:val="auto"/>
          <w:szCs w:val="24"/>
          <w:highlight w:val="none"/>
        </w:rPr>
      </w:pPr>
      <w:r>
        <w:rPr>
          <w:rFonts w:hint="eastAsia" w:ascii="宋体" w:hAnsi="宋体"/>
          <w:color w:val="auto"/>
          <w:szCs w:val="24"/>
          <w:highlight w:val="none"/>
        </w:rPr>
        <w:t>式中：</w:t>
      </w:r>
      <w:r>
        <w:rPr>
          <w:rFonts w:eastAsia="Times New Roman"/>
          <w:color w:val="auto"/>
          <w:szCs w:val="24"/>
          <w:highlight w:val="none"/>
        </w:rPr>
        <w:t>q</w:t>
      </w:r>
      <w:r>
        <w:rPr>
          <w:rFonts w:eastAsia="Times New Roman"/>
          <w:color w:val="auto"/>
          <w:sz w:val="16"/>
          <w:szCs w:val="24"/>
          <w:highlight w:val="none"/>
        </w:rPr>
        <w:t>1</w:t>
      </w:r>
      <w:r>
        <w:rPr>
          <w:rFonts w:hint="eastAsia" w:ascii="宋体" w:hAnsi="宋体"/>
          <w:color w:val="auto"/>
          <w:szCs w:val="24"/>
          <w:highlight w:val="none"/>
        </w:rPr>
        <w:t>，</w:t>
      </w:r>
      <w:r>
        <w:rPr>
          <w:rFonts w:eastAsia="Times New Roman"/>
          <w:color w:val="auto"/>
          <w:szCs w:val="24"/>
          <w:highlight w:val="none"/>
        </w:rPr>
        <w:t>q</w:t>
      </w:r>
      <w:r>
        <w:rPr>
          <w:rFonts w:eastAsia="Times New Roman"/>
          <w:color w:val="auto"/>
          <w:sz w:val="16"/>
          <w:szCs w:val="24"/>
          <w:highlight w:val="none"/>
        </w:rPr>
        <w:t>2</w:t>
      </w:r>
      <w:r>
        <w:rPr>
          <w:rFonts w:hint="eastAsia"/>
          <w:color w:val="auto"/>
          <w:sz w:val="16"/>
          <w:szCs w:val="24"/>
          <w:highlight w:val="none"/>
        </w:rPr>
        <w:t>……</w:t>
      </w:r>
      <w:r>
        <w:rPr>
          <w:rFonts w:eastAsia="Times New Roman"/>
          <w:color w:val="auto"/>
          <w:szCs w:val="24"/>
          <w:highlight w:val="none"/>
        </w:rPr>
        <w:t>q</w:t>
      </w:r>
      <w:r>
        <w:rPr>
          <w:rFonts w:eastAsia="Times New Roman"/>
          <w:color w:val="auto"/>
          <w:sz w:val="16"/>
          <w:szCs w:val="24"/>
          <w:highlight w:val="none"/>
        </w:rPr>
        <w:t>n</w:t>
      </w:r>
      <w:r>
        <w:rPr>
          <w:rFonts w:hint="eastAsia" w:ascii="宋体" w:hAnsi="宋体"/>
          <w:color w:val="auto"/>
          <w:szCs w:val="24"/>
          <w:highlight w:val="none"/>
        </w:rPr>
        <w:t>——每种危险物质的最大存在总量，</w:t>
      </w:r>
      <w:r>
        <w:rPr>
          <w:rFonts w:eastAsia="Times New Roman"/>
          <w:color w:val="auto"/>
          <w:szCs w:val="24"/>
          <w:highlight w:val="none"/>
        </w:rPr>
        <w:t>t</w:t>
      </w:r>
      <w:r>
        <w:rPr>
          <w:rFonts w:hint="eastAsia" w:ascii="宋体" w:hAnsi="宋体"/>
          <w:color w:val="auto"/>
          <w:szCs w:val="24"/>
          <w:highlight w:val="none"/>
        </w:rPr>
        <w:t>；</w:t>
      </w:r>
    </w:p>
    <w:p>
      <w:pPr>
        <w:widowControl w:val="0"/>
        <w:ind w:firstLine="480"/>
        <w:jc w:val="left"/>
        <w:rPr>
          <w:rFonts w:ascii="宋体" w:hAnsi="宋体"/>
          <w:color w:val="auto"/>
          <w:szCs w:val="24"/>
          <w:highlight w:val="none"/>
        </w:rPr>
      </w:pPr>
      <w:r>
        <w:rPr>
          <w:rFonts w:eastAsia="Times New Roman"/>
          <w:color w:val="auto"/>
          <w:szCs w:val="24"/>
          <w:highlight w:val="none"/>
        </w:rPr>
        <w:t>Q</w:t>
      </w:r>
      <w:r>
        <w:rPr>
          <w:rFonts w:eastAsia="Times New Roman"/>
          <w:color w:val="auto"/>
          <w:sz w:val="16"/>
          <w:szCs w:val="24"/>
          <w:highlight w:val="none"/>
        </w:rPr>
        <w:t>1</w:t>
      </w:r>
      <w:r>
        <w:rPr>
          <w:rFonts w:hint="eastAsia" w:ascii="宋体" w:hAnsi="宋体"/>
          <w:color w:val="auto"/>
          <w:szCs w:val="24"/>
          <w:highlight w:val="none"/>
        </w:rPr>
        <w:t>，</w:t>
      </w:r>
      <w:r>
        <w:rPr>
          <w:rFonts w:eastAsia="Times New Roman"/>
          <w:color w:val="auto"/>
          <w:szCs w:val="24"/>
          <w:highlight w:val="none"/>
        </w:rPr>
        <w:t>Q</w:t>
      </w:r>
      <w:r>
        <w:rPr>
          <w:rFonts w:eastAsia="Times New Roman"/>
          <w:color w:val="auto"/>
          <w:sz w:val="16"/>
          <w:szCs w:val="24"/>
          <w:highlight w:val="none"/>
        </w:rPr>
        <w:t>2</w:t>
      </w:r>
      <w:r>
        <w:rPr>
          <w:rFonts w:hint="eastAsia"/>
          <w:color w:val="auto"/>
          <w:sz w:val="16"/>
          <w:szCs w:val="24"/>
          <w:highlight w:val="none"/>
        </w:rPr>
        <w:t>……</w:t>
      </w:r>
      <w:r>
        <w:rPr>
          <w:rFonts w:eastAsia="Times New Roman"/>
          <w:color w:val="auto"/>
          <w:szCs w:val="24"/>
          <w:highlight w:val="none"/>
        </w:rPr>
        <w:t>Q</w:t>
      </w:r>
      <w:r>
        <w:rPr>
          <w:rFonts w:eastAsia="Times New Roman"/>
          <w:color w:val="auto"/>
          <w:sz w:val="16"/>
          <w:szCs w:val="24"/>
          <w:highlight w:val="none"/>
        </w:rPr>
        <w:t>n</w:t>
      </w:r>
      <w:r>
        <w:rPr>
          <w:rFonts w:hint="eastAsia" w:ascii="宋体" w:hAnsi="宋体"/>
          <w:color w:val="auto"/>
          <w:szCs w:val="24"/>
          <w:highlight w:val="none"/>
        </w:rPr>
        <w:t>——每种危险物质的临界量，</w:t>
      </w:r>
      <w:r>
        <w:rPr>
          <w:rFonts w:eastAsia="Times New Roman"/>
          <w:color w:val="auto"/>
          <w:szCs w:val="24"/>
          <w:highlight w:val="none"/>
        </w:rPr>
        <w:t>t</w:t>
      </w:r>
      <w:r>
        <w:rPr>
          <w:rFonts w:hint="eastAsia" w:ascii="宋体" w:hAnsi="宋体"/>
          <w:color w:val="auto"/>
          <w:szCs w:val="24"/>
          <w:highlight w:val="none"/>
        </w:rPr>
        <w:t>。</w:t>
      </w:r>
    </w:p>
    <w:p>
      <w:pPr>
        <w:widowControl w:val="0"/>
        <w:ind w:firstLine="480"/>
        <w:jc w:val="left"/>
        <w:rPr>
          <w:rFonts w:ascii="宋体" w:hAnsi="宋体"/>
          <w:color w:val="auto"/>
          <w:szCs w:val="24"/>
          <w:highlight w:val="none"/>
        </w:rPr>
      </w:pPr>
      <w:r>
        <w:rPr>
          <w:rFonts w:eastAsia="Times New Roman"/>
          <w:color w:val="auto"/>
          <w:szCs w:val="24"/>
          <w:highlight w:val="none"/>
        </w:rPr>
        <w:t>Q&lt;1</w:t>
      </w:r>
      <w:r>
        <w:rPr>
          <w:rFonts w:hint="eastAsia" w:ascii="宋体" w:hAnsi="宋体"/>
          <w:color w:val="auto"/>
          <w:szCs w:val="24"/>
          <w:highlight w:val="none"/>
        </w:rPr>
        <w:t>时，该项目环境风险潜势为Ⅰ。</w:t>
      </w:r>
    </w:p>
    <w:p>
      <w:pPr>
        <w:widowControl w:val="0"/>
        <w:ind w:firstLine="480"/>
        <w:rPr>
          <w:color w:val="auto"/>
          <w:highlight w:val="none"/>
        </w:rPr>
      </w:pPr>
      <w:r>
        <w:rPr>
          <w:rFonts w:hint="eastAsia" w:ascii="宋体" w:hAnsi="宋体"/>
          <w:color w:val="auto"/>
          <w:szCs w:val="24"/>
          <w:highlight w:val="none"/>
        </w:rPr>
        <w:t>当</w:t>
      </w:r>
      <w:r>
        <w:rPr>
          <w:rFonts w:eastAsia="Times New Roman"/>
          <w:color w:val="auto"/>
          <w:szCs w:val="24"/>
          <w:highlight w:val="none"/>
        </w:rPr>
        <w:t>Q</w:t>
      </w:r>
      <w:r>
        <w:rPr>
          <w:rFonts w:hint="eastAsia" w:ascii="宋体" w:hAnsi="宋体"/>
          <w:color w:val="auto"/>
          <w:szCs w:val="24"/>
          <w:highlight w:val="none"/>
        </w:rPr>
        <w:t>≥</w:t>
      </w:r>
      <w:r>
        <w:rPr>
          <w:rFonts w:eastAsia="Times New Roman"/>
          <w:color w:val="auto"/>
          <w:szCs w:val="24"/>
          <w:highlight w:val="none"/>
        </w:rPr>
        <w:t>1</w:t>
      </w:r>
      <w:r>
        <w:rPr>
          <w:rFonts w:hint="eastAsia" w:ascii="宋体" w:hAnsi="宋体"/>
          <w:color w:val="auto"/>
          <w:szCs w:val="24"/>
          <w:highlight w:val="none"/>
        </w:rPr>
        <w:t>时，将</w:t>
      </w:r>
      <w:r>
        <w:rPr>
          <w:rFonts w:eastAsia="Times New Roman"/>
          <w:color w:val="auto"/>
          <w:szCs w:val="24"/>
          <w:highlight w:val="none"/>
        </w:rPr>
        <w:t>Q</w:t>
      </w:r>
      <w:r>
        <w:rPr>
          <w:rFonts w:hint="eastAsia" w:ascii="宋体" w:hAnsi="宋体"/>
          <w:color w:val="auto"/>
          <w:szCs w:val="24"/>
          <w:highlight w:val="none"/>
        </w:rPr>
        <w:t>值划分为：（</w:t>
      </w:r>
      <w:r>
        <w:rPr>
          <w:rFonts w:eastAsia="Times New Roman"/>
          <w:color w:val="auto"/>
          <w:szCs w:val="24"/>
          <w:highlight w:val="none"/>
        </w:rPr>
        <w:t>1</w:t>
      </w:r>
      <w:r>
        <w:rPr>
          <w:rFonts w:hint="eastAsia" w:ascii="宋体" w:hAnsi="宋体"/>
          <w:color w:val="auto"/>
          <w:szCs w:val="24"/>
          <w:highlight w:val="none"/>
        </w:rPr>
        <w:t>）</w:t>
      </w:r>
      <w:r>
        <w:rPr>
          <w:rFonts w:eastAsia="Times New Roman"/>
          <w:color w:val="auto"/>
          <w:szCs w:val="24"/>
          <w:highlight w:val="none"/>
        </w:rPr>
        <w:t>1</w:t>
      </w:r>
      <w:r>
        <w:rPr>
          <w:color w:val="auto"/>
          <w:szCs w:val="24"/>
          <w:highlight w:val="none"/>
        </w:rPr>
        <w:t>≤</w:t>
      </w:r>
      <w:r>
        <w:rPr>
          <w:rFonts w:eastAsia="Times New Roman"/>
          <w:color w:val="auto"/>
          <w:szCs w:val="24"/>
          <w:highlight w:val="none"/>
        </w:rPr>
        <w:t>Q</w:t>
      </w:r>
      <w:r>
        <w:rPr>
          <w:rFonts w:hint="eastAsia"/>
          <w:color w:val="auto"/>
          <w:szCs w:val="24"/>
          <w:highlight w:val="none"/>
        </w:rPr>
        <w:t>&lt;</w:t>
      </w:r>
      <w:r>
        <w:rPr>
          <w:rFonts w:eastAsia="Times New Roman"/>
          <w:color w:val="auto"/>
          <w:szCs w:val="24"/>
          <w:highlight w:val="none"/>
        </w:rPr>
        <w:t>10</w:t>
      </w:r>
      <w:r>
        <w:rPr>
          <w:rFonts w:hint="eastAsia" w:ascii="宋体" w:hAnsi="宋体"/>
          <w:color w:val="auto"/>
          <w:szCs w:val="24"/>
          <w:highlight w:val="none"/>
        </w:rPr>
        <w:t>；（</w:t>
      </w:r>
      <w:r>
        <w:rPr>
          <w:rFonts w:eastAsia="Times New Roman"/>
          <w:color w:val="auto"/>
          <w:szCs w:val="24"/>
          <w:highlight w:val="none"/>
        </w:rPr>
        <w:t>2</w:t>
      </w:r>
      <w:r>
        <w:rPr>
          <w:rFonts w:hint="eastAsia" w:ascii="宋体" w:hAnsi="宋体"/>
          <w:color w:val="auto"/>
          <w:szCs w:val="24"/>
          <w:highlight w:val="none"/>
        </w:rPr>
        <w:t>）</w:t>
      </w:r>
      <w:r>
        <w:rPr>
          <w:rFonts w:eastAsia="Times New Roman"/>
          <w:color w:val="auto"/>
          <w:szCs w:val="24"/>
          <w:highlight w:val="none"/>
        </w:rPr>
        <w:t>10</w:t>
      </w:r>
      <w:r>
        <w:rPr>
          <w:color w:val="auto"/>
          <w:szCs w:val="24"/>
          <w:highlight w:val="none"/>
        </w:rPr>
        <w:t>≤</w:t>
      </w:r>
      <w:r>
        <w:rPr>
          <w:rFonts w:eastAsia="Times New Roman"/>
          <w:color w:val="auto"/>
          <w:szCs w:val="24"/>
          <w:highlight w:val="none"/>
        </w:rPr>
        <w:t>Q</w:t>
      </w:r>
      <w:r>
        <w:rPr>
          <w:rFonts w:hint="eastAsia"/>
          <w:color w:val="auto"/>
          <w:szCs w:val="24"/>
          <w:highlight w:val="none"/>
        </w:rPr>
        <w:t>&lt;</w:t>
      </w:r>
      <w:r>
        <w:rPr>
          <w:rFonts w:eastAsia="Times New Roman"/>
          <w:color w:val="auto"/>
          <w:szCs w:val="24"/>
          <w:highlight w:val="none"/>
        </w:rPr>
        <w:t>100</w:t>
      </w:r>
      <w:r>
        <w:rPr>
          <w:rFonts w:hint="eastAsia" w:ascii="宋体" w:hAnsi="宋体"/>
          <w:color w:val="auto"/>
          <w:szCs w:val="24"/>
          <w:highlight w:val="none"/>
        </w:rPr>
        <w:t>；（</w:t>
      </w:r>
      <w:r>
        <w:rPr>
          <w:rFonts w:eastAsia="Times New Roman"/>
          <w:color w:val="auto"/>
          <w:szCs w:val="24"/>
          <w:highlight w:val="none"/>
        </w:rPr>
        <w:t>3</w:t>
      </w:r>
      <w:r>
        <w:rPr>
          <w:rFonts w:hint="eastAsia" w:ascii="宋体" w:hAnsi="宋体"/>
          <w:color w:val="auto"/>
          <w:szCs w:val="24"/>
          <w:highlight w:val="none"/>
        </w:rPr>
        <w:t>）</w:t>
      </w:r>
      <w:r>
        <w:rPr>
          <w:rFonts w:eastAsia="Times New Roman"/>
          <w:color w:val="auto"/>
          <w:szCs w:val="24"/>
          <w:highlight w:val="none"/>
        </w:rPr>
        <w:t>Q</w:t>
      </w:r>
      <w:r>
        <w:rPr>
          <w:color w:val="auto"/>
          <w:szCs w:val="24"/>
          <w:highlight w:val="none"/>
        </w:rPr>
        <w:t>≥</w:t>
      </w:r>
      <w:r>
        <w:rPr>
          <w:rFonts w:eastAsia="Times New Roman"/>
          <w:color w:val="auto"/>
          <w:szCs w:val="24"/>
          <w:highlight w:val="none"/>
        </w:rPr>
        <w:t>100</w:t>
      </w:r>
      <w:r>
        <w:rPr>
          <w:rFonts w:hint="eastAsia" w:ascii="宋体" w:hAnsi="宋体"/>
          <w:color w:val="auto"/>
          <w:szCs w:val="24"/>
          <w:highlight w:val="none"/>
        </w:rPr>
        <w:t>。</w:t>
      </w:r>
    </w:p>
    <w:p>
      <w:pPr>
        <w:widowControl w:val="0"/>
        <w:ind w:firstLine="480"/>
        <w:jc w:val="left"/>
        <w:rPr>
          <w:color w:val="auto"/>
          <w:highlight w:val="none"/>
        </w:rPr>
      </w:pPr>
      <w:r>
        <w:rPr>
          <w:rFonts w:hint="eastAsia" w:ascii="宋体" w:hAnsi="宋体"/>
          <w:color w:val="auto"/>
          <w:szCs w:val="24"/>
          <w:highlight w:val="none"/>
        </w:rPr>
        <w:t>本项目危险物质主要为二氯异氰尿酸钠和柴油，根据表</w:t>
      </w:r>
      <w:r>
        <w:rPr>
          <w:rFonts w:eastAsia="Times New Roman"/>
          <w:color w:val="auto"/>
          <w:szCs w:val="24"/>
          <w:highlight w:val="none"/>
        </w:rPr>
        <w:t>6.1-3</w:t>
      </w:r>
      <w:r>
        <w:rPr>
          <w:rFonts w:hint="eastAsia" w:ascii="宋体" w:hAnsi="宋体"/>
          <w:color w:val="auto"/>
          <w:szCs w:val="24"/>
          <w:highlight w:val="none"/>
        </w:rPr>
        <w:t>，危险物质储存量与临界量比值</w:t>
      </w:r>
      <w:r>
        <w:rPr>
          <w:rFonts w:eastAsia="Times New Roman"/>
          <w:color w:val="auto"/>
          <w:szCs w:val="24"/>
          <w:highlight w:val="none"/>
        </w:rPr>
        <w:t>Q</w:t>
      </w:r>
      <w:r>
        <w:rPr>
          <w:rFonts w:hint="eastAsia" w:ascii="宋体" w:hAnsi="宋体"/>
          <w:color w:val="auto"/>
          <w:szCs w:val="24"/>
          <w:highlight w:val="none"/>
        </w:rPr>
        <w:t>为</w:t>
      </w:r>
      <w:r>
        <w:rPr>
          <w:rFonts w:hint="eastAsia"/>
          <w:color w:val="auto"/>
          <w:szCs w:val="24"/>
          <w:highlight w:val="none"/>
        </w:rPr>
        <w:t>0.004</w:t>
      </w:r>
      <w:r>
        <w:rPr>
          <w:rFonts w:eastAsia="Times New Roman"/>
          <w:color w:val="auto"/>
          <w:szCs w:val="24"/>
          <w:highlight w:val="none"/>
        </w:rPr>
        <w:t>004&lt;1.0</w:t>
      </w:r>
      <w:r>
        <w:rPr>
          <w:rFonts w:hint="eastAsia" w:ascii="宋体" w:hAnsi="宋体"/>
          <w:color w:val="auto"/>
          <w:szCs w:val="24"/>
          <w:highlight w:val="none"/>
        </w:rPr>
        <w:t>。故本项目环境风险潜势为</w:t>
      </w:r>
      <w:r>
        <w:rPr>
          <w:color w:val="auto"/>
          <w:szCs w:val="24"/>
          <w:highlight w:val="none"/>
        </w:rPr>
        <w:t>Ⅰ</w:t>
      </w:r>
      <w:r>
        <w:rPr>
          <w:rFonts w:hint="eastAsia" w:ascii="宋体" w:hAnsi="宋体"/>
          <w:color w:val="auto"/>
          <w:szCs w:val="24"/>
          <w:highlight w:val="none"/>
        </w:rPr>
        <w:t>级。</w:t>
      </w:r>
    </w:p>
    <w:p>
      <w:pPr>
        <w:pStyle w:val="27"/>
        <w:widowControl w:val="0"/>
        <w:rPr>
          <w:color w:val="auto"/>
          <w:highlight w:val="none"/>
        </w:rPr>
      </w:pPr>
      <w:r>
        <w:rPr>
          <w:rFonts w:hint="eastAsia"/>
          <w:color w:val="auto"/>
          <w:highlight w:val="none"/>
        </w:rPr>
        <w:t>项目危险物质情况一览表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1386"/>
        <w:gridCol w:w="1279"/>
        <w:gridCol w:w="1093"/>
        <w:gridCol w:w="876"/>
        <w:gridCol w:w="1548"/>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84" w:type="dxa"/>
            <w:tcBorders>
              <w:tl2br w:val="nil"/>
              <w:tr2bl w:val="nil"/>
            </w:tcBorders>
            <w:vAlign w:val="center"/>
          </w:tcPr>
          <w:p>
            <w:pPr>
              <w:pStyle w:val="28"/>
              <w:widowControl w:val="0"/>
              <w:rPr>
                <w:b/>
                <w:bCs/>
                <w:color w:val="auto"/>
                <w:highlight w:val="none"/>
              </w:rPr>
            </w:pPr>
            <w:r>
              <w:rPr>
                <w:rFonts w:hint="eastAsia"/>
                <w:b/>
                <w:bCs/>
                <w:color w:val="auto"/>
                <w:highlight w:val="none"/>
              </w:rPr>
              <w:t>物质名称</w:t>
            </w:r>
          </w:p>
        </w:tc>
        <w:tc>
          <w:tcPr>
            <w:tcW w:w="1386" w:type="dxa"/>
            <w:tcBorders>
              <w:tl2br w:val="nil"/>
              <w:tr2bl w:val="nil"/>
            </w:tcBorders>
            <w:vAlign w:val="center"/>
          </w:tcPr>
          <w:p>
            <w:pPr>
              <w:pStyle w:val="28"/>
              <w:widowControl w:val="0"/>
              <w:rPr>
                <w:b/>
                <w:bCs/>
                <w:color w:val="auto"/>
                <w:highlight w:val="none"/>
              </w:rPr>
            </w:pPr>
            <w:r>
              <w:rPr>
                <w:rFonts w:hint="eastAsia"/>
                <w:b/>
                <w:bCs/>
                <w:color w:val="auto"/>
                <w:highlight w:val="none"/>
              </w:rPr>
              <w:t>储存区</w:t>
            </w:r>
          </w:p>
        </w:tc>
        <w:tc>
          <w:tcPr>
            <w:tcW w:w="1279" w:type="dxa"/>
            <w:tcBorders>
              <w:tl2br w:val="nil"/>
              <w:tr2bl w:val="nil"/>
            </w:tcBorders>
            <w:vAlign w:val="center"/>
          </w:tcPr>
          <w:p>
            <w:pPr>
              <w:pStyle w:val="28"/>
              <w:widowControl w:val="0"/>
              <w:rPr>
                <w:b/>
                <w:bCs/>
                <w:color w:val="auto"/>
                <w:highlight w:val="none"/>
              </w:rPr>
            </w:pPr>
            <w:r>
              <w:rPr>
                <w:rFonts w:hint="eastAsia"/>
                <w:b/>
                <w:bCs/>
                <w:color w:val="auto"/>
                <w:highlight w:val="none"/>
              </w:rPr>
              <w:t>状态</w:t>
            </w:r>
          </w:p>
        </w:tc>
        <w:tc>
          <w:tcPr>
            <w:tcW w:w="1093" w:type="dxa"/>
            <w:tcBorders>
              <w:tl2br w:val="nil"/>
              <w:tr2bl w:val="nil"/>
            </w:tcBorders>
            <w:vAlign w:val="center"/>
          </w:tcPr>
          <w:p>
            <w:pPr>
              <w:pStyle w:val="28"/>
              <w:widowControl w:val="0"/>
              <w:rPr>
                <w:b/>
                <w:bCs/>
                <w:color w:val="auto"/>
                <w:highlight w:val="none"/>
              </w:rPr>
            </w:pPr>
            <w:r>
              <w:rPr>
                <w:rFonts w:hint="eastAsia"/>
                <w:b/>
                <w:bCs/>
                <w:color w:val="auto"/>
                <w:highlight w:val="none"/>
              </w:rPr>
              <w:t>危险类别</w:t>
            </w:r>
          </w:p>
        </w:tc>
        <w:tc>
          <w:tcPr>
            <w:tcW w:w="876" w:type="dxa"/>
            <w:tcBorders>
              <w:tl2br w:val="nil"/>
              <w:tr2bl w:val="nil"/>
            </w:tcBorders>
            <w:vAlign w:val="center"/>
          </w:tcPr>
          <w:p>
            <w:pPr>
              <w:pStyle w:val="28"/>
              <w:widowControl w:val="0"/>
              <w:rPr>
                <w:b/>
                <w:bCs/>
                <w:color w:val="auto"/>
                <w:highlight w:val="none"/>
              </w:rPr>
            </w:pPr>
            <w:r>
              <w:rPr>
                <w:rFonts w:hint="eastAsia"/>
                <w:b/>
                <w:bCs/>
                <w:color w:val="auto"/>
                <w:highlight w:val="none"/>
              </w:rPr>
              <w:t>临界量</w:t>
            </w:r>
          </w:p>
        </w:tc>
        <w:tc>
          <w:tcPr>
            <w:tcW w:w="1548" w:type="dxa"/>
            <w:tcBorders>
              <w:tl2br w:val="nil"/>
              <w:tr2bl w:val="nil"/>
            </w:tcBorders>
            <w:vAlign w:val="center"/>
          </w:tcPr>
          <w:p>
            <w:pPr>
              <w:pStyle w:val="28"/>
              <w:widowControl w:val="0"/>
              <w:rPr>
                <w:b/>
                <w:bCs/>
                <w:color w:val="auto"/>
                <w:highlight w:val="none"/>
              </w:rPr>
            </w:pPr>
            <w:r>
              <w:rPr>
                <w:rFonts w:hint="eastAsia"/>
                <w:b/>
                <w:bCs/>
                <w:color w:val="auto"/>
                <w:highlight w:val="none"/>
              </w:rPr>
              <w:t>一次最大储存量（t）</w:t>
            </w:r>
          </w:p>
        </w:tc>
        <w:tc>
          <w:tcPr>
            <w:tcW w:w="1654" w:type="dxa"/>
            <w:tcBorders>
              <w:tl2br w:val="nil"/>
              <w:tr2bl w:val="nil"/>
            </w:tcBorders>
            <w:vAlign w:val="center"/>
          </w:tcPr>
          <w:p>
            <w:pPr>
              <w:pStyle w:val="28"/>
              <w:widowControl w:val="0"/>
              <w:rPr>
                <w:b/>
                <w:bCs/>
                <w:color w:val="auto"/>
                <w:highlight w:val="none"/>
              </w:rPr>
            </w:pPr>
            <w:r>
              <w:rPr>
                <w:rFonts w:hint="eastAsia"/>
                <w:b/>
                <w:bCs/>
                <w:color w:val="auto"/>
                <w:highlight w:val="none"/>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84" w:type="dxa"/>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1386" w:type="dxa"/>
            <w:tcBorders>
              <w:tl2br w:val="nil"/>
              <w:tr2bl w:val="nil"/>
            </w:tcBorders>
            <w:vAlign w:val="center"/>
          </w:tcPr>
          <w:p>
            <w:pPr>
              <w:pStyle w:val="28"/>
              <w:widowControl w:val="0"/>
              <w:rPr>
                <w:color w:val="auto"/>
                <w:highlight w:val="none"/>
              </w:rPr>
            </w:pPr>
            <w:r>
              <w:rPr>
                <w:rFonts w:hint="eastAsia"/>
                <w:color w:val="auto"/>
                <w:highlight w:val="none"/>
              </w:rPr>
              <w:t>消毒间</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固体粉状</w:t>
            </w:r>
          </w:p>
        </w:tc>
        <w:tc>
          <w:tcPr>
            <w:tcW w:w="1093" w:type="dxa"/>
            <w:tcBorders>
              <w:tl2br w:val="nil"/>
              <w:tr2bl w:val="nil"/>
            </w:tcBorders>
            <w:vAlign w:val="center"/>
          </w:tcPr>
          <w:p>
            <w:pPr>
              <w:pStyle w:val="28"/>
              <w:widowControl w:val="0"/>
              <w:rPr>
                <w:color w:val="auto"/>
                <w:highlight w:val="none"/>
              </w:rPr>
            </w:pPr>
            <w:r>
              <w:rPr>
                <w:rFonts w:hint="eastAsia"/>
                <w:color w:val="auto"/>
                <w:highlight w:val="none"/>
              </w:rPr>
              <w:t>毒性</w:t>
            </w:r>
          </w:p>
        </w:tc>
        <w:tc>
          <w:tcPr>
            <w:tcW w:w="876"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548" w:type="dxa"/>
            <w:tcBorders>
              <w:tl2br w:val="nil"/>
              <w:tr2bl w:val="nil"/>
            </w:tcBorders>
            <w:vAlign w:val="center"/>
          </w:tcPr>
          <w:p>
            <w:pPr>
              <w:pStyle w:val="28"/>
              <w:widowControl w:val="0"/>
              <w:rPr>
                <w:color w:val="auto"/>
                <w:highlight w:val="none"/>
              </w:rPr>
            </w:pPr>
            <w:r>
              <w:rPr>
                <w:rFonts w:hint="eastAsia"/>
                <w:color w:val="auto"/>
                <w:highlight w:val="none"/>
              </w:rPr>
              <w:t>0.02</w:t>
            </w:r>
          </w:p>
        </w:tc>
        <w:tc>
          <w:tcPr>
            <w:tcW w:w="1654" w:type="dxa"/>
            <w:tcBorders>
              <w:tl2br w:val="nil"/>
              <w:tr2bl w:val="nil"/>
            </w:tcBorders>
            <w:vAlign w:val="center"/>
          </w:tcPr>
          <w:p>
            <w:pPr>
              <w:pStyle w:val="28"/>
              <w:widowControl w:val="0"/>
              <w:rPr>
                <w:color w:val="auto"/>
                <w:highlight w:val="none"/>
              </w:rPr>
            </w:pPr>
            <w:r>
              <w:rPr>
                <w:rFonts w:hint="eastAsia"/>
                <w:color w:val="auto"/>
                <w:highlight w:val="none"/>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84" w:type="dxa"/>
            <w:tcBorders>
              <w:tl2br w:val="nil"/>
              <w:tr2bl w:val="nil"/>
            </w:tcBorders>
            <w:vAlign w:val="center"/>
          </w:tcPr>
          <w:p>
            <w:pPr>
              <w:pStyle w:val="28"/>
              <w:widowControl w:val="0"/>
              <w:rPr>
                <w:color w:val="auto"/>
                <w:highlight w:val="none"/>
              </w:rPr>
            </w:pPr>
            <w:r>
              <w:rPr>
                <w:rFonts w:hint="eastAsia"/>
                <w:color w:val="auto"/>
                <w:highlight w:val="none"/>
              </w:rPr>
              <w:t>柴油</w:t>
            </w:r>
          </w:p>
        </w:tc>
        <w:tc>
          <w:tcPr>
            <w:tcW w:w="1386" w:type="dxa"/>
            <w:tcBorders>
              <w:tl2br w:val="nil"/>
              <w:tr2bl w:val="nil"/>
            </w:tcBorders>
            <w:vAlign w:val="center"/>
          </w:tcPr>
          <w:p>
            <w:pPr>
              <w:pStyle w:val="28"/>
              <w:widowControl w:val="0"/>
              <w:rPr>
                <w:color w:val="auto"/>
                <w:highlight w:val="none"/>
              </w:rPr>
            </w:pPr>
            <w:r>
              <w:rPr>
                <w:rFonts w:hint="eastAsia"/>
                <w:color w:val="auto"/>
                <w:highlight w:val="none"/>
              </w:rPr>
              <w:t>配电房</w:t>
            </w:r>
          </w:p>
        </w:tc>
        <w:tc>
          <w:tcPr>
            <w:tcW w:w="1279" w:type="dxa"/>
            <w:tcBorders>
              <w:tl2br w:val="nil"/>
              <w:tr2bl w:val="nil"/>
            </w:tcBorders>
            <w:vAlign w:val="center"/>
          </w:tcPr>
          <w:p>
            <w:pPr>
              <w:pStyle w:val="28"/>
              <w:widowControl w:val="0"/>
              <w:rPr>
                <w:color w:val="auto"/>
                <w:highlight w:val="none"/>
              </w:rPr>
            </w:pPr>
            <w:r>
              <w:rPr>
                <w:rFonts w:hint="eastAsia"/>
                <w:color w:val="auto"/>
                <w:highlight w:val="none"/>
              </w:rPr>
              <w:t>液体</w:t>
            </w:r>
          </w:p>
        </w:tc>
        <w:tc>
          <w:tcPr>
            <w:tcW w:w="1093" w:type="dxa"/>
            <w:tcBorders>
              <w:tl2br w:val="nil"/>
              <w:tr2bl w:val="nil"/>
            </w:tcBorders>
            <w:vAlign w:val="center"/>
          </w:tcPr>
          <w:p>
            <w:pPr>
              <w:pStyle w:val="28"/>
              <w:widowControl w:val="0"/>
              <w:rPr>
                <w:color w:val="auto"/>
                <w:highlight w:val="none"/>
              </w:rPr>
            </w:pPr>
            <w:r>
              <w:rPr>
                <w:rFonts w:hint="eastAsia"/>
                <w:color w:val="auto"/>
                <w:highlight w:val="none"/>
              </w:rPr>
              <w:t>易燃</w:t>
            </w:r>
          </w:p>
        </w:tc>
        <w:tc>
          <w:tcPr>
            <w:tcW w:w="876" w:type="dxa"/>
            <w:tcBorders>
              <w:tl2br w:val="nil"/>
              <w:tr2bl w:val="nil"/>
            </w:tcBorders>
            <w:vAlign w:val="center"/>
          </w:tcPr>
          <w:p>
            <w:pPr>
              <w:pStyle w:val="28"/>
              <w:widowControl w:val="0"/>
              <w:rPr>
                <w:color w:val="auto"/>
                <w:highlight w:val="none"/>
              </w:rPr>
            </w:pPr>
            <w:r>
              <w:rPr>
                <w:rFonts w:hint="eastAsia"/>
                <w:color w:val="auto"/>
                <w:highlight w:val="none"/>
              </w:rPr>
              <w:t>2500</w:t>
            </w:r>
          </w:p>
        </w:tc>
        <w:tc>
          <w:tcPr>
            <w:tcW w:w="1548" w:type="dxa"/>
            <w:tcBorders>
              <w:tl2br w:val="nil"/>
              <w:tr2bl w:val="nil"/>
            </w:tcBorders>
            <w:vAlign w:val="center"/>
          </w:tcPr>
          <w:p>
            <w:pPr>
              <w:pStyle w:val="28"/>
              <w:widowControl w:val="0"/>
              <w:rPr>
                <w:color w:val="auto"/>
                <w:highlight w:val="none"/>
              </w:rPr>
            </w:pPr>
            <w:r>
              <w:rPr>
                <w:rFonts w:hint="eastAsia"/>
                <w:color w:val="auto"/>
                <w:highlight w:val="none"/>
              </w:rPr>
              <w:t>0.01</w:t>
            </w:r>
          </w:p>
        </w:tc>
        <w:tc>
          <w:tcPr>
            <w:tcW w:w="1654" w:type="dxa"/>
            <w:tcBorders>
              <w:tl2br w:val="nil"/>
              <w:tr2bl w:val="nil"/>
            </w:tcBorders>
            <w:vAlign w:val="center"/>
          </w:tcPr>
          <w:p>
            <w:pPr>
              <w:pStyle w:val="28"/>
              <w:widowControl w:val="0"/>
              <w:rPr>
                <w:color w:val="auto"/>
                <w:highlight w:val="none"/>
              </w:rPr>
            </w:pPr>
            <w:r>
              <w:rPr>
                <w:rFonts w:hint="eastAsia"/>
                <w:color w:val="auto"/>
                <w:highlight w:val="none"/>
              </w:rPr>
              <w:t>0.000004</w:t>
            </w:r>
          </w:p>
        </w:tc>
      </w:tr>
    </w:tbl>
    <w:p>
      <w:pPr>
        <w:pStyle w:val="5"/>
        <w:widowControl w:val="0"/>
        <w:ind w:firstLine="120"/>
        <w:rPr>
          <w:color w:val="auto"/>
          <w:highlight w:val="none"/>
        </w:rPr>
      </w:pPr>
      <w:r>
        <w:rPr>
          <w:rFonts w:hint="eastAsia"/>
          <w:color w:val="auto"/>
          <w:highlight w:val="none"/>
        </w:rPr>
        <w:t>环境风险评价等级</w:t>
      </w:r>
    </w:p>
    <w:p>
      <w:pPr>
        <w:widowControl w:val="0"/>
        <w:ind w:firstLine="480"/>
        <w:rPr>
          <w:color w:val="auto"/>
          <w:highlight w:val="none"/>
        </w:rPr>
      </w:pPr>
      <w:r>
        <w:rPr>
          <w:rFonts w:hint="eastAsia"/>
          <w:color w:val="auto"/>
          <w:highlight w:val="none"/>
        </w:rPr>
        <w:t>本项目风险评价等级见下表。</w:t>
      </w:r>
    </w:p>
    <w:p>
      <w:pPr>
        <w:pStyle w:val="27"/>
        <w:widowControl w:val="0"/>
        <w:rPr>
          <w:color w:val="auto"/>
          <w:highlight w:val="none"/>
        </w:rPr>
      </w:pPr>
      <w:r>
        <w:rPr>
          <w:rFonts w:hint="eastAsia"/>
          <w:color w:val="auto"/>
          <w:highlight w:val="none"/>
        </w:rPr>
        <w:t>评价工作等级划分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924"/>
        <w:gridCol w:w="192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28"/>
              <w:widowControl w:val="0"/>
              <w:rPr>
                <w:b/>
                <w:bCs/>
                <w:color w:val="auto"/>
                <w:highlight w:val="none"/>
              </w:rPr>
            </w:pPr>
            <w:r>
              <w:rPr>
                <w:rFonts w:hint="eastAsia"/>
                <w:b/>
                <w:bCs/>
                <w:color w:val="auto"/>
                <w:highlight w:val="none"/>
              </w:rPr>
              <w:t>环境风险潜势</w:t>
            </w:r>
          </w:p>
        </w:tc>
        <w:tc>
          <w:tcPr>
            <w:tcW w:w="1924" w:type="dxa"/>
            <w:tcBorders>
              <w:tl2br w:val="nil"/>
              <w:tr2bl w:val="nil"/>
            </w:tcBorders>
            <w:vAlign w:val="center"/>
          </w:tcPr>
          <w:p>
            <w:pPr>
              <w:pStyle w:val="28"/>
              <w:widowControl w:val="0"/>
              <w:rPr>
                <w:b/>
                <w:bCs/>
                <w:color w:val="auto"/>
                <w:highlight w:val="none"/>
              </w:rPr>
            </w:pPr>
            <w:r>
              <w:rPr>
                <w:b/>
                <w:bCs/>
                <w:color w:val="auto"/>
                <w:sz w:val="22"/>
                <w:szCs w:val="24"/>
                <w:highlight w:val="none"/>
              </w:rPr>
              <w:t>Ⅳ、Ⅳ+</w:t>
            </w:r>
          </w:p>
        </w:tc>
        <w:tc>
          <w:tcPr>
            <w:tcW w:w="1924" w:type="dxa"/>
            <w:tcBorders>
              <w:tl2br w:val="nil"/>
              <w:tr2bl w:val="nil"/>
            </w:tcBorders>
            <w:vAlign w:val="center"/>
          </w:tcPr>
          <w:p>
            <w:pPr>
              <w:pStyle w:val="28"/>
              <w:widowControl w:val="0"/>
              <w:rPr>
                <w:b/>
                <w:bCs/>
                <w:color w:val="auto"/>
                <w:highlight w:val="none"/>
              </w:rPr>
            </w:pPr>
            <w:r>
              <w:rPr>
                <w:b/>
                <w:bCs/>
                <w:color w:val="auto"/>
                <w:sz w:val="22"/>
                <w:szCs w:val="24"/>
                <w:highlight w:val="none"/>
              </w:rPr>
              <w:t>Ⅲ</w:t>
            </w:r>
          </w:p>
        </w:tc>
        <w:tc>
          <w:tcPr>
            <w:tcW w:w="1925" w:type="dxa"/>
            <w:tcBorders>
              <w:tl2br w:val="nil"/>
              <w:tr2bl w:val="nil"/>
            </w:tcBorders>
            <w:vAlign w:val="center"/>
          </w:tcPr>
          <w:p>
            <w:pPr>
              <w:pStyle w:val="28"/>
              <w:widowControl w:val="0"/>
              <w:rPr>
                <w:b/>
                <w:bCs/>
                <w:color w:val="auto"/>
                <w:highlight w:val="none"/>
              </w:rPr>
            </w:pPr>
            <w:r>
              <w:rPr>
                <w:b/>
                <w:bCs/>
                <w:color w:val="auto"/>
                <w:sz w:val="22"/>
                <w:szCs w:val="24"/>
                <w:highlight w:val="none"/>
              </w:rPr>
              <w:t>Ⅱ</w:t>
            </w:r>
          </w:p>
        </w:tc>
        <w:tc>
          <w:tcPr>
            <w:tcW w:w="1925" w:type="dxa"/>
            <w:tcBorders>
              <w:tl2br w:val="nil"/>
              <w:tr2bl w:val="nil"/>
            </w:tcBorders>
            <w:vAlign w:val="center"/>
          </w:tcPr>
          <w:p>
            <w:pPr>
              <w:pStyle w:val="28"/>
              <w:widowControl w:val="0"/>
              <w:rPr>
                <w:b/>
                <w:bCs/>
                <w:color w:val="auto"/>
                <w:highlight w:val="none"/>
              </w:rPr>
            </w:pPr>
            <w:r>
              <w:rPr>
                <w:b/>
                <w:bCs/>
                <w:color w:val="auto"/>
                <w:sz w:val="22"/>
                <w:szCs w:val="24"/>
                <w:highlight w:val="none"/>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28"/>
              <w:widowControl w:val="0"/>
              <w:rPr>
                <w:color w:val="auto"/>
                <w:highlight w:val="none"/>
              </w:rPr>
            </w:pPr>
            <w:r>
              <w:rPr>
                <w:rFonts w:hint="eastAsia"/>
                <w:color w:val="auto"/>
                <w:highlight w:val="none"/>
              </w:rPr>
              <w:t>评价工作等级</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一</w:t>
            </w:r>
          </w:p>
        </w:tc>
        <w:tc>
          <w:tcPr>
            <w:tcW w:w="1924" w:type="dxa"/>
            <w:tcBorders>
              <w:tl2br w:val="nil"/>
              <w:tr2bl w:val="nil"/>
            </w:tcBorders>
            <w:vAlign w:val="center"/>
          </w:tcPr>
          <w:p>
            <w:pPr>
              <w:pStyle w:val="28"/>
              <w:widowControl w:val="0"/>
              <w:rPr>
                <w:color w:val="auto"/>
                <w:highlight w:val="none"/>
              </w:rPr>
            </w:pPr>
            <w:r>
              <w:rPr>
                <w:rFonts w:hint="eastAsia"/>
                <w:color w:val="auto"/>
                <w:highlight w:val="none"/>
              </w:rPr>
              <w:t>二</w:t>
            </w:r>
          </w:p>
        </w:tc>
        <w:tc>
          <w:tcPr>
            <w:tcW w:w="1925" w:type="dxa"/>
            <w:tcBorders>
              <w:tl2br w:val="nil"/>
              <w:tr2bl w:val="nil"/>
            </w:tcBorders>
            <w:vAlign w:val="center"/>
          </w:tcPr>
          <w:p>
            <w:pPr>
              <w:pStyle w:val="28"/>
              <w:widowControl w:val="0"/>
              <w:rPr>
                <w:color w:val="auto"/>
                <w:highlight w:val="none"/>
              </w:rPr>
            </w:pPr>
            <w:r>
              <w:rPr>
                <w:rFonts w:hint="eastAsia"/>
                <w:color w:val="auto"/>
                <w:highlight w:val="none"/>
              </w:rPr>
              <w:t>三</w:t>
            </w:r>
          </w:p>
        </w:tc>
        <w:tc>
          <w:tcPr>
            <w:tcW w:w="1925" w:type="dxa"/>
            <w:tcBorders>
              <w:tl2br w:val="nil"/>
              <w:tr2bl w:val="nil"/>
            </w:tcBorders>
            <w:vAlign w:val="center"/>
          </w:tcPr>
          <w:p>
            <w:pPr>
              <w:pStyle w:val="28"/>
              <w:widowControl w:val="0"/>
              <w:rPr>
                <w:color w:val="auto"/>
                <w:highlight w:val="none"/>
                <w:vertAlign w:val="superscript"/>
              </w:rPr>
            </w:pPr>
            <w:r>
              <w:rPr>
                <w:rFonts w:hint="eastAsia"/>
                <w:color w:val="auto"/>
                <w:highlight w:val="none"/>
              </w:rPr>
              <w:t>简单分析</w:t>
            </w:r>
            <w:r>
              <w:rPr>
                <w:rFonts w:hint="eastAsia"/>
                <w:color w:val="auto"/>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28"/>
              <w:widowControl w:val="0"/>
              <w:rPr>
                <w:color w:val="auto"/>
                <w:highlight w:val="none"/>
              </w:rPr>
            </w:pPr>
            <w:r>
              <w:rPr>
                <w:rFonts w:hint="eastAsia"/>
                <w:color w:val="auto"/>
                <w:highlight w:val="none"/>
                <w:vertAlign w:val="superscript"/>
              </w:rPr>
              <w:t>a</w:t>
            </w:r>
            <w:r>
              <w:rPr>
                <w:rFonts w:hint="eastAsia"/>
                <w:color w:val="auto"/>
                <w:highlight w:val="none"/>
              </w:rPr>
              <w:t>是相对于详细评价工作内容而言，在描述危险物质、环境影响途径、环境危害后果、风险防范措施等方面给出定性的说明。</w:t>
            </w:r>
          </w:p>
        </w:tc>
      </w:tr>
    </w:tbl>
    <w:p>
      <w:pPr>
        <w:widowControl w:val="0"/>
        <w:ind w:firstLine="480"/>
        <w:rPr>
          <w:color w:val="auto"/>
          <w:highlight w:val="none"/>
        </w:rPr>
      </w:pPr>
      <w:r>
        <w:rPr>
          <w:rFonts w:hint="eastAsia"/>
          <w:color w:val="auto"/>
          <w:highlight w:val="none"/>
        </w:rPr>
        <w:t>本项目环境风险潜势为</w:t>
      </w:r>
      <w:r>
        <w:rPr>
          <w:color w:val="auto"/>
          <w:highlight w:val="none"/>
        </w:rPr>
        <w:t>Ⅰ</w:t>
      </w:r>
      <w:r>
        <w:rPr>
          <w:rFonts w:hint="eastAsia"/>
          <w:color w:val="auto"/>
          <w:highlight w:val="none"/>
        </w:rPr>
        <w:t>，根据上表评价工作等级划分，本项目环境风险可开展简单分析。</w:t>
      </w:r>
    </w:p>
    <w:p>
      <w:pPr>
        <w:pStyle w:val="4"/>
        <w:widowControl w:val="0"/>
        <w:rPr>
          <w:color w:val="auto"/>
          <w:highlight w:val="none"/>
        </w:rPr>
      </w:pPr>
      <w:bookmarkStart w:id="77" w:name="_Toc18903"/>
      <w:r>
        <w:rPr>
          <w:rFonts w:hint="eastAsia"/>
          <w:color w:val="auto"/>
          <w:highlight w:val="none"/>
        </w:rPr>
        <w:t>环境风险识别</w:t>
      </w:r>
      <w:bookmarkEnd w:id="77"/>
    </w:p>
    <w:p>
      <w:pPr>
        <w:pStyle w:val="5"/>
        <w:widowControl w:val="0"/>
        <w:ind w:firstLine="120"/>
        <w:rPr>
          <w:color w:val="auto"/>
          <w:highlight w:val="none"/>
        </w:rPr>
      </w:pPr>
      <w:r>
        <w:rPr>
          <w:rFonts w:hint="eastAsia"/>
          <w:color w:val="auto"/>
          <w:highlight w:val="none"/>
        </w:rPr>
        <w:t>物质危险性识别</w:t>
      </w:r>
    </w:p>
    <w:p>
      <w:pPr>
        <w:widowControl w:val="0"/>
        <w:ind w:firstLine="480"/>
        <w:rPr>
          <w:color w:val="auto"/>
          <w:highlight w:val="none"/>
        </w:rPr>
      </w:pPr>
      <w:r>
        <w:rPr>
          <w:rFonts w:hint="eastAsia"/>
          <w:color w:val="auto"/>
          <w:highlight w:val="none"/>
        </w:rPr>
        <w:t>根据《建设项目环境风险评价技术导则》（</w:t>
      </w:r>
      <w:r>
        <w:rPr>
          <w:color w:val="auto"/>
          <w:highlight w:val="none"/>
        </w:rPr>
        <w:t>HJ 169</w:t>
      </w:r>
      <w:r>
        <w:rPr>
          <w:rFonts w:hint="eastAsia"/>
          <w:color w:val="auto"/>
          <w:highlight w:val="none"/>
        </w:rPr>
        <w:t>—</w:t>
      </w:r>
      <w:r>
        <w:rPr>
          <w:color w:val="auto"/>
          <w:highlight w:val="none"/>
        </w:rPr>
        <w:t>2018</w:t>
      </w:r>
      <w:r>
        <w:rPr>
          <w:rFonts w:hint="eastAsia"/>
          <w:color w:val="auto"/>
          <w:highlight w:val="none"/>
        </w:rPr>
        <w:t>）附录</w:t>
      </w:r>
      <w:r>
        <w:rPr>
          <w:color w:val="auto"/>
          <w:highlight w:val="none"/>
        </w:rPr>
        <w:t>B</w:t>
      </w:r>
      <w:r>
        <w:rPr>
          <w:rFonts w:hint="eastAsia"/>
          <w:color w:val="auto"/>
          <w:highlight w:val="none"/>
        </w:rPr>
        <w:t>，本项目涉及的物质理化性质见下表。</w:t>
      </w:r>
    </w:p>
    <w:p>
      <w:pPr>
        <w:pStyle w:val="27"/>
        <w:widowControl w:val="0"/>
        <w:rPr>
          <w:color w:val="auto"/>
          <w:highlight w:val="none"/>
        </w:rPr>
      </w:pPr>
      <w:r>
        <w:rPr>
          <w:rFonts w:hint="eastAsia"/>
          <w:color w:val="auto"/>
          <w:highlight w:val="none"/>
        </w:rPr>
        <w:t>项目所涉及的危险物质的理化性质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090"/>
        <w:gridCol w:w="1001"/>
        <w:gridCol w:w="907"/>
        <w:gridCol w:w="1049"/>
        <w:gridCol w:w="1094"/>
        <w:gridCol w:w="1205"/>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567" w:type="pct"/>
            <w:tcBorders>
              <w:tl2br w:val="nil"/>
              <w:tr2bl w:val="nil"/>
            </w:tcBorders>
            <w:vAlign w:val="center"/>
          </w:tcPr>
          <w:p>
            <w:pPr>
              <w:pStyle w:val="28"/>
              <w:widowControl w:val="0"/>
              <w:rPr>
                <w:b/>
                <w:bCs/>
                <w:color w:val="auto"/>
                <w:highlight w:val="none"/>
              </w:rPr>
            </w:pPr>
            <w:r>
              <w:rPr>
                <w:rFonts w:hint="eastAsia"/>
                <w:b/>
                <w:bCs/>
                <w:color w:val="auto"/>
                <w:highlight w:val="none"/>
              </w:rPr>
              <w:t>物质名称</w:t>
            </w:r>
          </w:p>
        </w:tc>
        <w:tc>
          <w:tcPr>
            <w:tcW w:w="521" w:type="pct"/>
            <w:tcBorders>
              <w:tl2br w:val="nil"/>
              <w:tr2bl w:val="nil"/>
            </w:tcBorders>
            <w:vAlign w:val="center"/>
          </w:tcPr>
          <w:p>
            <w:pPr>
              <w:pStyle w:val="28"/>
              <w:widowControl w:val="0"/>
              <w:rPr>
                <w:b/>
                <w:bCs/>
                <w:color w:val="auto"/>
                <w:highlight w:val="none"/>
              </w:rPr>
            </w:pPr>
            <w:r>
              <w:rPr>
                <w:rFonts w:hint="eastAsia"/>
                <w:b/>
                <w:bCs/>
                <w:color w:val="auto"/>
                <w:highlight w:val="none"/>
              </w:rPr>
              <w:t>性状</w:t>
            </w:r>
          </w:p>
        </w:tc>
        <w:tc>
          <w:tcPr>
            <w:tcW w:w="472" w:type="pct"/>
            <w:tcBorders>
              <w:tl2br w:val="nil"/>
              <w:tr2bl w:val="nil"/>
            </w:tcBorders>
            <w:vAlign w:val="center"/>
          </w:tcPr>
          <w:p>
            <w:pPr>
              <w:pStyle w:val="28"/>
              <w:widowControl w:val="0"/>
              <w:rPr>
                <w:b/>
                <w:bCs/>
                <w:color w:val="auto"/>
                <w:highlight w:val="none"/>
              </w:rPr>
            </w:pPr>
            <w:r>
              <w:rPr>
                <w:rFonts w:hint="eastAsia"/>
                <w:b/>
                <w:bCs/>
                <w:color w:val="auto"/>
                <w:highlight w:val="none"/>
              </w:rPr>
              <w:t>熔点（</w:t>
            </w:r>
            <w:r>
              <w:rPr>
                <w:b/>
                <w:bCs/>
                <w:color w:val="auto"/>
                <w:highlight w:val="none"/>
              </w:rPr>
              <w:t>℃</w:t>
            </w:r>
            <w:r>
              <w:rPr>
                <w:rFonts w:hint="eastAsia"/>
                <w:b/>
                <w:bCs/>
                <w:color w:val="auto"/>
                <w:highlight w:val="none"/>
              </w:rPr>
              <w:t>）</w:t>
            </w:r>
          </w:p>
        </w:tc>
        <w:tc>
          <w:tcPr>
            <w:tcW w:w="546" w:type="pct"/>
            <w:tcBorders>
              <w:tl2br w:val="nil"/>
              <w:tr2bl w:val="nil"/>
            </w:tcBorders>
            <w:vAlign w:val="center"/>
          </w:tcPr>
          <w:p>
            <w:pPr>
              <w:pStyle w:val="28"/>
              <w:widowControl w:val="0"/>
              <w:rPr>
                <w:b/>
                <w:bCs/>
                <w:color w:val="auto"/>
                <w:highlight w:val="none"/>
              </w:rPr>
            </w:pPr>
            <w:r>
              <w:rPr>
                <w:rFonts w:hint="eastAsia"/>
                <w:b/>
                <w:bCs/>
                <w:color w:val="auto"/>
                <w:highlight w:val="none"/>
              </w:rPr>
              <w:t>爆炸极限（V%）</w:t>
            </w:r>
          </w:p>
        </w:tc>
        <w:tc>
          <w:tcPr>
            <w:tcW w:w="569" w:type="pct"/>
            <w:tcBorders>
              <w:tl2br w:val="nil"/>
              <w:tr2bl w:val="nil"/>
            </w:tcBorders>
            <w:vAlign w:val="center"/>
          </w:tcPr>
          <w:p>
            <w:pPr>
              <w:pStyle w:val="28"/>
              <w:widowControl w:val="0"/>
              <w:rPr>
                <w:b/>
                <w:bCs/>
                <w:color w:val="auto"/>
                <w:highlight w:val="none"/>
              </w:rPr>
            </w:pPr>
            <w:r>
              <w:rPr>
                <w:rFonts w:hint="eastAsia"/>
                <w:b/>
                <w:bCs/>
                <w:color w:val="auto"/>
                <w:highlight w:val="none"/>
              </w:rPr>
              <w:t>LD</w:t>
            </w:r>
            <w:r>
              <w:rPr>
                <w:rFonts w:hint="eastAsia"/>
                <w:b/>
                <w:bCs/>
                <w:color w:val="auto"/>
                <w:highlight w:val="none"/>
                <w:vertAlign w:val="subscript"/>
              </w:rPr>
              <w:t>50</w:t>
            </w:r>
            <w:r>
              <w:rPr>
                <w:rFonts w:hint="eastAsia"/>
                <w:b/>
                <w:bCs/>
                <w:color w:val="auto"/>
                <w:highlight w:val="none"/>
              </w:rPr>
              <w:t>（mg/kg）</w:t>
            </w:r>
          </w:p>
        </w:tc>
        <w:tc>
          <w:tcPr>
            <w:tcW w:w="627" w:type="pct"/>
            <w:tcBorders>
              <w:tl2br w:val="nil"/>
              <w:tr2bl w:val="nil"/>
            </w:tcBorders>
            <w:vAlign w:val="center"/>
          </w:tcPr>
          <w:p>
            <w:pPr>
              <w:pStyle w:val="28"/>
              <w:widowControl w:val="0"/>
              <w:rPr>
                <w:b/>
                <w:bCs/>
                <w:color w:val="auto"/>
                <w:highlight w:val="none"/>
              </w:rPr>
            </w:pPr>
            <w:r>
              <w:rPr>
                <w:rFonts w:hint="eastAsia"/>
                <w:b/>
                <w:bCs/>
                <w:color w:val="auto"/>
                <w:highlight w:val="none"/>
              </w:rPr>
              <w:t>CAS号</w:t>
            </w:r>
          </w:p>
        </w:tc>
        <w:tc>
          <w:tcPr>
            <w:tcW w:w="1475" w:type="pct"/>
            <w:tcBorders>
              <w:tl2br w:val="nil"/>
              <w:tr2bl w:val="nil"/>
            </w:tcBorders>
            <w:vAlign w:val="center"/>
          </w:tcPr>
          <w:p>
            <w:pPr>
              <w:pStyle w:val="28"/>
              <w:widowControl w:val="0"/>
              <w:rPr>
                <w:b/>
                <w:bCs/>
                <w:color w:val="auto"/>
                <w:highlight w:val="none"/>
              </w:rPr>
            </w:pPr>
            <w:r>
              <w:rPr>
                <w:rFonts w:hint="eastAsia"/>
                <w:b/>
                <w:bCs/>
                <w:color w:val="auto"/>
                <w:highlight w:val="none"/>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567" w:type="pct"/>
            <w:tcBorders>
              <w:tl2br w:val="nil"/>
              <w:tr2bl w:val="nil"/>
            </w:tcBorders>
            <w:vAlign w:val="center"/>
          </w:tcPr>
          <w:p>
            <w:pPr>
              <w:pStyle w:val="28"/>
              <w:widowControl w:val="0"/>
              <w:rPr>
                <w:color w:val="auto"/>
                <w:highlight w:val="none"/>
              </w:rPr>
            </w:pPr>
            <w:r>
              <w:rPr>
                <w:rFonts w:hint="eastAsia"/>
                <w:color w:val="auto"/>
                <w:highlight w:val="none"/>
              </w:rPr>
              <w:t>柴油</w:t>
            </w:r>
          </w:p>
        </w:tc>
        <w:tc>
          <w:tcPr>
            <w:tcW w:w="521" w:type="pct"/>
            <w:tcBorders>
              <w:tl2br w:val="nil"/>
              <w:tr2bl w:val="nil"/>
            </w:tcBorders>
            <w:vAlign w:val="center"/>
          </w:tcPr>
          <w:p>
            <w:pPr>
              <w:pStyle w:val="28"/>
              <w:widowControl w:val="0"/>
              <w:rPr>
                <w:color w:val="auto"/>
                <w:highlight w:val="none"/>
              </w:rPr>
            </w:pPr>
            <w:r>
              <w:rPr>
                <w:rFonts w:hint="eastAsia"/>
                <w:color w:val="auto"/>
                <w:highlight w:val="none"/>
              </w:rPr>
              <w:t>有色透明液体</w:t>
            </w:r>
          </w:p>
        </w:tc>
        <w:tc>
          <w:tcPr>
            <w:tcW w:w="472" w:type="pct"/>
            <w:tcBorders>
              <w:tl2br w:val="nil"/>
              <w:tr2bl w:val="nil"/>
            </w:tcBorders>
            <w:vAlign w:val="center"/>
          </w:tcPr>
          <w:p>
            <w:pPr>
              <w:pStyle w:val="28"/>
              <w:widowControl w:val="0"/>
              <w:rPr>
                <w:color w:val="auto"/>
                <w:highlight w:val="none"/>
              </w:rPr>
            </w:pPr>
            <w:r>
              <w:rPr>
                <w:rFonts w:hint="eastAsia"/>
                <w:color w:val="auto"/>
                <w:highlight w:val="none"/>
              </w:rPr>
              <w:t>-18</w:t>
            </w: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627" w:type="pct"/>
            <w:tcBorders>
              <w:tl2br w:val="nil"/>
              <w:tr2bl w:val="nil"/>
            </w:tcBorders>
            <w:vAlign w:val="center"/>
          </w:tcPr>
          <w:p>
            <w:pPr>
              <w:pStyle w:val="28"/>
              <w:widowControl w:val="0"/>
              <w:rPr>
                <w:color w:val="auto"/>
                <w:highlight w:val="none"/>
              </w:rPr>
            </w:pPr>
            <w:r>
              <w:rPr>
                <w:rFonts w:hint="eastAsia"/>
                <w:color w:val="auto"/>
                <w:highlight w:val="none"/>
              </w:rPr>
              <w:t>68334-30-5</w:t>
            </w:r>
          </w:p>
        </w:tc>
        <w:tc>
          <w:tcPr>
            <w:tcW w:w="1475" w:type="pct"/>
            <w:tcBorders>
              <w:tl2br w:val="nil"/>
              <w:tr2bl w:val="nil"/>
            </w:tcBorders>
            <w:vAlign w:val="center"/>
          </w:tcPr>
          <w:p>
            <w:pPr>
              <w:pStyle w:val="28"/>
              <w:widowControl w:val="0"/>
              <w:rPr>
                <w:color w:val="auto"/>
                <w:highlight w:val="none"/>
              </w:rPr>
            </w:pPr>
            <w:r>
              <w:rPr>
                <w:rFonts w:hint="eastAsia"/>
                <w:color w:val="auto"/>
                <w:highlight w:val="none"/>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567" w:type="pct"/>
            <w:tcBorders>
              <w:tl2br w:val="nil"/>
              <w:tr2bl w:val="nil"/>
            </w:tcBorders>
            <w:vAlign w:val="center"/>
          </w:tcPr>
          <w:p>
            <w:pPr>
              <w:pStyle w:val="28"/>
              <w:widowControl w:val="0"/>
              <w:rPr>
                <w:color w:val="auto"/>
                <w:highlight w:val="none"/>
              </w:rPr>
            </w:pPr>
            <w:r>
              <w:rPr>
                <w:rFonts w:hint="eastAsia"/>
                <w:color w:val="auto"/>
                <w:highlight w:val="none"/>
              </w:rPr>
              <w:t>二氯异氰尿酸钠</w:t>
            </w:r>
          </w:p>
        </w:tc>
        <w:tc>
          <w:tcPr>
            <w:tcW w:w="521" w:type="pct"/>
            <w:tcBorders>
              <w:tl2br w:val="nil"/>
              <w:tr2bl w:val="nil"/>
            </w:tcBorders>
            <w:vAlign w:val="center"/>
          </w:tcPr>
          <w:p>
            <w:pPr>
              <w:pStyle w:val="28"/>
              <w:widowControl w:val="0"/>
              <w:rPr>
                <w:color w:val="auto"/>
                <w:highlight w:val="none"/>
              </w:rPr>
            </w:pPr>
            <w:r>
              <w:rPr>
                <w:rFonts w:hint="eastAsia"/>
                <w:color w:val="auto"/>
                <w:highlight w:val="none"/>
              </w:rPr>
              <w:t>微黄色溶液</w:t>
            </w:r>
          </w:p>
        </w:tc>
        <w:tc>
          <w:tcPr>
            <w:tcW w:w="472" w:type="pct"/>
            <w:tcBorders>
              <w:tl2br w:val="nil"/>
              <w:tr2bl w:val="nil"/>
            </w:tcBorders>
            <w:vAlign w:val="center"/>
          </w:tcPr>
          <w:p>
            <w:pPr>
              <w:pStyle w:val="28"/>
              <w:widowControl w:val="0"/>
              <w:rPr>
                <w:color w:val="auto"/>
                <w:highlight w:val="none"/>
              </w:rPr>
            </w:pPr>
            <w:r>
              <w:rPr>
                <w:rFonts w:hint="eastAsia"/>
                <w:color w:val="auto"/>
                <w:highlight w:val="none"/>
              </w:rPr>
              <w:t>230~250</w:t>
            </w:r>
            <w:r>
              <w:rPr>
                <w:color w:val="auto"/>
                <w:highlight w:val="none"/>
              </w:rPr>
              <w:t>℃</w:t>
            </w:r>
          </w:p>
        </w:tc>
        <w:tc>
          <w:tcPr>
            <w:tcW w:w="546" w:type="pct"/>
            <w:tcBorders>
              <w:tl2br w:val="nil"/>
              <w:tr2bl w:val="nil"/>
            </w:tcBorders>
            <w:vAlign w:val="center"/>
          </w:tcPr>
          <w:p>
            <w:pPr>
              <w:pStyle w:val="28"/>
              <w:widowControl w:val="0"/>
              <w:rPr>
                <w:color w:val="auto"/>
                <w:highlight w:val="none"/>
              </w:rPr>
            </w:pPr>
            <w:r>
              <w:rPr>
                <w:rFonts w:hint="eastAsia"/>
                <w:color w:val="auto"/>
                <w:highlight w:val="none"/>
              </w:rPr>
              <w:t>/</w:t>
            </w:r>
          </w:p>
        </w:tc>
        <w:tc>
          <w:tcPr>
            <w:tcW w:w="569" w:type="pct"/>
            <w:tcBorders>
              <w:tl2br w:val="nil"/>
              <w:tr2bl w:val="nil"/>
            </w:tcBorders>
            <w:vAlign w:val="center"/>
          </w:tcPr>
          <w:p>
            <w:pPr>
              <w:pStyle w:val="28"/>
              <w:widowControl w:val="0"/>
              <w:rPr>
                <w:color w:val="auto"/>
                <w:highlight w:val="none"/>
              </w:rPr>
            </w:pPr>
            <w:r>
              <w:rPr>
                <w:rFonts w:hint="eastAsia"/>
                <w:color w:val="auto"/>
                <w:highlight w:val="none"/>
              </w:rPr>
              <w:t>1420</w:t>
            </w:r>
          </w:p>
        </w:tc>
        <w:tc>
          <w:tcPr>
            <w:tcW w:w="627" w:type="pct"/>
            <w:tcBorders>
              <w:tl2br w:val="nil"/>
              <w:tr2bl w:val="nil"/>
            </w:tcBorders>
            <w:vAlign w:val="center"/>
          </w:tcPr>
          <w:p>
            <w:pPr>
              <w:pStyle w:val="28"/>
              <w:widowControl w:val="0"/>
              <w:rPr>
                <w:color w:val="auto"/>
                <w:highlight w:val="none"/>
              </w:rPr>
            </w:pPr>
            <w:r>
              <w:rPr>
                <w:rFonts w:hint="eastAsia"/>
                <w:color w:val="auto"/>
                <w:highlight w:val="none"/>
              </w:rPr>
              <w:t>2893-78-9</w:t>
            </w:r>
          </w:p>
        </w:tc>
        <w:tc>
          <w:tcPr>
            <w:tcW w:w="1475" w:type="pct"/>
            <w:tcBorders>
              <w:tl2br w:val="nil"/>
              <w:tr2bl w:val="nil"/>
            </w:tcBorders>
            <w:vAlign w:val="center"/>
          </w:tcPr>
          <w:p>
            <w:pPr>
              <w:pStyle w:val="28"/>
              <w:widowControl w:val="0"/>
              <w:rPr>
                <w:color w:val="auto"/>
                <w:highlight w:val="none"/>
              </w:rPr>
            </w:pPr>
            <w:r>
              <w:rPr>
                <w:rFonts w:hint="eastAsia"/>
                <w:color w:val="auto"/>
                <w:highlight w:val="none"/>
              </w:rPr>
              <w:t>与易燃物、有机物接触易着火燃烧。与含氮化合物（如氨、尿素等）反应生成易爆炸的三氯化氮。</w:t>
            </w:r>
          </w:p>
        </w:tc>
      </w:tr>
    </w:tbl>
    <w:p>
      <w:pPr>
        <w:pStyle w:val="5"/>
        <w:widowControl w:val="0"/>
        <w:ind w:firstLine="120"/>
        <w:rPr>
          <w:color w:val="auto"/>
          <w:highlight w:val="none"/>
        </w:rPr>
      </w:pPr>
      <w:r>
        <w:rPr>
          <w:rFonts w:hint="eastAsia"/>
          <w:color w:val="auto"/>
          <w:highlight w:val="none"/>
        </w:rPr>
        <w:t>生产系统危险性识别</w:t>
      </w:r>
    </w:p>
    <w:p>
      <w:pPr>
        <w:widowControl w:val="0"/>
        <w:ind w:firstLine="480"/>
        <w:rPr>
          <w:color w:val="auto"/>
          <w:highlight w:val="none"/>
        </w:rPr>
      </w:pPr>
      <w:r>
        <w:rPr>
          <w:rFonts w:hint="eastAsia"/>
          <w:color w:val="auto"/>
          <w:highlight w:val="none"/>
        </w:rPr>
        <w:t>本项目主要生产系统危险性来源于环境保护设备的不正常运营。</w:t>
      </w:r>
    </w:p>
    <w:p>
      <w:pPr>
        <w:pStyle w:val="6"/>
        <w:widowControl w:val="0"/>
        <w:ind w:left="-160" w:firstLineChars="0"/>
        <w:rPr>
          <w:color w:val="auto"/>
          <w:highlight w:val="none"/>
        </w:rPr>
      </w:pPr>
      <w:r>
        <w:rPr>
          <w:rFonts w:hint="eastAsia"/>
          <w:color w:val="auto"/>
          <w:highlight w:val="none"/>
        </w:rPr>
        <w:t>污水处理站</w:t>
      </w:r>
    </w:p>
    <w:p>
      <w:pPr>
        <w:widowControl w:val="0"/>
        <w:ind w:firstLine="480"/>
        <w:rPr>
          <w:color w:val="auto"/>
          <w:highlight w:val="none"/>
        </w:rPr>
      </w:pPr>
      <w:r>
        <w:rPr>
          <w:rFonts w:hint="eastAsia"/>
          <w:color w:val="auto"/>
          <w:highlight w:val="none"/>
        </w:rPr>
        <w:t>本工程污水处理设施及污水处理站可能发生的事故有：</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）管网系统由于管道堵塞、管道破裂和管道接头处的破损，会造成大量污水外溢，污染地表水和地下水。</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）由于管理不当等原因，污水处理站处理效率降低。污水处理站发生事故时，污水不能得到及时处理，可能出现污水超标排放。</w:t>
      </w:r>
    </w:p>
    <w:p>
      <w:pPr>
        <w:pStyle w:val="6"/>
        <w:widowControl w:val="0"/>
        <w:ind w:left="-160" w:firstLineChars="0"/>
        <w:rPr>
          <w:color w:val="auto"/>
          <w:highlight w:val="none"/>
        </w:rPr>
      </w:pPr>
      <w:r>
        <w:rPr>
          <w:rFonts w:hint="eastAsia"/>
          <w:color w:val="auto"/>
          <w:highlight w:val="none"/>
        </w:rPr>
        <w:t>恶臭处理设备</w:t>
      </w:r>
    </w:p>
    <w:p>
      <w:pPr>
        <w:widowControl w:val="0"/>
        <w:ind w:firstLine="480"/>
        <w:jc w:val="left"/>
        <w:rPr>
          <w:rFonts w:ascii="宋体" w:hAnsi="宋体"/>
          <w:color w:val="auto"/>
          <w:szCs w:val="24"/>
          <w:highlight w:val="none"/>
        </w:rPr>
      </w:pPr>
      <w:r>
        <w:rPr>
          <w:rFonts w:hint="eastAsia" w:ascii="宋体" w:hAnsi="宋体"/>
          <w:color w:val="auto"/>
          <w:szCs w:val="24"/>
          <w:highlight w:val="none"/>
        </w:rPr>
        <w:t>（</w:t>
      </w:r>
      <w:r>
        <w:rPr>
          <w:rFonts w:eastAsia="Times New Roman"/>
          <w:color w:val="auto"/>
          <w:szCs w:val="24"/>
          <w:highlight w:val="none"/>
        </w:rPr>
        <w:t>1</w:t>
      </w:r>
      <w:r>
        <w:rPr>
          <w:rFonts w:hint="eastAsia" w:ascii="宋体" w:hAnsi="宋体"/>
          <w:color w:val="auto"/>
          <w:szCs w:val="24"/>
          <w:highlight w:val="none"/>
        </w:rPr>
        <w:t>）废气集气管道破损、风机故障导致无法收集废气，出现废气事故排放。</w:t>
      </w:r>
    </w:p>
    <w:p>
      <w:pPr>
        <w:widowControl w:val="0"/>
        <w:ind w:firstLine="480"/>
        <w:rPr>
          <w:color w:val="auto"/>
          <w:highlight w:val="none"/>
        </w:rPr>
      </w:pPr>
      <w:r>
        <w:rPr>
          <w:rFonts w:hint="eastAsia" w:ascii="宋体" w:hAnsi="宋体"/>
          <w:color w:val="auto"/>
          <w:szCs w:val="24"/>
          <w:highlight w:val="none"/>
        </w:rPr>
        <w:t>（</w:t>
      </w:r>
      <w:r>
        <w:rPr>
          <w:rFonts w:eastAsia="Times New Roman"/>
          <w:color w:val="auto"/>
          <w:szCs w:val="24"/>
          <w:highlight w:val="none"/>
        </w:rPr>
        <w:t>2</w:t>
      </w:r>
      <w:r>
        <w:rPr>
          <w:rFonts w:hint="eastAsia" w:ascii="宋体" w:hAnsi="宋体"/>
          <w:color w:val="auto"/>
          <w:szCs w:val="24"/>
          <w:highlight w:val="none"/>
        </w:rPr>
        <w:t>）由于管理不当等原因，废气处理效率降低，导致废气超标排放。</w:t>
      </w:r>
    </w:p>
    <w:p>
      <w:pPr>
        <w:pStyle w:val="6"/>
        <w:widowControl w:val="0"/>
        <w:ind w:left="-160" w:firstLineChars="0"/>
        <w:rPr>
          <w:color w:val="auto"/>
          <w:highlight w:val="none"/>
        </w:rPr>
      </w:pPr>
      <w:r>
        <w:rPr>
          <w:rFonts w:hint="eastAsia"/>
          <w:color w:val="auto"/>
          <w:highlight w:val="none"/>
        </w:rPr>
        <w:t>病死猪、粪便等固废</w:t>
      </w:r>
    </w:p>
    <w:p>
      <w:pPr>
        <w:widowControl w:val="0"/>
        <w:ind w:firstLine="480"/>
        <w:rPr>
          <w:color w:val="auto"/>
          <w:highlight w:val="none"/>
        </w:rPr>
      </w:pPr>
      <w:r>
        <w:rPr>
          <w:rFonts w:hint="eastAsia" w:ascii="宋体" w:hAnsi="宋体"/>
          <w:color w:val="auto"/>
          <w:szCs w:val="24"/>
          <w:highlight w:val="none"/>
        </w:rPr>
        <w:t>项目产生的病死猪、粪便等固废，由于特殊原因不能及时清运，存在着污染环境的风险。</w:t>
      </w:r>
    </w:p>
    <w:p>
      <w:pPr>
        <w:pStyle w:val="6"/>
        <w:widowControl w:val="0"/>
        <w:ind w:left="-160" w:firstLineChars="0"/>
        <w:rPr>
          <w:rFonts w:ascii="宋体" w:hAnsi="宋体"/>
          <w:color w:val="auto"/>
          <w:szCs w:val="24"/>
          <w:highlight w:val="none"/>
        </w:rPr>
      </w:pPr>
      <w:r>
        <w:rPr>
          <w:rFonts w:hint="eastAsia" w:ascii="宋体" w:hAnsi="宋体"/>
          <w:color w:val="auto"/>
          <w:szCs w:val="24"/>
          <w:highlight w:val="none"/>
        </w:rPr>
        <w:t>柴油</w:t>
      </w:r>
    </w:p>
    <w:p>
      <w:pPr>
        <w:widowControl w:val="0"/>
        <w:ind w:firstLine="480"/>
        <w:rPr>
          <w:color w:val="auto"/>
          <w:highlight w:val="none"/>
        </w:rPr>
      </w:pPr>
      <w:r>
        <w:rPr>
          <w:rFonts w:hint="eastAsia"/>
          <w:color w:val="auto"/>
          <w:highlight w:val="none"/>
        </w:rPr>
        <w:t>本工程备用柴油发电机燃料为</w:t>
      </w:r>
      <w:r>
        <w:rPr>
          <w:color w:val="auto"/>
          <w:highlight w:val="none"/>
        </w:rPr>
        <w:t>0#</w:t>
      </w:r>
      <w:r>
        <w:rPr>
          <w:rFonts w:hint="eastAsia"/>
          <w:color w:val="auto"/>
          <w:highlight w:val="none"/>
        </w:rPr>
        <w:t>轻柴油，不设油库，油箱容积为</w:t>
      </w:r>
      <w:r>
        <w:rPr>
          <w:color w:val="auto"/>
          <w:highlight w:val="none"/>
        </w:rPr>
        <w:t>0.5m</w:t>
      </w:r>
      <w:r>
        <w:rPr>
          <w:rFonts w:hint="eastAsia"/>
          <w:color w:val="auto"/>
          <w:highlight w:val="none"/>
          <w:vertAlign w:val="superscript"/>
        </w:rPr>
        <w:t>3</w:t>
      </w:r>
      <w:r>
        <w:rPr>
          <w:rFonts w:hint="eastAsia"/>
          <w:color w:val="auto"/>
          <w:highlight w:val="none"/>
        </w:rPr>
        <w:t>。柴油在运输、储存和使用过程中，如遇到管阀失效、操作不当等，会引发泄漏，并可能引发火灾。柴油发生泄漏可能对地表水体和地下水体造成污染。火灾会造成烟尘污染，还可能造成人员伤亡。</w:t>
      </w:r>
    </w:p>
    <w:p>
      <w:pPr>
        <w:pStyle w:val="6"/>
        <w:widowControl w:val="0"/>
        <w:ind w:left="-160" w:firstLineChars="0"/>
        <w:rPr>
          <w:color w:val="auto"/>
          <w:highlight w:val="none"/>
        </w:rPr>
      </w:pPr>
      <w:r>
        <w:rPr>
          <w:rFonts w:hint="eastAsia"/>
          <w:color w:val="auto"/>
          <w:highlight w:val="none"/>
        </w:rPr>
        <w:t>生猪疫情</w:t>
      </w:r>
    </w:p>
    <w:p>
      <w:pPr>
        <w:widowControl w:val="0"/>
        <w:ind w:firstLine="480"/>
        <w:rPr>
          <w:color w:val="auto"/>
          <w:highlight w:val="none"/>
        </w:rPr>
      </w:pPr>
      <w:r>
        <w:rPr>
          <w:rFonts w:hint="eastAsia"/>
          <w:color w:val="auto"/>
          <w:highlight w:val="none"/>
        </w:rPr>
        <w:t>在项目运营过程中，暴发生猪流行疾病，造成人畜共患疫情。</w:t>
      </w:r>
    </w:p>
    <w:p>
      <w:pPr>
        <w:pStyle w:val="6"/>
        <w:widowControl w:val="0"/>
        <w:ind w:left="-160" w:firstLineChars="0"/>
        <w:rPr>
          <w:color w:val="auto"/>
          <w:highlight w:val="none"/>
        </w:rPr>
      </w:pPr>
      <w:r>
        <w:rPr>
          <w:rFonts w:hint="eastAsia"/>
          <w:color w:val="auto"/>
          <w:highlight w:val="none"/>
        </w:rPr>
        <w:t>化学品贮存、使用过程</w:t>
      </w:r>
    </w:p>
    <w:p>
      <w:pPr>
        <w:widowControl w:val="0"/>
        <w:ind w:firstLine="480"/>
        <w:rPr>
          <w:color w:val="auto"/>
          <w:highlight w:val="none"/>
        </w:rPr>
      </w:pPr>
      <w:r>
        <w:rPr>
          <w:rFonts w:hint="eastAsia"/>
          <w:color w:val="auto"/>
          <w:highlight w:val="none"/>
        </w:rPr>
        <w:t>本项目使用化学品由人工输送至使用点，在贮存、使用过程可能潜在的风险事故如：</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）由于贮存装置破裂或操作不当，造成泄漏，导致人员中毒和环境污染。</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）在使用过程中由于操作人员工作不当造成化学品泄露。</w:t>
      </w:r>
    </w:p>
    <w:p>
      <w:pPr>
        <w:pStyle w:val="6"/>
        <w:widowControl w:val="0"/>
        <w:ind w:left="-160" w:firstLineChars="0"/>
        <w:rPr>
          <w:color w:val="auto"/>
          <w:highlight w:val="none"/>
        </w:rPr>
      </w:pPr>
      <w:r>
        <w:rPr>
          <w:rFonts w:hint="eastAsia"/>
          <w:color w:val="auto"/>
          <w:highlight w:val="none"/>
        </w:rPr>
        <w:t>冷藏库、速冻库及空气源热泵机</w:t>
      </w:r>
    </w:p>
    <w:p>
      <w:pPr>
        <w:widowControl w:val="0"/>
        <w:ind w:firstLine="480"/>
        <w:rPr>
          <w:color w:val="auto"/>
          <w:highlight w:val="none"/>
        </w:rPr>
      </w:pPr>
      <w:r>
        <w:rPr>
          <w:rFonts w:hint="eastAsia"/>
          <w:color w:val="auto"/>
          <w:highlight w:val="none"/>
        </w:rPr>
        <w:t>制冷剂泄露，冻库及车间受到污染，对工作人员的身体健康造成影响。</w:t>
      </w:r>
    </w:p>
    <w:p>
      <w:pPr>
        <w:pStyle w:val="4"/>
        <w:widowControl w:val="0"/>
        <w:rPr>
          <w:color w:val="auto"/>
          <w:highlight w:val="none"/>
        </w:rPr>
      </w:pPr>
      <w:bookmarkStart w:id="78" w:name="_Toc20461"/>
      <w:r>
        <w:rPr>
          <w:rFonts w:hint="eastAsia"/>
          <w:color w:val="auto"/>
          <w:highlight w:val="none"/>
        </w:rPr>
        <w:t>环境风险分析</w:t>
      </w:r>
      <w:bookmarkEnd w:id="78"/>
    </w:p>
    <w:p>
      <w:pPr>
        <w:pStyle w:val="5"/>
        <w:widowControl w:val="0"/>
        <w:ind w:firstLine="120"/>
        <w:rPr>
          <w:color w:val="auto"/>
          <w:highlight w:val="none"/>
        </w:rPr>
      </w:pPr>
      <w:r>
        <w:rPr>
          <w:rFonts w:hint="eastAsia"/>
          <w:color w:val="auto"/>
          <w:highlight w:val="none"/>
        </w:rPr>
        <w:t>地表水环境风险分析</w:t>
      </w:r>
    </w:p>
    <w:p>
      <w:pPr>
        <w:widowControl w:val="0"/>
        <w:ind w:firstLine="480"/>
        <w:rPr>
          <w:color w:val="auto"/>
          <w:highlight w:val="none"/>
        </w:rPr>
      </w:pPr>
      <w:r>
        <w:rPr>
          <w:rFonts w:hint="eastAsia"/>
          <w:color w:val="auto"/>
          <w:highlight w:val="none"/>
        </w:rPr>
        <w:t>当项目污水处理站出现故障时，未经处理达标的废水将直接排入元坨社区市政污水管网，通过市政污水管网汇入响滩镇污水处理厂处理，对污水处理厂运行影响很大以及会直接影响到地表水体。</w:t>
      </w:r>
    </w:p>
    <w:p>
      <w:pPr>
        <w:pStyle w:val="5"/>
        <w:widowControl w:val="0"/>
        <w:ind w:firstLine="120"/>
        <w:rPr>
          <w:color w:val="auto"/>
          <w:highlight w:val="none"/>
        </w:rPr>
      </w:pPr>
      <w:r>
        <w:rPr>
          <w:rFonts w:hint="eastAsia"/>
          <w:color w:val="auto"/>
          <w:highlight w:val="none"/>
        </w:rPr>
        <w:t>地下水环境风险分析</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）污水处理站管网系统由于管道堵塞、管道破裂和管道接头处的破损，会造成大量污水外溢，污染地下水。</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）柴油发电机油管泄漏，且防渗层破坏，导致对地下水污染。</w:t>
      </w:r>
    </w:p>
    <w:p>
      <w:pPr>
        <w:pStyle w:val="5"/>
        <w:widowControl w:val="0"/>
        <w:ind w:firstLine="120"/>
        <w:rPr>
          <w:color w:val="auto"/>
          <w:highlight w:val="none"/>
        </w:rPr>
      </w:pPr>
      <w:r>
        <w:rPr>
          <w:rFonts w:hint="eastAsia"/>
          <w:color w:val="auto"/>
          <w:highlight w:val="none"/>
        </w:rPr>
        <w:t>大气环境风险分析</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）项目恶臭集气管道破损、引风机故障导致无法收集废气，出现废气事故排放，以及废气处理设施管理不当，微生物活性降低，造成废气超标排放，对外界环境空气质量造成影响。</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）项目产生的病死猪、粪便等固废，由于特殊原因不能及时清运，会造成废物暂存间内病菌滋生。</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）本项目制冷剂泄露，冻库及车间受到污染，对工作人员的身体健康造成影响。</w:t>
      </w:r>
    </w:p>
    <w:p>
      <w:pPr>
        <w:pStyle w:val="5"/>
        <w:widowControl w:val="0"/>
        <w:ind w:firstLine="120"/>
        <w:rPr>
          <w:color w:val="auto"/>
          <w:highlight w:val="none"/>
        </w:rPr>
      </w:pPr>
      <w:r>
        <w:rPr>
          <w:rFonts w:hint="eastAsia"/>
          <w:color w:val="auto"/>
          <w:highlight w:val="none"/>
        </w:rPr>
        <w:t>火灾风险分析</w:t>
      </w:r>
    </w:p>
    <w:p>
      <w:pPr>
        <w:widowControl w:val="0"/>
        <w:ind w:firstLine="480"/>
        <w:rPr>
          <w:color w:val="auto"/>
          <w:highlight w:val="none"/>
        </w:rPr>
      </w:pPr>
      <w:r>
        <w:rPr>
          <w:rFonts w:hint="eastAsia" w:ascii="宋体" w:hAnsi="宋体"/>
          <w:color w:val="auto"/>
          <w:szCs w:val="24"/>
          <w:highlight w:val="none"/>
        </w:rPr>
        <w:t>项目由于操作不当造成火灾，经消防水浇灭后会产生大量消防废水，本项目室外消火栓用水量：</w:t>
      </w:r>
      <w:r>
        <w:rPr>
          <w:rFonts w:eastAsia="Times New Roman"/>
          <w:color w:val="auto"/>
          <w:szCs w:val="24"/>
          <w:highlight w:val="none"/>
        </w:rPr>
        <w:t>40L/s</w:t>
      </w:r>
      <w:r>
        <w:rPr>
          <w:rFonts w:hint="eastAsia" w:ascii="宋体" w:hAnsi="宋体"/>
          <w:color w:val="auto"/>
          <w:szCs w:val="24"/>
          <w:highlight w:val="none"/>
        </w:rPr>
        <w:t>，室内消火栓用水量：</w:t>
      </w:r>
      <w:r>
        <w:rPr>
          <w:rFonts w:eastAsia="Times New Roman"/>
          <w:color w:val="auto"/>
          <w:szCs w:val="24"/>
          <w:highlight w:val="none"/>
        </w:rPr>
        <w:t>20L/s</w:t>
      </w:r>
      <w:r>
        <w:rPr>
          <w:rFonts w:hint="eastAsia" w:ascii="宋体" w:hAnsi="宋体"/>
          <w:color w:val="auto"/>
          <w:szCs w:val="24"/>
          <w:highlight w:val="none"/>
        </w:rPr>
        <w:t>。室内外消火栓火灾延续时间：</w:t>
      </w:r>
      <w:r>
        <w:rPr>
          <w:rFonts w:eastAsia="Times New Roman"/>
          <w:color w:val="auto"/>
          <w:szCs w:val="24"/>
          <w:highlight w:val="none"/>
        </w:rPr>
        <w:t>3h</w:t>
      </w:r>
      <w:r>
        <w:rPr>
          <w:rFonts w:hint="eastAsia" w:ascii="宋体" w:hAnsi="宋体"/>
          <w:color w:val="auto"/>
          <w:szCs w:val="24"/>
          <w:highlight w:val="none"/>
        </w:rPr>
        <w:t>，消防用水量按最大时间计为</w:t>
      </w:r>
      <w:r>
        <w:rPr>
          <w:rFonts w:eastAsia="Times New Roman"/>
          <w:color w:val="auto"/>
          <w:szCs w:val="24"/>
          <w:highlight w:val="none"/>
        </w:rPr>
        <w:t>648m</w:t>
      </w:r>
      <w:r>
        <w:rPr>
          <w:rFonts w:hint="eastAsia"/>
          <w:color w:val="auto"/>
          <w:szCs w:val="24"/>
          <w:highlight w:val="none"/>
          <w:vertAlign w:val="superscript"/>
        </w:rPr>
        <w:t>3</w:t>
      </w:r>
      <w:r>
        <w:rPr>
          <w:rFonts w:hint="eastAsia" w:ascii="宋体" w:hAnsi="宋体"/>
          <w:color w:val="auto"/>
          <w:szCs w:val="24"/>
          <w:highlight w:val="none"/>
        </w:rPr>
        <w:t>。本项目为屠宰企业，消防废水主要污染物为</w:t>
      </w:r>
      <w:r>
        <w:rPr>
          <w:rFonts w:eastAsia="Times New Roman"/>
          <w:color w:val="auto"/>
          <w:szCs w:val="24"/>
          <w:highlight w:val="none"/>
        </w:rPr>
        <w:t>SS</w:t>
      </w:r>
      <w:r>
        <w:rPr>
          <w:rFonts w:hint="eastAsia" w:ascii="宋体" w:hAnsi="宋体"/>
          <w:color w:val="auto"/>
          <w:szCs w:val="24"/>
          <w:highlight w:val="none"/>
        </w:rPr>
        <w:t>、</w:t>
      </w:r>
      <w:r>
        <w:rPr>
          <w:rFonts w:eastAsia="Times New Roman"/>
          <w:color w:val="auto"/>
          <w:szCs w:val="24"/>
          <w:highlight w:val="none"/>
        </w:rPr>
        <w:t>COD</w:t>
      </w:r>
      <w:r>
        <w:rPr>
          <w:rFonts w:hint="eastAsia" w:ascii="宋体" w:hAnsi="宋体"/>
          <w:color w:val="auto"/>
          <w:szCs w:val="24"/>
          <w:highlight w:val="none"/>
        </w:rPr>
        <w:t>、</w:t>
      </w:r>
      <w:r>
        <w:rPr>
          <w:rFonts w:eastAsia="Times New Roman"/>
          <w:color w:val="auto"/>
          <w:szCs w:val="24"/>
          <w:highlight w:val="none"/>
        </w:rPr>
        <w:t>BOD</w:t>
      </w:r>
      <w:r>
        <w:rPr>
          <w:rFonts w:eastAsia="Times New Roman"/>
          <w:color w:val="auto"/>
          <w:sz w:val="16"/>
          <w:szCs w:val="24"/>
          <w:highlight w:val="none"/>
        </w:rPr>
        <w:t>5</w:t>
      </w:r>
      <w:r>
        <w:rPr>
          <w:rFonts w:hint="eastAsia" w:ascii="宋体" w:hAnsi="宋体"/>
          <w:color w:val="auto"/>
          <w:szCs w:val="24"/>
          <w:highlight w:val="none"/>
        </w:rPr>
        <w:t>、</w:t>
      </w:r>
      <w:r>
        <w:rPr>
          <w:rFonts w:eastAsia="Times New Roman"/>
          <w:color w:val="auto"/>
          <w:szCs w:val="24"/>
          <w:highlight w:val="none"/>
        </w:rPr>
        <w:t>NH</w:t>
      </w:r>
      <w:r>
        <w:rPr>
          <w:rFonts w:eastAsia="Times New Roman"/>
          <w:color w:val="auto"/>
          <w:sz w:val="16"/>
          <w:szCs w:val="24"/>
          <w:highlight w:val="none"/>
        </w:rPr>
        <w:t>3</w:t>
      </w:r>
      <w:r>
        <w:rPr>
          <w:rFonts w:eastAsia="Times New Roman"/>
          <w:color w:val="auto"/>
          <w:szCs w:val="24"/>
          <w:highlight w:val="none"/>
        </w:rPr>
        <w:t>-N</w:t>
      </w:r>
      <w:r>
        <w:rPr>
          <w:rFonts w:hint="eastAsia" w:ascii="宋体" w:hAnsi="宋体"/>
          <w:color w:val="auto"/>
          <w:szCs w:val="24"/>
          <w:highlight w:val="none"/>
        </w:rPr>
        <w:t>等，不含有毒有害物质，且由于水量大，除</w:t>
      </w:r>
      <w:r>
        <w:rPr>
          <w:rFonts w:eastAsia="Times New Roman"/>
          <w:color w:val="auto"/>
          <w:szCs w:val="24"/>
          <w:highlight w:val="none"/>
        </w:rPr>
        <w:t>SS</w:t>
      </w:r>
      <w:r>
        <w:rPr>
          <w:rFonts w:hint="eastAsia" w:ascii="宋体" w:hAnsi="宋体"/>
          <w:color w:val="auto"/>
          <w:szCs w:val="24"/>
          <w:highlight w:val="none"/>
        </w:rPr>
        <w:t>外浓度较小，可经截水沟收集后经污水管道进入项目污水处理站处理后排入市政污水管网。项目建成后厂内地坪均在同一水平面，同时地面微倾斜于截水沟，可收集消防事故废水，截水沟内设计坡度，可自流入阀门控制的污水管道内，通过污水管道进入污水处理站。</w:t>
      </w:r>
    </w:p>
    <w:p>
      <w:pPr>
        <w:pStyle w:val="5"/>
        <w:widowControl w:val="0"/>
        <w:ind w:firstLine="120"/>
        <w:rPr>
          <w:color w:val="auto"/>
          <w:highlight w:val="none"/>
        </w:rPr>
      </w:pPr>
      <w:r>
        <w:rPr>
          <w:rFonts w:hint="eastAsia"/>
          <w:color w:val="auto"/>
          <w:highlight w:val="none"/>
        </w:rPr>
        <w:t>卫生防疫风险事故分析</w:t>
      </w:r>
    </w:p>
    <w:p>
      <w:pPr>
        <w:widowControl w:val="0"/>
        <w:ind w:firstLine="480"/>
        <w:rPr>
          <w:color w:val="auto"/>
          <w:highlight w:val="none"/>
        </w:rPr>
      </w:pPr>
      <w:r>
        <w:rPr>
          <w:rFonts w:hint="eastAsia"/>
          <w:color w:val="auto"/>
          <w:highlight w:val="none"/>
        </w:rPr>
        <w:t>生猪肉牛发生疫情是指生猪肉牛发生传染病或大面积致病，生猪肉牛一旦发生传染病将会大量传染，带来不可估量的经济损失，尤其是禽流感，甚至造成社会恐慌。</w:t>
      </w:r>
    </w:p>
    <w:p>
      <w:pPr>
        <w:widowControl w:val="0"/>
        <w:ind w:firstLine="480"/>
        <w:rPr>
          <w:color w:val="auto"/>
          <w:highlight w:val="none"/>
        </w:rPr>
      </w:pPr>
      <w:r>
        <w:rPr>
          <w:rFonts w:hint="eastAsia"/>
          <w:color w:val="auto"/>
          <w:highlight w:val="none"/>
        </w:rPr>
        <w:t>常见流行性疾病包括：</w:t>
      </w:r>
    </w:p>
    <w:p>
      <w:pPr>
        <w:widowControl w:val="0"/>
        <w:ind w:firstLine="480"/>
        <w:jc w:val="left"/>
        <w:rPr>
          <w:color w:val="auto"/>
          <w:highlight w:val="none"/>
        </w:rPr>
      </w:pPr>
      <w:r>
        <w:rPr>
          <w:rFonts w:hint="eastAsia"/>
          <w:color w:val="auto"/>
          <w:highlight w:val="none"/>
        </w:rPr>
        <w:t>①猪瘟：猪瘟是由一种黄病毒科瘟病毒属的猪瘟病毒引起的一种高传染性</w:t>
      </w:r>
      <w:r>
        <w:rPr>
          <w:rFonts w:hint="eastAsia" w:ascii="宋体" w:hAnsi="宋体"/>
          <w:color w:val="auto"/>
          <w:szCs w:val="24"/>
          <w:highlight w:val="none"/>
        </w:rPr>
        <w:t>疾病。病猪是主要传染源，主要感染途径是消化道。该病一年四季都有发生，有高传染性，不同年龄和品种的猪都会发生。</w:t>
      </w:r>
    </w:p>
    <w:p>
      <w:pPr>
        <w:widowControl w:val="0"/>
        <w:ind w:firstLine="480"/>
        <w:rPr>
          <w:color w:val="auto"/>
          <w:highlight w:val="none"/>
        </w:rPr>
      </w:pPr>
      <w:r>
        <w:rPr>
          <w:rFonts w:hint="eastAsia"/>
          <w:color w:val="auto"/>
          <w:highlight w:val="none"/>
        </w:rPr>
        <w:t>②猪丹毒：是由红斑猪丹毒丝菌引起的一种传染病。主要通过消化道和皮肤伤口感染。急性多见于初期，个别健康猪突然死亡。多数猪食欲减退，眼有分泌物，病初粪便干结，呈球状附着粘膜，随后下痢，耳、胸、颈、腹部皮肤出现指压易褪色红斑，多呈菱形或方形，病猪3-4天后死亡。</w:t>
      </w:r>
    </w:p>
    <w:p>
      <w:pPr>
        <w:widowControl w:val="0"/>
        <w:ind w:firstLine="480"/>
        <w:rPr>
          <w:color w:val="auto"/>
          <w:highlight w:val="none"/>
        </w:rPr>
      </w:pPr>
      <w:r>
        <w:rPr>
          <w:rFonts w:hint="eastAsia"/>
          <w:color w:val="auto"/>
          <w:highlight w:val="none"/>
        </w:rPr>
        <w:t>③猪肺疫：是由多杀性巴氏杆菌引起的一种常见的猪呼吸道病。本病多发于春初秋末季节。是常见的病型，除了败血症还表现出呼吸困难，咳嗽，流鼻涕，皮肤出现血红紫斑等症状。</w:t>
      </w:r>
    </w:p>
    <w:p>
      <w:pPr>
        <w:widowControl w:val="0"/>
        <w:ind w:firstLine="480"/>
        <w:rPr>
          <w:color w:val="auto"/>
          <w:highlight w:val="none"/>
        </w:rPr>
      </w:pPr>
      <w:r>
        <w:rPr>
          <w:rFonts w:hint="eastAsia"/>
          <w:color w:val="auto"/>
          <w:highlight w:val="none"/>
        </w:rPr>
        <w:t>④猪流行性腹泻：由病毒引起的一种高度接触性传染病。多发生在冬季。不同年龄、品种和性别的猪都易感，哺乳猪和架子猪及肥育猪的发病率通常为100%，母猪为10-90%，主要经消化道传播，也可经呼吸道传染。一般流行过程延续4-5周，可自然平息。</w:t>
      </w:r>
    </w:p>
    <w:p>
      <w:pPr>
        <w:widowControl w:val="0"/>
        <w:ind w:firstLine="480"/>
        <w:rPr>
          <w:color w:val="auto"/>
          <w:highlight w:val="none"/>
        </w:rPr>
      </w:pPr>
      <w:r>
        <w:rPr>
          <w:rFonts w:hint="eastAsia"/>
          <w:color w:val="auto"/>
          <w:highlight w:val="none"/>
        </w:rPr>
        <w:t>⑤猪副伤寒：本病是由猪霍乱和沙门氏菌引起的仔猪传染性病。本病主要发生于密集饲养的2～4月龄仔猪，尤其在天气寒冷气候多变，断乳过早及疾病等条件下，使猪抵抗力下降从而导致发病。</w:t>
      </w:r>
    </w:p>
    <w:p>
      <w:pPr>
        <w:widowControl w:val="0"/>
        <w:ind w:firstLine="480"/>
        <w:rPr>
          <w:color w:val="auto"/>
          <w:highlight w:val="none"/>
        </w:rPr>
      </w:pPr>
      <w:r>
        <w:rPr>
          <w:rFonts w:hint="eastAsia"/>
          <w:color w:val="auto"/>
          <w:highlight w:val="none"/>
        </w:rPr>
        <w:t>⑥猪水肿病：本病由病原性大肠杆菌产生的毒素引起。主要发生于断奶后肥胖的体格强壮的仔猪，常突然发生，头部水肿，供给失调。迅速死亡，致死率高，在硒缺乏地区易发生本病。</w:t>
      </w:r>
    </w:p>
    <w:p>
      <w:pPr>
        <w:widowControl w:val="0"/>
        <w:ind w:firstLine="480"/>
        <w:rPr>
          <w:color w:val="auto"/>
          <w:highlight w:val="none"/>
        </w:rPr>
      </w:pPr>
      <w:r>
        <w:rPr>
          <w:rFonts w:hint="eastAsia"/>
          <w:color w:val="auto"/>
          <w:highlight w:val="none"/>
        </w:rPr>
        <w:t>⑦猪蛔虫病：猪蛔虫病是造成养殖业巨大经济损失的最重要的寄生虫病，主要危害断奶后的猪，能使幼猪生长发育不良，严重者形成僵猪，甚至引起死亡。</w:t>
      </w:r>
    </w:p>
    <w:p>
      <w:pPr>
        <w:widowControl w:val="0"/>
        <w:ind w:firstLine="480"/>
        <w:rPr>
          <w:color w:val="auto"/>
          <w:highlight w:val="none"/>
        </w:rPr>
      </w:pPr>
      <w:r>
        <w:rPr>
          <w:rFonts w:hint="eastAsia"/>
          <w:color w:val="auto"/>
          <w:highlight w:val="none"/>
        </w:rPr>
        <w:t>⑧猪传染性胃肠炎：本病由冠状病毒引起，是一种急性、接触性传染病，10日龄以内猪的发病率和病死率均很高，5周龄以上的猪病死率很低，病猪和带毒猪是主要传染源，经消化道呼吸道感染，本病多发生于冬季。各种年龄的猪都以呕吐、严重腹泻、脱水、厌食为特征。此外，猪群中还可能流行猪流感、口蹄疫等人畜共患疫情。一旦项目宰杀生猪中出现疫情，将可能感染项目区周边、运输线路周边及消费者周边人畜。</w:t>
      </w:r>
    </w:p>
    <w:p>
      <w:pPr>
        <w:pStyle w:val="4"/>
        <w:widowControl w:val="0"/>
        <w:rPr>
          <w:color w:val="auto"/>
          <w:highlight w:val="none"/>
        </w:rPr>
      </w:pPr>
      <w:bookmarkStart w:id="79" w:name="_Toc4891"/>
      <w:r>
        <w:rPr>
          <w:rFonts w:hint="eastAsia"/>
          <w:color w:val="auto"/>
          <w:highlight w:val="none"/>
        </w:rPr>
        <w:t>环境风险防范措施及应急要求</w:t>
      </w:r>
      <w:bookmarkEnd w:id="79"/>
    </w:p>
    <w:p>
      <w:pPr>
        <w:pStyle w:val="5"/>
        <w:widowControl w:val="0"/>
        <w:ind w:firstLine="120"/>
        <w:rPr>
          <w:color w:val="auto"/>
          <w:highlight w:val="none"/>
        </w:rPr>
      </w:pPr>
      <w:r>
        <w:rPr>
          <w:rFonts w:hint="eastAsia"/>
          <w:color w:val="auto"/>
          <w:highlight w:val="none"/>
        </w:rPr>
        <w:t>环境风险防范措施</w:t>
      </w:r>
    </w:p>
    <w:p>
      <w:pPr>
        <w:pStyle w:val="6"/>
        <w:widowControl w:val="0"/>
        <w:ind w:left="-160" w:firstLineChars="0"/>
        <w:rPr>
          <w:color w:val="auto"/>
          <w:highlight w:val="none"/>
        </w:rPr>
      </w:pPr>
      <w:r>
        <w:rPr>
          <w:rFonts w:hint="eastAsia"/>
          <w:color w:val="auto"/>
          <w:highlight w:val="none"/>
        </w:rPr>
        <w:t>大气环境风险防范措施</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）臭气处理设施设专人负责管理设备，平日加强对设备的维护，发生事故及时进行维修、更换。</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）燃气管网需经专业公司设计安装，并经吹扫、试压测试合格，并设置气体泄露报警装置。燃气管道采用单母管设计，引入炉灶的燃气母管上安装总截止阀，燃气干管上安装快速切断阀及气体泄漏报警器。</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）本项目采用的制冷剂为</w:t>
      </w:r>
      <w:r>
        <w:rPr>
          <w:color w:val="auto"/>
          <w:highlight w:val="none"/>
        </w:rPr>
        <w:t>R507A</w:t>
      </w:r>
      <w:r>
        <w:rPr>
          <w:rFonts w:hint="eastAsia"/>
          <w:color w:val="auto"/>
          <w:highlight w:val="none"/>
        </w:rPr>
        <w:t>，均为无色无味气体，泄漏不易察觉，本项目制冷剂添加专利蒜臭味泄漏警示剂，一旦泄漏很快会被察觉；采用制冷剂的设备由专职人员负责管理，并有专业人员补充自然损失量，非专业人员禁止操作。</w:t>
      </w:r>
    </w:p>
    <w:p>
      <w:pPr>
        <w:pStyle w:val="6"/>
        <w:widowControl w:val="0"/>
        <w:ind w:left="-160" w:firstLineChars="0"/>
        <w:rPr>
          <w:color w:val="auto"/>
          <w:highlight w:val="none"/>
        </w:rPr>
      </w:pPr>
      <w:r>
        <w:rPr>
          <w:rFonts w:hint="eastAsia"/>
          <w:color w:val="auto"/>
          <w:highlight w:val="none"/>
        </w:rPr>
        <w:t>地表水风险防范措施</w:t>
      </w:r>
    </w:p>
    <w:p>
      <w:pPr>
        <w:widowControl w:val="0"/>
        <w:ind w:firstLine="480"/>
        <w:jc w:val="left"/>
        <w:rPr>
          <w:rFonts w:ascii="宋体" w:hAnsi="宋体"/>
          <w:color w:val="auto"/>
          <w:szCs w:val="24"/>
          <w:highlight w:val="none"/>
        </w:rPr>
      </w:pPr>
      <w:r>
        <w:rPr>
          <w:rFonts w:hint="eastAsia" w:ascii="宋体" w:hAnsi="宋体"/>
          <w:color w:val="auto"/>
          <w:szCs w:val="24"/>
          <w:highlight w:val="none"/>
        </w:rPr>
        <w:t>（</w:t>
      </w:r>
      <w:r>
        <w:rPr>
          <w:rFonts w:eastAsia="Times New Roman"/>
          <w:color w:val="auto"/>
          <w:szCs w:val="24"/>
          <w:highlight w:val="none"/>
        </w:rPr>
        <w:t>1</w:t>
      </w:r>
      <w:r>
        <w:rPr>
          <w:rFonts w:hint="eastAsia" w:ascii="宋体" w:hAnsi="宋体"/>
          <w:color w:val="auto"/>
          <w:szCs w:val="24"/>
          <w:highlight w:val="none"/>
        </w:rPr>
        <w:t>）设置事故调节池</w:t>
      </w:r>
    </w:p>
    <w:p>
      <w:pPr>
        <w:widowControl w:val="0"/>
        <w:ind w:firstLine="480"/>
        <w:rPr>
          <w:rFonts w:ascii="宋体" w:hAnsi="宋体"/>
          <w:color w:val="auto"/>
          <w:szCs w:val="24"/>
          <w:highlight w:val="none"/>
        </w:rPr>
      </w:pPr>
      <w:r>
        <w:rPr>
          <w:rFonts w:hint="eastAsia" w:ascii="宋体" w:hAnsi="宋体"/>
          <w:color w:val="auto"/>
          <w:szCs w:val="24"/>
          <w:highlight w:val="none"/>
        </w:rPr>
        <w:t>为防止废水事故排放影响濛溪河水环境，当污水处理站发生故障时，应立即停止作业，将废水暂存于应急事故池（</w:t>
      </w:r>
      <w:r>
        <w:rPr>
          <w:rFonts w:eastAsia="Times New Roman"/>
          <w:color w:val="auto"/>
          <w:szCs w:val="24"/>
          <w:highlight w:val="none"/>
        </w:rPr>
        <w:t>1</w:t>
      </w:r>
      <w:r>
        <w:rPr>
          <w:rFonts w:hint="eastAsia" w:ascii="宋体" w:hAnsi="宋体"/>
          <w:color w:val="auto"/>
          <w:szCs w:val="24"/>
          <w:highlight w:val="none"/>
        </w:rPr>
        <w:t>个，</w:t>
      </w:r>
      <w:r>
        <w:rPr>
          <w:rFonts w:hint="eastAsia"/>
          <w:color w:val="auto"/>
          <w:szCs w:val="24"/>
          <w:highlight w:val="none"/>
        </w:rPr>
        <w:t>500</w:t>
      </w:r>
      <w:r>
        <w:rPr>
          <w:rFonts w:eastAsia="Times New Roman"/>
          <w:color w:val="auto"/>
          <w:szCs w:val="24"/>
          <w:highlight w:val="none"/>
        </w:rPr>
        <w:t>m</w:t>
      </w:r>
      <w:r>
        <w:rPr>
          <w:rFonts w:hint="eastAsia"/>
          <w:color w:val="auto"/>
          <w:szCs w:val="24"/>
          <w:highlight w:val="none"/>
          <w:vertAlign w:val="superscript"/>
        </w:rPr>
        <w:t>3</w:t>
      </w:r>
      <w:r>
        <w:rPr>
          <w:rFonts w:hint="eastAsia" w:ascii="宋体" w:hAnsi="宋体"/>
          <w:color w:val="auto"/>
          <w:szCs w:val="24"/>
          <w:highlight w:val="none"/>
        </w:rPr>
        <w:t>，钢混结构），待污水处理站正常运行后，再引入废水处理系统处理达标后排放。污水处理站设备故障或检修期间禁止作业，</w:t>
      </w:r>
      <w:r>
        <w:rPr>
          <w:rFonts w:hint="eastAsia"/>
          <w:color w:val="auto"/>
          <w:szCs w:val="24"/>
          <w:highlight w:val="none"/>
        </w:rPr>
        <w:t>2</w:t>
      </w:r>
      <w:r>
        <w:rPr>
          <w:rFonts w:eastAsia="Times New Roman"/>
          <w:color w:val="auto"/>
          <w:szCs w:val="24"/>
          <w:highlight w:val="none"/>
        </w:rPr>
        <w:t>h</w:t>
      </w:r>
      <w:r>
        <w:rPr>
          <w:rFonts w:hint="eastAsia" w:ascii="宋体" w:hAnsi="宋体"/>
          <w:color w:val="auto"/>
          <w:szCs w:val="24"/>
          <w:highlight w:val="none"/>
        </w:rPr>
        <w:t>内停止排放废水，按旺季屠宰时</w:t>
      </w:r>
      <w:r>
        <w:rPr>
          <w:rFonts w:hint="eastAsia"/>
          <w:color w:val="auto"/>
          <w:szCs w:val="24"/>
          <w:highlight w:val="none"/>
        </w:rPr>
        <w:t>2</w:t>
      </w:r>
      <w:r>
        <w:rPr>
          <w:rFonts w:eastAsia="Times New Roman"/>
          <w:color w:val="auto"/>
          <w:szCs w:val="24"/>
          <w:highlight w:val="none"/>
        </w:rPr>
        <w:t>h</w:t>
      </w:r>
      <w:r>
        <w:rPr>
          <w:rFonts w:hint="eastAsia" w:ascii="宋体" w:hAnsi="宋体"/>
          <w:color w:val="auto"/>
          <w:szCs w:val="24"/>
          <w:highlight w:val="none"/>
        </w:rPr>
        <w:t>内污水量约</w:t>
      </w:r>
      <w:r>
        <w:rPr>
          <w:rFonts w:hint="eastAsia"/>
          <w:color w:val="auto"/>
          <w:highlight w:val="none"/>
        </w:rPr>
        <w:t>65</w:t>
      </w:r>
      <w:r>
        <w:rPr>
          <w:rFonts w:eastAsia="Times New Roman"/>
          <w:color w:val="auto"/>
          <w:szCs w:val="24"/>
          <w:highlight w:val="none"/>
        </w:rPr>
        <w:t>m</w:t>
      </w:r>
      <w:r>
        <w:rPr>
          <w:rFonts w:hint="eastAsia"/>
          <w:color w:val="auto"/>
          <w:szCs w:val="24"/>
          <w:highlight w:val="none"/>
          <w:vertAlign w:val="superscript"/>
        </w:rPr>
        <w:t>3</w:t>
      </w:r>
      <w:r>
        <w:rPr>
          <w:rFonts w:hint="eastAsia" w:ascii="宋体" w:hAnsi="宋体"/>
          <w:color w:val="auto"/>
          <w:szCs w:val="24"/>
          <w:highlight w:val="none"/>
        </w:rPr>
        <w:t>，保障满足事故暂存要求。</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）修建截水沟针对生产车间（待宰圈、屠宰车间、冻库在同一建筑内）四周设置截水沟，且与项目污水处理站相连，同时设置控制阀门。</w:t>
      </w:r>
    </w:p>
    <w:p>
      <w:pPr>
        <w:widowControl w:val="0"/>
        <w:ind w:firstLine="480"/>
        <w:rPr>
          <w:color w:val="auto"/>
          <w:highlight w:val="none"/>
        </w:rPr>
      </w:pPr>
      <w:r>
        <w:rPr>
          <w:rFonts w:hint="eastAsia"/>
          <w:color w:val="auto"/>
          <w:highlight w:val="none"/>
        </w:rPr>
        <w:t>（3）泵站与污水处理站采用双路供电，水泵设计考虑备用，机械设备采用性能可靠优质产品。</w:t>
      </w:r>
    </w:p>
    <w:p>
      <w:pPr>
        <w:widowControl w:val="0"/>
        <w:ind w:firstLine="480"/>
        <w:rPr>
          <w:color w:val="auto"/>
          <w:highlight w:val="none"/>
        </w:rPr>
      </w:pPr>
      <w:r>
        <w:rPr>
          <w:rFonts w:hint="eastAsia"/>
          <w:color w:val="auto"/>
          <w:highlight w:val="none"/>
        </w:rPr>
        <w:t>（4）选用优质机械电器、仪表等设备。关键设备一用一备，易损部件要有备用件，在出现事故时能及时更换。</w:t>
      </w:r>
    </w:p>
    <w:p>
      <w:pPr>
        <w:widowControl w:val="0"/>
        <w:ind w:firstLine="480"/>
        <w:rPr>
          <w:color w:val="auto"/>
          <w:highlight w:val="none"/>
        </w:rPr>
      </w:pPr>
      <w:r>
        <w:rPr>
          <w:rFonts w:hint="eastAsia"/>
          <w:color w:val="auto"/>
          <w:highlight w:val="none"/>
        </w:rPr>
        <w:t>（5）加强事故苗头监控，定期巡检、调节、保养、维修。及时发现有可能引起事故的异常运行苗头，消除事故隐患。</w:t>
      </w:r>
    </w:p>
    <w:p>
      <w:pPr>
        <w:widowControl w:val="0"/>
        <w:ind w:firstLine="480"/>
        <w:rPr>
          <w:color w:val="auto"/>
          <w:highlight w:val="none"/>
        </w:rPr>
      </w:pPr>
      <w:r>
        <w:rPr>
          <w:rFonts w:hint="eastAsia"/>
          <w:color w:val="auto"/>
          <w:highlight w:val="none"/>
        </w:rPr>
        <w:t>（6）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widowControl w:val="0"/>
        <w:ind w:firstLine="480"/>
        <w:rPr>
          <w:color w:val="auto"/>
          <w:highlight w:val="none"/>
        </w:rPr>
      </w:pPr>
      <w:r>
        <w:rPr>
          <w:rFonts w:hint="eastAsia"/>
          <w:color w:val="auto"/>
          <w:highlight w:val="none"/>
        </w:rPr>
        <w:t>（7）建立安全操作规程，在平时严格按规程办事，定期对污水处理站人员的理论知识和操作技能进行培训和检查。</w:t>
      </w:r>
    </w:p>
    <w:p>
      <w:pPr>
        <w:widowControl w:val="0"/>
        <w:ind w:firstLine="480"/>
        <w:rPr>
          <w:color w:val="auto"/>
          <w:highlight w:val="none"/>
        </w:rPr>
      </w:pPr>
      <w:r>
        <w:rPr>
          <w:rFonts w:hint="eastAsia"/>
          <w:color w:val="auto"/>
          <w:highlight w:val="none"/>
        </w:rPr>
        <w:t>（8）加强运行管理，未经处理达标的污水严禁排入元坨社区市政污水管网，通过市政污水管网汇入响滩镇污水处理厂处理。</w:t>
      </w:r>
    </w:p>
    <w:p>
      <w:pPr>
        <w:widowControl w:val="0"/>
        <w:ind w:firstLine="480"/>
        <w:rPr>
          <w:color w:val="auto"/>
          <w:highlight w:val="none"/>
        </w:rPr>
      </w:pPr>
      <w:r>
        <w:rPr>
          <w:rFonts w:hint="eastAsia"/>
          <w:color w:val="auto"/>
          <w:highlight w:val="none"/>
        </w:rPr>
        <w:t>（9）建立安全责任制度，在日常的工作管理方面建立一套完整的制度，落实到人、明确职责、定期检查。制定风险事故的应急措施，明确事故发生时的应急、抢险操作制度。</w:t>
      </w:r>
    </w:p>
    <w:p>
      <w:pPr>
        <w:pStyle w:val="6"/>
        <w:widowControl w:val="0"/>
        <w:ind w:left="-160" w:firstLineChars="0"/>
        <w:rPr>
          <w:color w:val="auto"/>
          <w:highlight w:val="none"/>
        </w:rPr>
      </w:pPr>
      <w:r>
        <w:rPr>
          <w:rFonts w:hint="eastAsia"/>
          <w:color w:val="auto"/>
          <w:highlight w:val="none"/>
        </w:rPr>
        <w:t>地下水环境风险防范措施</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）重点防渗：危废暂存间采用防渗混凝土</w:t>
      </w:r>
      <w:r>
        <w:rPr>
          <w:color w:val="auto"/>
          <w:highlight w:val="none"/>
        </w:rPr>
        <w:t>+2mmHDPE</w:t>
      </w:r>
      <w:r>
        <w:rPr>
          <w:rFonts w:hint="eastAsia"/>
          <w:color w:val="auto"/>
          <w:highlight w:val="none"/>
        </w:rPr>
        <w:t>防渗膜+金属托盘，可满足等效粘土防渗层Mb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-10</w:t>
      </w:r>
      <w:r>
        <w:rPr>
          <w:rFonts w:hint="eastAsia"/>
          <w:color w:val="auto"/>
          <w:highlight w:val="none"/>
        </w:rPr>
        <w:t>cm/s的要求；药品库、污水处理站及污水管网、污水处理站加药间、无害化暂存间均采用防渗混凝土+</w:t>
      </w:r>
      <w:r>
        <w:rPr>
          <w:color w:val="auto"/>
          <w:highlight w:val="none"/>
        </w:rPr>
        <w:t>2mmHDPE</w:t>
      </w:r>
      <w:r>
        <w:rPr>
          <w:rFonts w:hint="eastAsia"/>
          <w:color w:val="auto"/>
          <w:highlight w:val="none"/>
        </w:rPr>
        <w:t>防渗膜可满足等效粘土防渗层Mb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-7</w:t>
      </w:r>
      <w:r>
        <w:rPr>
          <w:rFonts w:hint="eastAsia"/>
          <w:color w:val="auto"/>
          <w:highlight w:val="none"/>
        </w:rPr>
        <w:t>cm/s的要求。</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）一般防渗：待宰圈、屠宰车间、急宰间、隔离间、观察室、检疫室、垃圾回收站要求进行一般防渗，防渗技术采用防渗混凝土可满足等效粘土防渗层</w:t>
      </w:r>
      <w:r>
        <w:rPr>
          <w:color w:val="auto"/>
          <w:highlight w:val="none"/>
        </w:rPr>
        <w:t>Mb≥1.5m</w:t>
      </w:r>
      <w:r>
        <w:rPr>
          <w:rFonts w:hint="eastAsia"/>
          <w:color w:val="auto"/>
          <w:highlight w:val="none"/>
        </w:rPr>
        <w:t>，</w:t>
      </w:r>
      <w:r>
        <w:rPr>
          <w:color w:val="auto"/>
          <w:highlight w:val="none"/>
        </w:rPr>
        <w:t>K≤10</w:t>
      </w:r>
      <w:r>
        <w:rPr>
          <w:color w:val="auto"/>
          <w:highlight w:val="none"/>
          <w:vertAlign w:val="superscript"/>
        </w:rPr>
        <w:t>-7</w:t>
      </w:r>
      <w:r>
        <w:rPr>
          <w:color w:val="auto"/>
          <w:highlight w:val="none"/>
        </w:rPr>
        <w:t>cm/s</w:t>
      </w:r>
      <w:r>
        <w:rPr>
          <w:rFonts w:hint="eastAsia"/>
          <w:color w:val="auto"/>
          <w:highlight w:val="none"/>
        </w:rPr>
        <w:t>的要求。</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）简单防渗：倒班房、道路等除重点防渗区和一般防渗区以外的区域。防渗技术要求为一般地面硬化。</w:t>
      </w:r>
    </w:p>
    <w:p>
      <w:pPr>
        <w:pStyle w:val="6"/>
        <w:widowControl w:val="0"/>
        <w:ind w:left="-160" w:firstLineChars="0"/>
        <w:rPr>
          <w:color w:val="auto"/>
          <w:highlight w:val="none"/>
        </w:rPr>
      </w:pPr>
      <w:r>
        <w:rPr>
          <w:rFonts w:hint="eastAsia"/>
          <w:color w:val="auto"/>
          <w:highlight w:val="none"/>
        </w:rPr>
        <w:t>牲畜疫情</w:t>
      </w:r>
    </w:p>
    <w:p>
      <w:pPr>
        <w:widowControl w:val="0"/>
        <w:ind w:firstLine="480"/>
        <w:rPr>
          <w:color w:val="auto"/>
          <w:highlight w:val="none"/>
        </w:rPr>
      </w:pPr>
      <w:r>
        <w:rPr>
          <w:rFonts w:hint="eastAsia"/>
          <w:color w:val="auto"/>
          <w:highlight w:val="none"/>
        </w:rPr>
        <w:t>疫情一旦爆发，在短时间内将造成巨大损失。因此，做好疫情防范是避免损失的前提保障。屠宰场防疫的措施包括：</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）日常疫情防范</w:t>
      </w:r>
    </w:p>
    <w:p>
      <w:pPr>
        <w:widowControl w:val="0"/>
        <w:ind w:firstLine="480"/>
        <w:rPr>
          <w:color w:val="auto"/>
          <w:highlight w:val="none"/>
        </w:rPr>
      </w:pPr>
      <w:r>
        <w:rPr>
          <w:rFonts w:hint="eastAsia"/>
          <w:color w:val="auto"/>
          <w:highlight w:val="none"/>
        </w:rPr>
        <w:t>针对屠宰场和牲畜发病特点，凡进入项目区的人员，无论是进入生产区或生活区，一律先经消毒、洗手方可入内。外来车辆严禁入内，若生产或业务必需，车身经过全面消毒后方可入内。本场生产区的车辆、用具，一律不得外借。定期对厂区进行消毒。</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）防止疫情由外传入</w:t>
      </w:r>
    </w:p>
    <w:p>
      <w:pPr>
        <w:widowControl w:val="0"/>
        <w:ind w:firstLine="480"/>
        <w:rPr>
          <w:color w:val="auto"/>
          <w:highlight w:val="none"/>
        </w:rPr>
      </w:pPr>
      <w:r>
        <w:rPr>
          <w:rFonts w:hint="eastAsia"/>
          <w:color w:val="auto"/>
          <w:highlight w:val="none"/>
        </w:rPr>
        <w:t>外购牲畜应逐只检查，对可疑牲畜应隔离观察，排除感染可能后方能进场宰杀。禁止将生肉及含肉制品的食物带入场内。</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）发生疫情尽快扑灭</w:t>
      </w:r>
    </w:p>
    <w:p>
      <w:pPr>
        <w:widowControl w:val="0"/>
        <w:ind w:firstLine="480"/>
        <w:rPr>
          <w:color w:val="auto"/>
          <w:highlight w:val="none"/>
        </w:rPr>
      </w:pPr>
      <w:r>
        <w:rPr>
          <w:rFonts w:hint="eastAsia"/>
          <w:color w:val="auto"/>
          <w:highlight w:val="none"/>
        </w:rPr>
        <w:t>①及时宰杀。发现疫情后，应迅速隔离病猪，并将病猪送至急宰间宰杀。宰杀后与猪血送无害化暂存间进行处置。</w:t>
      </w:r>
    </w:p>
    <w:p>
      <w:pPr>
        <w:widowControl w:val="0"/>
        <w:ind w:firstLine="480"/>
        <w:rPr>
          <w:color w:val="auto"/>
          <w:highlight w:val="none"/>
        </w:rPr>
      </w:pPr>
      <w:r>
        <w:rPr>
          <w:rFonts w:hint="eastAsia"/>
          <w:color w:val="auto"/>
          <w:highlight w:val="none"/>
        </w:rPr>
        <w:t>②及时报告疫情。发现应该上报疫情的传染病时，应及时向上级业务部门报告疫情，包括病畜种类、发病时间地点、发病只数、死亡只数、临床症状、剖检病变、初诊病名及已经采取的防治措施。必要时应通报邻近地区，以便共同防治，防止疫情扩散。</w:t>
      </w:r>
    </w:p>
    <w:p>
      <w:pPr>
        <w:widowControl w:val="0"/>
        <w:ind w:firstLine="480"/>
        <w:rPr>
          <w:color w:val="auto"/>
          <w:highlight w:val="none"/>
        </w:rPr>
      </w:pPr>
      <w:r>
        <w:rPr>
          <w:rFonts w:hint="eastAsia"/>
          <w:color w:val="auto"/>
          <w:highlight w:val="none"/>
        </w:rPr>
        <w:t>③全面彻底消毒。对病猪所在的圈舍及活动过的圈舍、接触过的用具进行严格消毒，病猪污染的饲料要进行销毁，病猪排出的粪便应集中到指定地点堆积发酵和消毒。</w:t>
      </w:r>
    </w:p>
    <w:p>
      <w:pPr>
        <w:widowControl w:val="0"/>
        <w:ind w:firstLine="480"/>
        <w:rPr>
          <w:color w:val="auto"/>
          <w:highlight w:val="none"/>
        </w:rPr>
      </w:pPr>
      <w:r>
        <w:rPr>
          <w:rFonts w:hint="eastAsia"/>
          <w:color w:val="auto"/>
          <w:highlight w:val="none"/>
        </w:rPr>
        <w:t>④逐只临床检查。对同圈舍或同群的其它猪要逐只多次进行详细临床检查，必要时进行血清学诊断，以便尽早发现病猪。</w:t>
      </w:r>
    </w:p>
    <w:p>
      <w:pPr>
        <w:widowControl w:val="0"/>
        <w:ind w:firstLine="480"/>
        <w:rPr>
          <w:color w:val="auto"/>
          <w:highlight w:val="none"/>
        </w:rPr>
      </w:pPr>
      <w:r>
        <w:rPr>
          <w:rFonts w:hint="eastAsia"/>
          <w:color w:val="auto"/>
          <w:highlight w:val="none"/>
        </w:rPr>
        <w:t>⑤紧急预防接种。对多次检查无临床症状或血清学诊断为阴性的假健猪进行紧急预防接种，以防止疫病扩散。</w:t>
      </w:r>
    </w:p>
    <w:p>
      <w:pPr>
        <w:widowControl w:val="0"/>
        <w:ind w:firstLine="480"/>
        <w:rPr>
          <w:color w:val="auto"/>
          <w:highlight w:val="none"/>
        </w:rPr>
      </w:pPr>
      <w:r>
        <w:rPr>
          <w:rFonts w:hint="eastAsia"/>
          <w:color w:val="auto"/>
          <w:highlight w:val="none"/>
        </w:rPr>
        <w:t>⑥酌情实行封锁。发生危害严重的传染病时，应报请政府有关部门划定疫区、疫点，实行封锁。必要时，应配合相关部门对屠宰场内及周边疫区范围内牲畜进行扑杀。</w:t>
      </w:r>
    </w:p>
    <w:p>
      <w:pPr>
        <w:widowControl w:val="0"/>
        <w:ind w:firstLine="482"/>
        <w:rPr>
          <w:b/>
          <w:bCs/>
          <w:color w:val="auto"/>
          <w:highlight w:val="none"/>
        </w:rPr>
      </w:pPr>
      <w:r>
        <w:rPr>
          <w:rFonts w:hint="eastAsia"/>
          <w:b/>
          <w:bCs/>
          <w:color w:val="auto"/>
          <w:highlight w:val="none"/>
        </w:rPr>
        <w:t>同时，在日常管理，对于牲畜疫情的防治措施应注意以下几点：</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）提高员工专业素质，增强防病观念</w:t>
      </w:r>
    </w:p>
    <w:p>
      <w:pPr>
        <w:widowControl w:val="0"/>
        <w:ind w:firstLine="480"/>
        <w:rPr>
          <w:color w:val="auto"/>
          <w:highlight w:val="none"/>
        </w:rPr>
      </w:pPr>
      <w:r>
        <w:rPr>
          <w:rFonts w:hint="eastAsia"/>
          <w:color w:val="auto"/>
          <w:highlight w:val="none"/>
        </w:rPr>
        <w:t>在预防传染的措施上，首先应从人员的管理着手做起，提高员工的专业素质，经常进行思想教育和技术培训等工作，逐步提高他们对传染病的警惕意识，并自觉遵守防疫制度，厂区设专人负责防疫工作。</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）卫生管理和环境消毒</w:t>
      </w:r>
    </w:p>
    <w:p>
      <w:pPr>
        <w:widowControl w:val="0"/>
        <w:ind w:firstLine="480"/>
        <w:rPr>
          <w:color w:val="auto"/>
          <w:highlight w:val="none"/>
        </w:rPr>
      </w:pPr>
      <w:r>
        <w:rPr>
          <w:rFonts w:hint="eastAsia"/>
          <w:color w:val="auto"/>
          <w:highlight w:val="none"/>
        </w:rPr>
        <w:t>传染病源一般抵抗力较强，受污染的场地难以彻底将其消灭。因此，坚持做好日常的环境清洁和消毒工作，定期进行全厂彻底大消毒，减少或消灭环境中的病毒和其它有害因素。厂区门口设置消毒池，专人执行消毒工作。消毒药可选用强力消毒灵、烧碱、百毒杀等，工作人员进舍前应换上已消毒的服装鞋帽，外来人员及车辆等必须严格消毒后进场。</w:t>
      </w:r>
    </w:p>
    <w:p>
      <w:pPr>
        <w:widowControl w:val="0"/>
        <w:ind w:firstLine="480"/>
        <w:rPr>
          <w:color w:val="auto"/>
          <w:highlight w:val="none"/>
        </w:rPr>
      </w:pPr>
      <w:r>
        <w:rPr>
          <w:rFonts w:hint="eastAsia"/>
          <w:color w:val="auto"/>
          <w:highlight w:val="none"/>
        </w:rPr>
        <w:t>待宰圈要定期彻底清扫、冲洗和消毒，动物防疫监督部门要到场检疫，认真做好生猪检疫工作，做到及早发现疫情，并把疫情控制在最小范围内，防止传染源进入市场流通渠道。</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）建立疫病报告制度</w:t>
      </w:r>
    </w:p>
    <w:p>
      <w:pPr>
        <w:widowControl w:val="0"/>
        <w:ind w:firstLine="480"/>
        <w:rPr>
          <w:color w:val="auto"/>
          <w:highlight w:val="none"/>
        </w:rPr>
      </w:pPr>
      <w:r>
        <w:rPr>
          <w:rFonts w:hint="eastAsia"/>
          <w:color w:val="auto"/>
          <w:highlight w:val="none"/>
        </w:rPr>
        <w:t>实行规范化管理，待宰圈内的数量、精神状况、发病死亡情况、粪便性状每天都应加以记载，发现有病猪、死猪及时无害化处理的同时，尽快向当地兽医部门报告，以便及早确诊，采取适当措施，减少损失。</w:t>
      </w:r>
    </w:p>
    <w:p>
      <w:pPr>
        <w:widowControl w:val="0"/>
        <w:ind w:firstLine="480"/>
        <w:rPr>
          <w:color w:val="auto"/>
          <w:highlight w:val="none"/>
        </w:rPr>
      </w:pPr>
      <w:r>
        <w:rPr>
          <w:rFonts w:hint="eastAsia"/>
          <w:color w:val="auto"/>
          <w:highlight w:val="none"/>
        </w:rPr>
        <w:t>为及时控制事故发生情况，环评要求本项目应编制突发环境事件应急预案。</w:t>
      </w:r>
    </w:p>
    <w:p>
      <w:pPr>
        <w:pStyle w:val="5"/>
        <w:widowControl w:val="0"/>
        <w:ind w:firstLine="120"/>
        <w:rPr>
          <w:color w:val="auto"/>
          <w:highlight w:val="none"/>
        </w:rPr>
      </w:pPr>
      <w:r>
        <w:rPr>
          <w:rFonts w:hint="eastAsia"/>
          <w:color w:val="auto"/>
          <w:highlight w:val="none"/>
        </w:rPr>
        <w:t>应急要求</w:t>
      </w:r>
    </w:p>
    <w:p>
      <w:pPr>
        <w:pStyle w:val="6"/>
        <w:widowControl w:val="0"/>
        <w:ind w:left="-160" w:firstLineChars="0"/>
        <w:rPr>
          <w:color w:val="auto"/>
          <w:highlight w:val="none"/>
        </w:rPr>
      </w:pPr>
      <w:r>
        <w:rPr>
          <w:rFonts w:hint="eastAsia"/>
          <w:color w:val="auto"/>
          <w:highlight w:val="none"/>
        </w:rPr>
        <w:t>火灾爆炸</w:t>
      </w:r>
    </w:p>
    <w:p>
      <w:pPr>
        <w:widowControl w:val="0"/>
        <w:ind w:firstLine="480"/>
        <w:rPr>
          <w:color w:val="auto"/>
          <w:highlight w:val="none"/>
        </w:rPr>
      </w:pPr>
      <w:r>
        <w:rPr>
          <w:rFonts w:hint="eastAsia"/>
          <w:color w:val="auto"/>
          <w:highlight w:val="none"/>
        </w:rPr>
        <w:t>在消毒剂、柴油贮存及运输使用过程中，如发生火灾、爆炸应采取以下措施：</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）报警：迅速向当地</w:t>
      </w:r>
      <w:r>
        <w:rPr>
          <w:color w:val="auto"/>
          <w:highlight w:val="none"/>
        </w:rPr>
        <w:t>119</w:t>
      </w:r>
      <w:r>
        <w:rPr>
          <w:rFonts w:hint="eastAsia"/>
          <w:color w:val="auto"/>
          <w:highlight w:val="none"/>
        </w:rPr>
        <w:t>消防、政府报警并申请紧急救援。由消防、医疗、工程技术人员及厂领导共同组成事故应急救援领导小组统一指挥事故现场的火灾扑救，并根据火势和风向划定安全距离组织周围公众的疏散撤退，及受伤人员的救助。</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）隔离、疏散、转移遇险人员到安全区域，建立不小于</w:t>
      </w:r>
      <w:r>
        <w:rPr>
          <w:color w:val="auto"/>
          <w:highlight w:val="none"/>
        </w:rPr>
        <w:t>500m</w:t>
      </w:r>
      <w:r>
        <w:rPr>
          <w:rFonts w:hint="eastAsia"/>
          <w:color w:val="auto"/>
          <w:highlight w:val="none"/>
        </w:rPr>
        <w:t>的警戒区，并在通往事故现场的主要干道上实行交通管制，除消防及应急处理人员外，其他人员禁止进入警戒区，并迅速撤离无关人员。</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）事故应急救援领导小组应立即查明原因，及时组织指挥各方面力量处理污染事故，控制事故的蔓延和扩大。</w:t>
      </w:r>
    </w:p>
    <w:p>
      <w:pPr>
        <w:pStyle w:val="6"/>
        <w:widowControl w:val="0"/>
        <w:ind w:left="-160" w:firstLineChars="0"/>
        <w:rPr>
          <w:color w:val="auto"/>
          <w:highlight w:val="none"/>
        </w:rPr>
      </w:pPr>
      <w:r>
        <w:rPr>
          <w:rFonts w:hint="eastAsia"/>
          <w:color w:val="auto"/>
          <w:highlight w:val="none"/>
        </w:rPr>
        <w:t>应急撤离</w:t>
      </w:r>
    </w:p>
    <w:p>
      <w:pPr>
        <w:widowControl w:val="0"/>
        <w:ind w:firstLine="480"/>
        <w:rPr>
          <w:color w:val="auto"/>
          <w:highlight w:val="none"/>
        </w:rPr>
      </w:pPr>
      <w:r>
        <w:rPr>
          <w:rFonts w:hint="eastAsia"/>
          <w:color w:val="auto"/>
          <w:highlight w:val="none"/>
        </w:rPr>
        <w:t>根据事故情况，建立警戒区域，并迅速将警戒区内与事故处理无关人员撤离。应急撤离应注意以下几点：</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）警戒区域的边界应设警示标志并有专人警戒；</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）除消防及应急处理人员外，其他人员禁止进入警戒区；</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）应向上风向转移；明确专人引导和护送疏散人员到安全区；</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）不要在低洼处滞留；</w:t>
      </w:r>
    </w:p>
    <w:p>
      <w:pPr>
        <w:widowControl w:val="0"/>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）要查清是否有人留在污染区与着火区；</w:t>
      </w:r>
    </w:p>
    <w:p>
      <w:pPr>
        <w:widowControl w:val="0"/>
        <w:ind w:firstLine="480"/>
        <w:rPr>
          <w:color w:val="auto"/>
          <w:highlight w:val="none"/>
        </w:rPr>
      </w:pPr>
      <w:r>
        <w:rPr>
          <w:rFonts w:hint="eastAsia"/>
          <w:color w:val="auto"/>
          <w:highlight w:val="none"/>
        </w:rPr>
        <w:t>（</w:t>
      </w:r>
      <w:r>
        <w:rPr>
          <w:color w:val="auto"/>
          <w:highlight w:val="none"/>
        </w:rPr>
        <w:t>6</w:t>
      </w:r>
      <w:r>
        <w:rPr>
          <w:rFonts w:hint="eastAsia"/>
          <w:color w:val="auto"/>
          <w:highlight w:val="none"/>
        </w:rPr>
        <w:t>）为使疏散工作顺利进行，每个工段应至少有两个畅通无阻的紧急出口，并有明显标志；</w:t>
      </w:r>
    </w:p>
    <w:p>
      <w:pPr>
        <w:widowControl w:val="0"/>
        <w:ind w:firstLine="480"/>
        <w:rPr>
          <w:color w:val="auto"/>
          <w:highlight w:val="none"/>
        </w:rPr>
      </w:pPr>
      <w:r>
        <w:rPr>
          <w:rFonts w:hint="eastAsia"/>
          <w:color w:val="auto"/>
          <w:highlight w:val="none"/>
        </w:rPr>
        <w:t>（</w:t>
      </w:r>
      <w:r>
        <w:rPr>
          <w:color w:val="auto"/>
          <w:highlight w:val="none"/>
        </w:rPr>
        <w:t>7</w:t>
      </w:r>
      <w:r>
        <w:rPr>
          <w:rFonts w:hint="eastAsia"/>
          <w:color w:val="auto"/>
          <w:highlight w:val="none"/>
        </w:rPr>
        <w:t>）厂外区域应根据事故发生情况及当时风向、风速，由指挥部决定通知扩散区域内的群众撤离，并做好疏散、道路管制工作。</w:t>
      </w:r>
    </w:p>
    <w:p>
      <w:pPr>
        <w:pStyle w:val="6"/>
        <w:widowControl w:val="0"/>
        <w:ind w:left="-160" w:firstLineChars="0"/>
        <w:rPr>
          <w:color w:val="auto"/>
          <w:highlight w:val="none"/>
        </w:rPr>
      </w:pPr>
      <w:r>
        <w:rPr>
          <w:rFonts w:hint="eastAsia"/>
          <w:color w:val="auto"/>
          <w:highlight w:val="none"/>
        </w:rPr>
        <w:t>应急设施、设备与器材</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）配备一定的消防器材，如泡沫、二氧化碳灭火器及喷水冷却设施；</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）配备一定的防毒面具；</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）应规定应急状态下的报警通讯方式、通知方式和交通保障。</w:t>
      </w:r>
    </w:p>
    <w:p>
      <w:pPr>
        <w:pStyle w:val="4"/>
        <w:widowControl w:val="0"/>
        <w:rPr>
          <w:color w:val="auto"/>
          <w:highlight w:val="none"/>
        </w:rPr>
      </w:pPr>
      <w:bookmarkStart w:id="80" w:name="_Toc17075"/>
      <w:r>
        <w:rPr>
          <w:rFonts w:hint="eastAsia"/>
          <w:color w:val="auto"/>
          <w:highlight w:val="none"/>
        </w:rPr>
        <w:t>环境风险评价结论</w:t>
      </w:r>
      <w:bookmarkEnd w:id="80"/>
    </w:p>
    <w:p>
      <w:pPr>
        <w:widowControl w:val="0"/>
        <w:ind w:firstLine="480"/>
        <w:rPr>
          <w:color w:val="auto"/>
          <w:highlight w:val="none"/>
        </w:rPr>
      </w:pPr>
      <w:r>
        <w:rPr>
          <w:rFonts w:hint="eastAsia"/>
          <w:color w:val="auto"/>
          <w:highlight w:val="none"/>
        </w:rPr>
        <w:t>本项目风险潜势为</w:t>
      </w:r>
      <w:r>
        <w:rPr>
          <w:color w:val="auto"/>
          <w:highlight w:val="none"/>
        </w:rPr>
        <w:t>Ⅰ</w:t>
      </w:r>
      <w:r>
        <w:rPr>
          <w:rFonts w:hint="eastAsia"/>
          <w:color w:val="auto"/>
          <w:highlight w:val="none"/>
        </w:rPr>
        <w:t>，环境分析可接受，通过对项目运营期可能发生的环境风险事故进行定性分析，在采取安全防范措施、综合管理措施、制定风险应急预案等措施后，可将火灾等事故对环境的影响减少到最低和可接受范围，避免使项目本身及周边环境遭受损失。</w:t>
      </w:r>
    </w:p>
    <w:p>
      <w:pPr>
        <w:widowControl w:val="0"/>
        <w:ind w:firstLine="480"/>
        <w:rPr>
          <w:color w:val="auto"/>
          <w:highlight w:val="none"/>
        </w:rPr>
      </w:pPr>
      <w:r>
        <w:rPr>
          <w:rFonts w:hint="eastAsia"/>
          <w:color w:val="auto"/>
          <w:highlight w:val="none"/>
        </w:rPr>
        <w:t>因此，在加强对各类风险的管理，做到各项管理措施及要求后，本项目风险处于可接受水平，风险管理措施有效、可靠，从风险角度而言是可行的。</w:t>
      </w:r>
    </w:p>
    <w:p>
      <w:pPr>
        <w:widowControl w:val="0"/>
        <w:ind w:firstLine="480"/>
        <w:rPr>
          <w:color w:val="auto"/>
          <w:highlight w:val="none"/>
        </w:rPr>
      </w:pPr>
      <w:r>
        <w:rPr>
          <w:rFonts w:hint="eastAsia"/>
          <w:color w:val="auto"/>
          <w:highlight w:val="none"/>
        </w:rPr>
        <w:t>项目环境风险简单分析表如下：</w:t>
      </w:r>
    </w:p>
    <w:p>
      <w:pPr>
        <w:pStyle w:val="27"/>
        <w:widowControl w:val="0"/>
        <w:rPr>
          <w:color w:val="auto"/>
          <w:highlight w:val="none"/>
        </w:rPr>
      </w:pPr>
      <w:r>
        <w:rPr>
          <w:rFonts w:hint="eastAsia"/>
          <w:color w:val="auto"/>
          <w:highlight w:val="none"/>
        </w:rPr>
        <w:t>建设项目环境风险简单分析内容表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1659"/>
        <w:gridCol w:w="1918"/>
        <w:gridCol w:w="1918"/>
        <w:gridCol w:w="1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28"/>
              <w:widowControl w:val="0"/>
              <w:rPr>
                <w:color w:val="auto"/>
                <w:highlight w:val="none"/>
              </w:rPr>
            </w:pPr>
            <w:r>
              <w:rPr>
                <w:rFonts w:hint="eastAsia"/>
                <w:color w:val="auto"/>
                <w:highlight w:val="none"/>
              </w:rPr>
              <w:t>建设项目名称</w:t>
            </w:r>
          </w:p>
        </w:tc>
        <w:tc>
          <w:tcPr>
            <w:tcW w:w="3873" w:type="pct"/>
            <w:gridSpan w:val="4"/>
            <w:tcBorders>
              <w:tl2br w:val="nil"/>
              <w:tr2bl w:val="nil"/>
            </w:tcBorders>
            <w:vAlign w:val="center"/>
          </w:tcPr>
          <w:p>
            <w:pPr>
              <w:pStyle w:val="28"/>
              <w:widowControl w:val="0"/>
              <w:rPr>
                <w:color w:val="auto"/>
                <w:highlight w:val="none"/>
              </w:rPr>
            </w:pPr>
            <w:r>
              <w:rPr>
                <w:rFonts w:hint="eastAsia"/>
                <w:color w:val="auto"/>
                <w:highlight w:val="none"/>
              </w:rPr>
              <w:t>平昌县乐顺现代牲畜屠宰冷链物流一体化建设项目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28"/>
              <w:widowControl w:val="0"/>
              <w:rPr>
                <w:color w:val="auto"/>
                <w:highlight w:val="none"/>
              </w:rPr>
            </w:pPr>
            <w:r>
              <w:rPr>
                <w:rFonts w:hint="eastAsia"/>
                <w:color w:val="auto"/>
                <w:highlight w:val="none"/>
              </w:rPr>
              <w:t>建设地点</w:t>
            </w:r>
          </w:p>
        </w:tc>
        <w:tc>
          <w:tcPr>
            <w:tcW w:w="863" w:type="pct"/>
            <w:tcBorders>
              <w:tl2br w:val="nil"/>
              <w:tr2bl w:val="nil"/>
            </w:tcBorders>
            <w:vAlign w:val="center"/>
          </w:tcPr>
          <w:p>
            <w:pPr>
              <w:pStyle w:val="28"/>
              <w:widowControl w:val="0"/>
              <w:rPr>
                <w:color w:val="auto"/>
                <w:highlight w:val="none"/>
              </w:rPr>
            </w:pPr>
            <w:r>
              <w:rPr>
                <w:rFonts w:hint="eastAsia"/>
                <w:color w:val="auto"/>
                <w:highlight w:val="none"/>
              </w:rPr>
              <w:t>四川省</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巴中市</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平昌县</w:t>
            </w:r>
          </w:p>
        </w:tc>
        <w:tc>
          <w:tcPr>
            <w:tcW w:w="1014" w:type="pct"/>
            <w:tcBorders>
              <w:tl2br w:val="nil"/>
              <w:tr2bl w:val="nil"/>
            </w:tcBorders>
            <w:vAlign w:val="center"/>
          </w:tcPr>
          <w:p>
            <w:pPr>
              <w:pStyle w:val="28"/>
              <w:widowControl w:val="0"/>
              <w:rPr>
                <w:color w:val="auto"/>
                <w:highlight w:val="none"/>
              </w:rPr>
            </w:pPr>
            <w:r>
              <w:rPr>
                <w:rFonts w:hint="eastAsia"/>
                <w:color w:val="auto"/>
                <w:highlight w:val="none"/>
              </w:rPr>
              <w:t>石泉村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28"/>
              <w:widowControl w:val="0"/>
              <w:rPr>
                <w:color w:val="auto"/>
                <w:highlight w:val="none"/>
              </w:rPr>
            </w:pPr>
            <w:r>
              <w:rPr>
                <w:rFonts w:hint="eastAsia"/>
                <w:color w:val="auto"/>
                <w:highlight w:val="none"/>
              </w:rPr>
              <w:t>地理坐标</w:t>
            </w:r>
          </w:p>
        </w:tc>
        <w:tc>
          <w:tcPr>
            <w:tcW w:w="863" w:type="pct"/>
            <w:tcBorders>
              <w:tl2br w:val="nil"/>
              <w:tr2bl w:val="nil"/>
            </w:tcBorders>
            <w:vAlign w:val="center"/>
          </w:tcPr>
          <w:p>
            <w:pPr>
              <w:pStyle w:val="28"/>
              <w:widowControl w:val="0"/>
              <w:rPr>
                <w:color w:val="auto"/>
                <w:highlight w:val="none"/>
              </w:rPr>
            </w:pPr>
            <w:r>
              <w:rPr>
                <w:rFonts w:hint="eastAsia"/>
                <w:color w:val="auto"/>
                <w:highlight w:val="none"/>
              </w:rPr>
              <w:t>经度</w:t>
            </w:r>
          </w:p>
        </w:tc>
        <w:tc>
          <w:tcPr>
            <w:tcW w:w="998" w:type="pct"/>
            <w:tcBorders>
              <w:tl2br w:val="nil"/>
              <w:tr2bl w:val="nil"/>
            </w:tcBorders>
            <w:vAlign w:val="center"/>
          </w:tcPr>
          <w:p>
            <w:pPr>
              <w:pStyle w:val="28"/>
              <w:widowControl w:val="0"/>
              <w:rPr>
                <w:color w:val="auto"/>
                <w:highlight w:val="none"/>
              </w:rPr>
            </w:pPr>
            <w:r>
              <w:rPr>
                <w:color w:val="auto"/>
                <w:highlight w:val="none"/>
              </w:rPr>
              <w:t>106°57′59.69″</w:t>
            </w:r>
          </w:p>
        </w:tc>
        <w:tc>
          <w:tcPr>
            <w:tcW w:w="998" w:type="pct"/>
            <w:tcBorders>
              <w:tl2br w:val="nil"/>
              <w:tr2bl w:val="nil"/>
            </w:tcBorders>
            <w:vAlign w:val="center"/>
          </w:tcPr>
          <w:p>
            <w:pPr>
              <w:pStyle w:val="28"/>
              <w:widowControl w:val="0"/>
              <w:rPr>
                <w:color w:val="auto"/>
                <w:highlight w:val="none"/>
              </w:rPr>
            </w:pPr>
            <w:r>
              <w:rPr>
                <w:rFonts w:hint="eastAsia"/>
                <w:color w:val="auto"/>
                <w:highlight w:val="none"/>
              </w:rPr>
              <w:t>纬度</w:t>
            </w:r>
          </w:p>
        </w:tc>
        <w:tc>
          <w:tcPr>
            <w:tcW w:w="1014" w:type="pct"/>
            <w:tcBorders>
              <w:tl2br w:val="nil"/>
              <w:tr2bl w:val="nil"/>
            </w:tcBorders>
            <w:vAlign w:val="center"/>
          </w:tcPr>
          <w:p>
            <w:pPr>
              <w:pStyle w:val="28"/>
              <w:widowControl w:val="0"/>
              <w:rPr>
                <w:color w:val="auto"/>
                <w:highlight w:val="none"/>
              </w:rPr>
            </w:pPr>
            <w:r>
              <w:rPr>
                <w:color w:val="auto"/>
                <w:highlight w:val="none"/>
              </w:rPr>
              <w:t>31°28′46.64″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28"/>
              <w:widowControl w:val="0"/>
              <w:rPr>
                <w:color w:val="auto"/>
                <w:highlight w:val="none"/>
              </w:rPr>
            </w:pPr>
            <w:r>
              <w:rPr>
                <w:rFonts w:hint="eastAsia"/>
                <w:color w:val="auto"/>
                <w:highlight w:val="none"/>
              </w:rPr>
              <w:t>主要危险物质及分布</w:t>
            </w:r>
          </w:p>
        </w:tc>
        <w:tc>
          <w:tcPr>
            <w:tcW w:w="3873" w:type="pct"/>
            <w:gridSpan w:val="4"/>
            <w:tcBorders>
              <w:tl2br w:val="nil"/>
              <w:tr2bl w:val="nil"/>
            </w:tcBorders>
            <w:vAlign w:val="center"/>
          </w:tcPr>
          <w:p>
            <w:pPr>
              <w:pStyle w:val="28"/>
              <w:widowControl w:val="0"/>
              <w:jc w:val="both"/>
              <w:rPr>
                <w:color w:val="auto"/>
                <w:highlight w:val="none"/>
              </w:rPr>
            </w:pPr>
            <w:r>
              <w:rPr>
                <w:rFonts w:hint="eastAsia"/>
                <w:color w:val="auto"/>
                <w:highlight w:val="none"/>
              </w:rPr>
              <w:t>主要危险物质：柴油、二氯异氰尿酸钠</w:t>
            </w:r>
          </w:p>
          <w:p>
            <w:pPr>
              <w:pStyle w:val="28"/>
              <w:widowControl w:val="0"/>
              <w:jc w:val="both"/>
              <w:rPr>
                <w:color w:val="auto"/>
                <w:highlight w:val="none"/>
              </w:rPr>
            </w:pPr>
            <w:r>
              <w:rPr>
                <w:rFonts w:hint="eastAsia"/>
                <w:color w:val="auto"/>
                <w:highlight w:val="none"/>
              </w:rPr>
              <w:t>分布：柴油储存于配电房内，二氯异氰尿酸钠储存于药品库内。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126" w:type="pct"/>
            <w:tcBorders>
              <w:tl2br w:val="nil"/>
              <w:tr2bl w:val="nil"/>
            </w:tcBorders>
            <w:vAlign w:val="center"/>
          </w:tcPr>
          <w:p>
            <w:pPr>
              <w:pStyle w:val="28"/>
              <w:widowControl w:val="0"/>
              <w:rPr>
                <w:color w:val="auto"/>
                <w:highlight w:val="none"/>
              </w:rPr>
            </w:pPr>
            <w:r>
              <w:rPr>
                <w:rFonts w:hint="eastAsia"/>
                <w:color w:val="auto"/>
                <w:highlight w:val="none"/>
              </w:rPr>
              <w:t>环境影响途径及危害结果（大气、地表水、地下水等）</w:t>
            </w:r>
          </w:p>
        </w:tc>
        <w:tc>
          <w:tcPr>
            <w:tcW w:w="3873" w:type="pct"/>
            <w:gridSpan w:val="4"/>
            <w:tcBorders>
              <w:tl2br w:val="nil"/>
              <w:tr2bl w:val="nil"/>
            </w:tcBorders>
            <w:vAlign w:val="center"/>
          </w:tcPr>
          <w:p>
            <w:pPr>
              <w:pStyle w:val="28"/>
              <w:widowControl w:val="0"/>
              <w:jc w:val="both"/>
              <w:rPr>
                <w:color w:val="auto"/>
                <w:highlight w:val="none"/>
              </w:rPr>
            </w:pPr>
            <w:r>
              <w:rPr>
                <w:rFonts w:hint="eastAsia"/>
                <w:color w:val="auto"/>
                <w:highlight w:val="none"/>
              </w:rPr>
              <w:t>柴油、二氯异氰尿酸钠以及危险废物在储存或使用过程中发生泄漏会引起大气、地表水和地下水污染。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28"/>
              <w:widowControl w:val="0"/>
              <w:rPr>
                <w:color w:val="auto"/>
                <w:highlight w:val="none"/>
              </w:rPr>
            </w:pPr>
            <w:r>
              <w:rPr>
                <w:rFonts w:hint="eastAsia"/>
                <w:color w:val="auto"/>
                <w:highlight w:val="none"/>
              </w:rPr>
              <w:t>风险防范措施要求</w:t>
            </w:r>
          </w:p>
        </w:tc>
        <w:tc>
          <w:tcPr>
            <w:tcW w:w="3873" w:type="pct"/>
            <w:gridSpan w:val="4"/>
            <w:tcBorders>
              <w:tl2br w:val="nil"/>
              <w:tr2bl w:val="nil"/>
            </w:tcBorders>
            <w:vAlign w:val="center"/>
          </w:tcPr>
          <w:p>
            <w:pPr>
              <w:pStyle w:val="28"/>
              <w:widowControl w:val="0"/>
              <w:jc w:val="both"/>
              <w:rPr>
                <w:color w:val="auto"/>
                <w:highlight w:val="none"/>
              </w:rPr>
            </w:pPr>
            <w:r>
              <w:rPr>
                <w:color w:val="auto"/>
                <w:highlight w:val="none"/>
              </w:rPr>
              <w:t>1</w:t>
            </w:r>
            <w:r>
              <w:rPr>
                <w:rFonts w:hint="eastAsia"/>
                <w:color w:val="auto"/>
                <w:highlight w:val="none"/>
              </w:rPr>
              <w:t>、危废暂存间设置待宰圈东侧，须满足《危险废物贮存污染控制标准》</w:t>
            </w:r>
          </w:p>
          <w:p>
            <w:pPr>
              <w:pStyle w:val="28"/>
              <w:widowControl w:val="0"/>
              <w:jc w:val="both"/>
              <w:rPr>
                <w:color w:val="auto"/>
                <w:highlight w:val="none"/>
              </w:rPr>
            </w:pPr>
            <w:r>
              <w:rPr>
                <w:rFonts w:hint="eastAsia"/>
                <w:color w:val="auto"/>
                <w:highlight w:val="none"/>
              </w:rPr>
              <w:t>（</w:t>
            </w:r>
            <w:r>
              <w:rPr>
                <w:color w:val="auto"/>
                <w:highlight w:val="none"/>
              </w:rPr>
              <w:t>GB18597-2001</w:t>
            </w:r>
            <w:r>
              <w:rPr>
                <w:rFonts w:hint="eastAsia"/>
                <w:color w:val="auto"/>
                <w:highlight w:val="none"/>
              </w:rPr>
              <w:t>）及期</w:t>
            </w:r>
            <w:r>
              <w:rPr>
                <w:color w:val="auto"/>
                <w:highlight w:val="none"/>
              </w:rPr>
              <w:t>2013</w:t>
            </w:r>
            <w:r>
              <w:rPr>
                <w:rFonts w:hint="eastAsia"/>
                <w:color w:val="auto"/>
                <w:highlight w:val="none"/>
              </w:rPr>
              <w:t>年修改单的要求；尤其是暂存间内地面做重点防渗，做到防风、防雨、防晒、防渗透；及时办理转移手续，尽可能减少现场贮存量和缩短贮存周期。</w:t>
            </w:r>
          </w:p>
          <w:p>
            <w:pPr>
              <w:pStyle w:val="28"/>
              <w:widowControl w:val="0"/>
              <w:jc w:val="both"/>
              <w:rPr>
                <w:color w:val="auto"/>
                <w:highlight w:val="none"/>
              </w:rPr>
            </w:pPr>
            <w:r>
              <w:rPr>
                <w:color w:val="auto"/>
                <w:highlight w:val="none"/>
              </w:rPr>
              <w:t>2</w:t>
            </w:r>
            <w:r>
              <w:rPr>
                <w:rFonts w:hint="eastAsia"/>
                <w:color w:val="auto"/>
                <w:highlight w:val="none"/>
              </w:rPr>
              <w:t>、项目液态物质为桶装成品，存放区域地面做重点防渗处理，同时设置专用防渗托盘放置，万一发生包装材料破裂而发生泄漏时，泄漏的物料可被截留在托盘内。</w:t>
            </w:r>
          </w:p>
          <w:p>
            <w:pPr>
              <w:pStyle w:val="28"/>
              <w:widowControl w:val="0"/>
              <w:jc w:val="both"/>
              <w:rPr>
                <w:color w:val="auto"/>
                <w:highlight w:val="none"/>
              </w:rPr>
            </w:pPr>
            <w:r>
              <w:rPr>
                <w:color w:val="auto"/>
                <w:highlight w:val="none"/>
              </w:rPr>
              <w:t>3</w:t>
            </w:r>
            <w:r>
              <w:rPr>
                <w:rFonts w:hint="eastAsia"/>
                <w:color w:val="auto"/>
                <w:highlight w:val="none"/>
              </w:rPr>
              <w:t>、设置事故应急池。</w:t>
            </w:r>
          </w:p>
          <w:p>
            <w:pPr>
              <w:pStyle w:val="28"/>
              <w:widowControl w:val="0"/>
              <w:jc w:val="both"/>
              <w:rPr>
                <w:color w:val="auto"/>
                <w:highlight w:val="none"/>
              </w:rPr>
            </w:pPr>
            <w:r>
              <w:rPr>
                <w:color w:val="auto"/>
                <w:highlight w:val="none"/>
              </w:rPr>
              <w:t>4</w:t>
            </w:r>
            <w:r>
              <w:rPr>
                <w:rFonts w:hint="eastAsia"/>
                <w:color w:val="auto"/>
                <w:highlight w:val="none"/>
              </w:rPr>
              <w:t>、建立环境风险应急预案，开展环境应急预案的培训、宣传和必要的应急演练。将制定好的环境应急预案报送当地生态环境部门备案。</w:t>
            </w:r>
          </w:p>
        </w:tc>
      </w:tr>
    </w:tbl>
    <w:p>
      <w:pPr>
        <w:widowControl w:val="0"/>
        <w:ind w:firstLine="480"/>
        <w:rPr>
          <w:color w:val="auto"/>
          <w:highlight w:val="none"/>
        </w:rPr>
      </w:pPr>
      <w:r>
        <w:rPr>
          <w:rFonts w:hint="eastAsia"/>
          <w:color w:val="auto"/>
          <w:highlight w:val="none"/>
        </w:rPr>
        <w:t>环境风险评价自查表见附表。</w:t>
      </w:r>
    </w:p>
    <w:p>
      <w:pPr>
        <w:widowControl w:val="0"/>
        <w:ind w:firstLine="480"/>
        <w:rPr>
          <w:color w:val="auto"/>
          <w:highlight w:val="none"/>
        </w:rPr>
      </w:pPr>
      <w:r>
        <w:rPr>
          <w:rFonts w:hint="eastAsia"/>
          <w:color w:val="auto"/>
          <w:highlight w:val="none"/>
        </w:rPr>
        <w:br w:type="page"/>
      </w:r>
    </w:p>
    <w:p>
      <w:pPr>
        <w:pStyle w:val="3"/>
        <w:widowControl w:val="0"/>
        <w:ind w:firstLine="643"/>
        <w:rPr>
          <w:color w:val="auto"/>
          <w:highlight w:val="none"/>
        </w:rPr>
      </w:pPr>
      <w:bookmarkStart w:id="81" w:name="_Toc7222"/>
      <w:r>
        <w:rPr>
          <w:rFonts w:hint="eastAsia"/>
          <w:color w:val="auto"/>
          <w:highlight w:val="none"/>
        </w:rPr>
        <w:t>环境保护措施及其可行性论证</w:t>
      </w:r>
      <w:bookmarkEnd w:id="81"/>
    </w:p>
    <w:p>
      <w:pPr>
        <w:pStyle w:val="4"/>
        <w:widowControl w:val="0"/>
        <w:rPr>
          <w:color w:val="auto"/>
          <w:highlight w:val="none"/>
        </w:rPr>
      </w:pPr>
      <w:bookmarkStart w:id="82" w:name="_Toc7094"/>
      <w:r>
        <w:rPr>
          <w:rFonts w:hint="eastAsia"/>
          <w:color w:val="auto"/>
          <w:highlight w:val="none"/>
        </w:rPr>
        <w:t>施工期环境保护措施</w:t>
      </w:r>
      <w:bookmarkEnd w:id="82"/>
    </w:p>
    <w:p>
      <w:pPr>
        <w:pStyle w:val="5"/>
        <w:widowControl w:val="0"/>
        <w:ind w:firstLine="120"/>
        <w:rPr>
          <w:color w:val="auto"/>
          <w:highlight w:val="none"/>
        </w:rPr>
      </w:pPr>
      <w:r>
        <w:rPr>
          <w:rFonts w:hint="eastAsia"/>
          <w:color w:val="auto"/>
          <w:highlight w:val="none"/>
        </w:rPr>
        <w:t>大气污染防治措施</w:t>
      </w:r>
    </w:p>
    <w:p>
      <w:pPr>
        <w:pStyle w:val="6"/>
        <w:widowControl w:val="0"/>
        <w:ind w:left="-160" w:firstLineChars="0"/>
        <w:rPr>
          <w:color w:val="auto"/>
          <w:highlight w:val="none"/>
        </w:rPr>
      </w:pPr>
      <w:r>
        <w:rPr>
          <w:rFonts w:hint="eastAsia"/>
          <w:color w:val="auto"/>
          <w:highlight w:val="none"/>
        </w:rPr>
        <w:t>扬尘防治措施</w:t>
      </w:r>
    </w:p>
    <w:p>
      <w:pPr>
        <w:widowControl w:val="0"/>
        <w:ind w:firstLine="480"/>
        <w:rPr>
          <w:color w:val="auto"/>
          <w:highlight w:val="none"/>
        </w:rPr>
      </w:pPr>
      <w:r>
        <w:rPr>
          <w:rFonts w:hint="eastAsia"/>
          <w:color w:val="auto"/>
          <w:highlight w:val="none"/>
        </w:rPr>
        <w:t>①文明施工，定期对地面洒水，并对散落在路面的渣土尽快清除。</w:t>
      </w:r>
    </w:p>
    <w:p>
      <w:pPr>
        <w:widowControl w:val="0"/>
        <w:ind w:firstLine="480"/>
        <w:rPr>
          <w:color w:val="auto"/>
          <w:highlight w:val="none"/>
        </w:rPr>
      </w:pPr>
      <w:r>
        <w:rPr>
          <w:rFonts w:hint="eastAsia"/>
          <w:color w:val="auto"/>
          <w:highlight w:val="none"/>
        </w:rPr>
        <w:t>②在施工场地对施工车辆实施限速行驶，同时施工现场主要运输道路尽量采用硬化路面并进行洒水抑尘；在施工场地出口放置防尘垫，对运输车辆现场用水清洗车体和轮胎，清洗用水进行统一收集，循环利用，不得向水体排放。</w:t>
      </w:r>
    </w:p>
    <w:p>
      <w:pPr>
        <w:widowControl w:val="0"/>
        <w:ind w:firstLine="480"/>
        <w:rPr>
          <w:color w:val="auto"/>
          <w:highlight w:val="none"/>
        </w:rPr>
      </w:pPr>
      <w:r>
        <w:rPr>
          <w:rFonts w:hint="eastAsia"/>
          <w:color w:val="auto"/>
          <w:highlight w:val="none"/>
        </w:rPr>
        <w:t>③禁止在风天进行渣土堆放作业，建材堆放地点相对集中，临时废弃土石堆场及时清运，并对堆场必须以毡布覆盖，不得有裸土，并且裸露地面进行硬化和绿化，减少建材的露天堆放时间；开挖出的土石方应加强围栏，表面用毡布覆盖，并及时将回填开挖土石方。</w:t>
      </w:r>
    </w:p>
    <w:p>
      <w:pPr>
        <w:widowControl w:val="0"/>
        <w:ind w:firstLine="480"/>
        <w:rPr>
          <w:color w:val="auto"/>
          <w:highlight w:val="none"/>
        </w:rPr>
      </w:pPr>
      <w:r>
        <w:rPr>
          <w:rFonts w:hint="eastAsia"/>
          <w:color w:val="auto"/>
          <w:highlight w:val="none"/>
        </w:rPr>
        <w:t>④施工建设应使用商品混凝土。⑤场地内道路进行硬化处理，并对场地内周边暂未利用的裸土区域尽快进行绿化覆盖。</w:t>
      </w:r>
    </w:p>
    <w:p>
      <w:pPr>
        <w:widowControl w:val="0"/>
        <w:ind w:firstLine="480"/>
        <w:rPr>
          <w:color w:val="auto"/>
          <w:highlight w:val="none"/>
        </w:rPr>
      </w:pPr>
      <w:r>
        <w:rPr>
          <w:rFonts w:hint="eastAsia"/>
          <w:color w:val="auto"/>
          <w:highlight w:val="none"/>
        </w:rPr>
        <w:t>⑥管网工程施工沿线围挡作业，围挡采用的立板高度宜控制在不低于</w:t>
      </w:r>
      <w:r>
        <w:rPr>
          <w:color w:val="auto"/>
          <w:highlight w:val="none"/>
        </w:rPr>
        <w:t>2m</w:t>
      </w:r>
      <w:r>
        <w:rPr>
          <w:rFonts w:hint="eastAsia"/>
          <w:color w:val="auto"/>
          <w:highlight w:val="none"/>
        </w:rPr>
        <w:t>，围挡上安装雾状喷淋装置。</w:t>
      </w:r>
    </w:p>
    <w:p>
      <w:pPr>
        <w:widowControl w:val="0"/>
        <w:ind w:firstLine="480"/>
        <w:rPr>
          <w:color w:val="auto"/>
          <w:highlight w:val="none"/>
        </w:rPr>
      </w:pPr>
      <w:r>
        <w:rPr>
          <w:rFonts w:hint="eastAsia"/>
          <w:color w:val="auto"/>
          <w:highlight w:val="none"/>
        </w:rPr>
        <w:t>除上述措施外，项目在施工过程中还需采取以下扬尘防治措施：</w:t>
      </w:r>
    </w:p>
    <w:p>
      <w:pPr>
        <w:widowControl w:val="0"/>
        <w:ind w:firstLine="480"/>
        <w:rPr>
          <w:color w:val="auto"/>
          <w:highlight w:val="none"/>
        </w:rPr>
      </w:pPr>
      <w:r>
        <w:rPr>
          <w:rFonts w:hint="eastAsia"/>
          <w:color w:val="auto"/>
          <w:highlight w:val="none"/>
        </w:rPr>
        <w:t>①施工期应严格按照相关规定做好扬尘防治工作：强化工地抑尘设备配备，房屋工程、场平工程等每</w:t>
      </w:r>
      <w:r>
        <w:rPr>
          <w:color w:val="auto"/>
          <w:highlight w:val="none"/>
        </w:rPr>
        <w:t>5000</w:t>
      </w:r>
      <w:r>
        <w:rPr>
          <w:rFonts w:hint="eastAsia"/>
          <w:color w:val="auto"/>
          <w:highlight w:val="none"/>
        </w:rPr>
        <w:t>平方米占地面积配套一台雾炮设施；加强社会监督，要求各施工单位制作“扬尘投诉公示牌”，并悬挂于工地出入口外部醒目位置等措施。</w:t>
      </w:r>
    </w:p>
    <w:p>
      <w:pPr>
        <w:widowControl w:val="0"/>
        <w:ind w:firstLine="480"/>
        <w:rPr>
          <w:color w:val="auto"/>
          <w:highlight w:val="none"/>
        </w:rPr>
      </w:pPr>
      <w:r>
        <w:rPr>
          <w:rFonts w:hint="eastAsia"/>
          <w:color w:val="auto"/>
          <w:highlight w:val="none"/>
        </w:rPr>
        <w:t>②施工单位必须严格按照“六必须”和“六不准”要求做好防尘。“六必须”：必须打围作业、必须硬化道路、必须设置冲洗设施、必须湿法作业、必须配齐保洁人员、必须定时清扫施工现场；“六不准”：不准露天搅拌混凝土、不准车辆带泥出门，不准运渣车辆超载、冒载，不准高空抛撒建渣、不准场地积水、不准现场焚烧废弃物。在项目开工前，建设单位与施工单位应向建设、环保等部门分别提交扬尘污染防治方案与具体实施方案，并将扬尘污染防治纳入工程监理范围，扬尘污染防治费用纳入工程预算。本项目位于农村环境。根据“六必须”和“六不准”要求，为减少车辆带泥出门，要求建设单位硬化场地主要运输道路；加强管理，在厂区出口处设置约</w:t>
      </w:r>
      <w:r>
        <w:rPr>
          <w:color w:val="auto"/>
          <w:highlight w:val="none"/>
        </w:rPr>
        <w:t>2m</w:t>
      </w:r>
      <w:r>
        <w:rPr>
          <w:rFonts w:hint="eastAsia"/>
          <w:color w:val="auto"/>
          <w:highlight w:val="none"/>
          <w:vertAlign w:val="superscript"/>
        </w:rPr>
        <w:t>3</w:t>
      </w:r>
      <w:r>
        <w:rPr>
          <w:rFonts w:hint="eastAsia"/>
          <w:color w:val="auto"/>
          <w:highlight w:val="none"/>
        </w:rPr>
        <w:t>的沉淀池，对出场车辆轮胎进行冲洗，严禁带泥出门。冲洗水经沉淀后循环使用。</w:t>
      </w:r>
    </w:p>
    <w:p>
      <w:pPr>
        <w:widowControl w:val="0"/>
        <w:ind w:firstLine="480"/>
        <w:rPr>
          <w:color w:val="auto"/>
          <w:highlight w:val="none"/>
        </w:rPr>
      </w:pPr>
      <w:r>
        <w:rPr>
          <w:rFonts w:hint="eastAsia"/>
          <w:color w:val="auto"/>
          <w:highlight w:val="none"/>
        </w:rPr>
        <w:t>采取上述措施后，可大大减小施工期扬尘对环境空气的影响。评价认为，施工期采取的扬尘治理措施技术可行，措施有效。</w:t>
      </w:r>
    </w:p>
    <w:p>
      <w:pPr>
        <w:pStyle w:val="6"/>
        <w:widowControl w:val="0"/>
        <w:ind w:left="-160" w:firstLineChars="0"/>
        <w:rPr>
          <w:color w:val="auto"/>
          <w:highlight w:val="none"/>
        </w:rPr>
      </w:pPr>
      <w:r>
        <w:rPr>
          <w:rFonts w:hint="eastAsia"/>
          <w:color w:val="auto"/>
          <w:highlight w:val="none"/>
        </w:rPr>
        <w:t>施工机械废气</w:t>
      </w:r>
    </w:p>
    <w:p>
      <w:pPr>
        <w:widowControl w:val="0"/>
        <w:ind w:firstLine="480"/>
        <w:rPr>
          <w:color w:val="auto"/>
          <w:highlight w:val="none"/>
        </w:rPr>
      </w:pPr>
      <w:r>
        <w:rPr>
          <w:rFonts w:hint="eastAsia"/>
          <w:color w:val="auto"/>
          <w:highlight w:val="none"/>
        </w:rPr>
        <w:t>施工期间，使用机动车运送原材料、设备和建筑机械设备的运转，均会排放一定量的</w:t>
      </w:r>
      <w:r>
        <w:rPr>
          <w:color w:val="auto"/>
          <w:highlight w:val="none"/>
        </w:rPr>
        <w:t>CO</w:t>
      </w:r>
      <w:r>
        <w:rPr>
          <w:rFonts w:hint="eastAsia"/>
          <w:color w:val="auto"/>
          <w:highlight w:val="none"/>
        </w:rPr>
        <w:t>、</w:t>
      </w:r>
      <w:r>
        <w:rPr>
          <w:color w:val="auto"/>
          <w:highlight w:val="none"/>
        </w:rPr>
        <w:t>NOx</w:t>
      </w:r>
      <w:r>
        <w:rPr>
          <w:rFonts w:hint="eastAsia"/>
          <w:color w:val="auto"/>
          <w:highlight w:val="none"/>
        </w:rPr>
        <w:t>以及未完全燃烧的</w:t>
      </w:r>
      <w:r>
        <w:rPr>
          <w:color w:val="auto"/>
          <w:highlight w:val="none"/>
        </w:rPr>
        <w:t>THC</w:t>
      </w:r>
      <w:r>
        <w:rPr>
          <w:rFonts w:hint="eastAsia"/>
          <w:color w:val="auto"/>
          <w:highlight w:val="none"/>
        </w:rPr>
        <w:t>等，其特点是排放量小，且属间断性无组织排放。加之施工场地开阔，扩散条件良好，施工期机械废气及运输车辆汽车尾气可实现达标排放。环评要求施工单位选择尾气排放达标的施工机械和运输车辆，安排专人注意加强施工机械维护，确保机械设备正常运行。</w:t>
      </w:r>
    </w:p>
    <w:p>
      <w:pPr>
        <w:widowControl w:val="0"/>
        <w:ind w:firstLine="480"/>
        <w:rPr>
          <w:color w:val="auto"/>
          <w:highlight w:val="none"/>
        </w:rPr>
      </w:pPr>
      <w:r>
        <w:rPr>
          <w:rFonts w:hint="eastAsia"/>
          <w:color w:val="auto"/>
          <w:highlight w:val="none"/>
        </w:rPr>
        <w:t>采取以上废气治理措施，其浓度可得到有效控制，能够实现达标排放，治理措施可行。</w:t>
      </w:r>
    </w:p>
    <w:p>
      <w:pPr>
        <w:pStyle w:val="5"/>
        <w:widowControl w:val="0"/>
        <w:ind w:firstLine="120"/>
        <w:rPr>
          <w:color w:val="auto"/>
          <w:highlight w:val="none"/>
        </w:rPr>
      </w:pPr>
      <w:r>
        <w:rPr>
          <w:rFonts w:hint="eastAsia"/>
          <w:color w:val="auto"/>
          <w:highlight w:val="none"/>
        </w:rPr>
        <w:t>水污染防治措施</w:t>
      </w:r>
    </w:p>
    <w:p>
      <w:pPr>
        <w:widowControl w:val="0"/>
        <w:ind w:firstLine="480"/>
        <w:rPr>
          <w:color w:val="auto"/>
          <w:highlight w:val="none"/>
        </w:rPr>
      </w:pPr>
      <w:r>
        <w:rPr>
          <w:rFonts w:hint="eastAsia"/>
          <w:color w:val="auto"/>
          <w:highlight w:val="none"/>
        </w:rPr>
        <w:t>施工期废水主要为施工废水、试压废水和施工人员生活污水。其中施工废水、试压废水经临时沉淀池处理后</w:t>
      </w:r>
      <w:r>
        <w:rPr>
          <w:rFonts w:hint="eastAsia"/>
          <w:color w:val="auto"/>
          <w:highlight w:val="none"/>
          <w:lang w:val="en-US" w:eastAsia="zh-CN"/>
        </w:rPr>
        <w:t>排入濛溪河</w:t>
      </w:r>
      <w:r>
        <w:rPr>
          <w:rFonts w:hint="eastAsia"/>
          <w:color w:val="auto"/>
          <w:highlight w:val="none"/>
        </w:rPr>
        <w:t>；施工生活污水产依托周边农户已有卫生设施进行处理，不外排。</w:t>
      </w:r>
    </w:p>
    <w:p>
      <w:pPr>
        <w:widowControl w:val="0"/>
        <w:ind w:firstLine="480"/>
        <w:rPr>
          <w:color w:val="auto"/>
          <w:highlight w:val="none"/>
        </w:rPr>
      </w:pPr>
      <w:r>
        <w:rPr>
          <w:rFonts w:hint="eastAsia"/>
          <w:color w:val="auto"/>
          <w:highlight w:val="none"/>
        </w:rPr>
        <w:t>采取以上治理措施后，本项目施工期废水不会对区域地表水造成明显影响，治理措施可行。</w:t>
      </w:r>
    </w:p>
    <w:p>
      <w:pPr>
        <w:pStyle w:val="5"/>
        <w:widowControl w:val="0"/>
        <w:ind w:firstLine="120"/>
        <w:rPr>
          <w:color w:val="auto"/>
          <w:highlight w:val="none"/>
        </w:rPr>
      </w:pPr>
      <w:r>
        <w:rPr>
          <w:rFonts w:hint="eastAsia"/>
          <w:color w:val="auto"/>
          <w:highlight w:val="none"/>
        </w:rPr>
        <w:t>噪声污染防治措施</w:t>
      </w:r>
    </w:p>
    <w:p>
      <w:pPr>
        <w:widowControl w:val="0"/>
        <w:ind w:firstLine="480"/>
        <w:rPr>
          <w:color w:val="auto"/>
          <w:highlight w:val="none"/>
        </w:rPr>
      </w:pPr>
      <w:r>
        <w:rPr>
          <w:rFonts w:hint="eastAsia"/>
          <w:color w:val="auto"/>
          <w:highlight w:val="none"/>
        </w:rPr>
        <w:t>环评要求施工单位采取以下降噪措施：</w:t>
      </w:r>
    </w:p>
    <w:p>
      <w:pPr>
        <w:widowControl w:val="0"/>
        <w:ind w:firstLine="480"/>
        <w:rPr>
          <w:color w:val="auto"/>
          <w:highlight w:val="none"/>
        </w:rPr>
      </w:pPr>
      <w:r>
        <w:rPr>
          <w:rFonts w:hint="eastAsia"/>
          <w:color w:val="auto"/>
          <w:highlight w:val="none"/>
        </w:rPr>
        <w:t>①合理布置施工总平面图，将高噪声的作业点布置在施工场地中央，有效利用噪声传播距离衰减作用减轻施工噪声对周边环境的影响。</w:t>
      </w:r>
    </w:p>
    <w:p>
      <w:pPr>
        <w:widowControl w:val="0"/>
        <w:ind w:firstLine="480"/>
        <w:rPr>
          <w:color w:val="auto"/>
          <w:highlight w:val="none"/>
        </w:rPr>
      </w:pPr>
      <w:r>
        <w:rPr>
          <w:rFonts w:hint="eastAsia"/>
          <w:color w:val="auto"/>
          <w:highlight w:val="none"/>
        </w:rPr>
        <w:t>②合理安排施工时间，土石方开挖等强噪声施工作业安排在昼间进行，高噪声工段禁止在午间和夜间（时间为</w:t>
      </w:r>
      <w:r>
        <w:rPr>
          <w:color w:val="auto"/>
          <w:highlight w:val="none"/>
        </w:rPr>
        <w:t>12</w:t>
      </w:r>
      <w:r>
        <w:rPr>
          <w:rFonts w:hint="eastAsia"/>
          <w:color w:val="auto"/>
          <w:highlight w:val="none"/>
        </w:rPr>
        <w:t>:</w:t>
      </w:r>
      <w:r>
        <w:rPr>
          <w:color w:val="auto"/>
          <w:highlight w:val="none"/>
        </w:rPr>
        <w:t>00~14</w:t>
      </w:r>
      <w:r>
        <w:rPr>
          <w:rFonts w:hint="eastAsia"/>
          <w:color w:val="auto"/>
          <w:highlight w:val="none"/>
        </w:rPr>
        <w:t>:</w:t>
      </w:r>
      <w:r>
        <w:rPr>
          <w:color w:val="auto"/>
          <w:highlight w:val="none"/>
        </w:rPr>
        <w:t>00</w:t>
      </w:r>
      <w:r>
        <w:rPr>
          <w:rFonts w:hint="eastAsia"/>
          <w:color w:val="auto"/>
          <w:highlight w:val="none"/>
        </w:rPr>
        <w:t>，</w:t>
      </w:r>
      <w:r>
        <w:rPr>
          <w:color w:val="auto"/>
          <w:highlight w:val="none"/>
        </w:rPr>
        <w:t>22</w:t>
      </w:r>
      <w:r>
        <w:rPr>
          <w:rFonts w:hint="eastAsia"/>
          <w:color w:val="auto"/>
          <w:highlight w:val="none"/>
        </w:rPr>
        <w:t>:</w:t>
      </w:r>
      <w:r>
        <w:rPr>
          <w:color w:val="auto"/>
          <w:highlight w:val="none"/>
        </w:rPr>
        <w:t>00~7</w:t>
      </w:r>
      <w:r>
        <w:rPr>
          <w:rFonts w:hint="eastAsia"/>
          <w:color w:val="auto"/>
          <w:highlight w:val="none"/>
        </w:rPr>
        <w:t>:</w:t>
      </w:r>
      <w:r>
        <w:rPr>
          <w:color w:val="auto"/>
          <w:highlight w:val="none"/>
        </w:rPr>
        <w:t>00</w:t>
      </w:r>
      <w:r>
        <w:rPr>
          <w:rFonts w:hint="eastAsia"/>
          <w:color w:val="auto"/>
          <w:highlight w:val="none"/>
        </w:rPr>
        <w:t>）施工。</w:t>
      </w:r>
    </w:p>
    <w:p>
      <w:pPr>
        <w:widowControl w:val="0"/>
        <w:ind w:firstLine="480"/>
        <w:rPr>
          <w:color w:val="auto"/>
          <w:highlight w:val="none"/>
        </w:rPr>
      </w:pPr>
      <w:r>
        <w:rPr>
          <w:rFonts w:hint="eastAsia"/>
          <w:color w:val="auto"/>
          <w:highlight w:val="none"/>
        </w:rPr>
        <w:t>③基础工程阶段的噪声主要来自挖掘机、冲击机等设备。选用低噪声设备；加强挖掘机和冲击机施工运行操作管理，选用专业人员进行操作。</w:t>
      </w:r>
    </w:p>
    <w:p>
      <w:pPr>
        <w:widowControl w:val="0"/>
        <w:ind w:firstLine="480"/>
        <w:rPr>
          <w:color w:val="auto"/>
          <w:highlight w:val="none"/>
        </w:rPr>
      </w:pPr>
      <w:r>
        <w:rPr>
          <w:rFonts w:hint="eastAsia"/>
          <w:color w:val="auto"/>
          <w:highlight w:val="none"/>
        </w:rPr>
        <w:t>④主体结构阶段噪声主要来自振捣器、混凝土输送泵、电锯及空压机等设备。主体结构阶段振捣器选用消声振捣器；电锯等选用低噪声设备；混凝土输送泵基础设置减振垫，仅混凝土罐装车倾泻位置不设置围挡，其余各侧需设置围挡；要求采用商品混凝土，不得现场搅拌混凝土；对空压机选用低噪声设备，基础设置减振垫，四周设置简易围挡。</w:t>
      </w:r>
    </w:p>
    <w:p>
      <w:pPr>
        <w:widowControl w:val="0"/>
        <w:ind w:firstLine="480"/>
        <w:rPr>
          <w:color w:val="auto"/>
          <w:highlight w:val="none"/>
        </w:rPr>
      </w:pPr>
      <w:r>
        <w:rPr>
          <w:rFonts w:hint="eastAsia"/>
          <w:color w:val="auto"/>
          <w:highlight w:val="none"/>
        </w:rPr>
        <w:t>⑤装修、安装阶段的噪声主要来自电钻、手工钻、电锤、无齿锯等设备。装修、安装阶段使用的电钻、手工钻及电锤、无齿锯选用低噪声设备，及时在各部位加注机油，增强润滑作用；使用电锤开洞、凿眼时，严禁用铁锤敲打管道及金属工件。</w:t>
      </w:r>
    </w:p>
    <w:p>
      <w:pPr>
        <w:widowControl w:val="0"/>
        <w:ind w:firstLine="480"/>
        <w:rPr>
          <w:color w:val="auto"/>
          <w:highlight w:val="none"/>
        </w:rPr>
      </w:pPr>
      <w:r>
        <w:rPr>
          <w:rFonts w:hint="eastAsia"/>
          <w:color w:val="auto"/>
          <w:highlight w:val="none"/>
        </w:rPr>
        <w:t>⑥文明施工。建立健全控制人为噪声管理制度；运输材料和设备时，轻拿轻放，严禁野蛮装卸。</w:t>
      </w:r>
    </w:p>
    <w:p>
      <w:pPr>
        <w:widowControl w:val="0"/>
        <w:ind w:firstLine="480"/>
        <w:rPr>
          <w:color w:val="auto"/>
          <w:highlight w:val="none"/>
        </w:rPr>
      </w:pPr>
      <w:r>
        <w:rPr>
          <w:rFonts w:hint="eastAsia"/>
          <w:color w:val="auto"/>
          <w:highlight w:val="none"/>
        </w:rPr>
        <w:t>⑦一切动力机械设备都应适时维修，特别对因松动部件的震动或降低噪声部件的损坏而产生强噪声的设备，更应经常检查维护。</w:t>
      </w:r>
    </w:p>
    <w:p>
      <w:pPr>
        <w:widowControl w:val="0"/>
        <w:ind w:firstLine="480"/>
        <w:rPr>
          <w:color w:val="auto"/>
          <w:highlight w:val="none"/>
        </w:rPr>
      </w:pPr>
      <w:r>
        <w:rPr>
          <w:rFonts w:hint="eastAsia"/>
          <w:color w:val="auto"/>
          <w:highlight w:val="none"/>
        </w:rPr>
        <w:t>⑧加强施工场地车辆的管理，尽量减少鸣喇叭次数及汽车启动频率。</w:t>
      </w:r>
    </w:p>
    <w:p>
      <w:pPr>
        <w:widowControl w:val="0"/>
        <w:ind w:firstLine="480"/>
        <w:rPr>
          <w:color w:val="auto"/>
          <w:highlight w:val="none"/>
        </w:rPr>
      </w:pPr>
      <w:r>
        <w:rPr>
          <w:rFonts w:hint="eastAsia"/>
          <w:color w:val="auto"/>
          <w:highlight w:val="none"/>
        </w:rPr>
        <w:t>⑨建材、施工机械器具、建渣等的运输选择影响最小的路线，途径敏感点时减速慢行，严禁鸣笛。</w:t>
      </w:r>
    </w:p>
    <w:p>
      <w:pPr>
        <w:widowControl w:val="0"/>
        <w:ind w:firstLine="480"/>
        <w:rPr>
          <w:color w:val="auto"/>
          <w:highlight w:val="none"/>
        </w:rPr>
      </w:pPr>
      <w:r>
        <w:rPr>
          <w:rFonts w:hint="eastAsia"/>
          <w:color w:val="auto"/>
          <w:highlight w:val="none"/>
        </w:rPr>
        <w:t>采取以上噪声治理措施后，本项目施工期噪声可做到不扰民，施工期噪声防治措施可行。</w:t>
      </w:r>
    </w:p>
    <w:p>
      <w:pPr>
        <w:pStyle w:val="5"/>
        <w:widowControl w:val="0"/>
        <w:ind w:firstLine="120"/>
        <w:rPr>
          <w:color w:val="auto"/>
          <w:highlight w:val="none"/>
        </w:rPr>
      </w:pPr>
      <w:r>
        <w:rPr>
          <w:rFonts w:hint="eastAsia"/>
          <w:color w:val="auto"/>
          <w:highlight w:val="none"/>
        </w:rPr>
        <w:t>固体废物污染防治措施</w:t>
      </w:r>
    </w:p>
    <w:p>
      <w:pPr>
        <w:widowControl w:val="0"/>
        <w:ind w:firstLine="480"/>
        <w:rPr>
          <w:color w:val="auto"/>
          <w:highlight w:val="none"/>
        </w:rPr>
      </w:pPr>
      <w:r>
        <w:rPr>
          <w:rFonts w:hint="eastAsia"/>
          <w:color w:val="auto"/>
          <w:highlight w:val="none"/>
        </w:rPr>
        <w:t>施工期固体废物主要包括土石方、建筑垃圾、废焊料和施工人员生活垃圾。对施工期固体废物应采取“集中收集、分类处理、尽量回用”的原则，其中土石方平衡无弃方；建筑垃圾部分可回收利用，不可回收部分全部运至政府部门指定地点进行填埋；废焊渣经统一收集后外售废品回收站处理；施工人员生活垃圾袋装收集后，由环卫部门统一清运处理。</w:t>
      </w:r>
    </w:p>
    <w:p>
      <w:pPr>
        <w:widowControl w:val="0"/>
        <w:ind w:firstLine="480"/>
        <w:rPr>
          <w:color w:val="auto"/>
          <w:highlight w:val="none"/>
        </w:rPr>
      </w:pPr>
      <w:r>
        <w:rPr>
          <w:rFonts w:hint="eastAsia"/>
          <w:color w:val="auto"/>
          <w:highlight w:val="none"/>
        </w:rPr>
        <w:t>采取上述固废污染防治措施后，本项目施工期固废可得到合理处置，不会对周围环境产生明显影响，固体废物处置措施可行。</w:t>
      </w:r>
    </w:p>
    <w:p>
      <w:pPr>
        <w:pStyle w:val="5"/>
        <w:widowControl w:val="0"/>
        <w:ind w:firstLine="120"/>
        <w:rPr>
          <w:color w:val="auto"/>
          <w:highlight w:val="none"/>
        </w:rPr>
      </w:pPr>
      <w:r>
        <w:rPr>
          <w:rFonts w:hint="eastAsia"/>
          <w:color w:val="auto"/>
          <w:highlight w:val="none"/>
        </w:rPr>
        <w:t>生态治理措施</w:t>
      </w:r>
    </w:p>
    <w:p>
      <w:pPr>
        <w:widowControl w:val="0"/>
        <w:ind w:firstLine="480"/>
        <w:rPr>
          <w:color w:val="auto"/>
          <w:highlight w:val="none"/>
        </w:rPr>
      </w:pPr>
      <w:r>
        <w:rPr>
          <w:rFonts w:hint="eastAsia"/>
          <w:color w:val="auto"/>
          <w:highlight w:val="none"/>
        </w:rPr>
        <w:t>项目管网敷设过程中对临时占用的土地植被具有一定的破坏。根据本项目特点和管线选址，管道长度较短，工程沿线均为普通的人工栽种植被以及灌木植被，无珍稀、名贵树种分布。施工中可通过文明施工管理，优化施工区场地布置，缩短施工周期，施工结束后原貌恢复的措施加以保护和修复。环评要求施工过程通过严格执行土壤分层开挖，分层堆放、分层回填。</w:t>
      </w:r>
    </w:p>
    <w:p>
      <w:pPr>
        <w:widowControl w:val="0"/>
        <w:ind w:firstLine="480"/>
        <w:rPr>
          <w:color w:val="auto"/>
          <w:highlight w:val="none"/>
        </w:rPr>
      </w:pPr>
      <w:r>
        <w:rPr>
          <w:rFonts w:hint="eastAsia"/>
          <w:color w:val="auto"/>
          <w:highlight w:val="none"/>
        </w:rPr>
        <w:t>施工中产生的土石方，在雨季或大风天气情况下，会造成水土流失现象。通过对开挖土方的及时回填，加强雨季施工管理（建设截排水沟以疏导堆场周边汇集的雨水，使场地堆土免受雨水冲蚀，设置挡土墙），施工结束后，进行植被和景观恢复，可最大程度的减轻水土流失量。</w:t>
      </w:r>
    </w:p>
    <w:p>
      <w:pPr>
        <w:widowControl w:val="0"/>
        <w:ind w:firstLine="480"/>
        <w:rPr>
          <w:color w:val="auto"/>
          <w:highlight w:val="none"/>
        </w:rPr>
      </w:pPr>
      <w:r>
        <w:rPr>
          <w:rFonts w:hint="eastAsia"/>
          <w:color w:val="auto"/>
          <w:highlight w:val="none"/>
        </w:rPr>
        <w:t>采取上述生态防治措施后，不会对生态环境产生明显影响，措施可行。</w:t>
      </w: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p>
    <w:p>
      <w:pPr>
        <w:widowControl w:val="0"/>
        <w:ind w:firstLine="480"/>
        <w:rPr>
          <w:color w:val="auto"/>
          <w:highlight w:val="none"/>
        </w:rPr>
      </w:pPr>
      <w:r>
        <w:rPr>
          <w:rFonts w:hint="eastAsia"/>
          <w:color w:val="auto"/>
          <w:highlight w:val="none"/>
        </w:rPr>
        <w:br w:type="page"/>
      </w:r>
    </w:p>
    <w:p>
      <w:pPr>
        <w:pStyle w:val="4"/>
        <w:widowControl w:val="0"/>
        <w:rPr>
          <w:color w:val="auto"/>
          <w:highlight w:val="none"/>
        </w:rPr>
      </w:pPr>
      <w:bookmarkStart w:id="83" w:name="_Toc27207"/>
      <w:r>
        <w:rPr>
          <w:rFonts w:hint="eastAsia"/>
          <w:color w:val="auto"/>
          <w:highlight w:val="none"/>
        </w:rPr>
        <w:t>营运期环境保护措施</w:t>
      </w:r>
      <w:bookmarkEnd w:id="83"/>
    </w:p>
    <w:p>
      <w:pPr>
        <w:pStyle w:val="5"/>
        <w:widowControl w:val="0"/>
        <w:ind w:firstLine="120"/>
        <w:rPr>
          <w:color w:val="auto"/>
          <w:highlight w:val="none"/>
        </w:rPr>
      </w:pPr>
      <w:r>
        <w:rPr>
          <w:rFonts w:hint="eastAsia"/>
          <w:color w:val="auto"/>
          <w:highlight w:val="none"/>
        </w:rPr>
        <w:t>地表水污染防治措施及技术经济论证</w:t>
      </w:r>
    </w:p>
    <w:p>
      <w:pPr>
        <w:pStyle w:val="28"/>
        <w:widowControl w:val="0"/>
        <w:rPr>
          <w:color w:val="auto"/>
          <w:highlight w:val="none"/>
        </w:rPr>
      </w:pPr>
      <w:r>
        <w:rPr>
          <w:rFonts w:hint="eastAsia"/>
          <w:color w:val="auto"/>
          <w:highlight w:val="none"/>
        </w:rPr>
        <w:drawing>
          <wp:inline distT="0" distB="0" distL="114300" distR="114300">
            <wp:extent cx="5462905" cy="3674110"/>
            <wp:effectExtent l="0" t="0" r="4445" b="2540"/>
            <wp:docPr id="1" name="图片 1"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具 Model (1)"/>
                    <pic:cNvPicPr>
                      <a:picLocks noChangeAspect="1"/>
                    </pic:cNvPicPr>
                  </pic:nvPicPr>
                  <pic:blipFill>
                    <a:blip r:embed="rId56"/>
                    <a:srcRect t="29650" b="28492"/>
                    <a:stretch>
                      <a:fillRect/>
                    </a:stretch>
                  </pic:blipFill>
                  <pic:spPr>
                    <a:xfrm>
                      <a:off x="0" y="0"/>
                      <a:ext cx="5462905" cy="3674110"/>
                    </a:xfrm>
                    <a:prstGeom prst="rect">
                      <a:avLst/>
                    </a:prstGeom>
                  </pic:spPr>
                </pic:pic>
              </a:graphicData>
            </a:graphic>
          </wp:inline>
        </w:drawing>
      </w:r>
    </w:p>
    <w:p>
      <w:pPr>
        <w:pStyle w:val="32"/>
        <w:widowControl w:val="0"/>
        <w:ind w:firstLine="422"/>
        <w:rPr>
          <w:rFonts w:hint="default"/>
          <w:color w:val="auto"/>
          <w:highlight w:val="none"/>
        </w:rPr>
      </w:pPr>
      <w:r>
        <w:rPr>
          <w:color w:val="auto"/>
          <w:highlight w:val="none"/>
        </w:rPr>
        <w:t>图8.2-1  项目污水处理工艺流程图</w:t>
      </w:r>
    </w:p>
    <w:p>
      <w:pPr>
        <w:pStyle w:val="6"/>
        <w:widowControl w:val="0"/>
        <w:ind w:left="-160" w:firstLineChars="0"/>
        <w:rPr>
          <w:color w:val="auto"/>
          <w:highlight w:val="none"/>
        </w:rPr>
      </w:pPr>
      <w:r>
        <w:rPr>
          <w:rFonts w:hint="eastAsia"/>
          <w:color w:val="auto"/>
          <w:highlight w:val="none"/>
        </w:rPr>
        <w:t>污水处理工艺介绍分析</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）格栅池</w:t>
      </w:r>
    </w:p>
    <w:p>
      <w:pPr>
        <w:widowControl w:val="0"/>
        <w:ind w:firstLine="480"/>
        <w:rPr>
          <w:color w:val="auto"/>
          <w:highlight w:val="none"/>
        </w:rPr>
      </w:pPr>
      <w:r>
        <w:rPr>
          <w:rFonts w:hint="eastAsia"/>
          <w:color w:val="auto"/>
          <w:highlight w:val="none"/>
        </w:rPr>
        <w:t>拦截废水中的毛皮发、碎肉、内脏杂物等大颗粒杂质，防止进入后续设施影响设备的正常运行。</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）沉渣池</w:t>
      </w:r>
    </w:p>
    <w:p>
      <w:pPr>
        <w:widowControl w:val="0"/>
        <w:ind w:firstLine="480"/>
        <w:rPr>
          <w:color w:val="auto"/>
          <w:highlight w:val="none"/>
          <w:lang w:val="zh-CN"/>
        </w:rPr>
      </w:pPr>
      <w:r>
        <w:rPr>
          <w:rFonts w:hint="eastAsia"/>
          <w:color w:val="auto"/>
          <w:highlight w:val="none"/>
        </w:rPr>
        <w:t>进入沉渣池，重量较重的砂沉到底部，上清液流入</w:t>
      </w:r>
      <w:r>
        <w:rPr>
          <w:rFonts w:hint="eastAsia"/>
          <w:color w:val="auto"/>
          <w:highlight w:val="none"/>
          <w:lang w:val="zh-CN"/>
        </w:rPr>
        <w:t>多功能生物调节池。</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）多功能生物调节池</w:t>
      </w:r>
    </w:p>
    <w:p>
      <w:pPr>
        <w:widowControl w:val="0"/>
        <w:ind w:firstLine="480"/>
        <w:rPr>
          <w:color w:val="auto"/>
          <w:highlight w:val="none"/>
        </w:rPr>
      </w:pPr>
      <w:r>
        <w:rPr>
          <w:rFonts w:hint="eastAsia"/>
          <w:color w:val="auto"/>
          <w:highlight w:val="none"/>
        </w:rPr>
        <w:t>屠宰场主要在夜间工作，排水基本集中在下半夜和上午，时间分布不均匀，水质水量变化大。因此为保证后续处理设施的正常运行，需要调节水量和均化水质，所以设置一座调节池来满足这一要求。</w:t>
      </w:r>
    </w:p>
    <w:p>
      <w:pPr>
        <w:widowControl w:val="0"/>
        <w:ind w:firstLine="482"/>
        <w:rPr>
          <w:b/>
          <w:bCs/>
          <w:color w:val="auto"/>
          <w:highlight w:val="none"/>
        </w:rPr>
      </w:pPr>
      <w:r>
        <w:rPr>
          <w:rFonts w:hint="eastAsia"/>
          <w:b/>
          <w:bCs/>
          <w:color w:val="auto"/>
          <w:highlight w:val="none"/>
        </w:rPr>
        <w:t>（4）气浮沉渣池</w:t>
      </w:r>
    </w:p>
    <w:p>
      <w:pPr>
        <w:widowControl w:val="0"/>
        <w:ind w:firstLine="480"/>
        <w:rPr>
          <w:color w:val="auto"/>
          <w:highlight w:val="none"/>
        </w:rPr>
      </w:pPr>
      <w:r>
        <w:rPr>
          <w:rFonts w:hint="eastAsia"/>
          <w:color w:val="auto"/>
          <w:highlight w:val="none"/>
        </w:rPr>
        <w:t>项目通过气浮沉渣池去除浮渣、浮油和其他易于沉降的悬浮物</w:t>
      </w:r>
      <w:r>
        <w:rPr>
          <w:rFonts w:hint="eastAsia"/>
          <w:color w:val="auto"/>
          <w:highlight w:val="none"/>
          <w:lang w:val="zh-CN"/>
        </w:rPr>
        <w:t>。</w:t>
      </w:r>
    </w:p>
    <w:p>
      <w:pPr>
        <w:widowControl w:val="0"/>
        <w:ind w:firstLine="482"/>
        <w:rPr>
          <w:b/>
          <w:bCs/>
          <w:color w:val="auto"/>
          <w:highlight w:val="none"/>
        </w:rPr>
      </w:pPr>
    </w:p>
    <w:p>
      <w:pPr>
        <w:widowControl w:val="0"/>
        <w:ind w:firstLine="482"/>
        <w:rPr>
          <w:b/>
          <w:bCs/>
          <w:color w:val="auto"/>
          <w:highlight w:val="none"/>
        </w:rPr>
      </w:pPr>
      <w:r>
        <w:rPr>
          <w:rFonts w:hint="eastAsia"/>
          <w:b/>
          <w:bCs/>
          <w:color w:val="auto"/>
          <w:highlight w:val="none"/>
        </w:rPr>
        <w:t>（5）厌氧池</w:t>
      </w:r>
    </w:p>
    <w:p>
      <w:pPr>
        <w:widowControl w:val="0"/>
        <w:ind w:firstLine="480"/>
        <w:rPr>
          <w:color w:val="auto"/>
          <w:highlight w:val="none"/>
        </w:rPr>
      </w:pPr>
      <w:r>
        <w:rPr>
          <w:rFonts w:hint="eastAsia"/>
          <w:color w:val="auto"/>
          <w:highlight w:val="none"/>
        </w:rPr>
        <w:t>利用厌氧反应使屠宰废水中大分子难降解有机物转化为水分子易降解的有机物，出水的可生化性能得到改善，这使得好氧处理部分的停留时间小于传统处理工艺。与此同时，悬浮物被水解为可溶性物质，使污泥得到稳定处理。</w:t>
      </w:r>
    </w:p>
    <w:p>
      <w:pPr>
        <w:widowControl w:val="0"/>
        <w:ind w:firstLine="480"/>
        <w:rPr>
          <w:color w:val="auto"/>
          <w:highlight w:val="none"/>
        </w:rPr>
      </w:pPr>
      <w:r>
        <w:rPr>
          <w:rFonts w:hint="eastAsia"/>
          <w:color w:val="auto"/>
          <w:highlight w:val="none"/>
          <w:lang w:val="zh-CN"/>
        </w:rPr>
        <w:t>废水在厌氧系统中</w:t>
      </w:r>
      <w:r>
        <w:rPr>
          <w:rFonts w:hint="eastAsia"/>
          <w:color w:val="auto"/>
          <w:highlight w:val="none"/>
        </w:rPr>
        <w:t>，废水中部分有机污染物能得到有效去除，同时</w:t>
      </w:r>
      <w:r>
        <w:rPr>
          <w:rFonts w:hint="eastAsia"/>
          <w:color w:val="auto"/>
          <w:highlight w:val="none"/>
          <w:lang w:val="zh-CN"/>
        </w:rPr>
        <w:t>在厌氧菌的</w:t>
      </w:r>
      <w:r>
        <w:rPr>
          <w:rFonts w:hint="eastAsia"/>
          <w:color w:val="auto"/>
          <w:highlight w:val="none"/>
        </w:rPr>
        <w:t>作用下，废水中难降解的大分子有机污染物被分解成易生物降解的小分子有机物，</w:t>
      </w:r>
      <w:r>
        <w:rPr>
          <w:color w:val="auto"/>
          <w:highlight w:val="none"/>
        </w:rPr>
        <w:t>BOD/COD</w:t>
      </w:r>
      <w:r>
        <w:rPr>
          <w:rFonts w:hint="eastAsia"/>
          <w:color w:val="auto"/>
          <w:highlight w:val="none"/>
        </w:rPr>
        <w:t>值提高、</w:t>
      </w:r>
      <w:r>
        <w:rPr>
          <w:color w:val="auto"/>
          <w:highlight w:val="none"/>
        </w:rPr>
        <w:t>BOD</w:t>
      </w:r>
      <w:r>
        <w:rPr>
          <w:rFonts w:hint="eastAsia"/>
          <w:color w:val="auto"/>
          <w:highlight w:val="none"/>
        </w:rPr>
        <w:t>降解速率加快，有利于后续的好氧生物处理。厌氧系统出水自流进入初沉池。</w:t>
      </w:r>
    </w:p>
    <w:p>
      <w:pPr>
        <w:widowControl w:val="0"/>
        <w:ind w:firstLine="482"/>
        <w:rPr>
          <w:b/>
          <w:bCs/>
          <w:color w:val="auto"/>
          <w:highlight w:val="none"/>
        </w:rPr>
      </w:pPr>
      <w:r>
        <w:rPr>
          <w:rFonts w:hint="eastAsia"/>
          <w:b/>
          <w:bCs/>
          <w:color w:val="auto"/>
          <w:highlight w:val="none"/>
        </w:rPr>
        <w:t>（6）初沉池、缺氧池1</w:t>
      </w:r>
    </w:p>
    <w:p>
      <w:pPr>
        <w:widowControl w:val="0"/>
        <w:ind w:firstLine="480"/>
        <w:rPr>
          <w:color w:val="auto"/>
          <w:highlight w:val="none"/>
        </w:rPr>
      </w:pPr>
      <w:r>
        <w:rPr>
          <w:rFonts w:hint="eastAsia"/>
          <w:color w:val="auto"/>
          <w:highlight w:val="none"/>
        </w:rPr>
        <w:t>厌氧池出水进入初沉池进行分离，上清液进入缺氧池。进行脱氮反应，之后出水进入好氧反应池。</w:t>
      </w:r>
    </w:p>
    <w:p>
      <w:pPr>
        <w:widowControl w:val="0"/>
        <w:ind w:firstLine="482"/>
        <w:rPr>
          <w:b/>
          <w:bCs/>
          <w:color w:val="auto"/>
          <w:highlight w:val="none"/>
        </w:rPr>
      </w:pPr>
      <w:r>
        <w:rPr>
          <w:rFonts w:hint="eastAsia"/>
          <w:b/>
          <w:bCs/>
          <w:color w:val="auto"/>
          <w:highlight w:val="none"/>
        </w:rPr>
        <w:t>（7）好氧池1</w:t>
      </w:r>
    </w:p>
    <w:p>
      <w:pPr>
        <w:widowControl w:val="0"/>
        <w:ind w:firstLine="480"/>
        <w:rPr>
          <w:color w:val="auto"/>
          <w:highlight w:val="none"/>
        </w:rPr>
      </w:pPr>
      <w:r>
        <w:rPr>
          <w:rFonts w:hint="eastAsia"/>
          <w:color w:val="auto"/>
          <w:highlight w:val="none"/>
        </w:rPr>
        <w:t>好氧反应池中的废水和空气中的氧在水力剪切和搅拌的作用下得到充分混合，使氧化反应更加完全，氧的利用率大大提高。废水中绝大多数有机物在此很容易被好氧微生物氧化分解成水和二氧化碳等物质并释放，一部分有机物被好氧微生物作为营养源吸收，从而达到去除有机物的目的。</w:t>
      </w:r>
    </w:p>
    <w:p>
      <w:pPr>
        <w:widowControl w:val="0"/>
        <w:ind w:firstLine="482"/>
        <w:rPr>
          <w:b/>
          <w:bCs/>
          <w:color w:val="auto"/>
          <w:highlight w:val="none"/>
        </w:rPr>
      </w:pPr>
      <w:r>
        <w:rPr>
          <w:rFonts w:hint="eastAsia"/>
          <w:b/>
          <w:bCs/>
          <w:color w:val="auto"/>
          <w:highlight w:val="none"/>
        </w:rPr>
        <w:t>（8）消毒</w:t>
      </w:r>
    </w:p>
    <w:p>
      <w:pPr>
        <w:widowControl w:val="0"/>
        <w:ind w:firstLine="480"/>
        <w:rPr>
          <w:color w:val="auto"/>
          <w:highlight w:val="none"/>
        </w:rPr>
      </w:pPr>
      <w:r>
        <w:rPr>
          <w:rFonts w:hint="eastAsia"/>
          <w:color w:val="auto"/>
          <w:highlight w:val="none"/>
        </w:rPr>
        <w:t>污水消毒是屠宰加工厂污水处理的重要工艺过程，其目的是杀灭污水中的各种致病菌。本项目消毒方法采用紫外线消毒。</w:t>
      </w:r>
    </w:p>
    <w:p>
      <w:pPr>
        <w:widowControl w:val="0"/>
        <w:ind w:firstLine="480"/>
        <w:rPr>
          <w:color w:val="auto"/>
          <w:highlight w:val="none"/>
        </w:rPr>
      </w:pPr>
      <w:r>
        <w:rPr>
          <w:rFonts w:hint="eastAsia"/>
          <w:color w:val="auto"/>
          <w:highlight w:val="none"/>
        </w:rPr>
        <w:t>紫外线是近十多年来发展得最快的一种方法。在一些国家，紫外线有逐步取代氯消毒、成为污水处理厂主要消毒方式的趋势。</w:t>
      </w:r>
    </w:p>
    <w:p>
      <w:pPr>
        <w:widowControl w:val="0"/>
        <w:ind w:firstLine="480"/>
        <w:rPr>
          <w:color w:val="auto"/>
          <w:highlight w:val="none"/>
        </w:rPr>
      </w:pPr>
      <w:r>
        <w:rPr>
          <w:rFonts w:hint="eastAsia"/>
          <w:color w:val="auto"/>
          <w:highlight w:val="none"/>
        </w:rPr>
        <w:t>紫外线消毒的基本原理为：紫外线对微生物的遗传物质（即</w:t>
      </w:r>
      <w:r>
        <w:rPr>
          <w:color w:val="auto"/>
          <w:highlight w:val="none"/>
        </w:rPr>
        <w:t>DNA</w:t>
      </w:r>
      <w:r>
        <w:rPr>
          <w:rFonts w:hint="eastAsia"/>
          <w:color w:val="auto"/>
          <w:highlight w:val="none"/>
        </w:rPr>
        <w:t>）有畸变作用，在吸收了一定剂量的紫外线后，</w:t>
      </w:r>
      <w:r>
        <w:rPr>
          <w:color w:val="auto"/>
          <w:highlight w:val="none"/>
        </w:rPr>
        <w:t>DNA</w:t>
      </w:r>
      <w:r>
        <w:rPr>
          <w:rFonts w:hint="eastAsia"/>
          <w:color w:val="auto"/>
          <w:highlight w:val="none"/>
        </w:rPr>
        <w:t>的结合键断裂，细胞失去活力，无法进行繁殖，细菌数量大幅度减少，达到灭菌的目的。因为当紫外线的波长为</w:t>
      </w:r>
      <w:r>
        <w:rPr>
          <w:color w:val="auto"/>
          <w:highlight w:val="none"/>
        </w:rPr>
        <w:t>254mm</w:t>
      </w:r>
      <w:r>
        <w:rPr>
          <w:rFonts w:hint="eastAsia"/>
          <w:color w:val="auto"/>
          <w:highlight w:val="none"/>
        </w:rPr>
        <w:t>时，</w:t>
      </w:r>
      <w:r>
        <w:rPr>
          <w:color w:val="auto"/>
          <w:highlight w:val="none"/>
        </w:rPr>
        <w:t>DNA</w:t>
      </w:r>
      <w:r>
        <w:rPr>
          <w:rFonts w:hint="eastAsia"/>
          <w:color w:val="auto"/>
          <w:highlight w:val="none"/>
        </w:rPr>
        <w:t>对紫外线的吸收达到最大，在这一波长具有最大能量输出的低压水银弧灯被广泛使用，在水量较大时，也使用中压或高压水银弧灯。</w:t>
      </w:r>
    </w:p>
    <w:p>
      <w:pPr>
        <w:widowControl w:val="0"/>
        <w:ind w:firstLine="480"/>
        <w:rPr>
          <w:color w:val="auto"/>
          <w:highlight w:val="none"/>
        </w:rPr>
      </w:pPr>
      <w:r>
        <w:rPr>
          <w:rFonts w:hint="eastAsia"/>
          <w:color w:val="auto"/>
          <w:highlight w:val="none"/>
        </w:rPr>
        <w:t>紫外线消毒的主要优点是灭菌效率高，作用时间短，危险性小，无二次污染等。并且消毒时间短，不需建造较大的接触池，建消毒渠即可，占地面积和土建费用大大减少。缺点是设备投资高，灯管寿命短，运行费用高，管理维修麻烦，抗悬浮固体干扰的能力差，对水中</w:t>
      </w:r>
      <w:r>
        <w:rPr>
          <w:color w:val="auto"/>
          <w:highlight w:val="none"/>
        </w:rPr>
        <w:t>SS</w:t>
      </w:r>
      <w:r>
        <w:rPr>
          <w:rFonts w:hint="eastAsia"/>
          <w:color w:val="auto"/>
          <w:highlight w:val="none"/>
        </w:rPr>
        <w:t>浓度有严格要求。由于采用紫外线消毒方案危险性小，没有二次污染的特点，在国内的应用实例逐渐增多。</w:t>
      </w:r>
    </w:p>
    <w:p>
      <w:pPr>
        <w:pStyle w:val="6"/>
        <w:widowControl w:val="0"/>
        <w:ind w:left="-160" w:firstLineChars="0"/>
        <w:rPr>
          <w:color w:val="auto"/>
          <w:highlight w:val="none"/>
        </w:rPr>
      </w:pPr>
      <w:r>
        <w:rPr>
          <w:rFonts w:hint="eastAsia"/>
          <w:color w:val="auto"/>
          <w:highlight w:val="none"/>
        </w:rPr>
        <w:t>污水处理工艺可行性分析</w:t>
      </w:r>
    </w:p>
    <w:p>
      <w:pPr>
        <w:widowControl w:val="0"/>
        <w:ind w:firstLine="480"/>
        <w:rPr>
          <w:color w:val="auto"/>
          <w:highlight w:val="none"/>
        </w:rPr>
      </w:pPr>
      <w:r>
        <w:rPr>
          <w:rFonts w:hint="eastAsia"/>
          <w:color w:val="auto"/>
          <w:highlight w:val="none"/>
        </w:rPr>
        <w:t>预处理方面，屠宰废水中含有大量的血污，毛发，内脏杂物，悬浮物浓度很高，高达</w:t>
      </w:r>
      <w:r>
        <w:rPr>
          <w:color w:val="auto"/>
          <w:highlight w:val="none"/>
        </w:rPr>
        <w:t>1000mg/l</w:t>
      </w:r>
      <w:r>
        <w:rPr>
          <w:rFonts w:hint="eastAsia"/>
          <w:color w:val="auto"/>
          <w:highlight w:val="none"/>
        </w:rPr>
        <w:t>，该类悬浮物属易腐化的有机物，必须及时拦截，一方面可防止后续管道设备和构筑物的堵塞，另一方面及时清理可避免悬浮固体有机质腐化融入废水中而成为溶解性有机质，导致废水</w:t>
      </w:r>
      <w:r>
        <w:rPr>
          <w:color w:val="auto"/>
          <w:highlight w:val="none"/>
        </w:rPr>
        <w:t>COD</w:t>
      </w:r>
      <w:r>
        <w:rPr>
          <w:rFonts w:hint="eastAsia"/>
          <w:color w:val="auto"/>
          <w:highlight w:val="none"/>
        </w:rPr>
        <w:t>、</w:t>
      </w:r>
      <w:r>
        <w:rPr>
          <w:color w:val="auto"/>
          <w:highlight w:val="none"/>
        </w:rPr>
        <w:t>BOD</w:t>
      </w:r>
      <w:r>
        <w:rPr>
          <w:color w:val="auto"/>
          <w:highlight w:val="none"/>
          <w:vertAlign w:val="subscript"/>
        </w:rPr>
        <w:t>5</w:t>
      </w:r>
      <w:r>
        <w:rPr>
          <w:rFonts w:hint="eastAsia"/>
          <w:color w:val="auto"/>
          <w:highlight w:val="none"/>
        </w:rPr>
        <w:t>浓度提高。因此，本项目污水处理站入口设置机械格栅机拦截固体杂物及漂浮物，再设施气浮沉渣池去除浮油和粪渣等悬浮物。</w:t>
      </w:r>
    </w:p>
    <w:p>
      <w:pPr>
        <w:widowControl w:val="0"/>
        <w:ind w:firstLine="480"/>
        <w:rPr>
          <w:color w:val="auto"/>
          <w:highlight w:val="none"/>
        </w:rPr>
      </w:pPr>
      <w:r>
        <w:rPr>
          <w:rFonts w:hint="eastAsia"/>
          <w:color w:val="auto"/>
          <w:highlight w:val="none"/>
        </w:rPr>
        <w:t>生化处理工艺方面，目前该行业规模化企业核心处理单元大多数以厌氧与好氧相结合的组合工，相对而言，艺为主，小型企业主要采用简单的厌氧发酵生物处理。目前成熟的处理工艺主要包括</w:t>
      </w:r>
      <w:r>
        <w:rPr>
          <w:color w:val="auto"/>
          <w:highlight w:val="none"/>
        </w:rPr>
        <w:t>UASB</w:t>
      </w:r>
      <w:r>
        <w:rPr>
          <w:rFonts w:hint="eastAsia"/>
          <w:color w:val="auto"/>
          <w:highlight w:val="none"/>
        </w:rPr>
        <w:t>、水解酸化—接触氧化、</w:t>
      </w:r>
      <w:r>
        <w:rPr>
          <w:color w:val="auto"/>
          <w:highlight w:val="none"/>
        </w:rPr>
        <w:t>SBR</w:t>
      </w:r>
      <w:r>
        <w:rPr>
          <w:rFonts w:hint="eastAsia"/>
          <w:color w:val="auto"/>
          <w:highlight w:val="none"/>
        </w:rPr>
        <w:t>和廊道生物等。此外，为保证处理效果，一般在废水处理中还会用到部分的物化处理方法，主要包括气浮及混凝沉淀等。在生化处理核心单元中，厌氧反应器一般以</w:t>
      </w:r>
      <w:r>
        <w:rPr>
          <w:color w:val="auto"/>
          <w:highlight w:val="none"/>
        </w:rPr>
        <w:t>UASB</w:t>
      </w:r>
      <w:r>
        <w:rPr>
          <w:rFonts w:hint="eastAsia"/>
          <w:color w:val="auto"/>
          <w:highlight w:val="none"/>
        </w:rPr>
        <w:t>为主，占</w:t>
      </w:r>
      <w:r>
        <w:rPr>
          <w:color w:val="auto"/>
          <w:highlight w:val="none"/>
        </w:rPr>
        <w:t>80%</w:t>
      </w:r>
      <w:r>
        <w:rPr>
          <w:rFonts w:hint="eastAsia"/>
          <w:color w:val="auto"/>
          <w:highlight w:val="none"/>
        </w:rPr>
        <w:t>，水解酸化占</w:t>
      </w:r>
      <w:r>
        <w:rPr>
          <w:color w:val="auto"/>
          <w:highlight w:val="none"/>
        </w:rPr>
        <w:t>15%</w:t>
      </w:r>
      <w:r>
        <w:rPr>
          <w:rFonts w:hint="eastAsia"/>
          <w:color w:val="auto"/>
          <w:highlight w:val="none"/>
        </w:rPr>
        <w:t>，其他如</w:t>
      </w:r>
      <w:r>
        <w:rPr>
          <w:color w:val="auto"/>
          <w:highlight w:val="none"/>
        </w:rPr>
        <w:t>ABR</w:t>
      </w:r>
      <w:r>
        <w:rPr>
          <w:rFonts w:hint="eastAsia"/>
          <w:color w:val="auto"/>
          <w:highlight w:val="none"/>
        </w:rPr>
        <w:t>、</w:t>
      </w:r>
      <w:r>
        <w:rPr>
          <w:color w:val="auto"/>
          <w:highlight w:val="none"/>
        </w:rPr>
        <w:t>UBF</w:t>
      </w:r>
      <w:r>
        <w:rPr>
          <w:rFonts w:hint="eastAsia"/>
          <w:color w:val="auto"/>
          <w:highlight w:val="none"/>
        </w:rPr>
        <w:t>等占</w:t>
      </w:r>
      <w:r>
        <w:rPr>
          <w:color w:val="auto"/>
          <w:highlight w:val="none"/>
        </w:rPr>
        <w:t>5%</w:t>
      </w:r>
      <w:r>
        <w:rPr>
          <w:rFonts w:hint="eastAsia"/>
          <w:color w:val="auto"/>
          <w:highlight w:val="none"/>
        </w:rPr>
        <w:t>。好氧生化段多采用接触氧化、</w:t>
      </w:r>
      <w:r>
        <w:rPr>
          <w:color w:val="auto"/>
          <w:highlight w:val="none"/>
        </w:rPr>
        <w:t>SBR</w:t>
      </w:r>
      <w:r>
        <w:rPr>
          <w:rFonts w:hint="eastAsia"/>
          <w:color w:val="auto"/>
          <w:highlight w:val="none"/>
        </w:rPr>
        <w:t>、</w:t>
      </w:r>
      <w:r>
        <w:rPr>
          <w:color w:val="auto"/>
          <w:highlight w:val="none"/>
        </w:rPr>
        <w:t>A</w:t>
      </w:r>
      <w:r>
        <w:rPr>
          <w:color w:val="auto"/>
          <w:highlight w:val="none"/>
          <w:vertAlign w:val="superscript"/>
        </w:rPr>
        <w:t>2</w:t>
      </w:r>
      <w:r>
        <w:rPr>
          <w:color w:val="auto"/>
          <w:highlight w:val="none"/>
        </w:rPr>
        <w:t>/O</w:t>
      </w:r>
      <w:r>
        <w:rPr>
          <w:rFonts w:hint="eastAsia"/>
          <w:color w:val="auto"/>
          <w:highlight w:val="none"/>
        </w:rPr>
        <w:t>、</w:t>
      </w:r>
      <w:r>
        <w:rPr>
          <w:color w:val="auto"/>
          <w:highlight w:val="none"/>
        </w:rPr>
        <w:t>CASS</w:t>
      </w:r>
      <w:r>
        <w:rPr>
          <w:rFonts w:hint="eastAsia"/>
          <w:color w:val="auto"/>
          <w:highlight w:val="none"/>
        </w:rPr>
        <w:t>等工艺。在厌氧</w:t>
      </w:r>
      <w:r>
        <w:rPr>
          <w:color w:val="auto"/>
          <w:highlight w:val="none"/>
        </w:rPr>
        <w:t>+</w:t>
      </w:r>
      <w:r>
        <w:rPr>
          <w:rFonts w:hint="eastAsia"/>
          <w:color w:val="auto"/>
          <w:highlight w:val="none"/>
        </w:rPr>
        <w:t>好氧处理工艺的基础上，氨氮得以稳定去除，但是同时大量的有机氮转化为无机氮，易导致总氮浓度升高。</w:t>
      </w:r>
    </w:p>
    <w:p>
      <w:pPr>
        <w:widowControl w:val="0"/>
        <w:ind w:firstLine="480"/>
        <w:rPr>
          <w:color w:val="auto"/>
          <w:highlight w:val="none"/>
        </w:rPr>
      </w:pPr>
      <w:r>
        <w:rPr>
          <w:rFonts w:hint="eastAsia"/>
          <w:color w:val="auto"/>
          <w:highlight w:val="none"/>
        </w:rPr>
        <w:t>因此，如果要进一步去除总氮污染物，在厌氧</w:t>
      </w:r>
      <w:r>
        <w:rPr>
          <w:color w:val="auto"/>
          <w:highlight w:val="none"/>
        </w:rPr>
        <w:t>+</w:t>
      </w:r>
      <w:r>
        <w:rPr>
          <w:rFonts w:hint="eastAsia"/>
          <w:color w:val="auto"/>
          <w:highlight w:val="none"/>
        </w:rPr>
        <w:t>好氧处理的基础上，需要屠宰企业继续深化废水处理，追加反硝化脱氮处理设施。在总磷的去除方面，仅依靠生物除磷不能达到要求，需进行化学除磷。</w:t>
      </w:r>
    </w:p>
    <w:p>
      <w:pPr>
        <w:widowControl w:val="0"/>
        <w:ind w:firstLine="480"/>
        <w:rPr>
          <w:rFonts w:hint="eastAsia"/>
          <w:color w:val="auto"/>
          <w:highlight w:val="none"/>
        </w:rPr>
      </w:pPr>
      <w:r>
        <w:rPr>
          <w:rFonts w:hint="eastAsia"/>
          <w:color w:val="auto"/>
          <w:highlight w:val="none"/>
        </w:rPr>
        <w:t>本项目采用的污水工艺为格栅池+沉渣池+多功能生物调节池+气浮沉渣池+厌氧池+初沉池+缺氧池1+好氧池1+紫外线消毒+清水池，有效的对污水进行了预处理深度处理，通过处理后可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畜类屠宰三级排放标准排入元坨社区市政污水管网，通过市政污水管网汇入响滩镇污水处理厂处理。</w:t>
      </w:r>
    </w:p>
    <w:p>
      <w:pPr>
        <w:widowControl w:val="0"/>
        <w:ind w:firstLine="480"/>
        <w:rPr>
          <w:rFonts w:hint="default" w:eastAsia="宋体"/>
          <w:color w:val="auto"/>
          <w:highlight w:val="none"/>
          <w:lang w:val="en-US" w:eastAsia="zh-CN"/>
        </w:rPr>
      </w:pPr>
      <w:r>
        <w:rPr>
          <w:rFonts w:hint="eastAsia"/>
          <w:color w:val="auto"/>
          <w:highlight w:val="none"/>
          <w:lang w:val="en-US" w:eastAsia="zh-CN"/>
        </w:rPr>
        <w:t>根据《排污许可证申请与核发技术规范 农副食品加工工业-屠宰及肉类加工工业》（HJ 860.3-2018）表7，表格内如下所示：</w:t>
      </w:r>
    </w:p>
    <w:p>
      <w:pPr>
        <w:pStyle w:val="27"/>
        <w:ind w:firstLine="480"/>
        <w:rPr>
          <w:rFonts w:hint="default" w:eastAsia="宋体"/>
          <w:color w:val="auto"/>
          <w:highlight w:val="none"/>
          <w:lang w:val="en-US" w:eastAsia="zh-CN"/>
        </w:rPr>
      </w:pPr>
      <w:r>
        <w:rPr>
          <w:rFonts w:hint="eastAsia"/>
          <w:color w:val="auto"/>
          <w:highlight w:val="none"/>
          <w:lang w:val="en-US" w:eastAsia="zh-CN"/>
        </w:rPr>
        <w:t>屠宰及肉类加工工业排污单位废水治理可行技术参照表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008"/>
        <w:gridCol w:w="1557"/>
        <w:gridCol w:w="674"/>
        <w:gridCol w:w="884"/>
        <w:gridCol w:w="1513"/>
        <w:gridCol w:w="2986"/>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trPr>
        <w:tc>
          <w:tcPr>
            <w:tcW w:w="1043"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废水类别</w:t>
            </w:r>
          </w:p>
        </w:tc>
        <w:tc>
          <w:tcPr>
            <w:tcW w:w="809"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污染控制项目</w:t>
            </w:r>
          </w:p>
        </w:tc>
        <w:tc>
          <w:tcPr>
            <w:tcW w:w="350"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排放方式</w:t>
            </w:r>
          </w:p>
        </w:tc>
        <w:tc>
          <w:tcPr>
            <w:tcW w:w="459"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排放监控位置</w:t>
            </w:r>
          </w:p>
        </w:tc>
        <w:tc>
          <w:tcPr>
            <w:tcW w:w="786"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执行排放标准</w:t>
            </w:r>
          </w:p>
        </w:tc>
        <w:tc>
          <w:tcPr>
            <w:tcW w:w="1551" w:type="pct"/>
            <w:tcBorders>
              <w:tl2br w:val="nil"/>
              <w:tr2bl w:val="nil"/>
            </w:tcBorders>
            <w:vAlign w:val="center"/>
          </w:tcPr>
          <w:p>
            <w:pPr>
              <w:pStyle w:val="28"/>
              <w:widowControl w:val="0"/>
              <w:rPr>
                <w:rFonts w:hint="default"/>
                <w:b/>
                <w:bCs/>
                <w:color w:val="auto"/>
                <w:highlight w:val="none"/>
                <w:vertAlign w:val="baseline"/>
                <w:lang w:val="en-US" w:eastAsia="zh-CN"/>
              </w:rPr>
            </w:pPr>
            <w:r>
              <w:rPr>
                <w:rFonts w:hint="eastAsia"/>
                <w:b/>
                <w:bCs/>
                <w:color w:val="auto"/>
                <w:highlight w:val="none"/>
                <w:vertAlign w:val="baseline"/>
                <w:lang w:val="en-US" w:eastAsia="zh-CN"/>
              </w:rPr>
              <w:t>可行技术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1043" w:type="pct"/>
            <w:tcBorders>
              <w:tl2br w:val="nil"/>
              <w:tr2bl w:val="nil"/>
            </w:tcBorders>
            <w:vAlign w:val="center"/>
          </w:tcPr>
          <w:p>
            <w:pPr>
              <w:pStyle w:val="28"/>
              <w:widowControl w:val="0"/>
              <w:rPr>
                <w:rFonts w:hint="default" w:eastAsia="宋体"/>
                <w:color w:val="auto"/>
                <w:highlight w:val="none"/>
                <w:vertAlign w:val="baseline"/>
                <w:lang w:val="en-US" w:eastAsia="zh-CN"/>
              </w:rPr>
            </w:pPr>
            <w:r>
              <w:rPr>
                <w:rFonts w:hint="eastAsia"/>
                <w:color w:val="auto"/>
                <w:highlight w:val="none"/>
                <w:lang w:val="en-US" w:eastAsia="zh-CN"/>
              </w:rPr>
              <w:t>厂内综合污水处理站的综合污水、专门处理屠宰及肉类加工废水的集中式污水处理厂综合污水(屠宰及肉制品加工生产废水、生活污水、初期雨水等)</w:t>
            </w:r>
          </w:p>
        </w:tc>
        <w:tc>
          <w:tcPr>
            <w:tcW w:w="809" w:type="pct"/>
            <w:tcBorders>
              <w:tl2br w:val="nil"/>
              <w:tr2bl w:val="nil"/>
            </w:tcBorders>
            <w:vAlign w:val="center"/>
          </w:tcPr>
          <w:p>
            <w:pPr>
              <w:pStyle w:val="28"/>
              <w:widowControl w:val="0"/>
              <w:rPr>
                <w:rFonts w:hint="default"/>
                <w:color w:val="auto"/>
                <w:highlight w:val="none"/>
                <w:vertAlign w:val="baseline"/>
                <w:lang w:val="en-US" w:eastAsia="zh-CN"/>
              </w:rPr>
            </w:pPr>
            <w:r>
              <w:rPr>
                <w:rFonts w:hint="default"/>
                <w:color w:val="auto"/>
                <w:highlight w:val="none"/>
                <w:vertAlign w:val="baseline"/>
                <w:lang w:val="en-US" w:eastAsia="zh-CN"/>
              </w:rPr>
              <w:t>pH值、化学需氧量、五日生化需氧量、悬浮物、氨氮、动植物油、大肠菌群数</w:t>
            </w:r>
          </w:p>
          <w:p>
            <w:pPr>
              <w:pStyle w:val="28"/>
              <w:widowControl w:val="0"/>
              <w:rPr>
                <w:rFonts w:hint="default"/>
                <w:color w:val="auto"/>
                <w:highlight w:val="none"/>
                <w:vertAlign w:val="baseline"/>
                <w:lang w:val="en-US" w:eastAsia="zh-CN"/>
              </w:rPr>
            </w:pPr>
          </w:p>
        </w:tc>
        <w:tc>
          <w:tcPr>
            <w:tcW w:w="350"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间接排放</w:t>
            </w:r>
          </w:p>
        </w:tc>
        <w:tc>
          <w:tcPr>
            <w:tcW w:w="459" w:type="pct"/>
            <w:tcBorders>
              <w:tl2br w:val="nil"/>
              <w:tr2bl w:val="nil"/>
            </w:tcBorders>
            <w:vAlign w:val="center"/>
          </w:tcPr>
          <w:p>
            <w:pPr>
              <w:pStyle w:val="28"/>
              <w:widowControl w:val="0"/>
              <w:rPr>
                <w:rFonts w:hint="default"/>
                <w:color w:val="auto"/>
                <w:highlight w:val="none"/>
                <w:vertAlign w:val="baseline"/>
                <w:lang w:val="en-US" w:eastAsia="zh-CN"/>
              </w:rPr>
            </w:pPr>
            <w:r>
              <w:rPr>
                <w:rFonts w:hint="eastAsia"/>
                <w:color w:val="auto"/>
                <w:highlight w:val="none"/>
                <w:vertAlign w:val="baseline"/>
                <w:lang w:val="en-US" w:eastAsia="zh-CN"/>
              </w:rPr>
              <w:t>废水总排口</w:t>
            </w:r>
          </w:p>
        </w:tc>
        <w:tc>
          <w:tcPr>
            <w:tcW w:w="786" w:type="pct"/>
            <w:tcBorders>
              <w:tl2br w:val="nil"/>
              <w:tr2bl w:val="nil"/>
            </w:tcBorders>
            <w:vAlign w:val="center"/>
          </w:tcPr>
          <w:p>
            <w:pPr>
              <w:pStyle w:val="28"/>
              <w:widowControl w:val="0"/>
              <w:rPr>
                <w:rFonts w:hint="default"/>
                <w:color w:val="auto"/>
                <w:highlight w:val="none"/>
                <w:vertAlign w:val="baseline"/>
                <w:lang w:val="en-US" w:eastAsia="zh-CN"/>
              </w:rPr>
            </w:pPr>
            <w:r>
              <w:rPr>
                <w:rFonts w:hint="default"/>
                <w:color w:val="auto"/>
                <w:highlight w:val="none"/>
                <w:vertAlign w:val="baseline"/>
                <w:lang w:val="en-US" w:eastAsia="zh-CN"/>
              </w:rPr>
              <w:t>排入城镇污水集中处理设施</w:t>
            </w:r>
            <w:r>
              <w:rPr>
                <w:rFonts w:hint="eastAsia"/>
                <w:color w:val="auto"/>
                <w:highlight w:val="none"/>
                <w:vertAlign w:val="baseline"/>
                <w:lang w:val="en-US" w:eastAsia="zh-CN"/>
              </w:rPr>
              <w:t>：</w:t>
            </w:r>
            <w:r>
              <w:rPr>
                <w:rFonts w:hint="default"/>
                <w:color w:val="auto"/>
                <w:highlight w:val="none"/>
                <w:vertAlign w:val="baseline"/>
                <w:lang w:val="en-US" w:eastAsia="zh-CN"/>
              </w:rPr>
              <w:t>执行GB13457的三级限值</w:t>
            </w:r>
          </w:p>
          <w:p>
            <w:pPr>
              <w:pStyle w:val="28"/>
              <w:widowControl w:val="0"/>
              <w:rPr>
                <w:rFonts w:hint="default"/>
                <w:color w:val="auto"/>
                <w:highlight w:val="none"/>
                <w:vertAlign w:val="baseline"/>
                <w:lang w:val="en-US" w:eastAsia="zh-CN"/>
              </w:rPr>
            </w:pPr>
          </w:p>
        </w:tc>
        <w:tc>
          <w:tcPr>
            <w:tcW w:w="1551" w:type="pct"/>
            <w:tcBorders>
              <w:tl2br w:val="nil"/>
              <w:tr2bl w:val="nil"/>
            </w:tcBorders>
            <w:vAlign w:val="center"/>
          </w:tcPr>
          <w:p>
            <w:pPr>
              <w:pStyle w:val="28"/>
              <w:widowControl w:val="0"/>
              <w:jc w:val="left"/>
              <w:rPr>
                <w:rFonts w:hint="default"/>
                <w:color w:val="auto"/>
                <w:highlight w:val="none"/>
                <w:vertAlign w:val="baseline"/>
                <w:lang w:val="en-US" w:eastAsia="zh-CN"/>
              </w:rPr>
            </w:pPr>
            <w:r>
              <w:rPr>
                <w:rFonts w:hint="default"/>
                <w:color w:val="auto"/>
                <w:highlight w:val="none"/>
                <w:vertAlign w:val="baseline"/>
                <w:lang w:val="en-US" w:eastAsia="zh-CN"/>
              </w:rPr>
              <w:t>1)预处理:</w:t>
            </w:r>
            <w:r>
              <w:rPr>
                <w:rFonts w:hint="default"/>
                <w:b/>
                <w:bCs/>
                <w:color w:val="auto"/>
                <w:highlight w:val="none"/>
                <w:vertAlign w:val="baseline"/>
                <w:lang w:val="en-US" w:eastAsia="zh-CN"/>
              </w:rPr>
              <w:t>粗（细）格栅</w:t>
            </w:r>
            <w:r>
              <w:rPr>
                <w:rFonts w:hint="default"/>
                <w:color w:val="auto"/>
                <w:highlight w:val="none"/>
                <w:vertAlign w:val="baseline"/>
                <w:lang w:val="en-US" w:eastAsia="zh-CN"/>
              </w:rPr>
              <w:t>（禽类屠宰需设置专用的细格栅、水力筛或筛网）</w:t>
            </w:r>
            <w:r>
              <w:rPr>
                <w:rFonts w:hint="eastAsia"/>
                <w:color w:val="auto"/>
                <w:highlight w:val="none"/>
                <w:vertAlign w:val="baseline"/>
                <w:lang w:val="en-US" w:eastAsia="zh-CN"/>
              </w:rPr>
              <w:t>；</w:t>
            </w:r>
            <w:r>
              <w:rPr>
                <w:rFonts w:hint="default"/>
                <w:color w:val="auto"/>
                <w:highlight w:val="none"/>
                <w:vertAlign w:val="baseline"/>
                <w:lang w:val="en-US" w:eastAsia="zh-CN"/>
              </w:rPr>
              <w:t>平流或旋流式沉砂、竖流或辐流式沉淀、混凝沉淀:斜板或平流式隔油池</w:t>
            </w:r>
            <w:r>
              <w:rPr>
                <w:rFonts w:hint="eastAsia"/>
                <w:color w:val="auto"/>
                <w:highlight w:val="none"/>
                <w:vertAlign w:val="baseline"/>
                <w:lang w:val="en-US" w:eastAsia="zh-CN"/>
              </w:rPr>
              <w:t>；</w:t>
            </w:r>
            <w:r>
              <w:rPr>
                <w:rFonts w:hint="default"/>
                <w:b/>
                <w:bCs/>
                <w:color w:val="auto"/>
                <w:highlight w:val="none"/>
                <w:vertAlign w:val="baseline"/>
                <w:lang w:val="en-US" w:eastAsia="zh-CN"/>
              </w:rPr>
              <w:t>气浮</w:t>
            </w:r>
            <w:r>
              <w:rPr>
                <w:rFonts w:hint="default"/>
                <w:color w:val="auto"/>
                <w:highlight w:val="none"/>
                <w:vertAlign w:val="baseline"/>
                <w:lang w:val="en-US" w:eastAsia="zh-CN"/>
              </w:rPr>
              <w:t>。</w:t>
            </w:r>
          </w:p>
          <w:p>
            <w:pPr>
              <w:pStyle w:val="28"/>
              <w:widowControl w:val="0"/>
              <w:jc w:val="left"/>
              <w:rPr>
                <w:rFonts w:hint="default"/>
                <w:color w:val="auto"/>
                <w:highlight w:val="none"/>
                <w:vertAlign w:val="baseline"/>
                <w:lang w:val="en-US" w:eastAsia="zh-CN"/>
              </w:rPr>
            </w:pPr>
            <w:r>
              <w:rPr>
                <w:rFonts w:hint="default"/>
                <w:color w:val="auto"/>
                <w:highlight w:val="none"/>
                <w:vertAlign w:val="baseline"/>
                <w:lang w:val="en-US" w:eastAsia="zh-CN"/>
              </w:rPr>
              <w:t>2）生化法处理:升流式厌氧污泥床（UASB) :IC反应器或水解酸化技术</w:t>
            </w:r>
            <w:r>
              <w:rPr>
                <w:rFonts w:hint="eastAsia"/>
                <w:color w:val="auto"/>
                <w:highlight w:val="none"/>
                <w:vertAlign w:val="baseline"/>
                <w:lang w:val="en-US" w:eastAsia="zh-CN"/>
              </w:rPr>
              <w:t>；</w:t>
            </w:r>
            <w:r>
              <w:rPr>
                <w:rFonts w:hint="default"/>
                <w:color w:val="auto"/>
                <w:highlight w:val="none"/>
                <w:vertAlign w:val="baseline"/>
                <w:lang w:val="en-US" w:eastAsia="zh-CN"/>
              </w:rPr>
              <w:t>活性污泥法</w:t>
            </w:r>
            <w:r>
              <w:rPr>
                <w:rFonts w:hint="eastAsia"/>
                <w:color w:val="auto"/>
                <w:highlight w:val="none"/>
                <w:vertAlign w:val="baseline"/>
                <w:lang w:val="en-US" w:eastAsia="zh-CN"/>
              </w:rPr>
              <w:t>；</w:t>
            </w:r>
            <w:r>
              <w:rPr>
                <w:rFonts w:hint="default"/>
                <w:color w:val="auto"/>
                <w:highlight w:val="none"/>
                <w:vertAlign w:val="baseline"/>
                <w:lang w:val="en-US" w:eastAsia="zh-CN"/>
              </w:rPr>
              <w:t>氧化沟及其各类改型工艺。</w:t>
            </w:r>
          </w:p>
        </w:tc>
      </w:tr>
    </w:tbl>
    <w:p>
      <w:pPr>
        <w:ind w:firstLine="480"/>
        <w:rPr>
          <w:rFonts w:hint="default"/>
          <w:color w:val="auto"/>
          <w:highlight w:val="none"/>
          <w:lang w:val="en-US" w:eastAsia="zh-CN"/>
        </w:rPr>
      </w:pPr>
      <w:r>
        <w:rPr>
          <w:rFonts w:hint="eastAsia"/>
          <w:color w:val="auto"/>
          <w:highlight w:val="none"/>
          <w:lang w:val="en-US" w:eastAsia="zh-CN"/>
        </w:rPr>
        <w:t>根据上述表格，本项目采取的工艺满足《排污许可证申请与核发技术规范 农副食品加工工业-屠宰及肉类加工工业》（HJ 860.3-2018）的要求。</w:t>
      </w:r>
    </w:p>
    <w:p>
      <w:pPr>
        <w:pStyle w:val="6"/>
        <w:widowControl w:val="0"/>
        <w:ind w:left="-160" w:firstLineChars="0"/>
        <w:rPr>
          <w:color w:val="auto"/>
          <w:highlight w:val="none"/>
        </w:rPr>
      </w:pPr>
      <w:r>
        <w:rPr>
          <w:rFonts w:hint="eastAsia"/>
          <w:color w:val="auto"/>
          <w:highlight w:val="none"/>
        </w:rPr>
        <w:t>废水处理效果分析</w:t>
      </w:r>
    </w:p>
    <w:p>
      <w:pPr>
        <w:widowControl w:val="0"/>
        <w:ind w:firstLine="480"/>
        <w:rPr>
          <w:color w:val="auto"/>
          <w:highlight w:val="none"/>
        </w:rPr>
      </w:pPr>
      <w:r>
        <w:rPr>
          <w:rFonts w:hint="eastAsia"/>
          <w:color w:val="auto"/>
          <w:highlight w:val="none"/>
        </w:rPr>
        <w:t>本项目采用的污水工艺为“</w:t>
      </w:r>
      <w:r>
        <w:rPr>
          <w:rFonts w:hint="eastAsia"/>
          <w:color w:val="auto"/>
          <w:highlight w:val="none"/>
          <w:lang w:eastAsia="zh-CN"/>
        </w:rPr>
        <w:t>格栅池+沉渣池+多功能生物调节池+气浮沉渣池+厌氧池+初沉池+缺氧池1+好氧池1+紫外线消毒+清水池</w:t>
      </w:r>
      <w:r>
        <w:rPr>
          <w:rFonts w:hint="eastAsia"/>
          <w:color w:val="auto"/>
          <w:highlight w:val="none"/>
        </w:rPr>
        <w:t>”组合工艺。</w:t>
      </w:r>
    </w:p>
    <w:p>
      <w:pPr>
        <w:pStyle w:val="27"/>
        <w:widowControl w:val="0"/>
        <w:rPr>
          <w:color w:val="auto"/>
          <w:highlight w:val="none"/>
        </w:rPr>
      </w:pPr>
      <w:r>
        <w:rPr>
          <w:rFonts w:hint="eastAsia"/>
          <w:color w:val="auto"/>
          <w:highlight w:val="none"/>
        </w:rPr>
        <w:t>项目污水处理站污染物去除率</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255"/>
        <w:gridCol w:w="780"/>
        <w:gridCol w:w="787"/>
        <w:gridCol w:w="1022"/>
        <w:gridCol w:w="1022"/>
        <w:gridCol w:w="1022"/>
        <w:gridCol w:w="1022"/>
        <w:gridCol w:w="907"/>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排放情况</w:t>
            </w:r>
          </w:p>
        </w:tc>
        <w:tc>
          <w:tcPr>
            <w:tcW w:w="652" w:type="pct"/>
            <w:vMerge w:val="restart"/>
            <w:tcBorders>
              <w:tl2br w:val="nil"/>
              <w:tr2bl w:val="nil"/>
            </w:tcBorders>
            <w:vAlign w:val="center"/>
          </w:tcPr>
          <w:p>
            <w:pPr>
              <w:pStyle w:val="28"/>
              <w:widowControl w:val="0"/>
              <w:rPr>
                <w:b/>
                <w:bCs/>
                <w:color w:val="auto"/>
                <w:highlight w:val="none"/>
              </w:rPr>
            </w:pPr>
            <w:r>
              <w:rPr>
                <w:rFonts w:hint="eastAsia"/>
                <w:b/>
                <w:bCs/>
                <w:color w:val="auto"/>
                <w:highlight w:val="none"/>
              </w:rPr>
              <w:t>数量</w:t>
            </w:r>
          </w:p>
        </w:tc>
        <w:tc>
          <w:tcPr>
            <w:tcW w:w="813"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废水统计</w:t>
            </w:r>
          </w:p>
        </w:tc>
        <w:tc>
          <w:tcPr>
            <w:tcW w:w="3186" w:type="pct"/>
            <w:gridSpan w:val="6"/>
            <w:tcBorders>
              <w:tl2br w:val="nil"/>
              <w:tr2bl w:val="nil"/>
            </w:tcBorders>
            <w:vAlign w:val="center"/>
          </w:tcPr>
          <w:p>
            <w:pPr>
              <w:pStyle w:val="28"/>
              <w:widowControl w:val="0"/>
              <w:rPr>
                <w:color w:val="auto"/>
                <w:highlight w:val="none"/>
              </w:rPr>
            </w:pPr>
            <w:r>
              <w:rPr>
                <w:rFonts w:hint="eastAsia"/>
                <w:b/>
                <w:bCs/>
                <w:color w:val="auto"/>
                <w:highlight w:val="none"/>
              </w:rPr>
              <w:t>废水污染物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28"/>
              <w:widowControl w:val="0"/>
              <w:rPr>
                <w:b/>
                <w:bCs/>
                <w:color w:val="auto"/>
                <w:highlight w:val="none"/>
              </w:rPr>
            </w:pPr>
          </w:p>
        </w:tc>
        <w:tc>
          <w:tcPr>
            <w:tcW w:w="652" w:type="pct"/>
            <w:vMerge w:val="continue"/>
            <w:tcBorders>
              <w:tl2br w:val="nil"/>
              <w:tr2bl w:val="nil"/>
            </w:tcBorders>
            <w:vAlign w:val="center"/>
          </w:tcPr>
          <w:p>
            <w:pPr>
              <w:pStyle w:val="28"/>
              <w:widowControl w:val="0"/>
              <w:rPr>
                <w:b/>
                <w:bCs/>
                <w:color w:val="auto"/>
                <w:highlight w:val="none"/>
              </w:rPr>
            </w:pPr>
          </w:p>
        </w:tc>
        <w:tc>
          <w:tcPr>
            <w:tcW w:w="813" w:type="pct"/>
            <w:gridSpan w:val="2"/>
            <w:tcBorders>
              <w:tl2br w:val="nil"/>
              <w:tr2bl w:val="nil"/>
            </w:tcBorders>
            <w:vAlign w:val="center"/>
          </w:tcPr>
          <w:p>
            <w:pPr>
              <w:pStyle w:val="28"/>
              <w:widowControl w:val="0"/>
              <w:rPr>
                <w:b/>
                <w:bCs/>
                <w:color w:val="auto"/>
                <w:highlight w:val="none"/>
              </w:rPr>
            </w:pPr>
            <w:r>
              <w:rPr>
                <w:rFonts w:hint="eastAsia"/>
                <w:b/>
                <w:bCs/>
                <w:color w:val="auto"/>
                <w:highlight w:val="none"/>
              </w:rPr>
              <w:t>单位</w:t>
            </w:r>
          </w:p>
        </w:tc>
        <w:tc>
          <w:tcPr>
            <w:tcW w:w="531" w:type="pct"/>
            <w:tcBorders>
              <w:tl2br w:val="nil"/>
              <w:tr2bl w:val="nil"/>
            </w:tcBorders>
            <w:vAlign w:val="center"/>
          </w:tcPr>
          <w:p>
            <w:pPr>
              <w:pStyle w:val="28"/>
              <w:widowControl w:val="0"/>
              <w:rPr>
                <w:b/>
                <w:bCs/>
                <w:color w:val="auto"/>
                <w:highlight w:val="none"/>
              </w:rPr>
            </w:pPr>
            <w:r>
              <w:rPr>
                <w:rFonts w:hint="eastAsia"/>
                <w:b/>
                <w:bCs/>
                <w:color w:val="auto"/>
                <w:highlight w:val="none"/>
              </w:rPr>
              <w:t>COD</w:t>
            </w:r>
          </w:p>
        </w:tc>
        <w:tc>
          <w:tcPr>
            <w:tcW w:w="531" w:type="pct"/>
            <w:tcBorders>
              <w:tl2br w:val="nil"/>
              <w:tr2bl w:val="nil"/>
            </w:tcBorders>
            <w:vAlign w:val="center"/>
          </w:tcPr>
          <w:p>
            <w:pPr>
              <w:pStyle w:val="28"/>
              <w:widowControl w:val="0"/>
              <w:rPr>
                <w:b/>
                <w:bCs/>
                <w:color w:val="auto"/>
                <w:highlight w:val="none"/>
              </w:rPr>
            </w:pPr>
            <w:r>
              <w:rPr>
                <w:b/>
                <w:bCs/>
                <w:color w:val="auto"/>
                <w:highlight w:val="none"/>
              </w:rPr>
              <w:t>BOD</w:t>
            </w:r>
            <w:r>
              <w:rPr>
                <w:b/>
                <w:bCs/>
                <w:color w:val="auto"/>
                <w:highlight w:val="none"/>
                <w:vertAlign w:val="subscript"/>
              </w:rPr>
              <w:t>5</w:t>
            </w:r>
          </w:p>
        </w:tc>
        <w:tc>
          <w:tcPr>
            <w:tcW w:w="531" w:type="pct"/>
            <w:tcBorders>
              <w:tl2br w:val="nil"/>
              <w:tr2bl w:val="nil"/>
            </w:tcBorders>
            <w:vAlign w:val="center"/>
          </w:tcPr>
          <w:p>
            <w:pPr>
              <w:pStyle w:val="28"/>
              <w:widowControl w:val="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531" w:type="pct"/>
            <w:tcBorders>
              <w:tl2br w:val="nil"/>
              <w:tr2bl w:val="nil"/>
            </w:tcBorders>
            <w:vAlign w:val="center"/>
          </w:tcPr>
          <w:p>
            <w:pPr>
              <w:pStyle w:val="28"/>
              <w:widowControl w:val="0"/>
              <w:rPr>
                <w:b/>
                <w:bCs/>
                <w:color w:val="auto"/>
                <w:highlight w:val="none"/>
              </w:rPr>
            </w:pPr>
            <w:r>
              <w:rPr>
                <w:b/>
                <w:bCs/>
                <w:color w:val="auto"/>
                <w:highlight w:val="none"/>
              </w:rPr>
              <w:t>SS</w:t>
            </w:r>
          </w:p>
        </w:tc>
        <w:tc>
          <w:tcPr>
            <w:tcW w:w="471" w:type="pct"/>
            <w:tcBorders>
              <w:tl2br w:val="nil"/>
              <w:tr2bl w:val="nil"/>
            </w:tcBorders>
            <w:vAlign w:val="center"/>
          </w:tcPr>
          <w:p>
            <w:pPr>
              <w:pStyle w:val="28"/>
              <w:widowControl w:val="0"/>
              <w:rPr>
                <w:b/>
                <w:bCs/>
                <w:color w:val="auto"/>
                <w:highlight w:val="none"/>
              </w:rPr>
            </w:pPr>
            <w:r>
              <w:rPr>
                <w:rFonts w:hint="eastAsia"/>
                <w:b/>
                <w:bCs/>
                <w:color w:val="auto"/>
                <w:highlight w:val="none"/>
              </w:rPr>
              <w:t>TP</w:t>
            </w:r>
          </w:p>
        </w:tc>
        <w:tc>
          <w:tcPr>
            <w:tcW w:w="591" w:type="pct"/>
            <w:tcBorders>
              <w:tl2br w:val="nil"/>
              <w:tr2bl w:val="nil"/>
            </w:tcBorders>
            <w:vAlign w:val="center"/>
          </w:tcPr>
          <w:p>
            <w:pPr>
              <w:pStyle w:val="28"/>
              <w:widowControl w:val="0"/>
              <w:rPr>
                <w:b/>
                <w:bCs/>
                <w:color w:val="auto"/>
                <w:highlight w:val="none"/>
              </w:rPr>
            </w:pPr>
            <w:r>
              <w:rPr>
                <w:rFonts w:hint="eastAsia"/>
                <w:b/>
                <w:bCs/>
                <w:color w:val="auto"/>
                <w:highlight w:val="none"/>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652" w:type="pct"/>
            <w:vMerge w:val="restart"/>
            <w:tcBorders>
              <w:tl2br w:val="nil"/>
              <w:tr2bl w:val="nil"/>
            </w:tcBorders>
            <w:vAlign w:val="center"/>
          </w:tcPr>
          <w:p>
            <w:pPr>
              <w:pStyle w:val="28"/>
              <w:widowControl w:val="0"/>
              <w:rPr>
                <w:color w:val="auto"/>
                <w:highlight w:val="none"/>
              </w:rPr>
            </w:pPr>
            <w:r>
              <w:rPr>
                <w:rFonts w:hint="eastAsia"/>
                <w:color w:val="auto"/>
                <w:highlight w:val="none"/>
              </w:rPr>
              <w:t>254.8m</w:t>
            </w:r>
            <w:r>
              <w:rPr>
                <w:rFonts w:hint="eastAsia"/>
                <w:color w:val="auto"/>
                <w:highlight w:val="none"/>
                <w:vertAlign w:val="superscript"/>
              </w:rPr>
              <w:t>3</w:t>
            </w:r>
            <w:r>
              <w:rPr>
                <w:rFonts w:hint="eastAsia"/>
                <w:color w:val="auto"/>
                <w:highlight w:val="none"/>
              </w:rPr>
              <w:t>/d（旺季）</w:t>
            </w:r>
          </w:p>
          <w:p>
            <w:pPr>
              <w:pStyle w:val="28"/>
              <w:widowControl w:val="0"/>
              <w:rPr>
                <w:color w:val="auto"/>
                <w:highlight w:val="none"/>
              </w:rPr>
            </w:pPr>
            <w:r>
              <w:rPr>
                <w:rFonts w:hint="eastAsia"/>
                <w:color w:val="auto"/>
                <w:highlight w:val="none"/>
              </w:rPr>
              <w:t>79910m</w:t>
            </w:r>
            <w:r>
              <w:rPr>
                <w:rFonts w:hint="eastAsia"/>
                <w:color w:val="auto"/>
                <w:highlight w:val="none"/>
                <w:vertAlign w:val="superscript"/>
              </w:rPr>
              <w:t>3</w:t>
            </w:r>
            <w:r>
              <w:rPr>
                <w:rFonts w:hint="eastAsia"/>
                <w:color w:val="auto"/>
                <w:highlight w:val="none"/>
              </w:rPr>
              <w:t>/a</w:t>
            </w:r>
          </w:p>
        </w:tc>
        <w:tc>
          <w:tcPr>
            <w:tcW w:w="813" w:type="pct"/>
            <w:gridSpan w:val="2"/>
            <w:tcBorders>
              <w:tl2br w:val="nil"/>
              <w:tr2bl w:val="nil"/>
            </w:tcBorders>
            <w:vAlign w:val="center"/>
          </w:tcPr>
          <w:p>
            <w:pPr>
              <w:pStyle w:val="28"/>
              <w:widowControl w:val="0"/>
              <w:rPr>
                <w:color w:val="auto"/>
                <w:highlight w:val="none"/>
              </w:rPr>
            </w:pPr>
            <w:r>
              <w:rPr>
                <w:rFonts w:hint="eastAsia"/>
                <w:color w:val="auto"/>
                <w:highlight w:val="none"/>
              </w:rPr>
              <w:t>产生浓度mg/L</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2059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947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154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1136 </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 xml:space="preserve">28 </w:t>
            </w:r>
          </w:p>
        </w:tc>
        <w:tc>
          <w:tcPr>
            <w:tcW w:w="1138" w:type="dxa"/>
            <w:tcBorders>
              <w:tl2br w:val="nil"/>
              <w:tr2bl w:val="nil"/>
            </w:tcBorders>
            <w:vAlign w:val="center"/>
          </w:tcPr>
          <w:p>
            <w:pPr>
              <w:pStyle w:val="28"/>
              <w:widowControl w:val="0"/>
              <w:rPr>
                <w:color w:val="auto"/>
                <w:highlight w:val="none"/>
              </w:rPr>
            </w:pPr>
            <w:r>
              <w:rPr>
                <w:rFonts w:hint="eastAsia"/>
                <w:color w:val="auto"/>
                <w:highlight w:val="none"/>
              </w:rPr>
              <w:t xml:space="preserve">142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28"/>
              <w:widowControl w:val="0"/>
              <w:rPr>
                <w:color w:val="auto"/>
                <w:highlight w:val="none"/>
              </w:rPr>
            </w:pPr>
          </w:p>
        </w:tc>
        <w:tc>
          <w:tcPr>
            <w:tcW w:w="652" w:type="pct"/>
            <w:vMerge w:val="continue"/>
            <w:tcBorders>
              <w:tl2br w:val="nil"/>
              <w:tr2bl w:val="nil"/>
            </w:tcBorders>
            <w:vAlign w:val="center"/>
          </w:tcPr>
          <w:p>
            <w:pPr>
              <w:pStyle w:val="28"/>
              <w:widowControl w:val="0"/>
              <w:rPr>
                <w:color w:val="auto"/>
                <w:highlight w:val="none"/>
              </w:rPr>
            </w:pPr>
          </w:p>
        </w:tc>
        <w:tc>
          <w:tcPr>
            <w:tcW w:w="405" w:type="pct"/>
            <w:vMerge w:val="restart"/>
            <w:tcBorders>
              <w:tl2br w:val="nil"/>
              <w:tr2bl w:val="nil"/>
            </w:tcBorders>
            <w:vAlign w:val="center"/>
          </w:tcPr>
          <w:p>
            <w:pPr>
              <w:pStyle w:val="28"/>
              <w:widowControl w:val="0"/>
              <w:rPr>
                <w:color w:val="auto"/>
                <w:highlight w:val="none"/>
              </w:rPr>
            </w:pPr>
            <w:r>
              <w:rPr>
                <w:rFonts w:hint="eastAsia"/>
                <w:color w:val="auto"/>
                <w:highlight w:val="none"/>
              </w:rPr>
              <w:t>产污负荷</w:t>
            </w:r>
          </w:p>
        </w:tc>
        <w:tc>
          <w:tcPr>
            <w:tcW w:w="407"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164.53</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75.67</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12.31</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90.78</w:t>
            </w:r>
          </w:p>
        </w:tc>
        <w:tc>
          <w:tcPr>
            <w:tcW w:w="471" w:type="pct"/>
            <w:tcBorders>
              <w:tl2br w:val="nil"/>
              <w:tr2bl w:val="nil"/>
            </w:tcBorders>
            <w:vAlign w:val="center"/>
          </w:tcPr>
          <w:p>
            <w:pPr>
              <w:pStyle w:val="28"/>
              <w:widowControl w:val="0"/>
              <w:rPr>
                <w:color w:val="auto"/>
                <w:highlight w:val="none"/>
              </w:rPr>
            </w:pPr>
            <w:r>
              <w:rPr>
                <w:rFonts w:hint="eastAsia"/>
                <w:color w:val="auto"/>
                <w:highlight w:val="none"/>
              </w:rPr>
              <w:t>2.24</w:t>
            </w:r>
          </w:p>
        </w:tc>
        <w:tc>
          <w:tcPr>
            <w:tcW w:w="591" w:type="pct"/>
            <w:tcBorders>
              <w:tl2br w:val="nil"/>
              <w:tr2bl w:val="nil"/>
            </w:tcBorders>
            <w:vAlign w:val="center"/>
          </w:tcPr>
          <w:p>
            <w:pPr>
              <w:pStyle w:val="28"/>
              <w:widowControl w:val="0"/>
              <w:rPr>
                <w:color w:val="auto"/>
                <w:highlight w:val="none"/>
              </w:rPr>
            </w:pPr>
            <w:r>
              <w:rPr>
                <w:rFonts w:hint="eastAsia"/>
                <w:color w:val="auto"/>
                <w:highlight w:val="none"/>
              </w:rPr>
              <w:t>11.35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347" w:type="pct"/>
            <w:vMerge w:val="continue"/>
            <w:tcBorders>
              <w:tl2br w:val="nil"/>
              <w:tr2bl w:val="nil"/>
            </w:tcBorders>
            <w:vAlign w:val="center"/>
          </w:tcPr>
          <w:p>
            <w:pPr>
              <w:pStyle w:val="28"/>
              <w:widowControl w:val="0"/>
              <w:rPr>
                <w:color w:val="auto"/>
                <w:highlight w:val="none"/>
              </w:rPr>
            </w:pPr>
          </w:p>
        </w:tc>
        <w:tc>
          <w:tcPr>
            <w:tcW w:w="652" w:type="pct"/>
            <w:vMerge w:val="continue"/>
            <w:tcBorders>
              <w:tl2br w:val="nil"/>
              <w:tr2bl w:val="nil"/>
            </w:tcBorders>
            <w:vAlign w:val="center"/>
          </w:tcPr>
          <w:p>
            <w:pPr>
              <w:pStyle w:val="28"/>
              <w:widowControl w:val="0"/>
              <w:rPr>
                <w:color w:val="auto"/>
                <w:highlight w:val="none"/>
              </w:rPr>
            </w:pPr>
          </w:p>
        </w:tc>
        <w:tc>
          <w:tcPr>
            <w:tcW w:w="405" w:type="pct"/>
            <w:vMerge w:val="continue"/>
            <w:tcBorders>
              <w:tl2br w:val="nil"/>
              <w:tr2bl w:val="nil"/>
            </w:tcBorders>
            <w:vAlign w:val="center"/>
          </w:tcPr>
          <w:p>
            <w:pPr>
              <w:pStyle w:val="28"/>
              <w:widowControl w:val="0"/>
              <w:rPr>
                <w:color w:val="auto"/>
                <w:highlight w:val="none"/>
              </w:rPr>
            </w:pPr>
          </w:p>
        </w:tc>
        <w:tc>
          <w:tcPr>
            <w:tcW w:w="407" w:type="pct"/>
            <w:tcBorders>
              <w:tl2br w:val="nil"/>
              <w:tr2bl w:val="nil"/>
            </w:tcBorders>
            <w:vAlign w:val="center"/>
          </w:tcPr>
          <w:p>
            <w:pPr>
              <w:pStyle w:val="28"/>
              <w:widowControl w:val="0"/>
              <w:rPr>
                <w:color w:val="auto"/>
                <w:highlight w:val="none"/>
              </w:rPr>
            </w:pPr>
            <w:r>
              <w:rPr>
                <w:rFonts w:hint="eastAsia"/>
                <w:color w:val="auto"/>
                <w:highlight w:val="none"/>
              </w:rPr>
              <w:t>t/d</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0.52</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0.24</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0.04</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0.29</w:t>
            </w:r>
          </w:p>
        </w:tc>
        <w:tc>
          <w:tcPr>
            <w:tcW w:w="471"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591" w:type="pct"/>
            <w:tcBorders>
              <w:tl2br w:val="nil"/>
              <w:tr2bl w:val="nil"/>
            </w:tcBorders>
            <w:vAlign w:val="center"/>
          </w:tcPr>
          <w:p>
            <w:pPr>
              <w:pStyle w:val="28"/>
              <w:widowControl w:val="0"/>
              <w:rPr>
                <w:color w:val="auto"/>
                <w:highlight w:val="none"/>
              </w:rPr>
            </w:pPr>
            <w:r>
              <w:rPr>
                <w:rFonts w:hint="eastAsia"/>
                <w:color w:val="auto"/>
                <w:highlight w:val="none"/>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28"/>
              <w:widowControl w:val="0"/>
              <w:rPr>
                <w:color w:val="auto"/>
                <w:highlight w:val="none"/>
              </w:rPr>
            </w:pPr>
          </w:p>
        </w:tc>
        <w:tc>
          <w:tcPr>
            <w:tcW w:w="652" w:type="pct"/>
            <w:vMerge w:val="continue"/>
            <w:tcBorders>
              <w:tl2br w:val="nil"/>
              <w:tr2bl w:val="nil"/>
            </w:tcBorders>
            <w:vAlign w:val="center"/>
          </w:tcPr>
          <w:p>
            <w:pPr>
              <w:pStyle w:val="28"/>
              <w:widowControl w:val="0"/>
              <w:rPr>
                <w:color w:val="auto"/>
                <w:highlight w:val="none"/>
              </w:rPr>
            </w:pPr>
          </w:p>
        </w:tc>
        <w:tc>
          <w:tcPr>
            <w:tcW w:w="813" w:type="pct"/>
            <w:gridSpan w:val="2"/>
            <w:tcBorders>
              <w:tl2br w:val="nil"/>
              <w:tr2bl w:val="nil"/>
            </w:tcBorders>
            <w:vAlign w:val="center"/>
          </w:tcPr>
          <w:p>
            <w:pPr>
              <w:pStyle w:val="28"/>
              <w:widowControl w:val="0"/>
              <w:rPr>
                <w:color w:val="auto"/>
                <w:highlight w:val="none"/>
              </w:rPr>
            </w:pPr>
            <w:r>
              <w:rPr>
                <w:rFonts w:hint="eastAsia"/>
                <w:color w:val="auto"/>
                <w:highlight w:val="none"/>
              </w:rPr>
              <w:t>排放浓度mg/L</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500</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300</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45</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400</w:t>
            </w:r>
          </w:p>
        </w:tc>
        <w:tc>
          <w:tcPr>
            <w:tcW w:w="471"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591" w:type="pct"/>
            <w:tcBorders>
              <w:tl2br w:val="nil"/>
              <w:tr2bl w:val="nil"/>
            </w:tcBorders>
            <w:vAlign w:val="center"/>
          </w:tcPr>
          <w:p>
            <w:pPr>
              <w:pStyle w:val="28"/>
              <w:widowControl w:val="0"/>
              <w:rPr>
                <w:color w:val="auto"/>
                <w:highlight w:val="none"/>
              </w:rPr>
            </w:pPr>
            <w:r>
              <w:rPr>
                <w:rFonts w:hint="eastAsia"/>
                <w:color w:val="auto"/>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28"/>
              <w:widowControl w:val="0"/>
              <w:rPr>
                <w:color w:val="auto"/>
                <w:highlight w:val="none"/>
              </w:rPr>
            </w:pPr>
          </w:p>
        </w:tc>
        <w:tc>
          <w:tcPr>
            <w:tcW w:w="652" w:type="pct"/>
            <w:vMerge w:val="continue"/>
            <w:tcBorders>
              <w:tl2br w:val="nil"/>
              <w:tr2bl w:val="nil"/>
            </w:tcBorders>
            <w:vAlign w:val="center"/>
          </w:tcPr>
          <w:p>
            <w:pPr>
              <w:pStyle w:val="28"/>
              <w:widowControl w:val="0"/>
              <w:rPr>
                <w:color w:val="auto"/>
                <w:highlight w:val="none"/>
              </w:rPr>
            </w:pPr>
          </w:p>
        </w:tc>
        <w:tc>
          <w:tcPr>
            <w:tcW w:w="405" w:type="pct"/>
            <w:vMerge w:val="restart"/>
            <w:tcBorders>
              <w:tl2br w:val="nil"/>
              <w:tr2bl w:val="nil"/>
            </w:tcBorders>
            <w:vAlign w:val="center"/>
          </w:tcPr>
          <w:p>
            <w:pPr>
              <w:pStyle w:val="28"/>
              <w:widowControl w:val="0"/>
              <w:rPr>
                <w:color w:val="auto"/>
                <w:highlight w:val="none"/>
              </w:rPr>
            </w:pPr>
            <w:r>
              <w:rPr>
                <w:rFonts w:hint="eastAsia"/>
                <w:color w:val="auto"/>
                <w:highlight w:val="none"/>
              </w:rPr>
              <w:t>产污负荷</w:t>
            </w:r>
          </w:p>
        </w:tc>
        <w:tc>
          <w:tcPr>
            <w:tcW w:w="407" w:type="pct"/>
            <w:tcBorders>
              <w:tl2br w:val="nil"/>
              <w:tr2bl w:val="nil"/>
            </w:tcBorders>
            <w:vAlign w:val="center"/>
          </w:tcPr>
          <w:p>
            <w:pPr>
              <w:pStyle w:val="28"/>
              <w:widowControl w:val="0"/>
              <w:rPr>
                <w:color w:val="auto"/>
                <w:highlight w:val="none"/>
              </w:rPr>
            </w:pPr>
            <w:r>
              <w:rPr>
                <w:rFonts w:hint="eastAsia"/>
                <w:color w:val="auto"/>
                <w:highlight w:val="none"/>
              </w:rPr>
              <w:t>t/a</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39.96</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23.97</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3.60</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31.96</w:t>
            </w:r>
          </w:p>
        </w:tc>
        <w:tc>
          <w:tcPr>
            <w:tcW w:w="471" w:type="pct"/>
            <w:tcBorders>
              <w:tl2br w:val="nil"/>
              <w:tr2bl w:val="nil"/>
            </w:tcBorders>
            <w:vAlign w:val="center"/>
          </w:tcPr>
          <w:p>
            <w:pPr>
              <w:pStyle w:val="28"/>
              <w:widowControl w:val="0"/>
              <w:rPr>
                <w:color w:val="auto"/>
                <w:highlight w:val="none"/>
              </w:rPr>
            </w:pPr>
            <w:r>
              <w:rPr>
                <w:rFonts w:hint="eastAsia"/>
                <w:color w:val="auto"/>
                <w:highlight w:val="none"/>
              </w:rPr>
              <w:t>0.64</w:t>
            </w:r>
          </w:p>
        </w:tc>
        <w:tc>
          <w:tcPr>
            <w:tcW w:w="591" w:type="pct"/>
            <w:tcBorders>
              <w:tl2br w:val="nil"/>
              <w:tr2bl w:val="nil"/>
            </w:tcBorders>
            <w:vAlign w:val="center"/>
          </w:tcPr>
          <w:p>
            <w:pPr>
              <w:pStyle w:val="28"/>
              <w:widowControl w:val="0"/>
              <w:rPr>
                <w:color w:val="auto"/>
                <w:highlight w:val="none"/>
              </w:rPr>
            </w:pPr>
            <w:r>
              <w:rPr>
                <w:rFonts w:hint="eastAsia"/>
                <w:color w:val="auto"/>
                <w:highlight w:val="none"/>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28"/>
              <w:widowControl w:val="0"/>
              <w:rPr>
                <w:color w:val="auto"/>
                <w:highlight w:val="none"/>
              </w:rPr>
            </w:pPr>
          </w:p>
        </w:tc>
        <w:tc>
          <w:tcPr>
            <w:tcW w:w="652" w:type="pct"/>
            <w:vMerge w:val="continue"/>
            <w:tcBorders>
              <w:tl2br w:val="nil"/>
              <w:tr2bl w:val="nil"/>
            </w:tcBorders>
            <w:vAlign w:val="center"/>
          </w:tcPr>
          <w:p>
            <w:pPr>
              <w:pStyle w:val="28"/>
              <w:widowControl w:val="0"/>
              <w:rPr>
                <w:color w:val="auto"/>
                <w:highlight w:val="none"/>
              </w:rPr>
            </w:pPr>
          </w:p>
        </w:tc>
        <w:tc>
          <w:tcPr>
            <w:tcW w:w="405" w:type="pct"/>
            <w:vMerge w:val="continue"/>
            <w:tcBorders>
              <w:tl2br w:val="nil"/>
              <w:tr2bl w:val="nil"/>
            </w:tcBorders>
            <w:vAlign w:val="center"/>
          </w:tcPr>
          <w:p>
            <w:pPr>
              <w:pStyle w:val="28"/>
              <w:widowControl w:val="0"/>
              <w:rPr>
                <w:color w:val="auto"/>
                <w:highlight w:val="none"/>
              </w:rPr>
            </w:pPr>
          </w:p>
        </w:tc>
        <w:tc>
          <w:tcPr>
            <w:tcW w:w="407" w:type="pct"/>
            <w:tcBorders>
              <w:tl2br w:val="nil"/>
              <w:tr2bl w:val="nil"/>
            </w:tcBorders>
            <w:vAlign w:val="center"/>
          </w:tcPr>
          <w:p>
            <w:pPr>
              <w:pStyle w:val="28"/>
              <w:widowControl w:val="0"/>
              <w:rPr>
                <w:color w:val="auto"/>
                <w:highlight w:val="none"/>
              </w:rPr>
            </w:pPr>
            <w:r>
              <w:rPr>
                <w:rFonts w:hint="eastAsia"/>
                <w:color w:val="auto"/>
                <w:highlight w:val="none"/>
              </w:rPr>
              <w:t>t/d</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0.13</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0.08</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531"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471" w:type="pct"/>
            <w:tcBorders>
              <w:tl2br w:val="nil"/>
              <w:tr2bl w:val="nil"/>
            </w:tcBorders>
            <w:vAlign w:val="center"/>
          </w:tcPr>
          <w:p>
            <w:pPr>
              <w:pStyle w:val="28"/>
              <w:widowControl w:val="0"/>
              <w:rPr>
                <w:color w:val="auto"/>
                <w:highlight w:val="none"/>
              </w:rPr>
            </w:pPr>
            <w:r>
              <w:rPr>
                <w:rFonts w:hint="eastAsia"/>
                <w:color w:val="auto"/>
                <w:highlight w:val="none"/>
              </w:rPr>
              <w:t>0.002</w:t>
            </w:r>
          </w:p>
        </w:tc>
        <w:tc>
          <w:tcPr>
            <w:tcW w:w="591" w:type="pct"/>
            <w:tcBorders>
              <w:tl2br w:val="nil"/>
              <w:tr2bl w:val="nil"/>
            </w:tcBorders>
            <w:vAlign w:val="center"/>
          </w:tcPr>
          <w:p>
            <w:pPr>
              <w:pStyle w:val="28"/>
              <w:widowControl w:val="0"/>
              <w:rPr>
                <w:color w:val="auto"/>
                <w:highlight w:val="none"/>
              </w:rPr>
            </w:pPr>
            <w:r>
              <w:rPr>
                <w:rFonts w:hint="eastAsia"/>
                <w:color w:val="auto"/>
                <w:highlight w:val="none"/>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3" w:type="pct"/>
            <w:gridSpan w:val="4"/>
            <w:tcBorders>
              <w:tl2br w:val="nil"/>
              <w:tr2bl w:val="nil"/>
            </w:tcBorders>
            <w:vAlign w:val="center"/>
          </w:tcPr>
          <w:p>
            <w:pPr>
              <w:pStyle w:val="28"/>
              <w:widowControl w:val="0"/>
              <w:rPr>
                <w:color w:val="auto"/>
                <w:highlight w:val="none"/>
              </w:rPr>
            </w:pPr>
            <w:r>
              <w:rPr>
                <w:rFonts w:hint="eastAsia"/>
                <w:color w:val="auto"/>
                <w:highlight w:val="none"/>
              </w:rPr>
              <w:t>去除率（%）</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97.60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98.96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96.75 </w:t>
            </w:r>
          </w:p>
        </w:tc>
        <w:tc>
          <w:tcPr>
            <w:tcW w:w="1022" w:type="dxa"/>
            <w:tcBorders>
              <w:tl2br w:val="nil"/>
              <w:tr2bl w:val="nil"/>
            </w:tcBorders>
            <w:vAlign w:val="center"/>
          </w:tcPr>
          <w:p>
            <w:pPr>
              <w:pStyle w:val="28"/>
              <w:widowControl w:val="0"/>
              <w:rPr>
                <w:color w:val="auto"/>
                <w:highlight w:val="none"/>
              </w:rPr>
            </w:pPr>
            <w:r>
              <w:rPr>
                <w:rFonts w:hint="eastAsia"/>
                <w:color w:val="auto"/>
                <w:highlight w:val="none"/>
              </w:rPr>
              <w:t xml:space="preserve">99.14 </w:t>
            </w:r>
          </w:p>
        </w:tc>
        <w:tc>
          <w:tcPr>
            <w:tcW w:w="907" w:type="dxa"/>
            <w:tcBorders>
              <w:tl2br w:val="nil"/>
              <w:tr2bl w:val="nil"/>
            </w:tcBorders>
            <w:vAlign w:val="center"/>
          </w:tcPr>
          <w:p>
            <w:pPr>
              <w:pStyle w:val="28"/>
              <w:widowControl w:val="0"/>
              <w:rPr>
                <w:color w:val="auto"/>
                <w:highlight w:val="none"/>
              </w:rPr>
            </w:pPr>
            <w:r>
              <w:rPr>
                <w:rFonts w:hint="eastAsia"/>
                <w:color w:val="auto"/>
                <w:highlight w:val="none"/>
              </w:rPr>
              <w:t xml:space="preserve">98.28 </w:t>
            </w:r>
          </w:p>
        </w:tc>
        <w:tc>
          <w:tcPr>
            <w:tcW w:w="1138" w:type="dxa"/>
            <w:tcBorders>
              <w:tl2br w:val="nil"/>
              <w:tr2bl w:val="nil"/>
            </w:tcBorders>
            <w:vAlign w:val="center"/>
          </w:tcPr>
          <w:p>
            <w:pPr>
              <w:pStyle w:val="28"/>
              <w:widowControl w:val="0"/>
              <w:rPr>
                <w:color w:val="auto"/>
                <w:highlight w:val="none"/>
              </w:rPr>
            </w:pPr>
            <w:r>
              <w:rPr>
                <w:rFonts w:hint="eastAsia"/>
                <w:color w:val="auto"/>
                <w:highlight w:val="none"/>
              </w:rPr>
              <w:t xml:space="preserve">99.31 </w:t>
            </w:r>
          </w:p>
        </w:tc>
      </w:tr>
    </w:tbl>
    <w:p>
      <w:pPr>
        <w:widowControl w:val="0"/>
        <w:ind w:firstLine="480"/>
        <w:jc w:val="left"/>
        <w:rPr>
          <w:color w:val="auto"/>
          <w:highlight w:val="none"/>
        </w:rPr>
      </w:pPr>
      <w:r>
        <w:rPr>
          <w:rFonts w:hint="eastAsia" w:ascii="宋体" w:hAnsi="宋体"/>
          <w:color w:val="auto"/>
          <w:szCs w:val="24"/>
          <w:highlight w:val="none"/>
        </w:rPr>
        <w:t>根据上表可知，项目废水经本项目拟建的污水处理站处理后</w:t>
      </w:r>
      <w:r>
        <w:rPr>
          <w:rFonts w:hint="eastAsia"/>
          <w:color w:val="auto"/>
          <w:highlight w:val="none"/>
        </w:rPr>
        <w:t>可达到《肉类加工工业水污染物排放标准》（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畜类屠宰一级排放标准。</w:t>
      </w:r>
    </w:p>
    <w:p>
      <w:pPr>
        <w:pStyle w:val="6"/>
        <w:widowControl w:val="0"/>
        <w:ind w:left="-160" w:firstLineChars="0"/>
        <w:rPr>
          <w:color w:val="auto"/>
          <w:highlight w:val="none"/>
        </w:rPr>
      </w:pPr>
      <w:r>
        <w:rPr>
          <w:rFonts w:hint="eastAsia"/>
          <w:color w:val="auto"/>
          <w:highlight w:val="none"/>
        </w:rPr>
        <w:t>污水处理规模合理性分析</w:t>
      </w:r>
    </w:p>
    <w:p>
      <w:pPr>
        <w:widowControl w:val="0"/>
        <w:ind w:firstLine="480"/>
        <w:rPr>
          <w:color w:val="auto"/>
          <w:highlight w:val="none"/>
        </w:rPr>
      </w:pPr>
      <w:r>
        <w:rPr>
          <w:rFonts w:hint="eastAsia"/>
          <w:color w:val="auto"/>
          <w:highlight w:val="none"/>
        </w:rPr>
        <w:t>本项目废水量按满负荷生产核算，根据水平衡，旺季排水量为254.8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，本项目污水处理站设计规模为500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，大于项目旺季废水量。</w:t>
      </w:r>
    </w:p>
    <w:p>
      <w:pPr>
        <w:widowControl w:val="0"/>
        <w:ind w:firstLine="480"/>
        <w:jc w:val="left"/>
        <w:rPr>
          <w:rFonts w:ascii="宋体" w:hAnsi="宋体"/>
          <w:color w:val="auto"/>
          <w:szCs w:val="24"/>
          <w:highlight w:val="none"/>
        </w:rPr>
      </w:pPr>
      <w:r>
        <w:rPr>
          <w:rFonts w:hint="eastAsia" w:ascii="宋体" w:hAnsi="宋体"/>
          <w:color w:val="auto"/>
          <w:szCs w:val="24"/>
          <w:highlight w:val="none"/>
        </w:rPr>
        <w:t>同时本项目屠宰生产线选用国内较先进的自动化屠宰流水线设备，在生产过程中加快了作业速度，减少了用水环节，并采用高压喷淋清洗设备，增加了清洗效率，避免了人工操作对水资源的浪费，大大降低了本项目生产用水量，从而降低了废水的排放量。实际废水产生量应当小于核算废水量，因此，本项目污水处理站的规模是合理的。</w:t>
      </w:r>
    </w:p>
    <w:p>
      <w:pPr>
        <w:pStyle w:val="6"/>
        <w:widowControl w:val="0"/>
        <w:ind w:firstLine="241"/>
        <w:rPr>
          <w:color w:val="auto"/>
          <w:highlight w:val="none"/>
        </w:rPr>
      </w:pPr>
      <w:r>
        <w:rPr>
          <w:rFonts w:hint="eastAsia"/>
          <w:color w:val="auto"/>
          <w:highlight w:val="none"/>
        </w:rPr>
        <w:t>污水排放方式合理性分析</w:t>
      </w:r>
    </w:p>
    <w:p>
      <w:pPr>
        <w:widowControl w:val="0"/>
        <w:ind w:firstLine="480"/>
        <w:jc w:val="left"/>
        <w:rPr>
          <w:rFonts w:ascii="宋体" w:hAnsi="宋体"/>
          <w:color w:val="auto"/>
          <w:szCs w:val="24"/>
          <w:highlight w:val="none"/>
        </w:rPr>
      </w:pPr>
      <w:r>
        <w:rPr>
          <w:rFonts w:hint="eastAsia" w:ascii="宋体" w:hAnsi="宋体"/>
          <w:color w:val="auto"/>
          <w:szCs w:val="24"/>
          <w:highlight w:val="none"/>
        </w:rPr>
        <w:t>废水排放方式主要分为直接排放、间接排放、回用厂区用水、农田消纳等，本次评价根据以上几种废水排放情况结合本项目进行情况进行分析。</w:t>
      </w:r>
    </w:p>
    <w:p>
      <w:pPr>
        <w:widowControl w:val="0"/>
        <w:ind w:firstLine="482"/>
        <w:rPr>
          <w:b/>
          <w:bCs/>
          <w:color w:val="auto"/>
          <w:highlight w:val="none"/>
        </w:rPr>
      </w:pPr>
      <w:r>
        <w:rPr>
          <w:rFonts w:hint="eastAsia"/>
          <w:b/>
          <w:bCs/>
          <w:color w:val="auto"/>
          <w:highlight w:val="none"/>
        </w:rPr>
        <w:t>（1）直接排放</w:t>
      </w:r>
    </w:p>
    <w:p>
      <w:pPr>
        <w:widowControl w:val="0"/>
        <w:ind w:firstLine="480"/>
        <w:rPr>
          <w:color w:val="auto"/>
          <w:highlight w:val="none"/>
        </w:rPr>
      </w:pPr>
      <w:r>
        <w:rPr>
          <w:rFonts w:hint="eastAsia"/>
          <w:color w:val="auto"/>
          <w:highlight w:val="none"/>
        </w:rPr>
        <w:t>本项目东西南面临近地表水体濛溪河，项目经自建污水处理站处理达到《肉类加工工业水污染物排放标准》（GB13457-92）一级标准后排入濛溪河。</w:t>
      </w:r>
    </w:p>
    <w:p>
      <w:pPr>
        <w:widowControl w:val="0"/>
        <w:ind w:firstLine="480"/>
        <w:jc w:val="left"/>
        <w:rPr>
          <w:rFonts w:ascii="宋体" w:hAnsi="宋体"/>
          <w:color w:val="auto"/>
          <w:szCs w:val="24"/>
          <w:highlight w:val="none"/>
        </w:rPr>
      </w:pPr>
      <w:r>
        <w:rPr>
          <w:rFonts w:hint="eastAsia" w:ascii="宋体" w:hAnsi="宋体"/>
          <w:color w:val="auto"/>
          <w:szCs w:val="24"/>
          <w:highlight w:val="none"/>
        </w:rPr>
        <w:t>优点：本项目产生废水通过自建污水处理厂处理后直接排入地表水体，由于本项目离地表水体较近，建设管网较短，可剩下建设管网的费用，企业自身对排入地表水的水质更容易把控，发现问题能及时有效的解决。</w:t>
      </w:r>
    </w:p>
    <w:p>
      <w:pPr>
        <w:widowControl w:val="0"/>
        <w:ind w:firstLine="480"/>
        <w:jc w:val="left"/>
        <w:rPr>
          <w:rFonts w:ascii="宋体" w:hAnsi="宋体"/>
          <w:color w:val="auto"/>
          <w:szCs w:val="24"/>
          <w:highlight w:val="none"/>
        </w:rPr>
      </w:pPr>
      <w:r>
        <w:rPr>
          <w:rFonts w:hint="eastAsia" w:ascii="宋体" w:hAnsi="宋体"/>
          <w:color w:val="auto"/>
          <w:szCs w:val="24"/>
          <w:highlight w:val="none"/>
        </w:rPr>
        <w:t>缺点：根据现场勘察，濛溪河环境容量较少，由于本项目直接排放水量较大，会对地表水体产生一定的影响，存在导致濛溪河产生富营养化的现象，且采用直接排放污水处理设备运行成本较大。</w:t>
      </w:r>
    </w:p>
    <w:p>
      <w:pPr>
        <w:widowControl w:val="0"/>
        <w:ind w:firstLine="482"/>
        <w:rPr>
          <w:b/>
          <w:bCs/>
          <w:color w:val="auto"/>
          <w:highlight w:val="none"/>
        </w:rPr>
      </w:pPr>
      <w:r>
        <w:rPr>
          <w:rFonts w:hint="eastAsia"/>
          <w:b/>
          <w:bCs/>
          <w:color w:val="auto"/>
          <w:highlight w:val="none"/>
        </w:rPr>
        <w:t>（2）间接排放</w:t>
      </w:r>
    </w:p>
    <w:p>
      <w:pPr>
        <w:widowControl w:val="0"/>
        <w:ind w:firstLine="480"/>
        <w:jc w:val="left"/>
        <w:rPr>
          <w:rFonts w:ascii="宋体" w:hAnsi="宋体"/>
          <w:color w:val="auto"/>
          <w:szCs w:val="24"/>
          <w:highlight w:val="none"/>
        </w:rPr>
      </w:pPr>
      <w:r>
        <w:rPr>
          <w:rFonts w:hint="eastAsia" w:ascii="宋体" w:hAnsi="宋体"/>
          <w:color w:val="auto"/>
          <w:szCs w:val="24"/>
          <w:highlight w:val="none"/>
        </w:rPr>
        <w:t>距本项目综合污水经自建污水处理站处理达到</w:t>
      </w:r>
      <w:r>
        <w:rPr>
          <w:rFonts w:hint="eastAsia"/>
          <w:color w:val="auto"/>
          <w:highlight w:val="none"/>
        </w:rPr>
        <w:t>《肉类加工工业水污染物排放标准》（GB13457-92）三级标准后排入元坨社区市政污水管网，通过市政污水管网汇入响滩镇污水处理厂处理，经污水处理厂处理后排入濛溪河。</w:t>
      </w:r>
    </w:p>
    <w:p>
      <w:pPr>
        <w:widowControl w:val="0"/>
        <w:ind w:firstLine="480"/>
        <w:jc w:val="left"/>
        <w:rPr>
          <w:rFonts w:ascii="宋体" w:hAnsi="宋体"/>
          <w:color w:val="auto"/>
          <w:szCs w:val="24"/>
          <w:highlight w:val="none"/>
        </w:rPr>
      </w:pPr>
      <w:r>
        <w:rPr>
          <w:rFonts w:hint="eastAsia" w:ascii="宋体" w:hAnsi="宋体"/>
          <w:color w:val="auto"/>
          <w:szCs w:val="24"/>
          <w:highlight w:val="none"/>
        </w:rPr>
        <w:t>优点：自建污水处理站运行成本较低，通过污水处理站处理后排入濛溪河，对濛溪河影响较小。</w:t>
      </w:r>
    </w:p>
    <w:p>
      <w:pPr>
        <w:widowControl w:val="0"/>
        <w:ind w:firstLine="480"/>
        <w:jc w:val="left"/>
        <w:rPr>
          <w:rFonts w:ascii="宋体" w:hAnsi="宋体"/>
          <w:color w:val="auto"/>
          <w:szCs w:val="24"/>
          <w:highlight w:val="none"/>
        </w:rPr>
      </w:pPr>
      <w:r>
        <w:rPr>
          <w:rFonts w:hint="eastAsia" w:ascii="宋体" w:hAnsi="宋体"/>
          <w:color w:val="auto"/>
          <w:szCs w:val="24"/>
          <w:highlight w:val="none"/>
        </w:rPr>
        <w:t>缺点：目前本项目周边无市政污水管网（建设中），项目排入元坨社区市政污水管网，通过市政污水管网汇入响滩镇污水处理厂处理的废水，在市政污水管网修建完之前需通过吸粪车进行运输，运输成本较高。</w:t>
      </w:r>
    </w:p>
    <w:p>
      <w:pPr>
        <w:widowControl w:val="0"/>
        <w:ind w:firstLine="482"/>
        <w:rPr>
          <w:b/>
          <w:bCs/>
          <w:color w:val="auto"/>
          <w:highlight w:val="none"/>
        </w:rPr>
      </w:pPr>
      <w:r>
        <w:rPr>
          <w:rFonts w:hint="eastAsia"/>
          <w:b/>
          <w:bCs/>
          <w:color w:val="auto"/>
          <w:highlight w:val="none"/>
        </w:rPr>
        <w:t>（3）回用厂区用水</w:t>
      </w:r>
    </w:p>
    <w:p>
      <w:pPr>
        <w:widowControl w:val="0"/>
        <w:ind w:firstLine="480"/>
        <w:jc w:val="left"/>
        <w:rPr>
          <w:rFonts w:ascii="宋体" w:hAnsi="宋体"/>
          <w:color w:val="auto"/>
          <w:szCs w:val="24"/>
          <w:highlight w:val="none"/>
        </w:rPr>
      </w:pPr>
      <w:r>
        <w:rPr>
          <w:rFonts w:hint="eastAsia" w:ascii="宋体" w:hAnsi="宋体"/>
          <w:color w:val="auto"/>
          <w:szCs w:val="24"/>
          <w:highlight w:val="none"/>
        </w:rPr>
        <w:t>本项目为屠宰项目，回用水不能用于生产线中，因此本项目综合废水处理达到</w:t>
      </w:r>
      <w:r>
        <w:rPr>
          <w:rFonts w:hint="eastAsia"/>
          <w:color w:val="auto"/>
          <w:highlight w:val="none"/>
        </w:rPr>
        <w:t>《城市污水再生利用城市杂用水水质》（GB/T18920-2002）中道路清扫、消防、城市绿化以及车辆冲洗水质要求后回用于厂区地面冲洗进出车辆冲洗、地面冲洗、待宰圈冲洗和厂区绿化用水等，不外排。</w:t>
      </w:r>
    </w:p>
    <w:p>
      <w:pPr>
        <w:widowControl w:val="0"/>
        <w:ind w:firstLine="480"/>
        <w:jc w:val="left"/>
        <w:rPr>
          <w:rFonts w:ascii="宋体" w:hAnsi="宋体"/>
          <w:color w:val="auto"/>
          <w:szCs w:val="24"/>
          <w:highlight w:val="none"/>
        </w:rPr>
      </w:pPr>
      <w:r>
        <w:rPr>
          <w:rFonts w:hint="eastAsia" w:ascii="宋体" w:hAnsi="宋体"/>
          <w:color w:val="auto"/>
          <w:szCs w:val="24"/>
          <w:highlight w:val="none"/>
        </w:rPr>
        <w:t>优点：避免了项目废水对地表水体造成影响，项目废水回用也节省了用水成本。</w:t>
      </w:r>
    </w:p>
    <w:p>
      <w:pPr>
        <w:widowControl w:val="0"/>
        <w:ind w:firstLine="480"/>
        <w:jc w:val="left"/>
        <w:rPr>
          <w:rFonts w:ascii="宋体" w:hAnsi="宋体"/>
          <w:color w:val="auto"/>
          <w:szCs w:val="24"/>
          <w:highlight w:val="none"/>
        </w:rPr>
      </w:pPr>
      <w:r>
        <w:rPr>
          <w:rFonts w:hint="eastAsia" w:ascii="宋体" w:hAnsi="宋体"/>
          <w:color w:val="auto"/>
          <w:szCs w:val="24"/>
          <w:highlight w:val="none"/>
        </w:rPr>
        <w:t>缺点：由于废水不能回用于生产线，项目可利用的回用水量较少，剩余废水较多，剩余废水需采用其他排放方式，因此，废水回用不能彻底解决厂区废水排放的问题。</w:t>
      </w:r>
    </w:p>
    <w:p>
      <w:pPr>
        <w:widowControl w:val="0"/>
        <w:ind w:firstLine="482"/>
        <w:rPr>
          <w:b/>
          <w:bCs/>
          <w:color w:val="auto"/>
          <w:highlight w:val="none"/>
        </w:rPr>
      </w:pPr>
      <w:r>
        <w:rPr>
          <w:rFonts w:hint="eastAsia"/>
          <w:b/>
          <w:bCs/>
          <w:color w:val="auto"/>
          <w:highlight w:val="none"/>
        </w:rPr>
        <w:t>（4）农田消纳</w:t>
      </w:r>
    </w:p>
    <w:p>
      <w:pPr>
        <w:widowControl w:val="0"/>
        <w:ind w:firstLine="480"/>
        <w:rPr>
          <w:color w:val="auto"/>
          <w:highlight w:val="none"/>
        </w:rPr>
      </w:pPr>
      <w:r>
        <w:rPr>
          <w:rFonts w:hint="eastAsia"/>
          <w:color w:val="auto"/>
          <w:highlight w:val="none"/>
        </w:rPr>
        <w:t>项目废水经自建污水处理厂处理达到《农田灌溉水质标准》（GB 5084-2021）中旱地作物标准后用于周边农田灌溉用水，不外排。</w:t>
      </w:r>
    </w:p>
    <w:p>
      <w:pPr>
        <w:widowControl w:val="0"/>
        <w:ind w:firstLine="480"/>
        <w:rPr>
          <w:color w:val="auto"/>
          <w:highlight w:val="none"/>
        </w:rPr>
      </w:pPr>
      <w:r>
        <w:rPr>
          <w:rFonts w:hint="eastAsia"/>
          <w:color w:val="auto"/>
          <w:highlight w:val="none"/>
        </w:rPr>
        <w:t>优点：废水不外排，作为灌溉用水，减小了对地表水体的影响。</w:t>
      </w:r>
    </w:p>
    <w:p>
      <w:pPr>
        <w:widowControl w:val="0"/>
        <w:ind w:firstLine="480"/>
        <w:rPr>
          <w:color w:val="auto"/>
          <w:highlight w:val="none"/>
        </w:rPr>
      </w:pPr>
      <w:r>
        <w:rPr>
          <w:rFonts w:hint="eastAsia"/>
          <w:color w:val="auto"/>
          <w:highlight w:val="none"/>
        </w:rPr>
        <w:t>缺点：由于本项目消纳水量较大，可能会因灌溉过剩导致周边农作物淹死，且周边农田距离地表水体濛溪河较近，存在项目废水在灌溉过程中渗入地表水体导致濛溪河水质变差的风险。</w:t>
      </w:r>
    </w:p>
    <w:p>
      <w:pPr>
        <w:pStyle w:val="27"/>
        <w:widowControl w:val="0"/>
        <w:rPr>
          <w:color w:val="auto"/>
          <w:highlight w:val="none"/>
        </w:rPr>
      </w:pPr>
      <w:r>
        <w:rPr>
          <w:rFonts w:hint="eastAsia"/>
          <w:color w:val="auto"/>
          <w:highlight w:val="none"/>
        </w:rPr>
        <w:t>废水排放方式对照一览表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080"/>
        <w:gridCol w:w="2430"/>
        <w:gridCol w:w="2430"/>
        <w:gridCol w:w="3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080" w:type="dxa"/>
            <w:tcBorders>
              <w:tl2br w:val="nil"/>
              <w:tr2bl w:val="nil"/>
            </w:tcBorders>
            <w:vAlign w:val="center"/>
          </w:tcPr>
          <w:p>
            <w:pPr>
              <w:pStyle w:val="28"/>
              <w:widowControl w:val="0"/>
              <w:rPr>
                <w:b/>
                <w:bCs/>
                <w:color w:val="auto"/>
                <w:highlight w:val="none"/>
              </w:rPr>
            </w:pPr>
            <w:r>
              <w:rPr>
                <w:rFonts w:hint="eastAsia"/>
                <w:b/>
                <w:bCs/>
                <w:color w:val="auto"/>
                <w:highlight w:val="none"/>
              </w:rPr>
              <w:t>排放方式</w:t>
            </w:r>
          </w:p>
        </w:tc>
        <w:tc>
          <w:tcPr>
            <w:tcW w:w="2430" w:type="dxa"/>
            <w:tcBorders>
              <w:tl2br w:val="nil"/>
              <w:tr2bl w:val="nil"/>
            </w:tcBorders>
            <w:vAlign w:val="center"/>
          </w:tcPr>
          <w:p>
            <w:pPr>
              <w:pStyle w:val="28"/>
              <w:widowControl w:val="0"/>
              <w:rPr>
                <w:b/>
                <w:bCs/>
                <w:color w:val="auto"/>
                <w:highlight w:val="none"/>
              </w:rPr>
            </w:pPr>
            <w:r>
              <w:rPr>
                <w:rFonts w:hint="eastAsia"/>
                <w:b/>
                <w:bCs/>
                <w:color w:val="auto"/>
                <w:highlight w:val="none"/>
              </w:rPr>
              <w:t>排放去向</w:t>
            </w:r>
          </w:p>
        </w:tc>
        <w:tc>
          <w:tcPr>
            <w:tcW w:w="2430" w:type="dxa"/>
            <w:tcBorders>
              <w:tl2br w:val="nil"/>
              <w:tr2bl w:val="nil"/>
            </w:tcBorders>
            <w:vAlign w:val="center"/>
          </w:tcPr>
          <w:p>
            <w:pPr>
              <w:pStyle w:val="28"/>
              <w:widowControl w:val="0"/>
              <w:rPr>
                <w:b/>
                <w:bCs/>
                <w:color w:val="auto"/>
                <w:highlight w:val="none"/>
              </w:rPr>
            </w:pPr>
            <w:r>
              <w:rPr>
                <w:rFonts w:hint="eastAsia"/>
                <w:b/>
                <w:bCs/>
                <w:color w:val="auto"/>
                <w:highlight w:val="none"/>
              </w:rPr>
              <w:t>优点</w:t>
            </w:r>
          </w:p>
        </w:tc>
        <w:tc>
          <w:tcPr>
            <w:tcW w:w="3007" w:type="dxa"/>
            <w:tcBorders>
              <w:tl2br w:val="nil"/>
              <w:tr2bl w:val="nil"/>
            </w:tcBorders>
            <w:vAlign w:val="center"/>
          </w:tcPr>
          <w:p>
            <w:pPr>
              <w:pStyle w:val="28"/>
              <w:widowControl w:val="0"/>
              <w:rPr>
                <w:b/>
                <w:bCs/>
                <w:color w:val="auto"/>
                <w:highlight w:val="none"/>
              </w:rPr>
            </w:pPr>
            <w:r>
              <w:rPr>
                <w:rFonts w:hint="eastAsia"/>
                <w:b/>
                <w:bCs/>
                <w:color w:val="auto"/>
                <w:highlight w:val="none"/>
              </w:rPr>
              <w:t>缺点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直接排放</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地表水体濛溪河</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建设管网成本低，管理方便</w:t>
            </w:r>
          </w:p>
        </w:tc>
        <w:tc>
          <w:tcPr>
            <w:tcW w:w="3007" w:type="dxa"/>
            <w:tcBorders>
              <w:tl2br w:val="nil"/>
              <w:tr2bl w:val="nil"/>
            </w:tcBorders>
            <w:vAlign w:val="center"/>
          </w:tcPr>
          <w:p>
            <w:pPr>
              <w:pStyle w:val="28"/>
              <w:widowControl w:val="0"/>
              <w:rPr>
                <w:color w:val="auto"/>
                <w:highlight w:val="none"/>
              </w:rPr>
            </w:pPr>
            <w:r>
              <w:rPr>
                <w:rFonts w:hint="eastAsia"/>
                <w:color w:val="auto"/>
                <w:highlight w:val="none"/>
              </w:rPr>
              <w:t>受纳水体环境容量较少，废水处理运行成本较大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间接排放</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响滩镇污水处理厂</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运行成本较低，对地表水体影响较小</w:t>
            </w:r>
          </w:p>
        </w:tc>
        <w:tc>
          <w:tcPr>
            <w:tcW w:w="3007" w:type="dxa"/>
            <w:tcBorders>
              <w:tl2br w:val="nil"/>
              <w:tr2bl w:val="nil"/>
            </w:tcBorders>
            <w:vAlign w:val="center"/>
          </w:tcPr>
          <w:p>
            <w:pPr>
              <w:pStyle w:val="28"/>
              <w:widowControl w:val="0"/>
              <w:rPr>
                <w:color w:val="auto"/>
                <w:highlight w:val="none"/>
              </w:rPr>
            </w:pPr>
            <w:r>
              <w:rPr>
                <w:rFonts w:hint="eastAsia"/>
                <w:color w:val="auto"/>
                <w:highlight w:val="none"/>
              </w:rPr>
              <w:t>目前暂无市政污水管网，运输废水运输成本较高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回用厂区用水</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厂区地面冲洗进出车辆冲洗、地面冲洗、待宰圈冲洗和厂区绿化用水等，不外排</w:t>
            </w:r>
          </w:p>
        </w:tc>
        <w:tc>
          <w:tcPr>
            <w:tcW w:w="2430" w:type="dxa"/>
            <w:tcBorders>
              <w:tl2br w:val="nil"/>
              <w:tr2bl w:val="nil"/>
            </w:tcBorders>
            <w:vAlign w:val="center"/>
          </w:tcPr>
          <w:p>
            <w:pPr>
              <w:pStyle w:val="28"/>
              <w:widowControl w:val="0"/>
              <w:rPr>
                <w:color w:val="auto"/>
                <w:highlight w:val="none"/>
              </w:rPr>
            </w:pPr>
            <w:r>
              <w:rPr>
                <w:rFonts w:hint="eastAsia" w:ascii="宋体" w:hAnsi="宋体"/>
                <w:color w:val="auto"/>
                <w:szCs w:val="24"/>
                <w:highlight w:val="none"/>
              </w:rPr>
              <w:t>避免了项目废水对地表水体造成影响，项目废水回用也节省了用水成本</w:t>
            </w:r>
          </w:p>
        </w:tc>
        <w:tc>
          <w:tcPr>
            <w:tcW w:w="3007" w:type="dxa"/>
            <w:tcBorders>
              <w:tl2br w:val="nil"/>
              <w:tr2bl w:val="nil"/>
            </w:tcBorders>
            <w:vAlign w:val="center"/>
          </w:tcPr>
          <w:p>
            <w:pPr>
              <w:pStyle w:val="28"/>
              <w:widowControl w:val="0"/>
              <w:rPr>
                <w:color w:val="auto"/>
                <w:highlight w:val="none"/>
              </w:rPr>
            </w:pPr>
            <w:r>
              <w:rPr>
                <w:rFonts w:hint="eastAsia" w:ascii="宋体" w:hAnsi="宋体"/>
                <w:color w:val="auto"/>
                <w:szCs w:val="24"/>
                <w:highlight w:val="none"/>
              </w:rPr>
              <w:t>不能彻底解决厂区废水排放的问题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农田消纳</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周边农田灌溉，不外排</w:t>
            </w:r>
          </w:p>
        </w:tc>
        <w:tc>
          <w:tcPr>
            <w:tcW w:w="2430" w:type="dxa"/>
            <w:tcBorders>
              <w:tl2br w:val="nil"/>
              <w:tr2bl w:val="nil"/>
            </w:tcBorders>
            <w:vAlign w:val="center"/>
          </w:tcPr>
          <w:p>
            <w:pPr>
              <w:pStyle w:val="28"/>
              <w:widowControl w:val="0"/>
              <w:rPr>
                <w:color w:val="auto"/>
                <w:highlight w:val="none"/>
              </w:rPr>
            </w:pPr>
            <w:r>
              <w:rPr>
                <w:rFonts w:hint="eastAsia"/>
                <w:color w:val="auto"/>
                <w:highlight w:val="none"/>
              </w:rPr>
              <w:t>废水不外排，减小了对地表水体的影响</w:t>
            </w:r>
          </w:p>
        </w:tc>
        <w:tc>
          <w:tcPr>
            <w:tcW w:w="3007" w:type="dxa"/>
            <w:tcBorders>
              <w:tl2br w:val="nil"/>
              <w:tr2bl w:val="nil"/>
            </w:tcBorders>
            <w:vAlign w:val="center"/>
          </w:tcPr>
          <w:p>
            <w:pPr>
              <w:pStyle w:val="28"/>
              <w:widowControl w:val="0"/>
              <w:rPr>
                <w:color w:val="auto"/>
                <w:highlight w:val="none"/>
              </w:rPr>
            </w:pPr>
            <w:r>
              <w:rPr>
                <w:rFonts w:hint="eastAsia"/>
                <w:color w:val="auto"/>
                <w:highlight w:val="none"/>
              </w:rPr>
              <w:t>可能会因灌溉过剩导致周边农作物淹死，存在项目废水在灌溉过程中渗入地水体导致濛溪河水质变差的风险</w:t>
            </w:r>
          </w:p>
        </w:tc>
      </w:tr>
    </w:tbl>
    <w:p>
      <w:pPr>
        <w:widowControl w:val="0"/>
        <w:ind w:firstLine="480"/>
        <w:rPr>
          <w:color w:val="auto"/>
          <w:highlight w:val="none"/>
        </w:rPr>
      </w:pPr>
      <w:r>
        <w:rPr>
          <w:rFonts w:hint="eastAsia"/>
          <w:color w:val="auto"/>
          <w:highlight w:val="none"/>
        </w:rPr>
        <w:t>综上所述，本项目废水排放采用厂区回用于间接排放结合的方式，污水首先通过“</w:t>
      </w:r>
      <w:r>
        <w:rPr>
          <w:rFonts w:hint="eastAsia"/>
          <w:color w:val="auto"/>
          <w:highlight w:val="none"/>
          <w:lang w:eastAsia="zh-CN"/>
        </w:rPr>
        <w:t>格栅池+沉渣池+多功能生物调节池+气浮沉渣池+厌氧池+初沉池+缺氧池1+好氧池1+紫外线消毒+清水池</w:t>
      </w:r>
      <w:r>
        <w:rPr>
          <w:rFonts w:hint="eastAsia"/>
          <w:color w:val="auto"/>
          <w:highlight w:val="none"/>
        </w:rPr>
        <w:t>”处理工艺处理后达到《肉类加工工业水污染物排放标准》（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畜类屠宰三级排放标准排入元坨社区市政污水管网，通过市政污水管网汇入响滩镇污水处理厂处理。</w:t>
      </w:r>
    </w:p>
    <w:p>
      <w:pPr>
        <w:pStyle w:val="5"/>
        <w:widowControl w:val="0"/>
        <w:ind w:firstLine="120"/>
        <w:rPr>
          <w:color w:val="auto"/>
          <w:highlight w:val="none"/>
        </w:rPr>
      </w:pPr>
      <w:r>
        <w:rPr>
          <w:rFonts w:hint="eastAsia"/>
          <w:color w:val="auto"/>
          <w:highlight w:val="none"/>
        </w:rPr>
        <w:t>大气污染防治措施及技术经济论证</w:t>
      </w:r>
    </w:p>
    <w:p>
      <w:pPr>
        <w:widowControl w:val="0"/>
        <w:ind w:firstLine="480"/>
        <w:jc w:val="left"/>
        <w:rPr>
          <w:rFonts w:ascii="宋体" w:hAnsi="宋体"/>
          <w:color w:val="auto"/>
          <w:szCs w:val="24"/>
          <w:highlight w:val="none"/>
        </w:rPr>
      </w:pPr>
      <w:r>
        <w:rPr>
          <w:rFonts w:hint="eastAsia" w:ascii="宋体" w:hAnsi="宋体"/>
          <w:color w:val="auto"/>
          <w:szCs w:val="24"/>
          <w:highlight w:val="none"/>
        </w:rPr>
        <w:t>本项目运营过程中废气主要为待宰圈、屠宰车间和污水处理站产生的恶臭、食堂油烟。</w:t>
      </w:r>
    </w:p>
    <w:p>
      <w:pPr>
        <w:pStyle w:val="6"/>
        <w:widowControl w:val="0"/>
        <w:ind w:left="-160" w:firstLineChars="0"/>
        <w:rPr>
          <w:color w:val="auto"/>
          <w:highlight w:val="none"/>
        </w:rPr>
      </w:pPr>
      <w:r>
        <w:rPr>
          <w:rFonts w:hint="eastAsia"/>
          <w:color w:val="auto"/>
          <w:highlight w:val="none"/>
        </w:rPr>
        <w:t>恶臭治理措施</w:t>
      </w:r>
    </w:p>
    <w:p>
      <w:pPr>
        <w:widowControl w:val="0"/>
        <w:ind w:firstLine="480"/>
        <w:jc w:val="left"/>
        <w:rPr>
          <w:color w:val="auto"/>
          <w:highlight w:val="none"/>
        </w:rPr>
      </w:pPr>
      <w:r>
        <w:rPr>
          <w:rFonts w:hint="eastAsia" w:ascii="宋体" w:hAnsi="宋体"/>
          <w:color w:val="auto"/>
          <w:szCs w:val="24"/>
          <w:highlight w:val="none"/>
        </w:rPr>
        <w:t>本项目拟对待宰圈、屠宰车间、污水处理站、无害化暂存间、急宰间以及隔离间等全部采取密闭负压抽风，并采用“</w:t>
      </w:r>
      <w:r>
        <w:rPr>
          <w:rFonts w:hint="eastAsia"/>
          <w:color w:val="auto"/>
          <w:szCs w:val="24"/>
          <w:highlight w:val="none"/>
        </w:rPr>
        <w:t>UV光解+生物洗涤塔</w:t>
      </w:r>
      <w:r>
        <w:rPr>
          <w:rFonts w:hint="eastAsia" w:ascii="宋体" w:hAnsi="宋体"/>
          <w:color w:val="auto"/>
          <w:szCs w:val="24"/>
          <w:highlight w:val="none"/>
        </w:rPr>
        <w:t>”进行除臭。</w:t>
      </w:r>
    </w:p>
    <w:p>
      <w:pPr>
        <w:widowControl w:val="0"/>
        <w:ind w:firstLine="482"/>
        <w:rPr>
          <w:b/>
          <w:bCs/>
          <w:color w:val="auto"/>
          <w:highlight w:val="none"/>
        </w:rPr>
      </w:pPr>
      <w:r>
        <w:rPr>
          <w:b/>
          <w:bCs/>
          <w:color w:val="auto"/>
          <w:highlight w:val="none"/>
        </w:rPr>
        <w:t>（1）恶臭</w:t>
      </w:r>
      <w:r>
        <w:rPr>
          <w:rFonts w:hint="eastAsia"/>
          <w:b/>
          <w:bCs/>
          <w:color w:val="auto"/>
          <w:highlight w:val="none"/>
        </w:rPr>
        <w:t>控制措施及治理措施</w:t>
      </w:r>
    </w:p>
    <w:p>
      <w:pPr>
        <w:widowControl w:val="0"/>
        <w:ind w:firstLine="482"/>
        <w:rPr>
          <w:b/>
          <w:bCs/>
          <w:color w:val="auto"/>
          <w:highlight w:val="none"/>
        </w:rPr>
      </w:pPr>
      <w:r>
        <w:rPr>
          <w:rFonts w:hint="eastAsia"/>
          <w:b/>
          <w:bCs/>
          <w:color w:val="auto"/>
          <w:highlight w:val="none"/>
        </w:rPr>
        <w:t>待宰圈：</w:t>
      </w:r>
    </w:p>
    <w:p>
      <w:pPr>
        <w:widowControl w:val="0"/>
        <w:ind w:firstLine="480"/>
        <w:jc w:val="left"/>
        <w:rPr>
          <w:b/>
          <w:bCs/>
          <w:color w:val="auto"/>
          <w:highlight w:val="none"/>
        </w:rPr>
      </w:pPr>
      <w:r>
        <w:rPr>
          <w:rFonts w:hint="eastAsia"/>
          <w:color w:val="auto"/>
          <w:highlight w:val="none"/>
        </w:rPr>
        <w:t>待宰圈</w:t>
      </w:r>
      <w:r>
        <w:rPr>
          <w:color w:val="auto"/>
          <w:highlight w:val="none"/>
        </w:rPr>
        <w:t>全密闭，设置强制通风设施，保持车间负压；喷洒生物除臭剂，猪粪采用水冲式，设水雾喷淋装置，保持</w:t>
      </w:r>
      <w:r>
        <w:rPr>
          <w:rFonts w:hint="eastAsia"/>
          <w:color w:val="auto"/>
          <w:highlight w:val="none"/>
        </w:rPr>
        <w:t>待宰圈</w:t>
      </w:r>
      <w:r>
        <w:rPr>
          <w:color w:val="auto"/>
          <w:highlight w:val="none"/>
        </w:rPr>
        <w:t>清洁；可以减少80%的产生量</w:t>
      </w:r>
      <w:r>
        <w:rPr>
          <w:rFonts w:hint="eastAsia"/>
          <w:color w:val="auto"/>
          <w:highlight w:val="none"/>
        </w:rPr>
        <w:t>；臭气收集后采用1套UV光解+生物洗涤塔处理后15m排气筒（P1）排放。</w:t>
      </w:r>
    </w:p>
    <w:p>
      <w:pPr>
        <w:widowControl w:val="0"/>
        <w:ind w:firstLine="482"/>
        <w:jc w:val="left"/>
        <w:rPr>
          <w:b/>
          <w:bCs/>
          <w:color w:val="auto"/>
          <w:highlight w:val="none"/>
        </w:rPr>
      </w:pPr>
      <w:r>
        <w:rPr>
          <w:rFonts w:hint="eastAsia"/>
          <w:b/>
          <w:bCs/>
          <w:color w:val="auto"/>
          <w:highlight w:val="none"/>
        </w:rPr>
        <w:t>屠宰车间：</w:t>
      </w:r>
    </w:p>
    <w:p>
      <w:pPr>
        <w:widowControl w:val="0"/>
        <w:ind w:firstLine="480"/>
        <w:rPr>
          <w:color w:val="auto"/>
          <w:highlight w:val="none"/>
        </w:rPr>
      </w:pPr>
      <w:r>
        <w:rPr>
          <w:color w:val="auto"/>
          <w:highlight w:val="none"/>
        </w:rPr>
        <w:t>屠宰车间为全密闭，设置强制通风设施，车间</w:t>
      </w:r>
      <w:r>
        <w:rPr>
          <w:rFonts w:hint="eastAsia"/>
          <w:color w:val="auto"/>
          <w:highlight w:val="none"/>
          <w:lang w:eastAsia="zh-CN"/>
        </w:rPr>
        <w:t>每小时换气3次</w:t>
      </w:r>
      <w:r>
        <w:rPr>
          <w:color w:val="auto"/>
          <w:highlight w:val="none"/>
        </w:rPr>
        <w:t>，保持车间负压；车间生产线及时清洗，肠胃内容物和猪毛等污物及时清运，保持屠宰车间清洁；定期对车间进行消毒处理，可以减少80%的产生量</w:t>
      </w:r>
      <w:r>
        <w:rPr>
          <w:rFonts w:hint="eastAsia"/>
          <w:color w:val="auto"/>
          <w:highlight w:val="none"/>
        </w:rPr>
        <w:t>；臭气收集后采用1套UV光解+生物洗涤塔处理后15m排气筒（P2）排放</w:t>
      </w:r>
    </w:p>
    <w:p>
      <w:pPr>
        <w:widowControl w:val="0"/>
        <w:ind w:firstLine="482"/>
        <w:rPr>
          <w:color w:val="auto"/>
          <w:highlight w:val="none"/>
        </w:rPr>
      </w:pPr>
      <w:r>
        <w:rPr>
          <w:rFonts w:hint="eastAsia"/>
          <w:b/>
          <w:bCs/>
          <w:color w:val="auto"/>
          <w:highlight w:val="none"/>
        </w:rPr>
        <w:t>污水处理站：</w:t>
      </w:r>
    </w:p>
    <w:p>
      <w:pPr>
        <w:widowControl w:val="0"/>
        <w:ind w:firstLine="480"/>
        <w:rPr>
          <w:color w:val="auto"/>
          <w:highlight w:val="none"/>
        </w:rPr>
      </w:pPr>
      <w:r>
        <w:rPr>
          <w:rFonts w:hint="eastAsia"/>
          <w:color w:val="auto"/>
          <w:highlight w:val="none"/>
        </w:rPr>
        <w:t>污水处理站采用半地埋式，对整个污水处理单元进行全部密闭，地面加盖，采用微负压抽风系统收集。臭气收集后与待宰圈共用1套UV光解+生物洗涤塔处理后15m排气筒（P1）排放。</w:t>
      </w:r>
    </w:p>
    <w:p>
      <w:pPr>
        <w:widowControl w:val="0"/>
        <w:ind w:firstLine="482"/>
        <w:rPr>
          <w:color w:val="auto"/>
          <w:highlight w:val="none"/>
        </w:rPr>
      </w:pPr>
      <w:r>
        <w:rPr>
          <w:rFonts w:hint="eastAsia"/>
          <w:b/>
          <w:bCs/>
          <w:color w:val="auto"/>
          <w:highlight w:val="none"/>
        </w:rPr>
        <w:t>食堂油烟：</w:t>
      </w:r>
      <w:r>
        <w:rPr>
          <w:rFonts w:hint="eastAsia"/>
          <w:color w:val="auto"/>
          <w:highlight w:val="none"/>
        </w:rPr>
        <w:t>油烟净化器处理后，屋顶排放。</w:t>
      </w:r>
    </w:p>
    <w:p>
      <w:pPr>
        <w:widowControl w:val="0"/>
        <w:ind w:firstLine="482"/>
        <w:rPr>
          <w:color w:val="auto"/>
          <w:highlight w:val="none"/>
        </w:rPr>
      </w:pPr>
      <w:r>
        <w:rPr>
          <w:rFonts w:hint="eastAsia"/>
          <w:b/>
          <w:bCs/>
          <w:color w:val="auto"/>
          <w:highlight w:val="none"/>
        </w:rPr>
        <w:t>天然气燃烧废气：</w:t>
      </w:r>
      <w:r>
        <w:rPr>
          <w:rFonts w:hint="eastAsia"/>
          <w:color w:val="auto"/>
          <w:highlight w:val="none"/>
        </w:rPr>
        <w:t>收集通过楼顶排气筒（P3）排放（h=8m）。</w:t>
      </w:r>
    </w:p>
    <w:p>
      <w:pPr>
        <w:widowControl w:val="0"/>
        <w:ind w:firstLine="482"/>
        <w:rPr>
          <w:b/>
          <w:bCs/>
          <w:color w:val="auto"/>
          <w:highlight w:val="none"/>
        </w:rPr>
      </w:pPr>
      <w:r>
        <w:rPr>
          <w:rFonts w:hint="eastAsia"/>
          <w:b/>
          <w:bCs/>
          <w:color w:val="auto"/>
          <w:highlight w:val="none"/>
        </w:rPr>
        <w:t>（2）污染防治措施可行性分析</w:t>
      </w:r>
    </w:p>
    <w:p>
      <w:pPr>
        <w:widowControl w:val="0"/>
        <w:ind w:firstLine="482"/>
        <w:rPr>
          <w:b/>
          <w:bCs/>
          <w:color w:val="auto"/>
          <w:highlight w:val="none"/>
        </w:rPr>
      </w:pPr>
      <w:r>
        <w:rPr>
          <w:rFonts w:hint="eastAsia"/>
          <w:b/>
          <w:bCs/>
          <w:color w:val="auto"/>
          <w:highlight w:val="none"/>
        </w:rPr>
        <w:t>1）源头控制措施可行性分析</w:t>
      </w:r>
    </w:p>
    <w:p>
      <w:pPr>
        <w:widowControl w:val="0"/>
        <w:ind w:firstLine="480"/>
        <w:rPr>
          <w:color w:val="auto"/>
          <w:highlight w:val="none"/>
        </w:rPr>
      </w:pPr>
      <w:r>
        <w:rPr>
          <w:rFonts w:hint="eastAsia"/>
          <w:color w:val="auto"/>
          <w:highlight w:val="none"/>
        </w:rPr>
        <w:t>本项目采取的源头控制措施主要有以下措施：</w:t>
      </w:r>
    </w:p>
    <w:p>
      <w:pPr>
        <w:widowControl w:val="0"/>
        <w:ind w:firstLine="480"/>
        <w:rPr>
          <w:color w:val="auto"/>
          <w:highlight w:val="none"/>
        </w:rPr>
      </w:pPr>
      <w:r>
        <w:rPr>
          <w:rFonts w:hint="eastAsia"/>
          <w:color w:val="auto"/>
          <w:highlight w:val="none"/>
        </w:rPr>
        <w:t>①恶臭废气产生环节集中收集，待宰圈、屠宰间、污水处理站均为恶臭产生单元，使用密闭厂房和加密封盖等措施减少无组织逸散，使用抽风系统抽风机抽风，保持厂房负压，变无组织为有组织排放，符合环保要求。</w:t>
      </w:r>
    </w:p>
    <w:p>
      <w:pPr>
        <w:widowControl w:val="0"/>
        <w:ind w:firstLine="480"/>
        <w:rPr>
          <w:color w:val="auto"/>
          <w:highlight w:val="none"/>
        </w:rPr>
      </w:pPr>
      <w:r>
        <w:rPr>
          <w:rFonts w:hint="eastAsia"/>
          <w:color w:val="auto"/>
          <w:highlight w:val="none"/>
        </w:rPr>
        <w:t>②待宰圈、屠宰间及污水处理站恶臭产生环节喷洒生物除臭剂，及时清理猪粪、牛粪、生产线污物和污水处理站的污泥，保持车间清洁，可以减少无组织恶臭气体的产生，符合环保要求。</w:t>
      </w:r>
    </w:p>
    <w:p>
      <w:pPr>
        <w:widowControl w:val="0"/>
        <w:ind w:firstLine="480"/>
        <w:rPr>
          <w:color w:val="auto"/>
          <w:highlight w:val="none"/>
        </w:rPr>
      </w:pPr>
      <w:r>
        <w:rPr>
          <w:rFonts w:hint="eastAsia"/>
          <w:color w:val="auto"/>
          <w:highlight w:val="none"/>
        </w:rPr>
        <w:t>③同时厂区加强绿化，对恶臭气体有一定的吸收效果，符合环保要求。</w:t>
      </w:r>
    </w:p>
    <w:p>
      <w:pPr>
        <w:widowControl w:val="0"/>
        <w:ind w:firstLine="480"/>
        <w:rPr>
          <w:color w:val="auto"/>
          <w:highlight w:val="none"/>
        </w:rPr>
      </w:pPr>
      <w:r>
        <w:rPr>
          <w:rFonts w:hint="eastAsia"/>
          <w:color w:val="auto"/>
          <w:highlight w:val="none"/>
        </w:rPr>
        <w:t>建设单位营运期间需在待宰圈、屠宰间及污水处理站恶臭产生环节定期喷洒微生物除臭菌液去除恶臭。利用喷雾器对地面、墙壁、排水沟进行彻底喷洒，对恶臭的产生有较好效果。本次环评对使用喷洒微生物除臭剂的类似案例及文献罗列见下表。</w:t>
      </w:r>
    </w:p>
    <w:p>
      <w:pPr>
        <w:pStyle w:val="27"/>
        <w:widowControl w:val="0"/>
        <w:rPr>
          <w:color w:val="auto"/>
          <w:highlight w:val="none"/>
        </w:rPr>
      </w:pPr>
      <w:r>
        <w:rPr>
          <w:rFonts w:hint="eastAsia"/>
          <w:color w:val="auto"/>
          <w:highlight w:val="none"/>
        </w:rPr>
        <w:t>生物除臭工艺的类似案例及文献</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550"/>
        <w:gridCol w:w="1620"/>
        <w:gridCol w:w="1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5550" w:type="dxa"/>
            <w:tcBorders>
              <w:tl2br w:val="nil"/>
              <w:tr2bl w:val="nil"/>
            </w:tcBorders>
            <w:vAlign w:val="center"/>
          </w:tcPr>
          <w:p>
            <w:pPr>
              <w:pStyle w:val="28"/>
              <w:widowControl w:val="0"/>
              <w:rPr>
                <w:b/>
                <w:bCs/>
                <w:color w:val="auto"/>
                <w:highlight w:val="none"/>
              </w:rPr>
            </w:pPr>
            <w:r>
              <w:rPr>
                <w:rFonts w:hint="eastAsia"/>
                <w:b/>
                <w:bCs/>
                <w:color w:val="auto"/>
                <w:highlight w:val="none"/>
              </w:rPr>
              <w:t>文献/案例来源</w:t>
            </w:r>
          </w:p>
        </w:tc>
        <w:tc>
          <w:tcPr>
            <w:tcW w:w="1620" w:type="dxa"/>
            <w:tcBorders>
              <w:tl2br w:val="nil"/>
              <w:tr2bl w:val="nil"/>
            </w:tcBorders>
            <w:vAlign w:val="center"/>
          </w:tcPr>
          <w:p>
            <w:pPr>
              <w:pStyle w:val="28"/>
              <w:widowControl w:val="0"/>
              <w:rPr>
                <w:b/>
                <w:bCs/>
                <w:color w:val="auto"/>
                <w:highlight w:val="none"/>
              </w:rPr>
            </w:pPr>
            <w:r>
              <w:rPr>
                <w:rFonts w:hint="eastAsia"/>
                <w:b/>
                <w:bCs/>
                <w:color w:val="auto"/>
                <w:highlight w:val="none"/>
              </w:rPr>
              <w:t>除臭效果</w:t>
            </w:r>
          </w:p>
        </w:tc>
        <w:tc>
          <w:tcPr>
            <w:tcW w:w="1968" w:type="dxa"/>
            <w:tcBorders>
              <w:tl2br w:val="nil"/>
              <w:tr2bl w:val="nil"/>
            </w:tcBorders>
            <w:vAlign w:val="center"/>
          </w:tcPr>
          <w:p>
            <w:pPr>
              <w:pStyle w:val="28"/>
              <w:widowControl w:val="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5550" w:type="dxa"/>
            <w:tcBorders>
              <w:tl2br w:val="nil"/>
              <w:tr2bl w:val="nil"/>
            </w:tcBorders>
            <w:vAlign w:val="center"/>
          </w:tcPr>
          <w:p>
            <w:pPr>
              <w:pStyle w:val="28"/>
              <w:widowControl w:val="0"/>
              <w:jc w:val="both"/>
              <w:rPr>
                <w:color w:val="auto"/>
                <w:highlight w:val="none"/>
              </w:rPr>
            </w:pPr>
            <w:r>
              <w:rPr>
                <w:rFonts w:hint="eastAsia"/>
                <w:color w:val="auto"/>
                <w:highlight w:val="none"/>
              </w:rPr>
              <w:t>《</w:t>
            </w:r>
            <w:r>
              <w:rPr>
                <w:color w:val="auto"/>
                <w:highlight w:val="none"/>
              </w:rPr>
              <w:t>成都地区畜禽粪便污染治理工艺技术引论</w:t>
            </w:r>
            <w:r>
              <w:rPr>
                <w:rFonts w:hint="eastAsia"/>
                <w:color w:val="auto"/>
                <w:highlight w:val="none"/>
              </w:rPr>
              <w:t>》</w:t>
            </w:r>
            <w:r>
              <w:rPr>
                <w:color w:val="auto"/>
                <w:highlight w:val="none"/>
              </w:rPr>
              <w:t>（吴香尧编.西南财经大学出版社），</w:t>
            </w:r>
            <w:r>
              <w:rPr>
                <w:rFonts w:hint="eastAsia"/>
                <w:color w:val="auto"/>
                <w:highlight w:val="none"/>
              </w:rPr>
              <w:t>“</w:t>
            </w:r>
            <w:r>
              <w:rPr>
                <w:color w:val="auto"/>
                <w:highlight w:val="none"/>
              </w:rPr>
              <w:t>北京市环境保护监测中心对EM制剂除臭效果进行测试，结果表明EM制剂使用1个月后，恶臭浓度下降97.7%，臭气强度降低至2.5级以下，达国家一类标准。</w:t>
            </w:r>
            <w:r>
              <w:rPr>
                <w:rFonts w:hint="eastAsia"/>
                <w:color w:val="auto"/>
                <w:highlight w:val="none"/>
              </w:rPr>
              <w:t>”</w:t>
            </w:r>
            <w:r>
              <w:rPr>
                <w:color w:val="auto"/>
                <w:highlight w:val="none"/>
              </w:rPr>
              <w:t>。</w:t>
            </w:r>
          </w:p>
        </w:tc>
        <w:tc>
          <w:tcPr>
            <w:tcW w:w="1620" w:type="dxa"/>
            <w:tcBorders>
              <w:tl2br w:val="nil"/>
              <w:tr2bl w:val="nil"/>
            </w:tcBorders>
            <w:vAlign w:val="center"/>
          </w:tcPr>
          <w:p>
            <w:pPr>
              <w:pStyle w:val="28"/>
              <w:widowControl w:val="0"/>
              <w:rPr>
                <w:color w:val="auto"/>
                <w:highlight w:val="none"/>
              </w:rPr>
            </w:pPr>
            <w:r>
              <w:rPr>
                <w:rFonts w:hint="eastAsia"/>
                <w:color w:val="auto"/>
                <w:highlight w:val="none"/>
              </w:rPr>
              <w:t>恶臭浓度下降97.7%</w:t>
            </w:r>
          </w:p>
        </w:tc>
        <w:tc>
          <w:tcPr>
            <w:tcW w:w="1968" w:type="dxa"/>
            <w:tcBorders>
              <w:tl2br w:val="nil"/>
              <w:tr2bl w:val="nil"/>
            </w:tcBorders>
            <w:vAlign w:val="center"/>
          </w:tcPr>
          <w:p>
            <w:pPr>
              <w:pStyle w:val="28"/>
              <w:widowControl w:val="0"/>
              <w:rPr>
                <w:color w:val="auto"/>
                <w:highlight w:val="none"/>
              </w:rPr>
            </w:pPr>
            <w:r>
              <w:rPr>
                <w:color w:val="auto"/>
                <w:highlight w:val="none"/>
              </w:rPr>
              <w:t>EM制剂为微生态制剂，利用EM微生物群中各种微生物的细胞壁和细胞膜吸收臭气物质。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5550" w:type="dxa"/>
            <w:tcBorders>
              <w:tl2br w:val="nil"/>
              <w:tr2bl w:val="nil"/>
            </w:tcBorders>
            <w:vAlign w:val="center"/>
          </w:tcPr>
          <w:p>
            <w:pPr>
              <w:pStyle w:val="28"/>
              <w:widowControl w:val="0"/>
              <w:jc w:val="both"/>
              <w:rPr>
                <w:color w:val="auto"/>
                <w:highlight w:val="none"/>
              </w:rPr>
            </w:pPr>
            <w:r>
              <w:rPr>
                <w:rFonts w:hint="eastAsia"/>
                <w:color w:val="auto"/>
                <w:highlight w:val="none"/>
              </w:rPr>
              <w:t>《</w:t>
            </w:r>
            <w:r>
              <w:rPr>
                <w:color w:val="auto"/>
                <w:highlight w:val="none"/>
              </w:rPr>
              <w:t>生物除臭剂在畜禽粪便除臭中的应用实验》(冯建、方新、于淼，《现代农业科技》2009年第20期)，利用微生物制剂对粪便进行除臭，在144h后，对氨气去除效率在83.55%，对硫化氢去除效率在77.08%。</w:t>
            </w:r>
          </w:p>
        </w:tc>
        <w:tc>
          <w:tcPr>
            <w:tcW w:w="1620" w:type="dxa"/>
            <w:tcBorders>
              <w:tl2br w:val="nil"/>
              <w:tr2bl w:val="nil"/>
            </w:tcBorders>
            <w:vAlign w:val="center"/>
          </w:tcPr>
          <w:p>
            <w:pPr>
              <w:pStyle w:val="28"/>
              <w:widowControl w:val="0"/>
              <w:rPr>
                <w:color w:val="auto"/>
                <w:highlight w:val="none"/>
              </w:rPr>
            </w:pPr>
            <w:r>
              <w:rPr>
                <w:color w:val="auto"/>
                <w:highlight w:val="none"/>
              </w:rPr>
              <w:t>氨气去除效率83.55%，硫化氢去除效率77.08%。</w:t>
            </w:r>
          </w:p>
        </w:tc>
        <w:tc>
          <w:tcPr>
            <w:tcW w:w="1968" w:type="dxa"/>
            <w:tcBorders>
              <w:tl2br w:val="nil"/>
              <w:tr2bl w:val="nil"/>
            </w:tcBorders>
            <w:vAlign w:val="center"/>
          </w:tcPr>
          <w:p>
            <w:pPr>
              <w:pStyle w:val="28"/>
              <w:widowControl w:val="0"/>
              <w:rPr>
                <w:color w:val="auto"/>
                <w:highlight w:val="none"/>
              </w:rPr>
            </w:pPr>
            <w:r>
              <w:rPr>
                <w:color w:val="auto"/>
                <w:highlight w:val="none"/>
              </w:rPr>
              <w:t>微生物活菌数10°cfu/mL。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5550" w:type="dxa"/>
            <w:tcBorders>
              <w:tl2br w:val="nil"/>
              <w:tr2bl w:val="nil"/>
            </w:tcBorders>
            <w:vAlign w:val="center"/>
          </w:tcPr>
          <w:p>
            <w:pPr>
              <w:pStyle w:val="28"/>
              <w:widowControl w:val="0"/>
              <w:jc w:val="both"/>
              <w:rPr>
                <w:color w:val="auto"/>
                <w:highlight w:val="none"/>
              </w:rPr>
            </w:pPr>
            <w:r>
              <w:rPr>
                <w:color w:val="auto"/>
                <w:highlight w:val="none"/>
              </w:rPr>
              <w:t>《高效微生物除臭剂在畜禽粪便堆制中的应用效果及其除臭机理研究》（张生伟，黄旺洲《草业学报》，2016年9月</w:t>
            </w:r>
            <w:r>
              <w:rPr>
                <w:rFonts w:hint="eastAsia"/>
                <w:color w:val="auto"/>
                <w:highlight w:val="none"/>
              </w:rPr>
              <w:t>）</w:t>
            </w:r>
            <w:r>
              <w:rPr>
                <w:color w:val="auto"/>
                <w:highlight w:val="none"/>
              </w:rPr>
              <w:t>，微生物除臭剂作用于猪粪除臭效果明显，猪粪处理前5d，氨气的去除率高达82.79%</w:t>
            </w:r>
            <w:r>
              <w:rPr>
                <w:rFonts w:hint="eastAsia"/>
                <w:color w:val="auto"/>
                <w:highlight w:val="none"/>
              </w:rPr>
              <w:t>；</w:t>
            </w:r>
            <w:r>
              <w:rPr>
                <w:color w:val="auto"/>
                <w:highlight w:val="none"/>
              </w:rPr>
              <w:t>微生物除臭剂同时有效抑制硫化氢的释放，猪粪处理前5d，硫化氢的去除率高达80.09%。</w:t>
            </w:r>
          </w:p>
        </w:tc>
        <w:tc>
          <w:tcPr>
            <w:tcW w:w="1620" w:type="dxa"/>
            <w:tcBorders>
              <w:tl2br w:val="nil"/>
              <w:tr2bl w:val="nil"/>
            </w:tcBorders>
            <w:vAlign w:val="center"/>
          </w:tcPr>
          <w:p>
            <w:pPr>
              <w:pStyle w:val="28"/>
              <w:widowControl w:val="0"/>
              <w:rPr>
                <w:color w:val="auto"/>
                <w:highlight w:val="none"/>
              </w:rPr>
            </w:pPr>
            <w:r>
              <w:rPr>
                <w:color w:val="auto"/>
                <w:highlight w:val="none"/>
              </w:rPr>
              <w:t>氨气的去除率高达82.79%</w:t>
            </w:r>
            <w:r>
              <w:rPr>
                <w:rFonts w:hint="eastAsia"/>
                <w:color w:val="auto"/>
                <w:highlight w:val="none"/>
              </w:rPr>
              <w:t>，</w:t>
            </w:r>
            <w:r>
              <w:rPr>
                <w:color w:val="auto"/>
                <w:highlight w:val="none"/>
              </w:rPr>
              <w:t>硫化氢的去除率高达80.09%。</w:t>
            </w:r>
          </w:p>
          <w:p>
            <w:pPr>
              <w:pStyle w:val="28"/>
              <w:widowControl w:val="0"/>
              <w:rPr>
                <w:color w:val="auto"/>
                <w:highlight w:val="none"/>
              </w:rPr>
            </w:pPr>
          </w:p>
        </w:tc>
        <w:tc>
          <w:tcPr>
            <w:tcW w:w="1968" w:type="dxa"/>
            <w:tcBorders>
              <w:tl2br w:val="nil"/>
              <w:tr2bl w:val="nil"/>
            </w:tcBorders>
            <w:vAlign w:val="center"/>
          </w:tcPr>
          <w:p>
            <w:pPr>
              <w:pStyle w:val="28"/>
              <w:widowControl w:val="0"/>
              <w:rPr>
                <w:color w:val="auto"/>
                <w:highlight w:val="none"/>
              </w:rPr>
            </w:pPr>
            <w:r>
              <w:rPr>
                <w:color w:val="auto"/>
                <w:highlight w:val="none"/>
              </w:rPr>
              <w:t>微生物除臭剂接种量为基质肥的5‰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5550" w:type="dxa"/>
            <w:tcBorders>
              <w:tl2br w:val="nil"/>
              <w:tr2bl w:val="nil"/>
            </w:tcBorders>
            <w:vAlign w:val="center"/>
          </w:tcPr>
          <w:p>
            <w:pPr>
              <w:pStyle w:val="28"/>
              <w:widowControl w:val="0"/>
              <w:jc w:val="both"/>
              <w:rPr>
                <w:color w:val="auto"/>
                <w:highlight w:val="none"/>
              </w:rPr>
            </w:pPr>
            <w:r>
              <w:rPr>
                <w:color w:val="auto"/>
                <w:highlight w:val="none"/>
              </w:rPr>
              <w:t>《微生物源抗菌除臭剂一万洁芬在畜禽养殖中的应用研究》（苟丽霞，安德荣，《环境卫生工程》，2009年10月)，</w:t>
            </w:r>
            <w:r>
              <w:rPr>
                <w:rFonts w:hint="eastAsia" w:ascii="宋体" w:hAnsi="宋体" w:cs="宋体"/>
                <w:color w:val="auto"/>
                <w:highlight w:val="none"/>
              </w:rPr>
              <w:t>“采用新型微生物制剂万洁芬对鸡粪及鸡舍的处理实验，结果表明：在短期内能有效去除畜禽</w:t>
            </w:r>
            <w:r>
              <w:rPr>
                <w:color w:val="auto"/>
                <w:highlight w:val="none"/>
              </w:rPr>
              <w:t>臭味</w:t>
            </w:r>
            <w:r>
              <w:rPr>
                <w:rFonts w:hint="eastAsia"/>
                <w:color w:val="auto"/>
                <w:highlight w:val="none"/>
              </w:rPr>
              <w:t>，</w:t>
            </w:r>
            <w:r>
              <w:rPr>
                <w:color w:val="auto"/>
                <w:highlight w:val="none"/>
              </w:rPr>
              <w:t>处理后氨气和硫化氢的浓度分别下降73.2%和81.6%</w:t>
            </w:r>
            <w:r>
              <w:rPr>
                <w:rFonts w:hint="eastAsia" w:ascii="宋体" w:hAnsi="宋体" w:cs="宋体"/>
                <w:color w:val="auto"/>
                <w:highlight w:val="none"/>
              </w:rPr>
              <w:t>”</w:t>
            </w:r>
            <w:r>
              <w:rPr>
                <w:color w:val="auto"/>
                <w:highlight w:val="none"/>
              </w:rPr>
              <w:t>。</w:t>
            </w:r>
          </w:p>
        </w:tc>
        <w:tc>
          <w:tcPr>
            <w:tcW w:w="1620" w:type="dxa"/>
            <w:tcBorders>
              <w:tl2br w:val="nil"/>
              <w:tr2bl w:val="nil"/>
            </w:tcBorders>
            <w:vAlign w:val="center"/>
          </w:tcPr>
          <w:p>
            <w:pPr>
              <w:pStyle w:val="28"/>
              <w:widowControl w:val="0"/>
              <w:rPr>
                <w:color w:val="auto"/>
                <w:highlight w:val="none"/>
              </w:rPr>
            </w:pPr>
            <w:r>
              <w:rPr>
                <w:rFonts w:hint="eastAsia"/>
                <w:color w:val="auto"/>
                <w:highlight w:val="none"/>
              </w:rPr>
              <w:t>氨</w:t>
            </w:r>
            <w:r>
              <w:rPr>
                <w:color w:val="auto"/>
                <w:highlight w:val="none"/>
              </w:rPr>
              <w:t>气和硫化氢的浓度分别下降73.2%和81.6%。</w:t>
            </w:r>
          </w:p>
          <w:p>
            <w:pPr>
              <w:pStyle w:val="28"/>
              <w:widowControl w:val="0"/>
              <w:rPr>
                <w:color w:val="auto"/>
                <w:highlight w:val="none"/>
              </w:rPr>
            </w:pPr>
          </w:p>
        </w:tc>
        <w:tc>
          <w:tcPr>
            <w:tcW w:w="1968" w:type="dxa"/>
            <w:tcBorders>
              <w:tl2br w:val="nil"/>
              <w:tr2bl w:val="nil"/>
            </w:tcBorders>
            <w:vAlign w:val="center"/>
          </w:tcPr>
          <w:p>
            <w:pPr>
              <w:pStyle w:val="28"/>
              <w:widowControl w:val="0"/>
              <w:rPr>
                <w:color w:val="auto"/>
                <w:highlight w:val="none"/>
              </w:rPr>
            </w:pPr>
            <w:r>
              <w:rPr>
                <w:color w:val="auto"/>
                <w:highlight w:val="none"/>
              </w:rPr>
              <w:t>1m</w:t>
            </w:r>
            <w:r>
              <w:rPr>
                <w:color w:val="auto"/>
                <w:highlight w:val="none"/>
                <w:vertAlign w:val="superscript"/>
              </w:rPr>
              <w:t>3</w:t>
            </w:r>
            <w:r>
              <w:rPr>
                <w:color w:val="auto"/>
                <w:highlight w:val="none"/>
              </w:rPr>
              <w:t>混合发酵料喷入万洁芬3L。</w:t>
            </w:r>
          </w:p>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5550" w:type="dxa"/>
            <w:tcBorders>
              <w:tl2br w:val="nil"/>
              <w:tr2bl w:val="nil"/>
            </w:tcBorders>
            <w:vAlign w:val="center"/>
          </w:tcPr>
          <w:p>
            <w:pPr>
              <w:pStyle w:val="28"/>
              <w:widowControl w:val="0"/>
              <w:jc w:val="both"/>
              <w:rPr>
                <w:color w:val="auto"/>
                <w:highlight w:val="none"/>
              </w:rPr>
            </w:pPr>
            <w:r>
              <w:rPr>
                <w:color w:val="auto"/>
                <w:highlight w:val="none"/>
              </w:rPr>
              <w:t>《自然科学》现代化农业，2011年第6期</w:t>
            </w:r>
            <w:r>
              <w:rPr>
                <w:rFonts w:hint="eastAsia" w:ascii="宋体" w:hAnsi="宋体" w:cs="宋体"/>
                <w:color w:val="auto"/>
                <w:highlight w:val="none"/>
              </w:rPr>
              <w:t>“微生物除臭剂研究进展”（</w:t>
            </w:r>
            <w:r>
              <w:rPr>
                <w:color w:val="auto"/>
                <w:highlight w:val="none"/>
              </w:rPr>
              <w:t>赵晓峰、隋文志</w:t>
            </w:r>
            <w:r>
              <w:rPr>
                <w:rFonts w:hint="eastAsia" w:ascii="宋体" w:hAnsi="宋体" w:cs="宋体"/>
                <w:color w:val="auto"/>
                <w:highlight w:val="none"/>
              </w:rPr>
              <w:t>）</w:t>
            </w:r>
            <w:r>
              <w:rPr>
                <w:color w:val="auto"/>
                <w:highlight w:val="none"/>
              </w:rPr>
              <w:t>的资料</w:t>
            </w:r>
            <w:r>
              <w:rPr>
                <w:rFonts w:hint="eastAsia"/>
                <w:color w:val="auto"/>
                <w:highlight w:val="none"/>
              </w:rPr>
              <w:t>，</w:t>
            </w:r>
            <w:r>
              <w:rPr>
                <w:color w:val="auto"/>
                <w:highlight w:val="none"/>
              </w:rPr>
              <w:t>经国家环境分析监测中心和陕西省环境监测中心测试</w:t>
            </w:r>
            <w:r>
              <w:rPr>
                <w:rFonts w:hint="eastAsia"/>
                <w:color w:val="auto"/>
                <w:highlight w:val="none"/>
              </w:rPr>
              <w:t>，</w:t>
            </w:r>
            <w:r>
              <w:rPr>
                <w:color w:val="auto"/>
                <w:highlight w:val="none"/>
              </w:rPr>
              <w:t>微生物除臭剂对氨气和硫化氢的去除效率分别为92.6%和89%。</w:t>
            </w:r>
          </w:p>
        </w:tc>
        <w:tc>
          <w:tcPr>
            <w:tcW w:w="1620" w:type="dxa"/>
            <w:tcBorders>
              <w:tl2br w:val="nil"/>
              <w:tr2bl w:val="nil"/>
            </w:tcBorders>
            <w:vAlign w:val="center"/>
          </w:tcPr>
          <w:p>
            <w:pPr>
              <w:pStyle w:val="28"/>
              <w:widowControl w:val="0"/>
              <w:rPr>
                <w:color w:val="auto"/>
                <w:highlight w:val="none"/>
              </w:rPr>
            </w:pPr>
            <w:r>
              <w:rPr>
                <w:color w:val="auto"/>
                <w:highlight w:val="none"/>
              </w:rPr>
              <w:t>氨气和硫化氢的去除效率分别为92.6%和</w:t>
            </w:r>
          </w:p>
          <w:p>
            <w:pPr>
              <w:pStyle w:val="28"/>
              <w:widowControl w:val="0"/>
              <w:rPr>
                <w:color w:val="auto"/>
                <w:highlight w:val="none"/>
              </w:rPr>
            </w:pPr>
            <w:r>
              <w:rPr>
                <w:color w:val="auto"/>
                <w:highlight w:val="none"/>
              </w:rPr>
              <w:t>89%。</w:t>
            </w:r>
          </w:p>
        </w:tc>
        <w:tc>
          <w:tcPr>
            <w:tcW w:w="1968"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6</w:t>
            </w:r>
          </w:p>
        </w:tc>
        <w:tc>
          <w:tcPr>
            <w:tcW w:w="5550" w:type="dxa"/>
            <w:tcBorders>
              <w:tl2br w:val="nil"/>
              <w:tr2bl w:val="nil"/>
            </w:tcBorders>
            <w:vAlign w:val="center"/>
          </w:tcPr>
          <w:p>
            <w:pPr>
              <w:pStyle w:val="28"/>
              <w:widowControl w:val="0"/>
              <w:jc w:val="both"/>
              <w:rPr>
                <w:color w:val="auto"/>
                <w:highlight w:val="none"/>
              </w:rPr>
            </w:pPr>
            <w:r>
              <w:rPr>
                <w:color w:val="auto"/>
                <w:highlight w:val="none"/>
              </w:rPr>
              <w:t>《畜禽场微生物除臭技术的研究进展》王艾伦，金敬岗，汪开英</w:t>
            </w:r>
            <w:r>
              <w:rPr>
                <w:rFonts w:hint="eastAsia"/>
                <w:color w:val="auto"/>
                <w:highlight w:val="none"/>
              </w:rPr>
              <w:t>，</w:t>
            </w:r>
            <w:r>
              <w:rPr>
                <w:color w:val="auto"/>
                <w:highlight w:val="none"/>
              </w:rPr>
              <w:t>综经2019年第55卷第01期〉，</w:t>
            </w:r>
            <w:r>
              <w:rPr>
                <w:rFonts w:hint="eastAsia"/>
                <w:color w:val="auto"/>
                <w:highlight w:val="none"/>
              </w:rPr>
              <w:t>“</w:t>
            </w:r>
            <w:r>
              <w:rPr>
                <w:color w:val="auto"/>
                <w:highlight w:val="none"/>
              </w:rPr>
              <w:t>李琳等研究了一种复合式生物除臭反应器，将不同的微生物、细菌或真菌分别接种在反应器的2个生物反应区中</w:t>
            </w:r>
            <w:r>
              <w:rPr>
                <w:rFonts w:hint="eastAsia"/>
                <w:color w:val="auto"/>
                <w:highlight w:val="none"/>
              </w:rPr>
              <w:t>，</w:t>
            </w:r>
            <w:r>
              <w:rPr>
                <w:color w:val="auto"/>
                <w:highlight w:val="none"/>
              </w:rPr>
              <w:t>发现通过其协同作用可以有效去除多种污染物</w:t>
            </w:r>
            <w:r>
              <w:rPr>
                <w:rFonts w:hint="eastAsia"/>
                <w:color w:val="auto"/>
                <w:highlight w:val="none"/>
              </w:rPr>
              <w:t>，</w:t>
            </w:r>
            <w:r>
              <w:rPr>
                <w:color w:val="auto"/>
                <w:highlight w:val="none"/>
              </w:rPr>
              <w:t>对氨气和硫化氢去除率分别达到96.7%和92.1%。</w:t>
            </w:r>
            <w:r>
              <w:rPr>
                <w:rFonts w:hint="eastAsia"/>
                <w:color w:val="auto"/>
                <w:highlight w:val="none"/>
              </w:rPr>
              <w:t>”</w:t>
            </w:r>
          </w:p>
        </w:tc>
        <w:tc>
          <w:tcPr>
            <w:tcW w:w="1620" w:type="dxa"/>
            <w:tcBorders>
              <w:tl2br w:val="nil"/>
              <w:tr2bl w:val="nil"/>
            </w:tcBorders>
            <w:vAlign w:val="center"/>
          </w:tcPr>
          <w:p>
            <w:pPr>
              <w:pStyle w:val="28"/>
              <w:widowControl w:val="0"/>
              <w:rPr>
                <w:color w:val="auto"/>
                <w:highlight w:val="none"/>
              </w:rPr>
            </w:pPr>
            <w:r>
              <w:rPr>
                <w:color w:val="auto"/>
                <w:highlight w:val="none"/>
              </w:rPr>
              <w:t>氨气和硫化氢去除率分别达到96.7%和92.1%</w:t>
            </w:r>
          </w:p>
        </w:tc>
        <w:tc>
          <w:tcPr>
            <w:tcW w:w="1968" w:type="dxa"/>
            <w:tcBorders>
              <w:tl2br w:val="nil"/>
              <w:tr2bl w:val="nil"/>
            </w:tcBorders>
            <w:vAlign w:val="center"/>
          </w:tcPr>
          <w:p>
            <w:pPr>
              <w:pStyle w:val="28"/>
              <w:widowControl w:val="0"/>
              <w:rPr>
                <w:color w:val="auto"/>
                <w:highlight w:val="none"/>
              </w:rPr>
            </w:pPr>
            <w:r>
              <w:rPr>
                <w:color w:val="auto"/>
                <w:highlight w:val="none"/>
              </w:rPr>
              <w:t>每天1次</w:t>
            </w:r>
            <w:r>
              <w:rPr>
                <w:rFonts w:hint="eastAsia"/>
                <w:color w:val="auto"/>
                <w:highlight w:val="none"/>
              </w:rPr>
              <w:t>喷洒</w:t>
            </w:r>
            <w:r>
              <w:rPr>
                <w:color w:val="auto"/>
                <w:highlight w:val="none"/>
              </w:rPr>
              <w:t>10%的解淀粉芽孢杆菌</w:t>
            </w:r>
          </w:p>
          <w:p>
            <w:pPr>
              <w:pStyle w:val="28"/>
              <w:widowControl w:val="0"/>
              <w:rPr>
                <w:color w:val="auto"/>
                <w:highlight w:val="none"/>
              </w:rPr>
            </w:pPr>
            <w:r>
              <w:rPr>
                <w:color w:val="auto"/>
                <w:highlight w:val="none"/>
              </w:rPr>
              <w:t>喷雾</w:t>
            </w:r>
          </w:p>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5550" w:type="dxa"/>
            <w:tcBorders>
              <w:tl2br w:val="nil"/>
              <w:tr2bl w:val="nil"/>
            </w:tcBorders>
            <w:vAlign w:val="center"/>
          </w:tcPr>
          <w:p>
            <w:pPr>
              <w:pStyle w:val="28"/>
              <w:widowControl w:val="0"/>
              <w:jc w:val="both"/>
              <w:rPr>
                <w:color w:val="auto"/>
                <w:highlight w:val="none"/>
              </w:rPr>
            </w:pPr>
            <w:r>
              <w:rPr>
                <w:color w:val="auto"/>
                <w:highlight w:val="none"/>
              </w:rPr>
              <w:t>《泉州雄益生猪养殖有限公司生猪养殖标准化改造项目环境影响报告书》</w:t>
            </w:r>
            <w:r>
              <w:rPr>
                <w:rFonts w:hint="eastAsia"/>
                <w:color w:val="auto"/>
                <w:highlight w:val="none"/>
              </w:rPr>
              <w:t>：</w:t>
            </w:r>
            <w:r>
              <w:rPr>
                <w:color w:val="auto"/>
                <w:highlight w:val="none"/>
              </w:rPr>
              <w:t>养殖使用</w:t>
            </w:r>
            <w:r>
              <w:rPr>
                <w:rFonts w:hint="eastAsia"/>
                <w:color w:val="auto"/>
                <w:highlight w:val="none"/>
              </w:rPr>
              <w:t>复合</w:t>
            </w:r>
            <w:r>
              <w:rPr>
                <w:color w:val="auto"/>
                <w:highlight w:val="none"/>
              </w:rPr>
              <w:t>微生物添加剂，及时清理地面，增加清粪频次，喷洒微生物除臭剂</w:t>
            </w:r>
            <w:r>
              <w:rPr>
                <w:rFonts w:hint="eastAsia"/>
                <w:color w:val="auto"/>
                <w:highlight w:val="none"/>
              </w:rPr>
              <w:t>，</w:t>
            </w:r>
            <w:r>
              <w:rPr>
                <w:color w:val="auto"/>
                <w:highlight w:val="none"/>
              </w:rPr>
              <w:t>加强通风能够进一步减少猪舍内恶臭排放量，可以消减源强80%以上.为进一步减小项目污水处理过程恶臭气体对周边环境的影响，对污水前处理系统收集池加盖，定期喷洒除臭剂，并加强场区绿化，臭气去除效率60%。</w:t>
            </w:r>
          </w:p>
        </w:tc>
        <w:tc>
          <w:tcPr>
            <w:tcW w:w="1620" w:type="dxa"/>
            <w:tcBorders>
              <w:tl2br w:val="nil"/>
              <w:tr2bl w:val="nil"/>
            </w:tcBorders>
            <w:vAlign w:val="center"/>
          </w:tcPr>
          <w:p>
            <w:pPr>
              <w:pStyle w:val="28"/>
              <w:widowControl w:val="0"/>
              <w:rPr>
                <w:color w:val="auto"/>
                <w:highlight w:val="none"/>
              </w:rPr>
            </w:pPr>
            <w:r>
              <w:rPr>
                <w:color w:val="auto"/>
                <w:highlight w:val="none"/>
              </w:rPr>
              <w:t>猪舍区氨气和硫化氢去除率达到80%</w:t>
            </w:r>
            <w:r>
              <w:rPr>
                <w:rFonts w:hint="eastAsia"/>
                <w:color w:val="auto"/>
                <w:highlight w:val="none"/>
              </w:rPr>
              <w:t>。</w:t>
            </w:r>
            <w:r>
              <w:rPr>
                <w:color w:val="auto"/>
                <w:highlight w:val="none"/>
              </w:rPr>
              <w:t>污水处理站臭气去除效率60%。</w:t>
            </w:r>
          </w:p>
        </w:tc>
        <w:tc>
          <w:tcPr>
            <w:tcW w:w="1968" w:type="dxa"/>
            <w:tcBorders>
              <w:tl2br w:val="nil"/>
              <w:tr2bl w:val="nil"/>
            </w:tcBorders>
            <w:vAlign w:val="center"/>
          </w:tcPr>
          <w:p>
            <w:pPr>
              <w:pStyle w:val="28"/>
              <w:widowControl w:val="0"/>
              <w:rPr>
                <w:color w:val="auto"/>
                <w:highlight w:val="none"/>
              </w:rPr>
            </w:pPr>
            <w:r>
              <w:rPr>
                <w:color w:val="auto"/>
                <w:highlight w:val="none"/>
              </w:rPr>
              <w:t>使用微生物除臭剂</w:t>
            </w:r>
          </w:p>
        </w:tc>
      </w:tr>
    </w:tbl>
    <w:p>
      <w:pPr>
        <w:widowControl w:val="0"/>
        <w:ind w:firstLine="480"/>
        <w:rPr>
          <w:color w:val="auto"/>
          <w:highlight w:val="none"/>
        </w:rPr>
      </w:pPr>
      <w:r>
        <w:rPr>
          <w:color w:val="auto"/>
          <w:highlight w:val="none"/>
        </w:rPr>
        <w:t>通过上述文献和案例</w:t>
      </w:r>
      <w:r>
        <w:rPr>
          <w:rFonts w:hint="eastAsia"/>
          <w:color w:val="auto"/>
          <w:highlight w:val="none"/>
        </w:rPr>
        <w:t>，</w:t>
      </w:r>
      <w:r>
        <w:rPr>
          <w:color w:val="auto"/>
          <w:highlight w:val="none"/>
        </w:rPr>
        <w:t>在猪舍区域喷洒微生物除臭剂可以从源头上消减恶臭气体的产生量，本项目</w:t>
      </w:r>
      <w:r>
        <w:rPr>
          <w:rFonts w:hint="eastAsia"/>
          <w:color w:val="auto"/>
          <w:highlight w:val="none"/>
        </w:rPr>
        <w:t>待宰圈</w:t>
      </w:r>
      <w:r>
        <w:rPr>
          <w:color w:val="auto"/>
          <w:highlight w:val="none"/>
        </w:rPr>
        <w:t>和屠宰间的恶臭与猪舍产生条件和因素相似，据资料，氨的消减量在73.2%-96.7%</w:t>
      </w:r>
      <w:r>
        <w:rPr>
          <w:rFonts w:hint="eastAsia"/>
          <w:color w:val="auto"/>
          <w:highlight w:val="none"/>
        </w:rPr>
        <w:t>，</w:t>
      </w:r>
      <w:r>
        <w:rPr>
          <w:color w:val="auto"/>
          <w:highlight w:val="none"/>
        </w:rPr>
        <w:t>硫化氢的消减量在77.08%-92.1%</w:t>
      </w:r>
      <w:r>
        <w:rPr>
          <w:rFonts w:hint="eastAsia"/>
          <w:color w:val="auto"/>
          <w:highlight w:val="none"/>
        </w:rPr>
        <w:t>，</w:t>
      </w:r>
      <w:r>
        <w:rPr>
          <w:color w:val="auto"/>
          <w:highlight w:val="none"/>
        </w:rPr>
        <w:t>采取微生物除臭剂措施后，恶臭废气污染物氨、硫化氢去除率取</w:t>
      </w:r>
      <w:r>
        <w:rPr>
          <w:rFonts w:hint="eastAsia"/>
          <w:color w:val="auto"/>
          <w:highlight w:val="none"/>
        </w:rPr>
        <w:t>80</w:t>
      </w:r>
      <w:r>
        <w:rPr>
          <w:color w:val="auto"/>
          <w:highlight w:val="none"/>
        </w:rPr>
        <w:t>%较为合理。</w:t>
      </w:r>
    </w:p>
    <w:p>
      <w:pPr>
        <w:widowControl w:val="0"/>
        <w:ind w:firstLine="482"/>
        <w:rPr>
          <w:color w:val="auto"/>
          <w:highlight w:val="none"/>
        </w:rPr>
      </w:pPr>
      <w:r>
        <w:rPr>
          <w:rFonts w:hint="eastAsia"/>
          <w:b/>
          <w:bCs/>
          <w:color w:val="auto"/>
          <w:highlight w:val="none"/>
        </w:rPr>
        <w:t>2）末端处理设施可行性分析</w:t>
      </w:r>
    </w:p>
    <w:p>
      <w:pPr>
        <w:widowControl w:val="0"/>
        <w:ind w:firstLine="482"/>
        <w:rPr>
          <w:b/>
          <w:bCs/>
          <w:color w:val="auto"/>
          <w:highlight w:val="none"/>
        </w:rPr>
      </w:pPr>
      <w:r>
        <w:rPr>
          <w:rFonts w:hint="eastAsia"/>
          <w:b/>
          <w:bCs/>
          <w:color w:val="auto"/>
          <w:highlight w:val="none"/>
        </w:rPr>
        <w:t>①常用的恶臭气体处理措施工艺比较</w:t>
      </w:r>
    </w:p>
    <w:p>
      <w:pPr>
        <w:widowControl w:val="0"/>
        <w:ind w:firstLine="480"/>
        <w:rPr>
          <w:color w:val="auto"/>
          <w:highlight w:val="none"/>
        </w:rPr>
      </w:pPr>
      <w:r>
        <w:rPr>
          <w:rFonts w:hint="eastAsia"/>
          <w:color w:val="auto"/>
          <w:highlight w:val="none"/>
        </w:rPr>
        <w:t>常用的恶臭气体处理方法有化学除臭法，臭氧氧化法、活性炭吸附法、生物除臭法、光氧催化净化法等。</w:t>
      </w:r>
    </w:p>
    <w:p>
      <w:pPr>
        <w:pStyle w:val="27"/>
        <w:widowControl w:val="0"/>
        <w:rPr>
          <w:color w:val="auto"/>
          <w:highlight w:val="none"/>
        </w:rPr>
      </w:pPr>
      <w:r>
        <w:rPr>
          <w:rFonts w:hint="eastAsia"/>
          <w:color w:val="auto"/>
          <w:highlight w:val="none"/>
        </w:rPr>
        <w:t>常用恶臭处理措施工艺一览表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4059"/>
        <w:gridCol w:w="4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b/>
                <w:bCs/>
                <w:color w:val="auto"/>
                <w:highlight w:val="none"/>
              </w:rPr>
            </w:pPr>
            <w:r>
              <w:rPr>
                <w:rFonts w:hint="eastAsia"/>
                <w:b/>
                <w:bCs/>
                <w:color w:val="auto"/>
                <w:highlight w:val="none"/>
              </w:rPr>
              <w:t>恶臭处理措施类别</w:t>
            </w:r>
          </w:p>
        </w:tc>
        <w:tc>
          <w:tcPr>
            <w:tcW w:w="2110" w:type="pct"/>
            <w:tcBorders>
              <w:tl2br w:val="nil"/>
              <w:tr2bl w:val="nil"/>
            </w:tcBorders>
            <w:vAlign w:val="center"/>
          </w:tcPr>
          <w:p>
            <w:pPr>
              <w:pStyle w:val="28"/>
              <w:widowControl w:val="0"/>
              <w:rPr>
                <w:b/>
                <w:bCs/>
                <w:color w:val="auto"/>
                <w:highlight w:val="none"/>
              </w:rPr>
            </w:pPr>
            <w:r>
              <w:rPr>
                <w:rFonts w:hint="eastAsia"/>
                <w:b/>
                <w:bCs/>
                <w:color w:val="auto"/>
                <w:highlight w:val="none"/>
              </w:rPr>
              <w:t>处理远离</w:t>
            </w:r>
          </w:p>
        </w:tc>
        <w:tc>
          <w:tcPr>
            <w:tcW w:w="2111" w:type="pct"/>
            <w:tcBorders>
              <w:tl2br w:val="nil"/>
              <w:tr2bl w:val="nil"/>
            </w:tcBorders>
            <w:vAlign w:val="center"/>
          </w:tcPr>
          <w:p>
            <w:pPr>
              <w:pStyle w:val="28"/>
              <w:widowControl w:val="0"/>
              <w:rPr>
                <w:b/>
                <w:bCs/>
                <w:color w:val="auto"/>
                <w:highlight w:val="none"/>
              </w:rPr>
            </w:pPr>
            <w:r>
              <w:rPr>
                <w:rFonts w:hint="eastAsia"/>
                <w:b/>
                <w:bCs/>
                <w:color w:val="auto"/>
                <w:highlight w:val="none"/>
              </w:rPr>
              <w:t>优缺点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color w:val="auto"/>
                <w:highlight w:val="none"/>
              </w:rPr>
            </w:pPr>
            <w:r>
              <w:rPr>
                <w:rFonts w:hint="eastAsia"/>
                <w:color w:val="auto"/>
                <w:highlight w:val="none"/>
              </w:rPr>
              <w:t>化学除臭法</w:t>
            </w:r>
          </w:p>
        </w:tc>
        <w:tc>
          <w:tcPr>
            <w:tcW w:w="2110" w:type="pct"/>
            <w:tcBorders>
              <w:tl2br w:val="nil"/>
              <w:tr2bl w:val="nil"/>
            </w:tcBorders>
            <w:vAlign w:val="center"/>
          </w:tcPr>
          <w:p>
            <w:pPr>
              <w:pStyle w:val="28"/>
              <w:widowControl w:val="0"/>
              <w:jc w:val="left"/>
              <w:rPr>
                <w:color w:val="auto"/>
                <w:highlight w:val="none"/>
              </w:rPr>
            </w:pPr>
            <w:r>
              <w:rPr>
                <w:rFonts w:hint="eastAsia"/>
                <w:color w:val="auto"/>
                <w:highlight w:val="none"/>
              </w:rPr>
              <w:t>化学除臭法是利用臭气中的某些物质和药液产生中和反应的特性，如利用呈碱性的苛性钠和次氯酸钠溶液，去除臭气中硫化氢等酸性物质，利用盐酸等酸性溶液，去除臭气中的氨气等碱性物质。</w:t>
            </w:r>
          </w:p>
        </w:tc>
        <w:tc>
          <w:tcPr>
            <w:tcW w:w="2111" w:type="pct"/>
            <w:tcBorders>
              <w:tl2br w:val="nil"/>
              <w:tr2bl w:val="nil"/>
            </w:tcBorders>
            <w:vAlign w:val="center"/>
          </w:tcPr>
          <w:p>
            <w:pPr>
              <w:pStyle w:val="28"/>
              <w:widowControl w:val="0"/>
              <w:jc w:val="left"/>
              <w:rPr>
                <w:color w:val="auto"/>
                <w:highlight w:val="none"/>
              </w:rPr>
            </w:pPr>
            <w:r>
              <w:rPr>
                <w:rFonts w:hint="eastAsia"/>
                <w:color w:val="auto"/>
                <w:highlight w:val="none"/>
              </w:rPr>
              <w:t>与活性炭吸附法相比较，化学除臭法必须配备较多的附属设施，如药液贮存装置、药液输送装置、排出装置等，运行管理较为复杂，运行费用较高，与药液不反应的臭气较难去除，效率较低。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color w:val="auto"/>
                <w:highlight w:val="none"/>
              </w:rPr>
            </w:pPr>
            <w:r>
              <w:rPr>
                <w:rFonts w:hint="eastAsia"/>
                <w:color w:val="auto"/>
                <w:highlight w:val="none"/>
              </w:rPr>
              <w:t>臭氧氧化法</w:t>
            </w:r>
          </w:p>
        </w:tc>
        <w:tc>
          <w:tcPr>
            <w:tcW w:w="2110" w:type="pct"/>
            <w:tcBorders>
              <w:tl2br w:val="nil"/>
              <w:tr2bl w:val="nil"/>
            </w:tcBorders>
            <w:vAlign w:val="center"/>
          </w:tcPr>
          <w:p>
            <w:pPr>
              <w:pStyle w:val="28"/>
              <w:widowControl w:val="0"/>
              <w:jc w:val="left"/>
              <w:rPr>
                <w:color w:val="auto"/>
                <w:highlight w:val="none"/>
              </w:rPr>
            </w:pPr>
            <w:r>
              <w:rPr>
                <w:rFonts w:hint="eastAsia"/>
                <w:color w:val="auto"/>
                <w:highlight w:val="none"/>
              </w:rPr>
              <w:t>臭氧氧化法是利用臭氧强氧化剂，使臭气中的化学成分氧化，达到脱臭的目的。</w:t>
            </w:r>
          </w:p>
        </w:tc>
        <w:tc>
          <w:tcPr>
            <w:tcW w:w="2111" w:type="pct"/>
            <w:tcBorders>
              <w:tl2br w:val="nil"/>
              <w:tr2bl w:val="nil"/>
            </w:tcBorders>
            <w:vAlign w:val="center"/>
          </w:tcPr>
          <w:p>
            <w:pPr>
              <w:pStyle w:val="28"/>
              <w:widowControl w:val="0"/>
              <w:jc w:val="left"/>
              <w:rPr>
                <w:color w:val="auto"/>
                <w:highlight w:val="none"/>
              </w:rPr>
            </w:pPr>
            <w:r>
              <w:rPr>
                <w:rFonts w:hint="eastAsia"/>
                <w:color w:val="auto"/>
                <w:highlight w:val="none"/>
              </w:rPr>
              <w:t>臭氧氧化法有气相和液相之分，由于臭氧发生的化学反应较慢，一般先通过药液清洗法，去除大部分致臭物质，然后再进行臭氧氧化。因此，该方法不使用与大量处理恶臭，且处理速率较慢。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color w:val="auto"/>
                <w:highlight w:val="none"/>
              </w:rPr>
            </w:pPr>
            <w:r>
              <w:rPr>
                <w:rFonts w:hint="eastAsia"/>
                <w:color w:val="auto"/>
                <w:highlight w:val="none"/>
              </w:rPr>
              <w:t>活性炭吸附法</w:t>
            </w:r>
          </w:p>
        </w:tc>
        <w:tc>
          <w:tcPr>
            <w:tcW w:w="2110" w:type="pct"/>
            <w:tcBorders>
              <w:tl2br w:val="nil"/>
              <w:tr2bl w:val="nil"/>
            </w:tcBorders>
            <w:vAlign w:val="center"/>
          </w:tcPr>
          <w:p>
            <w:pPr>
              <w:pStyle w:val="28"/>
              <w:widowControl w:val="0"/>
              <w:jc w:val="left"/>
              <w:rPr>
                <w:color w:val="auto"/>
                <w:highlight w:val="none"/>
              </w:rPr>
            </w:pPr>
            <w:r>
              <w:rPr>
                <w:rFonts w:hint="eastAsia"/>
                <w:color w:val="auto"/>
                <w:highlight w:val="none"/>
              </w:rPr>
              <w:t>活性炭吸附法是利用活性炭能吸附臭气中致臭物质的特点，达到脱臭目的。为了有效地脱臭，通常利用各种不同性质的活性炭，吸附不同性质的臭气；臭气和各种活性炭接触后再排出。</w:t>
            </w:r>
          </w:p>
        </w:tc>
        <w:tc>
          <w:tcPr>
            <w:tcW w:w="2111" w:type="pct"/>
            <w:tcBorders>
              <w:tl2br w:val="nil"/>
              <w:tr2bl w:val="nil"/>
            </w:tcBorders>
            <w:vAlign w:val="center"/>
          </w:tcPr>
          <w:p>
            <w:pPr>
              <w:pStyle w:val="28"/>
              <w:widowControl w:val="0"/>
              <w:jc w:val="left"/>
              <w:rPr>
                <w:color w:val="auto"/>
                <w:highlight w:val="none"/>
              </w:rPr>
            </w:pPr>
            <w:r>
              <w:rPr>
                <w:rFonts w:hint="eastAsia"/>
                <w:color w:val="auto"/>
                <w:highlight w:val="none"/>
              </w:rPr>
              <w:t>该法与水清洗和药液清洗法相比较，具有较高的效率，但活性炭吸附到一定量时会达到饱和，就必须再生或更换活性炭，这种方法常用于低浓度臭气和脱臭的后处理。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color w:val="auto"/>
                <w:highlight w:val="none"/>
              </w:rPr>
            </w:pPr>
            <w:r>
              <w:rPr>
                <w:rFonts w:hint="eastAsia"/>
                <w:color w:val="auto"/>
                <w:highlight w:val="none"/>
              </w:rPr>
              <w:t>生物除臭法</w:t>
            </w:r>
          </w:p>
        </w:tc>
        <w:tc>
          <w:tcPr>
            <w:tcW w:w="2110" w:type="pct"/>
            <w:tcBorders>
              <w:tl2br w:val="nil"/>
              <w:tr2bl w:val="nil"/>
            </w:tcBorders>
            <w:vAlign w:val="center"/>
          </w:tcPr>
          <w:p>
            <w:pPr>
              <w:pStyle w:val="28"/>
              <w:widowControl w:val="0"/>
              <w:jc w:val="left"/>
              <w:rPr>
                <w:color w:val="auto"/>
                <w:highlight w:val="none"/>
              </w:rPr>
            </w:pPr>
            <w:r>
              <w:rPr>
                <w:rFonts w:hint="eastAsia"/>
                <w:color w:val="auto"/>
                <w:highlight w:val="none"/>
              </w:rPr>
              <w:t>生物除臭法是利用微生物对恶臭成分的生物吸附降解功能达到除臭目的，主要包括生物过滤法池、生物滴滤池和生物洗涤塔</w:t>
            </w:r>
            <w:r>
              <w:rPr>
                <w:color w:val="auto"/>
                <w:highlight w:val="none"/>
              </w:rPr>
              <w:t>3</w:t>
            </w:r>
            <w:r>
              <w:rPr>
                <w:rFonts w:hint="eastAsia"/>
                <w:color w:val="auto"/>
                <w:highlight w:val="none"/>
              </w:rPr>
              <w:t>种形式。</w:t>
            </w:r>
          </w:p>
        </w:tc>
        <w:tc>
          <w:tcPr>
            <w:tcW w:w="2111" w:type="pct"/>
            <w:tcBorders>
              <w:tl2br w:val="nil"/>
              <w:tr2bl w:val="nil"/>
            </w:tcBorders>
            <w:vAlign w:val="center"/>
          </w:tcPr>
          <w:p>
            <w:pPr>
              <w:pStyle w:val="28"/>
              <w:widowControl w:val="0"/>
              <w:jc w:val="left"/>
              <w:rPr>
                <w:color w:val="auto"/>
                <w:highlight w:val="none"/>
              </w:rPr>
            </w:pPr>
            <w:r>
              <w:rPr>
                <w:rFonts w:hint="eastAsia"/>
                <w:b/>
                <w:bCs/>
                <w:color w:val="auto"/>
                <w:highlight w:val="none"/>
              </w:rPr>
              <w:t>该方法所需设备简单、费用低廉、不需再生和后续处理、能耗小、管理方便，</w:t>
            </w:r>
            <w:r>
              <w:rPr>
                <w:rFonts w:hint="eastAsia"/>
                <w:color w:val="auto"/>
                <w:highlight w:val="none"/>
              </w:rPr>
              <w:t>但占地面积相对较大，需要生物培育，系统启动费事。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28"/>
              <w:widowControl w:val="0"/>
              <w:rPr>
                <w:color w:val="auto"/>
                <w:highlight w:val="none"/>
              </w:rPr>
            </w:pPr>
            <w:r>
              <w:rPr>
                <w:rFonts w:hint="eastAsia"/>
                <w:color w:val="auto"/>
                <w:highlight w:val="none"/>
              </w:rPr>
              <w:t>光氧催化法</w:t>
            </w:r>
          </w:p>
        </w:tc>
        <w:tc>
          <w:tcPr>
            <w:tcW w:w="2110" w:type="pct"/>
            <w:tcBorders>
              <w:tl2br w:val="nil"/>
              <w:tr2bl w:val="nil"/>
            </w:tcBorders>
            <w:vAlign w:val="center"/>
          </w:tcPr>
          <w:p>
            <w:pPr>
              <w:pStyle w:val="28"/>
              <w:widowControl w:val="0"/>
              <w:jc w:val="left"/>
              <w:rPr>
                <w:color w:val="auto"/>
                <w:highlight w:val="none"/>
              </w:rPr>
            </w:pPr>
            <w:r>
              <w:rPr>
                <w:rFonts w:hint="eastAsia"/>
                <w:color w:val="auto"/>
                <w:highlight w:val="none"/>
              </w:rPr>
              <w:t>通过</w:t>
            </w:r>
            <w:r>
              <w:rPr>
                <w:color w:val="auto"/>
                <w:highlight w:val="none"/>
              </w:rPr>
              <w:t>UV</w:t>
            </w:r>
            <w:r>
              <w:rPr>
                <w:rFonts w:hint="eastAsia"/>
                <w:color w:val="auto"/>
                <w:highlight w:val="none"/>
              </w:rPr>
              <w:t>紫外线照射把废气分从常态变为高速运动状态，再利用高能－</w:t>
            </w:r>
            <w:r>
              <w:rPr>
                <w:color w:val="auto"/>
                <w:highlight w:val="none"/>
              </w:rPr>
              <w:t>C</w:t>
            </w:r>
            <w:r>
              <w:rPr>
                <w:rFonts w:hint="eastAsia"/>
                <w:color w:val="auto"/>
                <w:highlight w:val="none"/>
              </w:rPr>
              <w:t>波段粉碎分子链结构，把有机化合物变成小分子、中子、原子，利用紫外线产生的</w:t>
            </w:r>
            <w:r>
              <w:rPr>
                <w:color w:val="auto"/>
                <w:highlight w:val="none"/>
              </w:rPr>
              <w:t>O</w:t>
            </w:r>
            <w:r>
              <w:rPr>
                <w:color w:val="auto"/>
                <w:highlight w:val="none"/>
                <w:vertAlign w:val="subscript"/>
              </w:rPr>
              <w:t>3</w:t>
            </w:r>
            <w:r>
              <w:rPr>
                <w:rFonts w:hint="eastAsia"/>
                <w:color w:val="auto"/>
                <w:highlight w:val="none"/>
              </w:rPr>
              <w:t>进行氧化，将污染物质变成为低分子无害物质或水和二氧化碳等。能处理氨、硫化氢、甲硫醇、甲硫醚、苯、苯乙</w:t>
            </w:r>
            <w:r>
              <w:rPr>
                <w:rFonts w:hint="eastAsia" w:ascii="宋体" w:hAnsi="宋体"/>
                <w:color w:val="auto"/>
                <w:sz w:val="24"/>
                <w:szCs w:val="24"/>
                <w:highlight w:val="none"/>
              </w:rPr>
              <w:t>烯、二硫化碳、三甲胺、二甲基二硫醚等高浓度混合气体。</w:t>
            </w:r>
          </w:p>
        </w:tc>
        <w:tc>
          <w:tcPr>
            <w:tcW w:w="2111" w:type="pct"/>
            <w:tcBorders>
              <w:tl2br w:val="nil"/>
              <w:tr2bl w:val="nil"/>
            </w:tcBorders>
            <w:vAlign w:val="center"/>
          </w:tcPr>
          <w:p>
            <w:pPr>
              <w:pStyle w:val="28"/>
              <w:widowControl w:val="0"/>
              <w:jc w:val="left"/>
              <w:rPr>
                <w:color w:val="auto"/>
                <w:highlight w:val="none"/>
              </w:rPr>
            </w:pPr>
            <w:r>
              <w:rPr>
                <w:rFonts w:hint="eastAsia"/>
                <w:b/>
                <w:bCs/>
                <w:color w:val="auto"/>
                <w:highlight w:val="none"/>
              </w:rPr>
              <w:t>净化技术可靠且非常稳定，净化设备无需日常维护，</w:t>
            </w:r>
            <w:r>
              <w:rPr>
                <w:rFonts w:hint="eastAsia"/>
                <w:color w:val="auto"/>
                <w:highlight w:val="none"/>
              </w:rPr>
              <w:t>只需接通电源，即可正常工作，</w:t>
            </w:r>
            <w:r>
              <w:rPr>
                <w:rFonts w:hint="eastAsia"/>
                <w:b/>
                <w:bCs/>
                <w:color w:val="auto"/>
                <w:highlight w:val="none"/>
              </w:rPr>
              <w:t>运行维护费用极低。</w:t>
            </w:r>
          </w:p>
        </w:tc>
      </w:tr>
    </w:tbl>
    <w:p>
      <w:pPr>
        <w:widowControl w:val="0"/>
        <w:ind w:firstLine="482"/>
        <w:rPr>
          <w:b/>
          <w:bCs/>
          <w:color w:val="auto"/>
          <w:highlight w:val="none"/>
        </w:rPr>
      </w:pPr>
      <w:r>
        <w:rPr>
          <w:rFonts w:hint="eastAsia"/>
          <w:b/>
          <w:bCs/>
          <w:color w:val="auto"/>
          <w:highlight w:val="none"/>
        </w:rPr>
        <w:t>②本项目所采用的处理措施及可行性</w:t>
      </w:r>
    </w:p>
    <w:p>
      <w:pPr>
        <w:widowControl w:val="0"/>
        <w:ind w:firstLine="480"/>
        <w:rPr>
          <w:color w:val="auto"/>
          <w:highlight w:val="none"/>
        </w:rPr>
      </w:pPr>
      <w:r>
        <w:rPr>
          <w:rFonts w:hint="eastAsia"/>
          <w:color w:val="auto"/>
          <w:highlight w:val="none"/>
        </w:rPr>
        <w:t>根据上述方法，化学洗涤方法费用较高，臭氧氧化法需要药液清洗配合，流程复杂，费用亦较高，活性炭需定期大量的更换且通常作为后处理，而生物除臭法设备简单、费用低廉、不需再生和后续处理、能耗小、管理方便，光氧催化净化法净化技术可靠且非常稳定且运行维护费用极低。为提高本项目臭气去除率，采用“UV光解+生物洗涤塔”两种工艺，联合处理效率约为</w:t>
      </w:r>
      <w:r>
        <w:rPr>
          <w:color w:val="auto"/>
          <w:highlight w:val="none"/>
        </w:rPr>
        <w:t>90%</w:t>
      </w:r>
      <w:r>
        <w:rPr>
          <w:rFonts w:hint="eastAsia"/>
          <w:color w:val="auto"/>
          <w:highlight w:val="none"/>
        </w:rPr>
        <w:t>，适合本项目特点，故本项目选用“UV光解+生物洗涤塔”除臭技术经济可行。</w:t>
      </w:r>
    </w:p>
    <w:p>
      <w:pPr>
        <w:widowControl w:val="0"/>
        <w:ind w:firstLine="480"/>
        <w:rPr>
          <w:color w:val="auto"/>
          <w:highlight w:val="none"/>
        </w:rPr>
      </w:pPr>
      <w:r>
        <w:rPr>
          <w:rFonts w:hint="eastAsia"/>
          <w:color w:val="auto"/>
          <w:highlight w:val="none"/>
        </w:rPr>
        <w:t>除了将废气无组织变成有组织排放，并增设废气处理装置外，针对各单元恶臭物质采取如下措施：</w:t>
      </w:r>
    </w:p>
    <w:p>
      <w:pPr>
        <w:widowControl w:val="0"/>
        <w:ind w:firstLine="480"/>
        <w:rPr>
          <w:color w:val="auto"/>
          <w:highlight w:val="none"/>
        </w:rPr>
      </w:pPr>
      <w:r>
        <w:rPr>
          <w:color w:val="auto"/>
          <w:highlight w:val="none"/>
        </w:rPr>
        <w:t>1</w:t>
      </w:r>
      <w:r>
        <w:rPr>
          <w:rFonts w:hint="eastAsia"/>
          <w:color w:val="auto"/>
          <w:highlight w:val="none"/>
        </w:rPr>
        <w:t>）加强屠宰区管理，及时清理待宰圈以及屠宰车间内的牲畜粪便、胃内容物、碎肉和碎骨等废弃物，及时清洗地面；</w:t>
      </w:r>
    </w:p>
    <w:p>
      <w:pPr>
        <w:widowControl w:val="0"/>
        <w:ind w:firstLine="480"/>
        <w:rPr>
          <w:color w:val="auto"/>
          <w:highlight w:val="none"/>
        </w:rPr>
      </w:pPr>
      <w:r>
        <w:rPr>
          <w:color w:val="auto"/>
          <w:highlight w:val="none"/>
        </w:rPr>
        <w:t>2</w:t>
      </w:r>
      <w:r>
        <w:rPr>
          <w:rFonts w:hint="eastAsia"/>
          <w:color w:val="auto"/>
          <w:highlight w:val="none"/>
        </w:rPr>
        <w:t>）待宰圈内的粪便垃圾箱、内脏处理间内的胃内容物垃圾箱每日进行清理外运；</w:t>
      </w:r>
    </w:p>
    <w:p>
      <w:pPr>
        <w:widowControl w:val="0"/>
        <w:ind w:firstLine="480"/>
        <w:rPr>
          <w:color w:val="auto"/>
          <w:highlight w:val="none"/>
        </w:rPr>
      </w:pPr>
      <w:r>
        <w:rPr>
          <w:color w:val="auto"/>
          <w:highlight w:val="none"/>
        </w:rPr>
        <w:t>3</w:t>
      </w:r>
      <w:r>
        <w:rPr>
          <w:rFonts w:hint="eastAsia"/>
          <w:color w:val="auto"/>
          <w:highlight w:val="none"/>
        </w:rPr>
        <w:t>）猪毛、蹄壳等应及时袋装密封、外运出售；</w:t>
      </w:r>
    </w:p>
    <w:p>
      <w:pPr>
        <w:widowControl w:val="0"/>
        <w:ind w:firstLine="480"/>
        <w:rPr>
          <w:color w:val="auto"/>
          <w:highlight w:val="none"/>
        </w:rPr>
      </w:pPr>
      <w:r>
        <w:rPr>
          <w:color w:val="auto"/>
          <w:highlight w:val="none"/>
        </w:rPr>
        <w:t>4</w:t>
      </w:r>
      <w:r>
        <w:rPr>
          <w:rFonts w:hint="eastAsia"/>
          <w:color w:val="auto"/>
          <w:highlight w:val="none"/>
        </w:rPr>
        <w:t>）生产车间加强管理，及时将恶臭污染物送入下道工序合理处置；</w:t>
      </w:r>
    </w:p>
    <w:p>
      <w:pPr>
        <w:widowControl w:val="0"/>
        <w:ind w:firstLine="480"/>
        <w:rPr>
          <w:color w:val="auto"/>
          <w:highlight w:val="none"/>
        </w:rPr>
      </w:pPr>
      <w:r>
        <w:rPr>
          <w:color w:val="auto"/>
          <w:highlight w:val="none"/>
        </w:rPr>
        <w:t>5</w:t>
      </w:r>
      <w:r>
        <w:rPr>
          <w:rFonts w:hint="eastAsia"/>
          <w:color w:val="auto"/>
          <w:highlight w:val="none"/>
        </w:rPr>
        <w:t>）猪血及时抽入制冷罐内冷藏存放，每日外售；</w:t>
      </w:r>
    </w:p>
    <w:p>
      <w:pPr>
        <w:widowControl w:val="0"/>
        <w:ind w:firstLine="480"/>
        <w:rPr>
          <w:color w:val="auto"/>
          <w:highlight w:val="none"/>
        </w:rPr>
      </w:pPr>
      <w:r>
        <w:rPr>
          <w:color w:val="auto"/>
          <w:highlight w:val="none"/>
        </w:rPr>
        <w:t>6</w:t>
      </w:r>
      <w:r>
        <w:rPr>
          <w:rFonts w:hint="eastAsia"/>
          <w:color w:val="auto"/>
          <w:highlight w:val="none"/>
        </w:rPr>
        <w:t>）车间在一天的工作结束后对其进行彻底清洗；车间在设计时应确保地面具有一定坡度（一般为</w:t>
      </w:r>
      <w:r>
        <w:rPr>
          <w:color w:val="auto"/>
          <w:highlight w:val="none"/>
        </w:rPr>
        <w:t>1.5%</w:t>
      </w:r>
      <w:r>
        <w:rPr>
          <w:rFonts w:hint="eastAsia"/>
          <w:color w:val="auto"/>
          <w:highlight w:val="none"/>
        </w:rPr>
        <w:t>～</w:t>
      </w:r>
      <w:r>
        <w:rPr>
          <w:color w:val="auto"/>
          <w:highlight w:val="none"/>
        </w:rPr>
        <w:t>3%</w:t>
      </w:r>
      <w:r>
        <w:rPr>
          <w:rFonts w:hint="eastAsia"/>
          <w:color w:val="auto"/>
          <w:highlight w:val="none"/>
        </w:rPr>
        <w:t>），并应建良好的排水管线，确保废水顺利及时排放，不造成废水淤积；</w:t>
      </w:r>
    </w:p>
    <w:p>
      <w:pPr>
        <w:widowControl w:val="0"/>
        <w:ind w:firstLine="480"/>
        <w:rPr>
          <w:color w:val="auto"/>
          <w:highlight w:val="none"/>
        </w:rPr>
      </w:pPr>
      <w:r>
        <w:rPr>
          <w:color w:val="auto"/>
          <w:highlight w:val="none"/>
        </w:rPr>
        <w:t>7</w:t>
      </w:r>
      <w:r>
        <w:rPr>
          <w:rFonts w:hint="eastAsia"/>
          <w:color w:val="auto"/>
          <w:highlight w:val="none"/>
        </w:rPr>
        <w:t>）污泥处理设施应设在非完全敞开式的建筑内。污水处理站运行过程中要加强管理，控制污泥发酵，污泥脱水后要及时清运，定时清洗污泥脱水机；格栅机所截留的栅渣及时清运，清洗污迹；及时清理沉淀池、调节池、格栅隔油池等产生的废渣、浮油等；</w:t>
      </w:r>
    </w:p>
    <w:p>
      <w:pPr>
        <w:widowControl w:val="0"/>
        <w:ind w:firstLine="480"/>
        <w:rPr>
          <w:color w:val="auto"/>
          <w:highlight w:val="none"/>
        </w:rPr>
      </w:pPr>
      <w:r>
        <w:rPr>
          <w:color w:val="auto"/>
          <w:highlight w:val="none"/>
        </w:rPr>
        <w:t>8</w:t>
      </w:r>
      <w:r>
        <w:rPr>
          <w:rFonts w:hint="eastAsia"/>
          <w:color w:val="auto"/>
          <w:highlight w:val="none"/>
        </w:rPr>
        <w:t>）在污水处理站周围种植抗害性强的乔灌木，厂界四周种植抗污能力综合值较大的乔木，尽量降低恶臭对外环境的影响；</w:t>
      </w:r>
    </w:p>
    <w:p>
      <w:pPr>
        <w:widowControl w:val="0"/>
        <w:ind w:firstLine="480"/>
        <w:rPr>
          <w:color w:val="auto"/>
          <w:highlight w:val="none"/>
        </w:rPr>
      </w:pPr>
      <w:r>
        <w:rPr>
          <w:color w:val="auto"/>
          <w:highlight w:val="none"/>
        </w:rPr>
        <w:t>9</w:t>
      </w:r>
      <w:r>
        <w:rPr>
          <w:rFonts w:hint="eastAsia"/>
          <w:color w:val="auto"/>
          <w:highlight w:val="none"/>
        </w:rPr>
        <w:t>）根据项目特点，项目风机采用变频器调节气量。</w:t>
      </w:r>
    </w:p>
    <w:p>
      <w:pPr>
        <w:widowControl w:val="0"/>
        <w:ind w:firstLine="482"/>
        <w:rPr>
          <w:b/>
          <w:bCs/>
          <w:color w:val="auto"/>
          <w:highlight w:val="none"/>
        </w:rPr>
      </w:pPr>
      <w:r>
        <w:rPr>
          <w:rFonts w:hint="eastAsia"/>
          <w:b/>
          <w:bCs/>
          <w:color w:val="auto"/>
          <w:highlight w:val="none"/>
        </w:rPr>
        <w:t>③排气筒设置</w:t>
      </w:r>
    </w:p>
    <w:p>
      <w:pPr>
        <w:widowControl w:val="0"/>
        <w:ind w:firstLine="480"/>
        <w:rPr>
          <w:color w:val="auto"/>
          <w:highlight w:val="none"/>
        </w:rPr>
      </w:pPr>
      <w:r>
        <w:rPr>
          <w:rFonts w:hint="eastAsia"/>
          <w:color w:val="auto"/>
          <w:highlight w:val="none"/>
        </w:rPr>
        <w:t>项目臭气采用两套臭气处理系统，屠宰车间单独采用一套臭气处理系统，通过</w:t>
      </w:r>
      <w:r>
        <w:rPr>
          <w:color w:val="auto"/>
          <w:highlight w:val="none"/>
        </w:rPr>
        <w:t>1</w:t>
      </w:r>
      <w:r>
        <w:rPr>
          <w:rFonts w:hint="eastAsia"/>
          <w:color w:val="auto"/>
          <w:highlight w:val="none"/>
        </w:rPr>
        <w:t>根直径1.2</w:t>
      </w:r>
      <w:r>
        <w:rPr>
          <w:color w:val="auto"/>
          <w:highlight w:val="none"/>
        </w:rPr>
        <w:t>m</w:t>
      </w:r>
      <w:r>
        <w:rPr>
          <w:rFonts w:hint="eastAsia"/>
          <w:color w:val="auto"/>
          <w:highlight w:val="none"/>
        </w:rPr>
        <w:t>，高度</w:t>
      </w:r>
      <w:r>
        <w:rPr>
          <w:color w:val="auto"/>
          <w:highlight w:val="none"/>
        </w:rPr>
        <w:t>15</w:t>
      </w:r>
      <w:r>
        <w:rPr>
          <w:rFonts w:hint="eastAsia"/>
          <w:color w:val="auto"/>
          <w:highlight w:val="none"/>
        </w:rPr>
        <w:t>m的排气筒（P2）排放；其余系统采用一套臭气处理系统，通过</w:t>
      </w:r>
      <w:r>
        <w:rPr>
          <w:color w:val="auto"/>
          <w:highlight w:val="none"/>
        </w:rPr>
        <w:t>1</w:t>
      </w:r>
      <w:r>
        <w:rPr>
          <w:rFonts w:hint="eastAsia"/>
          <w:color w:val="auto"/>
          <w:highlight w:val="none"/>
        </w:rPr>
        <w:t>根直径</w:t>
      </w:r>
      <w:r>
        <w:rPr>
          <w:color w:val="auto"/>
          <w:highlight w:val="none"/>
        </w:rPr>
        <w:t>0.8m</w:t>
      </w:r>
      <w:r>
        <w:rPr>
          <w:rFonts w:hint="eastAsia"/>
          <w:color w:val="auto"/>
          <w:highlight w:val="none"/>
        </w:rPr>
        <w:t>，高度</w:t>
      </w:r>
      <w:r>
        <w:rPr>
          <w:color w:val="auto"/>
          <w:highlight w:val="none"/>
        </w:rPr>
        <w:t>15</w:t>
      </w:r>
      <w:r>
        <w:rPr>
          <w:rFonts w:hint="eastAsia"/>
          <w:color w:val="auto"/>
          <w:highlight w:val="none"/>
        </w:rPr>
        <w:t>m的排气筒（P1）排放。</w:t>
      </w:r>
    </w:p>
    <w:p>
      <w:pPr>
        <w:widowControl w:val="0"/>
        <w:ind w:firstLine="482"/>
        <w:rPr>
          <w:b/>
          <w:bCs/>
          <w:color w:val="auto"/>
          <w:highlight w:val="none"/>
        </w:rPr>
      </w:pPr>
      <w:r>
        <w:rPr>
          <w:rFonts w:hint="eastAsia"/>
          <w:b/>
          <w:bCs/>
          <w:color w:val="auto"/>
          <w:highlight w:val="none"/>
        </w:rPr>
        <w:t>该项目在采取以上环保措施后，本项目采用的恶臭治理措施可行。</w:t>
      </w:r>
    </w:p>
    <w:p>
      <w:pPr>
        <w:pStyle w:val="6"/>
        <w:widowControl w:val="0"/>
        <w:ind w:left="-160" w:firstLineChars="0"/>
        <w:rPr>
          <w:color w:val="auto"/>
          <w:highlight w:val="none"/>
        </w:rPr>
      </w:pPr>
      <w:r>
        <w:rPr>
          <w:rFonts w:hint="eastAsia"/>
          <w:color w:val="auto"/>
          <w:highlight w:val="none"/>
        </w:rPr>
        <w:t>食堂油烟防治措施</w:t>
      </w:r>
    </w:p>
    <w:p>
      <w:pPr>
        <w:widowControl w:val="0"/>
        <w:ind w:firstLine="480"/>
        <w:rPr>
          <w:color w:val="auto"/>
          <w:highlight w:val="none"/>
        </w:rPr>
      </w:pPr>
      <w:r>
        <w:rPr>
          <w:rFonts w:hint="eastAsia"/>
          <w:color w:val="auto"/>
          <w:highlight w:val="none"/>
        </w:rPr>
        <w:t>本环评要求按照国家关于《饮食业油烟排放标准（试行）》（</w:t>
      </w:r>
      <w:r>
        <w:rPr>
          <w:color w:val="auto"/>
          <w:highlight w:val="none"/>
        </w:rPr>
        <w:t>GB18483-2001</w:t>
      </w:r>
      <w:r>
        <w:rPr>
          <w:rFonts w:hint="eastAsia"/>
          <w:color w:val="auto"/>
          <w:highlight w:val="none"/>
        </w:rPr>
        <w:t>）标准要求，安装油烟去除效率与其规模相匹配的油烟净化装置和专门的油烟排气筒，确保其排放烟气中油烟浓度值达到标准限值（</w:t>
      </w:r>
      <w:r>
        <w:rPr>
          <w:color w:val="auto"/>
          <w:highlight w:val="none"/>
        </w:rPr>
        <w:t>≤2.0mg/m</w:t>
      </w:r>
      <w:r>
        <w:rPr>
          <w:color w:val="auto"/>
          <w:highlight w:val="none"/>
          <w:vertAlign w:val="superscript"/>
        </w:rPr>
        <w:t>3</w:t>
      </w:r>
      <w:r>
        <w:rPr>
          <w:rFonts w:hint="eastAsia"/>
          <w:color w:val="auto"/>
          <w:highlight w:val="none"/>
        </w:rPr>
        <w:t>）的要求。食堂油烟经油烟净化器处理后引至楼顶排放。</w:t>
      </w:r>
    </w:p>
    <w:p>
      <w:pPr>
        <w:widowControl w:val="0"/>
        <w:ind w:firstLine="480"/>
        <w:rPr>
          <w:color w:val="auto"/>
          <w:highlight w:val="none"/>
        </w:rPr>
      </w:pPr>
      <w:r>
        <w:rPr>
          <w:rFonts w:hint="eastAsia"/>
          <w:color w:val="auto"/>
          <w:highlight w:val="none"/>
        </w:rPr>
        <w:t>综上所述，项目运营期采取的大气污染防治措施技术经济可行。环评要求建设单位加强厂区绿化、及时清洗设备和地坪、废弃物桶装收集并日产日清，以进一步减少恶臭的环境影响。</w:t>
      </w:r>
    </w:p>
    <w:p>
      <w:pPr>
        <w:pStyle w:val="6"/>
        <w:widowControl w:val="0"/>
        <w:ind w:left="-160" w:firstLineChars="0"/>
        <w:rPr>
          <w:color w:val="auto"/>
          <w:highlight w:val="none"/>
        </w:rPr>
      </w:pPr>
      <w:r>
        <w:rPr>
          <w:rFonts w:hint="eastAsia"/>
          <w:color w:val="auto"/>
          <w:highlight w:val="none"/>
        </w:rPr>
        <w:t>天然气废气</w:t>
      </w:r>
    </w:p>
    <w:p>
      <w:pPr>
        <w:widowControl w:val="0"/>
        <w:ind w:firstLine="480"/>
        <w:rPr>
          <w:color w:val="auto"/>
          <w:highlight w:val="none"/>
        </w:rPr>
      </w:pPr>
      <w:r>
        <w:rPr>
          <w:rFonts w:hint="eastAsia"/>
          <w:color w:val="auto"/>
          <w:highlight w:val="none"/>
        </w:rPr>
        <w:t>本项目设备设置于屠宰车间</w:t>
      </w:r>
      <w:r>
        <w:rPr>
          <w:rFonts w:hint="eastAsia"/>
          <w:color w:val="auto"/>
          <w:highlight w:val="none"/>
          <w:lang w:val="en-US" w:eastAsia="zh-CN"/>
        </w:rPr>
        <w:t>南侧</w:t>
      </w:r>
      <w:r>
        <w:rPr>
          <w:rFonts w:hint="eastAsia"/>
          <w:color w:val="auto"/>
          <w:highlight w:val="none"/>
        </w:rPr>
        <w:t>，两台设备共用一根排气筒至楼顶排放（h=8m），燃烧后的废气直接通过排气筒排出。</w:t>
      </w:r>
    </w:p>
    <w:p>
      <w:pPr>
        <w:widowControl w:val="0"/>
        <w:ind w:firstLine="480"/>
        <w:rPr>
          <w:color w:val="auto"/>
          <w:highlight w:val="none"/>
        </w:rPr>
      </w:pPr>
      <w:r>
        <w:rPr>
          <w:rFonts w:hint="eastAsia"/>
          <w:color w:val="auto"/>
          <w:highlight w:val="none"/>
        </w:rPr>
        <w:t>天然气属清洁能源，产生的燃烧废气，对周边环境影响较小，项目采取增强厂区绿化，排气筒设置远离居民敏感点，采取上述措施后，天然气产生的燃烧废气影响较小。</w:t>
      </w:r>
    </w:p>
    <w:p>
      <w:pPr>
        <w:pStyle w:val="6"/>
        <w:widowControl w:val="0"/>
        <w:ind w:left="-160" w:firstLineChars="0"/>
        <w:rPr>
          <w:color w:val="auto"/>
          <w:highlight w:val="none"/>
        </w:rPr>
      </w:pPr>
      <w:r>
        <w:rPr>
          <w:rFonts w:hint="eastAsia"/>
          <w:color w:val="auto"/>
          <w:highlight w:val="none"/>
        </w:rPr>
        <w:t>结论</w:t>
      </w:r>
    </w:p>
    <w:p>
      <w:pPr>
        <w:widowControl w:val="0"/>
        <w:ind w:firstLine="480"/>
        <w:rPr>
          <w:color w:val="auto"/>
          <w:highlight w:val="none"/>
        </w:rPr>
      </w:pPr>
      <w:r>
        <w:rPr>
          <w:color w:val="auto"/>
          <w:highlight w:val="none"/>
        </w:rPr>
        <w:t>综上，建设单位对不同类型的废气污染物采取了针对性的环保设施，环保设施在正常运行的情况下，可以做到达标排放，采取的废气治理措施是可行的。</w:t>
      </w:r>
    </w:p>
    <w:p>
      <w:pPr>
        <w:pStyle w:val="5"/>
        <w:widowControl w:val="0"/>
        <w:ind w:firstLine="120"/>
        <w:rPr>
          <w:color w:val="auto"/>
          <w:highlight w:val="none"/>
        </w:rPr>
      </w:pPr>
      <w:r>
        <w:rPr>
          <w:rFonts w:hint="eastAsia"/>
          <w:color w:val="auto"/>
          <w:highlight w:val="none"/>
        </w:rPr>
        <w:t>地下水污染防治措施</w:t>
      </w:r>
    </w:p>
    <w:p>
      <w:pPr>
        <w:widowControl w:val="0"/>
        <w:ind w:firstLine="480"/>
        <w:rPr>
          <w:color w:val="auto"/>
          <w:highlight w:val="none"/>
        </w:rPr>
      </w:pPr>
      <w:r>
        <w:rPr>
          <w:rFonts w:hint="eastAsia"/>
          <w:color w:val="auto"/>
          <w:highlight w:val="none"/>
        </w:rPr>
        <w:t>按照“源头控制、分区防控、污染监控、应急响应”原则，地下水污染防治措施分为主动防渗措施和被动防渗措施，主动防渗措施是为了防止和减少污染物跑、冒、滴、漏，从源头上采取的控制污染物泄露的各种防渗措施。被动防渗措施是为了防止和减少污染物渗漏进入地下水体，采取的各种防渗措施，包括泄露的隔离、收集等措施。建立地下水环境监测管理体系，制定地下水环境影响跟踪监测计划。</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）主动防渗漏措施</w:t>
      </w:r>
    </w:p>
    <w:p>
      <w:pPr>
        <w:widowControl w:val="0"/>
        <w:ind w:firstLine="482"/>
        <w:rPr>
          <w:b/>
          <w:bCs/>
          <w:color w:val="auto"/>
          <w:highlight w:val="none"/>
        </w:rPr>
      </w:pPr>
      <w:r>
        <w:rPr>
          <w:rFonts w:hint="eastAsia"/>
          <w:b/>
          <w:bCs/>
          <w:color w:val="auto"/>
          <w:highlight w:val="none"/>
        </w:rPr>
        <w:t>①工艺控制措施</w:t>
      </w:r>
    </w:p>
    <w:p>
      <w:pPr>
        <w:widowControl w:val="0"/>
        <w:ind w:firstLine="480"/>
        <w:rPr>
          <w:color w:val="auto"/>
          <w:highlight w:val="none"/>
        </w:rPr>
      </w:pPr>
      <w:r>
        <w:rPr>
          <w:rFonts w:hint="eastAsia"/>
          <w:color w:val="auto"/>
          <w:highlight w:val="none"/>
        </w:rPr>
        <w:t>生产区域内易产生泄漏的设备尽可能集中布置；消毒用化学品按规范设置、防止渗漏处理。</w:t>
      </w:r>
    </w:p>
    <w:p>
      <w:pPr>
        <w:widowControl w:val="0"/>
        <w:ind w:firstLine="482"/>
        <w:rPr>
          <w:b/>
          <w:bCs/>
          <w:color w:val="auto"/>
          <w:highlight w:val="none"/>
        </w:rPr>
      </w:pPr>
      <w:r>
        <w:rPr>
          <w:rFonts w:hint="eastAsia"/>
          <w:b/>
          <w:bCs/>
          <w:color w:val="auto"/>
          <w:highlight w:val="none"/>
        </w:rPr>
        <w:t>②建筑结构防控措施</w:t>
      </w:r>
    </w:p>
    <w:p>
      <w:pPr>
        <w:widowControl w:val="0"/>
        <w:ind w:firstLine="480"/>
        <w:rPr>
          <w:color w:val="auto"/>
          <w:highlight w:val="none"/>
        </w:rPr>
      </w:pPr>
      <w:r>
        <w:rPr>
          <w:rFonts w:hint="eastAsia"/>
          <w:color w:val="auto"/>
          <w:highlight w:val="none"/>
        </w:rPr>
        <w:t>厂房内有可能发生化学药品或含有污染物的介质泄漏的地面按污染区地面处理，地面坡向集水点的坡度须大于</w:t>
      </w:r>
      <w:r>
        <w:rPr>
          <w:color w:val="auto"/>
          <w:highlight w:val="none"/>
        </w:rPr>
        <w:t>0.01</w:t>
      </w:r>
      <w:r>
        <w:rPr>
          <w:rFonts w:hint="eastAsia"/>
          <w:color w:val="auto"/>
          <w:highlight w:val="none"/>
        </w:rPr>
        <w:t>；混凝土含碱量最大限值应符合《混凝土碱含量限值标准》（</w:t>
      </w:r>
      <w:r>
        <w:rPr>
          <w:color w:val="auto"/>
          <w:highlight w:val="none"/>
        </w:rPr>
        <w:t>CECS53</w:t>
      </w:r>
      <w:r>
        <w:rPr>
          <w:rFonts w:hint="eastAsia"/>
          <w:color w:val="auto"/>
          <w:highlight w:val="none"/>
        </w:rPr>
        <w:t>）的规定；厂房内污染区的排水沟按相应分区进行防渗处理。</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）被动防渗漏措施</w:t>
      </w:r>
    </w:p>
    <w:p>
      <w:pPr>
        <w:widowControl w:val="0"/>
        <w:ind w:firstLine="480"/>
        <w:rPr>
          <w:color w:val="auto"/>
          <w:highlight w:val="none"/>
        </w:rPr>
      </w:pPr>
      <w:r>
        <w:rPr>
          <w:rFonts w:hint="eastAsia"/>
          <w:color w:val="auto"/>
          <w:highlight w:val="none"/>
        </w:rPr>
        <w:t>本项目的防渗层铺设采用地表铺设方式，可将防渗层上阻隔的污染物统一收集、根据《环境影响评价技术导则地下水环境》（</w:t>
      </w:r>
      <w:r>
        <w:rPr>
          <w:color w:val="auto"/>
          <w:highlight w:val="none"/>
        </w:rPr>
        <w:t>HJ610-2016</w:t>
      </w:r>
      <w:r>
        <w:rPr>
          <w:rFonts w:hint="eastAsia"/>
          <w:color w:val="auto"/>
          <w:highlight w:val="none"/>
        </w:rPr>
        <w:t>）防渗分区原则，将本项目分划为重点防渗区、一般防渗区和简单防渗区，划分区域如下：</w:t>
      </w:r>
    </w:p>
    <w:p>
      <w:pPr>
        <w:widowControl w:val="0"/>
        <w:ind w:firstLine="482"/>
        <w:rPr>
          <w:color w:val="auto"/>
          <w:highlight w:val="none"/>
        </w:rPr>
      </w:pPr>
      <w:r>
        <w:rPr>
          <w:rFonts w:hint="eastAsia"/>
          <w:b/>
          <w:bCs/>
          <w:color w:val="auto"/>
          <w:highlight w:val="none"/>
        </w:rPr>
        <w:t>重点防渗区：</w:t>
      </w:r>
      <w:r>
        <w:rPr>
          <w:rFonts w:hint="eastAsia"/>
          <w:color w:val="auto"/>
          <w:highlight w:val="none"/>
        </w:rPr>
        <w:t>危废暂存间采用防渗混凝土</w:t>
      </w:r>
      <w:r>
        <w:rPr>
          <w:color w:val="auto"/>
          <w:highlight w:val="none"/>
        </w:rPr>
        <w:t>+2mmHDPE</w:t>
      </w:r>
      <w:r>
        <w:rPr>
          <w:rFonts w:hint="eastAsia"/>
          <w:color w:val="auto"/>
          <w:highlight w:val="none"/>
        </w:rPr>
        <w:t>防渗膜+金属托盘，可满足等效粘土防渗层Mb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-10</w:t>
      </w:r>
      <w:r>
        <w:rPr>
          <w:rFonts w:hint="eastAsia"/>
          <w:color w:val="auto"/>
          <w:highlight w:val="none"/>
        </w:rPr>
        <w:t>cm/s的要求；药品库、污水处理站及污水管网、污水处理站加药间、无害化暂存间均采用防渗混凝土+</w:t>
      </w:r>
      <w:r>
        <w:rPr>
          <w:color w:val="auto"/>
          <w:highlight w:val="none"/>
        </w:rPr>
        <w:t>2mmHDPE</w:t>
      </w:r>
      <w:r>
        <w:rPr>
          <w:rFonts w:hint="eastAsia"/>
          <w:color w:val="auto"/>
          <w:highlight w:val="none"/>
        </w:rPr>
        <w:t>防渗膜可满足等效粘土防渗层Mb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-7</w:t>
      </w:r>
      <w:r>
        <w:rPr>
          <w:rFonts w:hint="eastAsia"/>
          <w:color w:val="auto"/>
          <w:highlight w:val="none"/>
        </w:rPr>
        <w:t>cm/s的要求。</w:t>
      </w:r>
    </w:p>
    <w:p>
      <w:pPr>
        <w:widowControl w:val="0"/>
        <w:ind w:firstLine="482"/>
        <w:rPr>
          <w:color w:val="auto"/>
          <w:highlight w:val="none"/>
        </w:rPr>
      </w:pPr>
      <w:r>
        <w:rPr>
          <w:rFonts w:hint="eastAsia"/>
          <w:b/>
          <w:bCs/>
          <w:color w:val="auto"/>
          <w:highlight w:val="none"/>
        </w:rPr>
        <w:t>一般防渗区：</w:t>
      </w:r>
      <w:r>
        <w:rPr>
          <w:rFonts w:hint="eastAsia"/>
          <w:color w:val="auto"/>
          <w:highlight w:val="none"/>
        </w:rPr>
        <w:t>待宰圈、屠宰车间、急宰间、隔离间、垃圾回收站、应急事故池、废水暂存池为一般防渗区，防渗技术采用防渗混凝土可满足等效粘土防渗层</w:t>
      </w:r>
      <w:r>
        <w:rPr>
          <w:color w:val="auto"/>
          <w:highlight w:val="none"/>
        </w:rPr>
        <w:t>Mb≥1.5m</w:t>
      </w:r>
      <w:r>
        <w:rPr>
          <w:rFonts w:hint="eastAsia"/>
          <w:color w:val="auto"/>
          <w:highlight w:val="none"/>
        </w:rPr>
        <w:t>，</w:t>
      </w:r>
      <w:r>
        <w:rPr>
          <w:color w:val="auto"/>
          <w:highlight w:val="none"/>
        </w:rPr>
        <w:t>K≤10</w:t>
      </w:r>
      <w:r>
        <w:rPr>
          <w:color w:val="auto"/>
          <w:highlight w:val="none"/>
          <w:vertAlign w:val="superscript"/>
        </w:rPr>
        <w:t>-7</w:t>
      </w:r>
      <w:r>
        <w:rPr>
          <w:color w:val="auto"/>
          <w:highlight w:val="none"/>
        </w:rPr>
        <w:t>cm/s</w:t>
      </w:r>
      <w:r>
        <w:rPr>
          <w:rFonts w:hint="eastAsia"/>
          <w:color w:val="auto"/>
          <w:highlight w:val="none"/>
        </w:rPr>
        <w:t>的要求。</w:t>
      </w:r>
    </w:p>
    <w:p>
      <w:pPr>
        <w:widowControl w:val="0"/>
        <w:ind w:firstLine="482"/>
        <w:rPr>
          <w:color w:val="auto"/>
          <w:highlight w:val="none"/>
        </w:rPr>
      </w:pPr>
      <w:r>
        <w:rPr>
          <w:rFonts w:hint="eastAsia"/>
          <w:b/>
          <w:bCs/>
          <w:color w:val="auto"/>
          <w:highlight w:val="none"/>
        </w:rPr>
        <w:t>简单防渗区：</w:t>
      </w:r>
      <w:r>
        <w:rPr>
          <w:rFonts w:hint="eastAsia"/>
          <w:color w:val="auto"/>
          <w:highlight w:val="none"/>
        </w:rPr>
        <w:t>倒班房、道路等除重点防渗区和一般防渗区以外的区域。防渗技术要求为一般地面硬化。</w:t>
      </w:r>
    </w:p>
    <w:p>
      <w:pPr>
        <w:widowControl w:val="0"/>
        <w:ind w:firstLine="482"/>
        <w:rPr>
          <w:b/>
          <w:bCs/>
          <w:color w:val="auto"/>
          <w:highlight w:val="none"/>
        </w:rPr>
      </w:pPr>
      <w:r>
        <w:rPr>
          <w:rFonts w:hint="eastAsia"/>
          <w:b/>
          <w:bCs/>
          <w:color w:val="auto"/>
          <w:highlight w:val="none"/>
        </w:rPr>
        <w:t>防渗工程设计原则：</w:t>
      </w:r>
    </w:p>
    <w:p>
      <w:pPr>
        <w:widowControl w:val="0"/>
        <w:ind w:firstLine="480"/>
        <w:rPr>
          <w:color w:val="auto"/>
          <w:highlight w:val="none"/>
        </w:rPr>
      </w:pPr>
      <w:r>
        <w:rPr>
          <w:rFonts w:hint="eastAsia"/>
          <w:color w:val="auto"/>
          <w:highlight w:val="none"/>
        </w:rPr>
        <w:t>采用国内先进的防渗材料、技术和实施手段，杜绝对区域内地下水的影响，确保不因项目运行而对区域地下水造成任何污染影响。</w:t>
      </w:r>
    </w:p>
    <w:p>
      <w:pPr>
        <w:widowControl w:val="0"/>
        <w:ind w:firstLine="480"/>
        <w:rPr>
          <w:color w:val="auto"/>
          <w:highlight w:val="none"/>
        </w:rPr>
      </w:pPr>
      <w:r>
        <w:rPr>
          <w:rFonts w:hint="eastAsia"/>
          <w:color w:val="auto"/>
          <w:highlight w:val="none"/>
        </w:rPr>
        <w:t>坚持分区管理和控制原则，根据场址所在地的工程水文地质条件和全厂可能发生泄漏的物料性质，参照相应标准要求有针对性的分区，并分别设计地面防渗层结构。</w:t>
      </w:r>
    </w:p>
    <w:p>
      <w:pPr>
        <w:widowControl w:val="0"/>
        <w:ind w:firstLine="480"/>
        <w:rPr>
          <w:color w:val="auto"/>
          <w:highlight w:val="none"/>
        </w:rPr>
      </w:pPr>
      <w:r>
        <w:rPr>
          <w:rFonts w:hint="eastAsia"/>
          <w:color w:val="auto"/>
          <w:highlight w:val="none"/>
        </w:rPr>
        <w:t>坚持“可视化”原则，在满足工程和防渗层结构标准要求的前提下，尽量在地表面实施防渗措施，便于泄漏物质的收集和及时发现破损的防渗层。</w:t>
      </w:r>
    </w:p>
    <w:p>
      <w:pPr>
        <w:widowControl w:val="0"/>
        <w:ind w:firstLine="480"/>
        <w:jc w:val="left"/>
        <w:rPr>
          <w:rFonts w:ascii="宋体" w:hAnsi="宋体"/>
          <w:color w:val="auto"/>
          <w:szCs w:val="24"/>
          <w:highlight w:val="none"/>
        </w:rPr>
      </w:pPr>
      <w:r>
        <w:rPr>
          <w:rFonts w:hint="eastAsia"/>
          <w:color w:val="auto"/>
          <w:highlight w:val="none"/>
        </w:rPr>
        <w:t>防渗层上渗漏污染物和防渗层内渗漏污染物收集系统与全厂“三废”处理措施统筹考虑，</w:t>
      </w:r>
      <w:r>
        <w:rPr>
          <w:rFonts w:hint="eastAsia" w:ascii="宋体" w:hAnsi="宋体"/>
          <w:color w:val="auto"/>
          <w:szCs w:val="24"/>
          <w:highlight w:val="none"/>
        </w:rPr>
        <w:t>统一处理。</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）其他防治措施</w:t>
      </w:r>
    </w:p>
    <w:p>
      <w:pPr>
        <w:widowControl w:val="0"/>
        <w:ind w:firstLine="480"/>
        <w:rPr>
          <w:color w:val="auto"/>
          <w:highlight w:val="none"/>
        </w:rPr>
      </w:pPr>
      <w:r>
        <w:rPr>
          <w:rFonts w:hint="eastAsia"/>
          <w:color w:val="auto"/>
          <w:highlight w:val="none"/>
        </w:rPr>
        <w:t>本项目生产工艺采用国内成熟的工艺，减少污染物的排放；各防渗分区做好地面硬化，采取防雨、防风、防渗措施，污水管道等选用做防渗、防腐处理的管道。</w:t>
      </w:r>
    </w:p>
    <w:p>
      <w:pPr>
        <w:widowControl w:val="0"/>
        <w:ind w:firstLine="480"/>
        <w:rPr>
          <w:color w:val="auto"/>
          <w:highlight w:val="none"/>
        </w:rPr>
      </w:pPr>
      <w:r>
        <w:rPr>
          <w:rFonts w:hint="eastAsia"/>
          <w:color w:val="auto"/>
          <w:highlight w:val="none"/>
        </w:rPr>
        <w:t>①排水管道必须具有足够的强度，以承受外部荷载和内部水压，外部荷载包括土压力形成的静荷载和由车辆运行所造成的动荷载。重力流排水管道在发生淤塞，也会形成内部水压，因此重力流排水管道也需适当考虑承受内压力。</w:t>
      </w:r>
    </w:p>
    <w:p>
      <w:pPr>
        <w:widowControl w:val="0"/>
        <w:ind w:firstLine="480"/>
        <w:rPr>
          <w:color w:val="auto"/>
          <w:highlight w:val="none"/>
        </w:rPr>
      </w:pPr>
      <w:r>
        <w:rPr>
          <w:rFonts w:hint="eastAsia"/>
          <w:color w:val="auto"/>
          <w:highlight w:val="none"/>
        </w:rPr>
        <w:t>②排水管道除具有抗废水中杂质的冲刷和磨损的作用外，还应该具有一定的抗腐蚀的性能，以免受废水或地下水的侵蚀作用而损坏。</w:t>
      </w:r>
    </w:p>
    <w:p>
      <w:pPr>
        <w:widowControl w:val="0"/>
        <w:ind w:firstLine="480"/>
        <w:rPr>
          <w:color w:val="auto"/>
          <w:highlight w:val="none"/>
        </w:rPr>
      </w:pPr>
      <w:r>
        <w:rPr>
          <w:rFonts w:hint="eastAsia"/>
          <w:color w:val="auto"/>
          <w:highlight w:val="none"/>
        </w:rPr>
        <w:t>③排水管道应具有良好的防渗漏性能，以防止废水渗出或地下水渗入。废水从管道渗出，不仅会污染地下水或水体，还可能导致破坏管道及附近建筑物的基础；而地下水渗入污水管道，将降低管道的排水能力，增大污水泵的水力负荷。</w:t>
      </w:r>
    </w:p>
    <w:p>
      <w:pPr>
        <w:widowControl w:val="0"/>
        <w:ind w:firstLine="480"/>
        <w:rPr>
          <w:color w:val="auto"/>
          <w:highlight w:val="none"/>
        </w:rPr>
      </w:pPr>
      <w:r>
        <w:rPr>
          <w:rFonts w:hint="eastAsia"/>
          <w:color w:val="auto"/>
          <w:highlight w:val="none"/>
        </w:rPr>
        <w:t>④排水管道的内壁应光滑，以尽量减小管道输水的阻力损失。</w:t>
      </w:r>
    </w:p>
    <w:p>
      <w:pPr>
        <w:widowControl w:val="0"/>
        <w:ind w:firstLine="480"/>
        <w:rPr>
          <w:color w:val="auto"/>
          <w:highlight w:val="none"/>
        </w:rPr>
      </w:pPr>
      <w:r>
        <w:rPr>
          <w:rFonts w:hint="eastAsia"/>
          <w:color w:val="auto"/>
          <w:highlight w:val="none"/>
        </w:rPr>
        <w:t>⑤加强施工质量管理，对管道和施工技术质量要求进行严格控制。</w:t>
      </w:r>
    </w:p>
    <w:p>
      <w:pPr>
        <w:widowControl w:val="0"/>
        <w:ind w:firstLine="480"/>
        <w:rPr>
          <w:color w:val="auto"/>
          <w:highlight w:val="none"/>
        </w:rPr>
      </w:pPr>
      <w:r>
        <w:rPr>
          <w:rFonts w:hint="eastAsia"/>
          <w:color w:val="auto"/>
          <w:highlight w:val="none"/>
        </w:rPr>
        <w:t>⑥在厂区出口绿化带处（厂区地下水流向下游）设</w:t>
      </w:r>
      <w:r>
        <w:rPr>
          <w:color w:val="auto"/>
          <w:highlight w:val="none"/>
        </w:rPr>
        <w:t>1</w:t>
      </w:r>
      <w:r>
        <w:rPr>
          <w:rFonts w:hint="eastAsia"/>
          <w:color w:val="auto"/>
          <w:highlight w:val="none"/>
        </w:rPr>
        <w:t>口水质监测井，跟踪监测地下水水质。</w:t>
      </w:r>
    </w:p>
    <w:p>
      <w:pPr>
        <w:widowControl w:val="0"/>
        <w:ind w:firstLine="480"/>
        <w:rPr>
          <w:color w:val="auto"/>
          <w:highlight w:val="none"/>
        </w:rPr>
      </w:pPr>
      <w:r>
        <w:rPr>
          <w:rFonts w:hint="eastAsia"/>
          <w:color w:val="auto"/>
          <w:highlight w:val="none"/>
        </w:rPr>
        <w:t>综上，采取以上地下水防治措施后，本项目防渗措施基本满足《环境影响评价技术导则－地下水环境》（</w:t>
      </w:r>
      <w:r>
        <w:rPr>
          <w:color w:val="auto"/>
          <w:highlight w:val="none"/>
        </w:rPr>
        <w:t>HJ610-2016</w:t>
      </w:r>
      <w:r>
        <w:rPr>
          <w:rFonts w:hint="eastAsia"/>
          <w:color w:val="auto"/>
          <w:highlight w:val="none"/>
        </w:rPr>
        <w:t>）中防渗技术要求，可从污染源头和途径上减少因废水泄漏渗、漏入地下水，不会对地下水环境造成明显影响，治理措施技术经济可行。</w:t>
      </w:r>
    </w:p>
    <w:p>
      <w:pPr>
        <w:pStyle w:val="5"/>
        <w:widowControl w:val="0"/>
        <w:ind w:firstLine="120"/>
        <w:rPr>
          <w:color w:val="auto"/>
          <w:highlight w:val="none"/>
        </w:rPr>
      </w:pPr>
      <w:r>
        <w:rPr>
          <w:rFonts w:hint="eastAsia"/>
          <w:color w:val="auto"/>
          <w:highlight w:val="none"/>
        </w:rPr>
        <w:t>噪声污染防治措施</w:t>
      </w:r>
    </w:p>
    <w:p>
      <w:pPr>
        <w:pStyle w:val="6"/>
        <w:widowControl w:val="0"/>
        <w:ind w:left="-160" w:firstLineChars="0"/>
        <w:rPr>
          <w:color w:val="auto"/>
          <w:highlight w:val="none"/>
        </w:rPr>
      </w:pPr>
      <w:r>
        <w:rPr>
          <w:rFonts w:hint="eastAsia"/>
          <w:color w:val="auto"/>
          <w:highlight w:val="none"/>
        </w:rPr>
        <w:t>技术防治措施</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）从声源方面采取的降噪措施</w:t>
      </w:r>
    </w:p>
    <w:p>
      <w:pPr>
        <w:widowControl w:val="0"/>
        <w:ind w:firstLine="480"/>
        <w:rPr>
          <w:color w:val="auto"/>
          <w:highlight w:val="none"/>
        </w:rPr>
      </w:pPr>
      <w:r>
        <w:rPr>
          <w:rFonts w:hint="eastAsia"/>
          <w:color w:val="auto"/>
          <w:highlight w:val="none"/>
        </w:rPr>
        <w:t>备用柴油发电机、空压机、各种风机、水泵等产噪设备选型上使用国内先进的低噪声设备，并维持设备处于良好的运转状态。</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）从噪声传播途径上采取的降噪措施</w:t>
      </w:r>
    </w:p>
    <w:p>
      <w:pPr>
        <w:widowControl w:val="0"/>
        <w:ind w:firstLine="480"/>
        <w:rPr>
          <w:color w:val="auto"/>
          <w:highlight w:val="none"/>
        </w:rPr>
      </w:pPr>
      <w:r>
        <w:rPr>
          <w:color w:val="auto"/>
          <w:highlight w:val="none"/>
        </w:rPr>
        <w:t>1</w:t>
      </w:r>
      <w:r>
        <w:rPr>
          <w:rFonts w:hint="eastAsia"/>
          <w:color w:val="auto"/>
          <w:highlight w:val="none"/>
        </w:rPr>
        <w:t>）振动设备设单独基础，所有产噪设备均安装于室内，设置空压机房，减少项目空压机工作时对周边企业的影响，并利用墙体隔声减小噪声对外环境的影响；</w:t>
      </w:r>
    </w:p>
    <w:p>
      <w:pPr>
        <w:widowControl w:val="0"/>
        <w:ind w:firstLine="480"/>
        <w:rPr>
          <w:color w:val="auto"/>
          <w:highlight w:val="none"/>
        </w:rPr>
      </w:pPr>
      <w:r>
        <w:rPr>
          <w:color w:val="auto"/>
          <w:highlight w:val="none"/>
        </w:rPr>
        <w:t>2</w:t>
      </w:r>
      <w:r>
        <w:rPr>
          <w:rFonts w:hint="eastAsia"/>
          <w:color w:val="auto"/>
          <w:highlight w:val="none"/>
        </w:rPr>
        <w:t>）对发电机组基础安装减振垫，设置于室内。</w:t>
      </w:r>
    </w:p>
    <w:p>
      <w:pPr>
        <w:widowControl w:val="0"/>
        <w:ind w:firstLine="480"/>
        <w:rPr>
          <w:color w:val="auto"/>
          <w:highlight w:val="none"/>
        </w:rPr>
      </w:pPr>
      <w:r>
        <w:rPr>
          <w:color w:val="auto"/>
          <w:highlight w:val="none"/>
        </w:rPr>
        <w:t>3</w:t>
      </w:r>
      <w:r>
        <w:rPr>
          <w:rFonts w:hint="eastAsia"/>
          <w:color w:val="auto"/>
          <w:highlight w:val="none"/>
        </w:rPr>
        <w:t>）空压机、引风机等安装时应设置防震垫或阻尼弹簧减振器，隔振效率应大于或等于</w:t>
      </w:r>
      <w:r>
        <w:rPr>
          <w:color w:val="auto"/>
          <w:highlight w:val="none"/>
        </w:rPr>
        <w:t>80%</w:t>
      </w:r>
      <w:r>
        <w:rPr>
          <w:rFonts w:hint="eastAsia"/>
          <w:color w:val="auto"/>
          <w:highlight w:val="none"/>
        </w:rPr>
        <w:t>；</w:t>
      </w:r>
    </w:p>
    <w:p>
      <w:pPr>
        <w:widowControl w:val="0"/>
        <w:ind w:firstLine="480"/>
        <w:rPr>
          <w:color w:val="auto"/>
          <w:highlight w:val="none"/>
        </w:rPr>
      </w:pPr>
      <w:r>
        <w:rPr>
          <w:color w:val="auto"/>
          <w:highlight w:val="none"/>
        </w:rPr>
        <w:t>4</w:t>
      </w:r>
      <w:r>
        <w:rPr>
          <w:rFonts w:hint="eastAsia"/>
          <w:color w:val="auto"/>
          <w:highlight w:val="none"/>
        </w:rPr>
        <w:t>）废气处理系统风机设置基础减振；</w:t>
      </w:r>
    </w:p>
    <w:p>
      <w:pPr>
        <w:widowControl w:val="0"/>
        <w:ind w:firstLine="480"/>
        <w:rPr>
          <w:color w:val="auto"/>
          <w:highlight w:val="none"/>
        </w:rPr>
      </w:pPr>
      <w:r>
        <w:rPr>
          <w:color w:val="auto"/>
          <w:highlight w:val="none"/>
        </w:rPr>
        <w:t>5</w:t>
      </w:r>
      <w:r>
        <w:rPr>
          <w:rFonts w:hint="eastAsia"/>
          <w:color w:val="auto"/>
          <w:highlight w:val="none"/>
        </w:rPr>
        <w:t>）在引送风机进气和排气口加装消声器，且采用柔性接口；</w:t>
      </w:r>
    </w:p>
    <w:p>
      <w:pPr>
        <w:widowControl w:val="0"/>
        <w:ind w:firstLine="480"/>
        <w:rPr>
          <w:color w:val="auto"/>
          <w:highlight w:val="none"/>
        </w:rPr>
      </w:pPr>
      <w:r>
        <w:rPr>
          <w:color w:val="auto"/>
          <w:highlight w:val="none"/>
        </w:rPr>
        <w:t>6</w:t>
      </w:r>
      <w:r>
        <w:rPr>
          <w:rFonts w:hint="eastAsia"/>
          <w:color w:val="auto"/>
          <w:highlight w:val="none"/>
        </w:rPr>
        <w:t>）水泵加装减振器，进水管道设可曲挠管道橡胶伸缩接头以减小水锤冲击和水泵震动产生的噪声，连接水泵进出口的水管、进出隔墙处与运转设备连接的管道均采用减震吊架。</w:t>
      </w:r>
    </w:p>
    <w:p>
      <w:pPr>
        <w:pStyle w:val="6"/>
        <w:widowControl w:val="0"/>
        <w:ind w:left="-160" w:firstLineChars="0"/>
        <w:rPr>
          <w:color w:val="auto"/>
          <w:highlight w:val="none"/>
        </w:rPr>
      </w:pPr>
      <w:r>
        <w:rPr>
          <w:rFonts w:hint="eastAsia"/>
          <w:color w:val="auto"/>
          <w:highlight w:val="none"/>
        </w:rPr>
        <w:t>管理措施</w:t>
      </w:r>
    </w:p>
    <w:p>
      <w:pPr>
        <w:widowControl w:val="0"/>
        <w:numPr>
          <w:ilvl w:val="0"/>
          <w:numId w:val="15"/>
        </w:numPr>
        <w:ind w:firstLine="482"/>
        <w:rPr>
          <w:b/>
          <w:bCs/>
          <w:color w:val="auto"/>
          <w:highlight w:val="none"/>
        </w:rPr>
      </w:pPr>
      <w:r>
        <w:rPr>
          <w:rFonts w:hint="eastAsia"/>
          <w:b/>
          <w:bCs/>
          <w:color w:val="auto"/>
          <w:highlight w:val="none"/>
        </w:rPr>
        <w:t>严格按照环评的要求组织生产</w:t>
      </w:r>
    </w:p>
    <w:p>
      <w:pPr>
        <w:widowControl w:val="0"/>
        <w:ind w:firstLine="480"/>
        <w:rPr>
          <w:color w:val="auto"/>
          <w:highlight w:val="none"/>
        </w:rPr>
      </w:pPr>
      <w:r>
        <w:rPr>
          <w:rFonts w:hint="eastAsia"/>
          <w:color w:val="auto"/>
          <w:highlight w:val="none"/>
        </w:rPr>
        <w:t>接收生猪在白天进行，严禁夜间收猪。</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）加强场区内绿化，充分利用建筑物、绿化带阻隔声波传播。</w:t>
      </w:r>
    </w:p>
    <w:p>
      <w:pPr>
        <w:widowControl w:val="0"/>
        <w:ind w:firstLine="480"/>
        <w:rPr>
          <w:color w:val="auto"/>
          <w:highlight w:val="none"/>
        </w:rPr>
      </w:pPr>
      <w:r>
        <w:rPr>
          <w:rFonts w:hint="eastAsia"/>
          <w:color w:val="auto"/>
          <w:highlight w:val="none"/>
        </w:rPr>
        <w:t>在厂界四周墙内种植常绿防护树林，减少车间噪声对声环境的影响；制定噪声监测方案，并对降噪减噪设施的使用运行、维护保养等方面纳入了公司的管理要求。</w:t>
      </w:r>
    </w:p>
    <w:p>
      <w:pPr>
        <w:widowControl w:val="0"/>
        <w:ind w:firstLine="480"/>
        <w:rPr>
          <w:color w:val="auto"/>
          <w:highlight w:val="none"/>
        </w:rPr>
      </w:pPr>
      <w:r>
        <w:rPr>
          <w:rFonts w:hint="eastAsia"/>
          <w:color w:val="auto"/>
          <w:highlight w:val="none"/>
        </w:rPr>
        <w:t>综上所述，营运期采取以上噪声防治措施后，厂界噪声满足《工业企业厂界环境噪声排放标准》（</w:t>
      </w:r>
      <w:r>
        <w:rPr>
          <w:color w:val="auto"/>
          <w:highlight w:val="none"/>
        </w:rPr>
        <w:t>GB12348-2008</w:t>
      </w:r>
      <w:r>
        <w:rPr>
          <w:rFonts w:hint="eastAsia"/>
          <w:color w:val="auto"/>
          <w:highlight w:val="none"/>
        </w:rPr>
        <w:t>）</w:t>
      </w:r>
      <w:r>
        <w:rPr>
          <w:color w:val="auto"/>
          <w:highlight w:val="none"/>
        </w:rPr>
        <w:t>2</w:t>
      </w:r>
      <w:r>
        <w:rPr>
          <w:rFonts w:hint="eastAsia"/>
          <w:color w:val="auto"/>
          <w:highlight w:val="none"/>
        </w:rPr>
        <w:t>类标准要求，实现达标排放，噪声治理措施可行。</w:t>
      </w:r>
    </w:p>
    <w:p>
      <w:pPr>
        <w:pStyle w:val="5"/>
        <w:widowControl w:val="0"/>
        <w:ind w:firstLine="120"/>
        <w:rPr>
          <w:color w:val="auto"/>
          <w:highlight w:val="none"/>
        </w:rPr>
      </w:pPr>
      <w:r>
        <w:rPr>
          <w:rFonts w:hint="eastAsia"/>
          <w:color w:val="auto"/>
          <w:highlight w:val="none"/>
        </w:rPr>
        <w:t>固体废物污染防治措施</w:t>
      </w:r>
    </w:p>
    <w:p>
      <w:pPr>
        <w:widowControl w:val="0"/>
        <w:ind w:firstLine="482"/>
        <w:rPr>
          <w:b/>
          <w:bCs/>
          <w:color w:val="auto"/>
          <w:highlight w:val="none"/>
        </w:rPr>
      </w:pPr>
      <w:r>
        <w:rPr>
          <w:rFonts w:hint="eastAsia"/>
          <w:b/>
          <w:bCs/>
          <w:color w:val="auto"/>
          <w:highlight w:val="none"/>
        </w:rPr>
        <w:t>（1）一般固废</w:t>
      </w:r>
    </w:p>
    <w:p>
      <w:pPr>
        <w:widowControl w:val="0"/>
        <w:ind w:firstLine="480"/>
        <w:jc w:val="left"/>
        <w:rPr>
          <w:color w:val="auto"/>
          <w:highlight w:val="none"/>
        </w:rPr>
      </w:pPr>
      <w:r>
        <w:rPr>
          <w:rFonts w:hint="eastAsia" w:ascii="宋体" w:hAnsi="宋体"/>
          <w:color w:val="auto"/>
          <w:szCs w:val="24"/>
          <w:highlight w:val="none"/>
        </w:rPr>
        <w:t>根据工程分析，本项目营运期产生的生活垃圾经集中收集后交环卫部门及时清运；猪粪及肠胃内容物、污水处理站栅渣委托生产有机肥料的单位进行处置；污水处理站污泥经脱水后交环卫部门及时清运，废油脂委托有资质单位进行处置；检疫不合格猪及病胴体、病内脏、不可食用内脏、检疫后残渣、废弃动物组织及碎肉碎骨等通过无害化处理一体设备处置；餐厨垃圾采用专用收集桶收集后，由经城管部门许可的餐厨垃圾收运单位处置。</w:t>
      </w:r>
    </w:p>
    <w:p>
      <w:pPr>
        <w:pStyle w:val="27"/>
        <w:widowControl w:val="0"/>
        <w:rPr>
          <w:color w:val="auto"/>
          <w:highlight w:val="none"/>
        </w:rPr>
      </w:pPr>
      <w:r>
        <w:rPr>
          <w:rFonts w:hint="eastAsia"/>
          <w:color w:val="auto"/>
          <w:highlight w:val="none"/>
        </w:rPr>
        <w:t>项目一般固废产生及处理措施一览表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521"/>
        <w:gridCol w:w="1515"/>
        <w:gridCol w:w="1440"/>
        <w:gridCol w:w="3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311" w:type="pc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787" w:type="pct"/>
            <w:tcBorders>
              <w:tl2br w:val="nil"/>
              <w:tr2bl w:val="nil"/>
            </w:tcBorders>
            <w:vAlign w:val="center"/>
          </w:tcPr>
          <w:p>
            <w:pPr>
              <w:pStyle w:val="28"/>
              <w:widowControl w:val="0"/>
              <w:rPr>
                <w:b/>
                <w:bCs/>
                <w:color w:val="auto"/>
                <w:highlight w:val="none"/>
              </w:rPr>
            </w:pPr>
            <w:r>
              <w:rPr>
                <w:rFonts w:hint="eastAsia"/>
                <w:b/>
                <w:bCs/>
                <w:color w:val="auto"/>
                <w:highlight w:val="none"/>
              </w:rPr>
              <w:t>产生位置</w:t>
            </w:r>
          </w:p>
        </w:tc>
        <w:tc>
          <w:tcPr>
            <w:tcW w:w="749"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776" w:type="pc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检疫不合格猪、牛及病胴体、病内脏</w:t>
            </w:r>
          </w:p>
        </w:tc>
        <w:tc>
          <w:tcPr>
            <w:tcW w:w="787" w:type="pct"/>
            <w:vMerge w:val="restart"/>
            <w:tcBorders>
              <w:tl2br w:val="nil"/>
              <w:tr2bl w:val="nil"/>
            </w:tcBorders>
            <w:vAlign w:val="center"/>
          </w:tcPr>
          <w:p>
            <w:pPr>
              <w:pStyle w:val="28"/>
              <w:widowControl w:val="0"/>
              <w:rPr>
                <w:color w:val="auto"/>
                <w:highlight w:val="none"/>
              </w:rPr>
            </w:pPr>
            <w:r>
              <w:rPr>
                <w:rFonts w:hint="eastAsia"/>
                <w:color w:val="auto"/>
                <w:highlight w:val="none"/>
              </w:rPr>
              <w:t>待宰圈、屠宰车间</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54</w:t>
            </w:r>
          </w:p>
        </w:tc>
        <w:tc>
          <w:tcPr>
            <w:tcW w:w="1776"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暂存于无害化暂存间后交由具有无害化处理资质的单位处置。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粪便及肠胃内容物</w:t>
            </w:r>
          </w:p>
        </w:tc>
        <w:tc>
          <w:tcPr>
            <w:tcW w:w="787" w:type="pct"/>
            <w:vMerge w:val="continue"/>
            <w:tcBorders>
              <w:tl2br w:val="nil"/>
              <w:tr2bl w:val="nil"/>
            </w:tcBorders>
            <w:vAlign w:val="center"/>
          </w:tcPr>
          <w:p>
            <w:pPr>
              <w:pStyle w:val="28"/>
              <w:widowControl w:val="0"/>
              <w:rPr>
                <w:color w:val="auto"/>
                <w:highlight w:val="none"/>
              </w:rPr>
            </w:pP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1177</w:t>
            </w:r>
          </w:p>
        </w:tc>
        <w:tc>
          <w:tcPr>
            <w:tcW w:w="177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3</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不可食用内脏</w:t>
            </w:r>
          </w:p>
        </w:tc>
        <w:tc>
          <w:tcPr>
            <w:tcW w:w="787" w:type="pct"/>
            <w:vMerge w:val="restart"/>
            <w:tcBorders>
              <w:tl2br w:val="nil"/>
              <w:tr2bl w:val="nil"/>
            </w:tcBorders>
            <w:vAlign w:val="center"/>
          </w:tcPr>
          <w:p>
            <w:pPr>
              <w:pStyle w:val="28"/>
              <w:widowControl w:val="0"/>
              <w:rPr>
                <w:color w:val="auto"/>
                <w:highlight w:val="none"/>
              </w:rPr>
            </w:pPr>
            <w:r>
              <w:rPr>
                <w:rFonts w:hint="eastAsia"/>
                <w:color w:val="auto"/>
                <w:highlight w:val="none"/>
              </w:rPr>
              <w:t>屠宰车间</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384</w:t>
            </w:r>
          </w:p>
        </w:tc>
        <w:tc>
          <w:tcPr>
            <w:tcW w:w="177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4</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检验后残渣、废弃动物组织及碎肉碎骨等</w:t>
            </w:r>
          </w:p>
        </w:tc>
        <w:tc>
          <w:tcPr>
            <w:tcW w:w="787" w:type="pct"/>
            <w:vMerge w:val="continue"/>
            <w:tcBorders>
              <w:tl2br w:val="nil"/>
              <w:tr2bl w:val="nil"/>
            </w:tcBorders>
            <w:vAlign w:val="center"/>
          </w:tcPr>
          <w:p>
            <w:pPr>
              <w:pStyle w:val="28"/>
              <w:widowControl w:val="0"/>
              <w:rPr>
                <w:color w:val="auto"/>
                <w:highlight w:val="none"/>
              </w:rPr>
            </w:pP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82</w:t>
            </w:r>
          </w:p>
        </w:tc>
        <w:tc>
          <w:tcPr>
            <w:tcW w:w="1776"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5</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栅渣</w:t>
            </w:r>
          </w:p>
        </w:tc>
        <w:tc>
          <w:tcPr>
            <w:tcW w:w="787" w:type="pct"/>
            <w:vMerge w:val="restart"/>
            <w:tcBorders>
              <w:tl2br w:val="nil"/>
              <w:tr2bl w:val="nil"/>
            </w:tcBorders>
            <w:vAlign w:val="center"/>
          </w:tcPr>
          <w:p>
            <w:pPr>
              <w:pStyle w:val="28"/>
              <w:widowControl w:val="0"/>
              <w:rPr>
                <w:color w:val="auto"/>
                <w:highlight w:val="none"/>
              </w:rPr>
            </w:pPr>
            <w:r>
              <w:rPr>
                <w:rFonts w:hint="eastAsia"/>
                <w:color w:val="auto"/>
                <w:highlight w:val="none"/>
              </w:rPr>
              <w:t>污水处理系统</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48</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6</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污泥</w:t>
            </w:r>
          </w:p>
        </w:tc>
        <w:tc>
          <w:tcPr>
            <w:tcW w:w="787" w:type="pct"/>
            <w:vMerge w:val="continue"/>
            <w:tcBorders>
              <w:tl2br w:val="nil"/>
              <w:tr2bl w:val="nil"/>
            </w:tcBorders>
            <w:vAlign w:val="center"/>
          </w:tcPr>
          <w:p>
            <w:pPr>
              <w:pStyle w:val="28"/>
              <w:widowControl w:val="0"/>
              <w:rPr>
                <w:color w:val="auto"/>
                <w:highlight w:val="none"/>
              </w:rPr>
            </w:pP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7</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废油脂</w:t>
            </w:r>
          </w:p>
        </w:tc>
        <w:tc>
          <w:tcPr>
            <w:tcW w:w="787" w:type="pct"/>
            <w:vMerge w:val="continue"/>
            <w:tcBorders>
              <w:tl2br w:val="nil"/>
              <w:tr2bl w:val="nil"/>
            </w:tcBorders>
            <w:vAlign w:val="center"/>
          </w:tcPr>
          <w:p>
            <w:pPr>
              <w:pStyle w:val="28"/>
              <w:widowControl w:val="0"/>
              <w:rPr>
                <w:color w:val="auto"/>
                <w:highlight w:val="none"/>
              </w:rPr>
            </w:pP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8.13</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8</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废包装材料、废胶皮手套</w:t>
            </w:r>
          </w:p>
        </w:tc>
        <w:tc>
          <w:tcPr>
            <w:tcW w:w="787" w:type="pct"/>
            <w:tcBorders>
              <w:tl2br w:val="nil"/>
              <w:tr2bl w:val="nil"/>
            </w:tcBorders>
            <w:vAlign w:val="center"/>
          </w:tcPr>
          <w:p>
            <w:pPr>
              <w:pStyle w:val="28"/>
              <w:widowControl w:val="0"/>
              <w:rPr>
                <w:color w:val="auto"/>
                <w:highlight w:val="none"/>
              </w:rPr>
            </w:pPr>
            <w:r>
              <w:rPr>
                <w:rFonts w:hint="eastAsia"/>
                <w:color w:val="auto"/>
                <w:highlight w:val="none"/>
              </w:rPr>
              <w:t>分割车间</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1.2</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9</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787" w:type="pct"/>
            <w:tcBorders>
              <w:tl2br w:val="nil"/>
              <w:tr2bl w:val="nil"/>
            </w:tcBorders>
            <w:vAlign w:val="center"/>
          </w:tcPr>
          <w:p>
            <w:pPr>
              <w:pStyle w:val="28"/>
              <w:widowControl w:val="0"/>
              <w:rPr>
                <w:color w:val="auto"/>
                <w:highlight w:val="none"/>
              </w:rPr>
            </w:pPr>
            <w:r>
              <w:rPr>
                <w:rFonts w:hint="eastAsia"/>
                <w:color w:val="auto"/>
                <w:highlight w:val="none"/>
              </w:rPr>
              <w:t>员工办公生活</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0.15</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 w:type="pct"/>
            <w:tcBorders>
              <w:tl2br w:val="nil"/>
              <w:tr2bl w:val="nil"/>
            </w:tcBorders>
            <w:vAlign w:val="center"/>
          </w:tcPr>
          <w:p>
            <w:pPr>
              <w:pStyle w:val="28"/>
              <w:widowControl w:val="0"/>
              <w:rPr>
                <w:color w:val="auto"/>
                <w:highlight w:val="none"/>
              </w:rPr>
            </w:pPr>
            <w:r>
              <w:rPr>
                <w:rFonts w:hint="eastAsia"/>
                <w:color w:val="auto"/>
                <w:highlight w:val="none"/>
              </w:rPr>
              <w:t>10</w:t>
            </w:r>
          </w:p>
        </w:tc>
        <w:tc>
          <w:tcPr>
            <w:tcW w:w="1311" w:type="pct"/>
            <w:tcBorders>
              <w:tl2br w:val="nil"/>
              <w:tr2bl w:val="nil"/>
            </w:tcBorders>
            <w:vAlign w:val="center"/>
          </w:tcPr>
          <w:p>
            <w:pPr>
              <w:pStyle w:val="28"/>
              <w:widowControl w:val="0"/>
              <w:rPr>
                <w:color w:val="auto"/>
                <w:highlight w:val="none"/>
              </w:rPr>
            </w:pPr>
            <w:r>
              <w:rPr>
                <w:rFonts w:hint="eastAsia"/>
                <w:color w:val="auto"/>
                <w:highlight w:val="none"/>
              </w:rPr>
              <w:t>餐厨垃圾</w:t>
            </w:r>
          </w:p>
        </w:tc>
        <w:tc>
          <w:tcPr>
            <w:tcW w:w="787" w:type="pct"/>
            <w:tcBorders>
              <w:tl2br w:val="nil"/>
              <w:tr2bl w:val="nil"/>
            </w:tcBorders>
            <w:vAlign w:val="center"/>
          </w:tcPr>
          <w:p>
            <w:pPr>
              <w:pStyle w:val="28"/>
              <w:widowControl w:val="0"/>
              <w:rPr>
                <w:color w:val="auto"/>
                <w:highlight w:val="none"/>
              </w:rPr>
            </w:pPr>
            <w:r>
              <w:rPr>
                <w:rFonts w:hint="eastAsia"/>
                <w:color w:val="auto"/>
                <w:highlight w:val="none"/>
              </w:rPr>
              <w:t>食堂</w:t>
            </w:r>
          </w:p>
        </w:tc>
        <w:tc>
          <w:tcPr>
            <w:tcW w:w="1440" w:type="dxa"/>
            <w:tcBorders>
              <w:tl2br w:val="nil"/>
              <w:tr2bl w:val="nil"/>
            </w:tcBorders>
            <w:vAlign w:val="center"/>
          </w:tcPr>
          <w:p>
            <w:pPr>
              <w:pStyle w:val="28"/>
              <w:widowControl w:val="0"/>
              <w:rPr>
                <w:color w:val="auto"/>
                <w:highlight w:val="none"/>
              </w:rPr>
            </w:pPr>
            <w:r>
              <w:rPr>
                <w:rFonts w:hint="eastAsia"/>
                <w:color w:val="auto"/>
                <w:highlight w:val="none"/>
              </w:rPr>
              <w:t>7.5</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由经城管部门许可的餐厨垃圾收运单位处置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3" w:type="pct"/>
            <w:gridSpan w:val="3"/>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749" w:type="pct"/>
            <w:tcBorders>
              <w:tl2br w:val="nil"/>
              <w:tr2bl w:val="nil"/>
            </w:tcBorders>
            <w:vAlign w:val="center"/>
          </w:tcPr>
          <w:p>
            <w:pPr>
              <w:pStyle w:val="28"/>
              <w:widowControl w:val="0"/>
              <w:rPr>
                <w:color w:val="auto"/>
                <w:highlight w:val="none"/>
              </w:rPr>
            </w:pPr>
            <w:r>
              <w:rPr>
                <w:rFonts w:hint="eastAsia"/>
                <w:color w:val="auto"/>
                <w:highlight w:val="none"/>
              </w:rPr>
              <w:t>1773.98</w:t>
            </w:r>
          </w:p>
        </w:tc>
        <w:tc>
          <w:tcPr>
            <w:tcW w:w="1776" w:type="pct"/>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rPr>
          <w:rFonts w:eastAsiaTheme="minorEastAsia"/>
          <w:bCs/>
          <w:color w:val="auto"/>
          <w:szCs w:val="24"/>
          <w:highlight w:val="none"/>
        </w:rPr>
      </w:pPr>
      <w:r>
        <w:rPr>
          <w:rFonts w:eastAsiaTheme="minorEastAsia"/>
          <w:bCs/>
          <w:color w:val="auto"/>
          <w:szCs w:val="24"/>
          <w:highlight w:val="none"/>
        </w:rPr>
        <w:t>本项目在待宰圈</w:t>
      </w:r>
      <w:r>
        <w:rPr>
          <w:rFonts w:hint="eastAsia" w:eastAsiaTheme="minorEastAsia"/>
          <w:bCs/>
          <w:color w:val="auto"/>
          <w:szCs w:val="24"/>
          <w:highlight w:val="none"/>
        </w:rPr>
        <w:t>旁</w:t>
      </w:r>
      <w:r>
        <w:rPr>
          <w:rFonts w:eastAsiaTheme="minorEastAsia"/>
          <w:bCs/>
          <w:color w:val="auto"/>
          <w:szCs w:val="24"/>
          <w:highlight w:val="none"/>
        </w:rPr>
        <w:t>设置</w:t>
      </w:r>
      <w:r>
        <w:rPr>
          <w:rFonts w:hint="eastAsia" w:eastAsiaTheme="minorEastAsia"/>
          <w:bCs/>
          <w:color w:val="auto"/>
          <w:szCs w:val="24"/>
          <w:highlight w:val="none"/>
        </w:rPr>
        <w:t>5</w:t>
      </w:r>
      <w:r>
        <w:rPr>
          <w:rFonts w:eastAsiaTheme="minorEastAsia"/>
          <w:bCs/>
          <w:color w:val="auto"/>
          <w:szCs w:val="24"/>
          <w:highlight w:val="none"/>
        </w:rPr>
        <w:t>0m</w:t>
      </w:r>
      <w:r>
        <w:rPr>
          <w:rFonts w:eastAsiaTheme="minorEastAsia"/>
          <w:bCs/>
          <w:color w:val="auto"/>
          <w:szCs w:val="24"/>
          <w:highlight w:val="none"/>
          <w:vertAlign w:val="superscript"/>
        </w:rPr>
        <w:t>2</w:t>
      </w:r>
      <w:r>
        <w:rPr>
          <w:rFonts w:hint="eastAsia" w:eastAsiaTheme="minorEastAsia"/>
          <w:bCs/>
          <w:color w:val="auto"/>
          <w:szCs w:val="24"/>
          <w:highlight w:val="none"/>
        </w:rPr>
        <w:t>一般</w:t>
      </w:r>
      <w:r>
        <w:rPr>
          <w:rFonts w:eastAsiaTheme="minorEastAsia"/>
          <w:bCs/>
          <w:color w:val="auto"/>
          <w:szCs w:val="24"/>
          <w:highlight w:val="none"/>
        </w:rPr>
        <w:t>固废临时存放点，采用</w:t>
      </w:r>
      <w:r>
        <w:rPr>
          <w:rFonts w:hint="eastAsia" w:eastAsiaTheme="minorEastAsia"/>
          <w:bCs/>
          <w:color w:val="auto"/>
          <w:szCs w:val="24"/>
          <w:highlight w:val="none"/>
        </w:rPr>
        <w:t>重点防渗进行</w:t>
      </w:r>
      <w:r>
        <w:rPr>
          <w:rFonts w:eastAsiaTheme="minorEastAsia"/>
          <w:bCs/>
          <w:color w:val="auto"/>
          <w:szCs w:val="24"/>
          <w:highlight w:val="none"/>
        </w:rPr>
        <w:t>处理，做到防渗、防漏，全部封闭贮存，整个临时贮存点做好防雨措施。项目一般工业固废在厂区的临时贮存</w:t>
      </w:r>
      <w:r>
        <w:rPr>
          <w:rFonts w:hint="eastAsia" w:eastAsiaTheme="minorEastAsia"/>
          <w:bCs/>
          <w:color w:val="auto"/>
          <w:szCs w:val="24"/>
          <w:highlight w:val="none"/>
        </w:rPr>
        <w:t>应</w:t>
      </w:r>
      <w:r>
        <w:rPr>
          <w:rFonts w:eastAsiaTheme="minorEastAsia"/>
          <w:bCs/>
          <w:color w:val="auto"/>
          <w:szCs w:val="24"/>
          <w:highlight w:val="none"/>
        </w:rPr>
        <w:t>符合</w:t>
      </w:r>
      <w:r>
        <w:rPr>
          <w:rFonts w:hint="eastAsia" w:eastAsiaTheme="minorEastAsia"/>
          <w:bCs/>
          <w:color w:val="auto"/>
          <w:szCs w:val="24"/>
          <w:highlight w:val="none"/>
          <w:lang w:eastAsia="zh-CN"/>
        </w:rPr>
        <w:t>《一般工业固体废物贮存和填埋污染控制标准》（GB18599-2020）</w:t>
      </w:r>
      <w:r>
        <w:rPr>
          <w:rFonts w:eastAsiaTheme="minorEastAsia"/>
          <w:bCs/>
          <w:color w:val="auto"/>
          <w:szCs w:val="24"/>
          <w:highlight w:val="none"/>
        </w:rPr>
        <w:t>中相应规定。设置挡风墙、防雨棚、地面硬化并按重点防渗要求防渗，四周设置集水沟和导流渠，引入废水处理站调节水池，确保渗滤水全部收集处理，不外排。对于屠宰过程中产生的肠溶物及待宰圈的牛</w:t>
      </w:r>
      <w:r>
        <w:rPr>
          <w:rFonts w:hint="eastAsia" w:eastAsiaTheme="minorEastAsia"/>
          <w:bCs/>
          <w:color w:val="auto"/>
          <w:szCs w:val="24"/>
          <w:highlight w:val="none"/>
        </w:rPr>
        <w:t>羊</w:t>
      </w:r>
      <w:r>
        <w:rPr>
          <w:rFonts w:eastAsiaTheme="minorEastAsia"/>
          <w:bCs/>
          <w:color w:val="auto"/>
          <w:szCs w:val="24"/>
          <w:highlight w:val="none"/>
        </w:rPr>
        <w:t>粪等，经袋装收集后暂存在固废临时存放点，</w:t>
      </w:r>
      <w:r>
        <w:rPr>
          <w:rFonts w:hint="eastAsia" w:eastAsiaTheme="minorEastAsia"/>
          <w:bCs/>
          <w:color w:val="auto"/>
          <w:szCs w:val="24"/>
          <w:highlight w:val="none"/>
          <w:lang w:val="en-US" w:eastAsia="zh-CN"/>
        </w:rPr>
        <w:t>定期由有机肥料单位收运利用</w:t>
      </w:r>
      <w:r>
        <w:rPr>
          <w:rFonts w:eastAsiaTheme="minorEastAsia"/>
          <w:bCs/>
          <w:color w:val="auto"/>
          <w:szCs w:val="24"/>
          <w:highlight w:val="none"/>
        </w:rPr>
        <w:t>。</w:t>
      </w:r>
    </w:p>
    <w:p>
      <w:pPr>
        <w:widowControl w:val="0"/>
        <w:ind w:firstLine="480"/>
        <w:rPr>
          <w:color w:val="auto"/>
          <w:highlight w:val="none"/>
        </w:rPr>
      </w:pPr>
      <w:r>
        <w:rPr>
          <w:color w:val="auto"/>
          <w:highlight w:val="none"/>
        </w:rPr>
        <w:t>环评要求，项目各固废暂存设施须做到以下几点：</w:t>
      </w:r>
    </w:p>
    <w:p>
      <w:pPr>
        <w:widowControl w:val="0"/>
        <w:ind w:firstLine="480"/>
        <w:rPr>
          <w:color w:val="auto"/>
          <w:highlight w:val="none"/>
        </w:rPr>
      </w:pPr>
      <w:r>
        <w:rPr>
          <w:color w:val="auto"/>
          <w:highlight w:val="none"/>
        </w:rPr>
        <w:t>①时间要求：应做到日产日清；在旺季应提高清运频率，尽量减少牛粪及肠溶物在厂区堆存时间。</w:t>
      </w:r>
    </w:p>
    <w:p>
      <w:pPr>
        <w:widowControl w:val="0"/>
        <w:ind w:firstLine="480"/>
        <w:rPr>
          <w:b/>
          <w:bCs/>
          <w:color w:val="auto"/>
          <w:highlight w:val="none"/>
        </w:rPr>
      </w:pPr>
      <w:r>
        <w:rPr>
          <w:color w:val="auto"/>
          <w:highlight w:val="none"/>
        </w:rPr>
        <w:t>②地点要求：必须与生活垃圾存放地分开，有防雨淋的装置，地基高度应确保设施内不受雨洪冲击或浸泡；应有严密的封闭措施，且应地表硬化，做好防渗处理</w:t>
      </w:r>
      <w:r>
        <w:rPr>
          <w:rFonts w:hint="eastAsia"/>
          <w:color w:val="auto"/>
          <w:highlight w:val="none"/>
        </w:rPr>
        <w:t>，</w:t>
      </w:r>
      <w:r>
        <w:rPr>
          <w:color w:val="auto"/>
          <w:highlight w:val="none"/>
        </w:rPr>
        <w:t>以及防鼠、防蚊蝇、防蟑螂；垃圾集中放置场地要做好防渗处理，及时清运，禁止露天堆放、填埋垃圾渣土；对产生的各类固废要求及时清运，做到日产日清；对固废堆场要经常打药防蚊蝇。病胴体要立即由项目专业人员进行无害化处理，不得堆放、贮存。</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）危险废物</w:t>
      </w:r>
    </w:p>
    <w:p>
      <w:pPr>
        <w:widowControl w:val="0"/>
        <w:ind w:firstLine="480"/>
        <w:rPr>
          <w:color w:val="auto"/>
          <w:highlight w:val="none"/>
        </w:rPr>
      </w:pPr>
      <w:r>
        <w:rPr>
          <w:rFonts w:hint="eastAsia"/>
          <w:color w:val="auto"/>
          <w:highlight w:val="none"/>
        </w:rPr>
        <w:t>设备维护产生废润滑油暂存于危废暂存间内，分别委托具有相应资质的单位进行处置。</w:t>
      </w:r>
    </w:p>
    <w:p>
      <w:pPr>
        <w:pStyle w:val="27"/>
        <w:widowControl w:val="0"/>
        <w:rPr>
          <w:color w:val="auto"/>
          <w:highlight w:val="none"/>
        </w:rPr>
      </w:pPr>
      <w:r>
        <w:rPr>
          <w:rFonts w:hint="eastAsia"/>
          <w:color w:val="auto"/>
          <w:highlight w:val="none"/>
        </w:rPr>
        <w:t>项目危险废物产生及处置措施一览表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519"/>
        <w:gridCol w:w="1411"/>
        <w:gridCol w:w="1561"/>
        <w:gridCol w:w="3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310" w:type="pct"/>
            <w:tcBorders>
              <w:tl2br w:val="nil"/>
              <w:tr2bl w:val="nil"/>
            </w:tcBorders>
            <w:vAlign w:val="center"/>
          </w:tcPr>
          <w:p>
            <w:pPr>
              <w:pStyle w:val="28"/>
              <w:widowControl w:val="0"/>
              <w:rPr>
                <w:b/>
                <w:bCs/>
                <w:color w:val="auto"/>
                <w:highlight w:val="none"/>
              </w:rPr>
            </w:pPr>
            <w:r>
              <w:rPr>
                <w:rFonts w:hint="eastAsia"/>
                <w:b/>
                <w:bCs/>
                <w:color w:val="auto"/>
                <w:highlight w:val="none"/>
              </w:rPr>
              <w:t>名称</w:t>
            </w:r>
          </w:p>
        </w:tc>
        <w:tc>
          <w:tcPr>
            <w:tcW w:w="733" w:type="pct"/>
            <w:tcBorders>
              <w:tl2br w:val="nil"/>
              <w:tr2bl w:val="nil"/>
            </w:tcBorders>
            <w:vAlign w:val="center"/>
          </w:tcPr>
          <w:p>
            <w:pPr>
              <w:pStyle w:val="28"/>
              <w:widowControl w:val="0"/>
              <w:rPr>
                <w:b/>
                <w:bCs/>
                <w:color w:val="auto"/>
                <w:highlight w:val="none"/>
              </w:rPr>
            </w:pPr>
            <w:r>
              <w:rPr>
                <w:rFonts w:hint="eastAsia"/>
                <w:b/>
                <w:bCs/>
                <w:color w:val="auto"/>
                <w:highlight w:val="none"/>
              </w:rPr>
              <w:t>产生位置</w:t>
            </w:r>
          </w:p>
        </w:tc>
        <w:tc>
          <w:tcPr>
            <w:tcW w:w="812" w:type="pct"/>
            <w:tcBorders>
              <w:tl2br w:val="nil"/>
              <w:tr2bl w:val="nil"/>
            </w:tcBorders>
            <w:vAlign w:val="center"/>
          </w:tcPr>
          <w:p>
            <w:pPr>
              <w:pStyle w:val="28"/>
              <w:widowControl w:val="0"/>
              <w:rPr>
                <w:b/>
                <w:bCs/>
                <w:color w:val="auto"/>
                <w:highlight w:val="none"/>
              </w:rPr>
            </w:pPr>
            <w:r>
              <w:rPr>
                <w:rFonts w:hint="eastAsia"/>
                <w:b/>
                <w:bCs/>
                <w:color w:val="auto"/>
                <w:highlight w:val="none"/>
              </w:rPr>
              <w:t>产生量（t/a）</w:t>
            </w:r>
          </w:p>
        </w:tc>
        <w:tc>
          <w:tcPr>
            <w:tcW w:w="1762" w:type="pct"/>
            <w:tcBorders>
              <w:tl2br w:val="nil"/>
              <w:tr2bl w:val="nil"/>
            </w:tcBorders>
            <w:vAlign w:val="center"/>
          </w:tcPr>
          <w:p>
            <w:pPr>
              <w:pStyle w:val="28"/>
              <w:widowControl w:val="0"/>
              <w:rPr>
                <w:b/>
                <w:bCs/>
                <w:color w:val="auto"/>
                <w:highlight w:val="none"/>
              </w:rPr>
            </w:pPr>
            <w:r>
              <w:rPr>
                <w:rFonts w:hint="eastAsia"/>
                <w:b/>
                <w:bCs/>
                <w:color w:val="auto"/>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28"/>
              <w:widowControl w:val="0"/>
              <w:rPr>
                <w:color w:val="auto"/>
                <w:highlight w:val="none"/>
              </w:rPr>
            </w:pPr>
            <w:r>
              <w:rPr>
                <w:rFonts w:hint="eastAsia"/>
                <w:color w:val="auto"/>
                <w:highlight w:val="none"/>
              </w:rPr>
              <w:t>1</w:t>
            </w:r>
          </w:p>
        </w:tc>
        <w:tc>
          <w:tcPr>
            <w:tcW w:w="1310" w:type="pct"/>
            <w:tcBorders>
              <w:tl2br w:val="nil"/>
              <w:tr2bl w:val="nil"/>
            </w:tcBorders>
            <w:vAlign w:val="center"/>
          </w:tcPr>
          <w:p>
            <w:pPr>
              <w:pStyle w:val="28"/>
              <w:widowControl w:val="0"/>
              <w:rPr>
                <w:color w:val="auto"/>
                <w:highlight w:val="none"/>
              </w:rPr>
            </w:pPr>
            <w:r>
              <w:rPr>
                <w:rFonts w:hint="eastAsia"/>
                <w:color w:val="auto"/>
                <w:highlight w:val="none"/>
              </w:rPr>
              <w:t>废润滑油</w:t>
            </w:r>
          </w:p>
        </w:tc>
        <w:tc>
          <w:tcPr>
            <w:tcW w:w="733" w:type="pct"/>
            <w:vMerge w:val="restart"/>
            <w:tcBorders>
              <w:tl2br w:val="nil"/>
              <w:tr2bl w:val="nil"/>
            </w:tcBorders>
            <w:vAlign w:val="center"/>
          </w:tcPr>
          <w:p>
            <w:pPr>
              <w:pStyle w:val="28"/>
              <w:widowControl w:val="0"/>
              <w:rPr>
                <w:color w:val="auto"/>
                <w:highlight w:val="none"/>
              </w:rPr>
            </w:pPr>
            <w:r>
              <w:rPr>
                <w:rFonts w:hint="eastAsia"/>
                <w:color w:val="auto"/>
                <w:highlight w:val="none"/>
              </w:rPr>
              <w:t>设备维护</w:t>
            </w:r>
          </w:p>
        </w:tc>
        <w:tc>
          <w:tcPr>
            <w:tcW w:w="812" w:type="pct"/>
            <w:tcBorders>
              <w:tl2br w:val="nil"/>
              <w:tr2bl w:val="nil"/>
            </w:tcBorders>
            <w:vAlign w:val="center"/>
          </w:tcPr>
          <w:p>
            <w:pPr>
              <w:pStyle w:val="28"/>
              <w:widowControl w:val="0"/>
              <w:rPr>
                <w:color w:val="auto"/>
                <w:highlight w:val="none"/>
              </w:rPr>
            </w:pPr>
            <w:r>
              <w:rPr>
                <w:rFonts w:hint="eastAsia"/>
                <w:color w:val="auto"/>
                <w:highlight w:val="none"/>
              </w:rPr>
              <w:t>0.1</w:t>
            </w:r>
          </w:p>
        </w:tc>
        <w:tc>
          <w:tcPr>
            <w:tcW w:w="1762" w:type="pct"/>
            <w:vMerge w:val="restart"/>
            <w:tcBorders>
              <w:tl2br w:val="nil"/>
              <w:tr2bl w:val="nil"/>
            </w:tcBorders>
            <w:vAlign w:val="center"/>
          </w:tcPr>
          <w:p>
            <w:pPr>
              <w:pStyle w:val="28"/>
              <w:widowControl w:val="0"/>
              <w:rPr>
                <w:color w:val="auto"/>
                <w:highlight w:val="none"/>
              </w:rPr>
            </w:pPr>
            <w:r>
              <w:rPr>
                <w:rFonts w:hint="eastAsia"/>
                <w:color w:val="auto"/>
                <w:highlight w:val="none"/>
              </w:rPr>
              <w:t>暂存于危废暂存间，定期交由有资质的单位处置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28"/>
              <w:widowControl w:val="0"/>
              <w:rPr>
                <w:color w:val="auto"/>
                <w:highlight w:val="none"/>
              </w:rPr>
            </w:pPr>
            <w:r>
              <w:rPr>
                <w:rFonts w:hint="eastAsia"/>
                <w:color w:val="auto"/>
                <w:highlight w:val="none"/>
              </w:rPr>
              <w:t>2</w:t>
            </w:r>
          </w:p>
        </w:tc>
        <w:tc>
          <w:tcPr>
            <w:tcW w:w="1310" w:type="pct"/>
            <w:tcBorders>
              <w:tl2br w:val="nil"/>
              <w:tr2bl w:val="nil"/>
            </w:tcBorders>
            <w:vAlign w:val="center"/>
          </w:tcPr>
          <w:p>
            <w:pPr>
              <w:pStyle w:val="28"/>
              <w:widowControl w:val="0"/>
              <w:rPr>
                <w:color w:val="auto"/>
                <w:highlight w:val="none"/>
              </w:rPr>
            </w:pPr>
            <w:r>
              <w:rPr>
                <w:rFonts w:hint="eastAsia"/>
                <w:color w:val="auto"/>
                <w:highlight w:val="none"/>
              </w:rPr>
              <w:t>废油桶</w:t>
            </w:r>
          </w:p>
        </w:tc>
        <w:tc>
          <w:tcPr>
            <w:tcW w:w="733" w:type="pct"/>
            <w:vMerge w:val="continue"/>
            <w:tcBorders>
              <w:tl2br w:val="nil"/>
              <w:tr2bl w:val="nil"/>
            </w:tcBorders>
            <w:vAlign w:val="center"/>
          </w:tcPr>
          <w:p>
            <w:pPr>
              <w:pStyle w:val="28"/>
              <w:widowControl w:val="0"/>
              <w:rPr>
                <w:color w:val="auto"/>
                <w:highlight w:val="none"/>
              </w:rPr>
            </w:pPr>
          </w:p>
        </w:tc>
        <w:tc>
          <w:tcPr>
            <w:tcW w:w="812" w:type="pct"/>
            <w:tcBorders>
              <w:tl2br w:val="nil"/>
              <w:tr2bl w:val="nil"/>
            </w:tcBorders>
            <w:vAlign w:val="center"/>
          </w:tcPr>
          <w:p>
            <w:pPr>
              <w:pStyle w:val="28"/>
              <w:widowControl w:val="0"/>
              <w:rPr>
                <w:color w:val="auto"/>
                <w:highlight w:val="none"/>
              </w:rPr>
            </w:pPr>
            <w:r>
              <w:rPr>
                <w:rFonts w:hint="eastAsia"/>
                <w:color w:val="auto"/>
                <w:highlight w:val="none"/>
              </w:rPr>
              <w:t>0.01</w:t>
            </w:r>
          </w:p>
        </w:tc>
        <w:tc>
          <w:tcPr>
            <w:tcW w:w="1762" w:type="pct"/>
            <w:vMerge w:val="continue"/>
            <w:tcBorders>
              <w:tl2br w:val="nil"/>
              <w:tr2bl w:val="nil"/>
            </w:tcBorders>
            <w:vAlign w:val="center"/>
          </w:tcPr>
          <w:p>
            <w:pPr>
              <w:pStyle w:val="28"/>
              <w:widowControl w:val="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5" w:type="pct"/>
            <w:gridSpan w:val="3"/>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812" w:type="pct"/>
            <w:tcBorders>
              <w:tl2br w:val="nil"/>
              <w:tr2bl w:val="nil"/>
            </w:tcBorders>
            <w:vAlign w:val="center"/>
          </w:tcPr>
          <w:p>
            <w:pPr>
              <w:pStyle w:val="28"/>
              <w:widowControl w:val="0"/>
              <w:rPr>
                <w:color w:val="auto"/>
                <w:highlight w:val="none"/>
              </w:rPr>
            </w:pPr>
            <w:r>
              <w:rPr>
                <w:rFonts w:hint="eastAsia"/>
                <w:color w:val="auto"/>
                <w:highlight w:val="none"/>
              </w:rPr>
              <w:t>0.11</w:t>
            </w:r>
          </w:p>
        </w:tc>
        <w:tc>
          <w:tcPr>
            <w:tcW w:w="1762" w:type="pct"/>
            <w:tcBorders>
              <w:tl2br w:val="nil"/>
              <w:tr2bl w:val="nil"/>
            </w:tcBorders>
            <w:vAlign w:val="center"/>
          </w:tcPr>
          <w:p>
            <w:pPr>
              <w:pStyle w:val="28"/>
              <w:widowControl w:val="0"/>
              <w:rPr>
                <w:color w:val="auto"/>
                <w:highlight w:val="none"/>
              </w:rPr>
            </w:pPr>
            <w:r>
              <w:rPr>
                <w:rFonts w:hint="eastAsia"/>
                <w:color w:val="auto"/>
                <w:highlight w:val="none"/>
              </w:rPr>
              <w:t>/</w:t>
            </w:r>
          </w:p>
        </w:tc>
      </w:tr>
    </w:tbl>
    <w:p>
      <w:pPr>
        <w:widowControl w:val="0"/>
        <w:ind w:firstLine="480"/>
        <w:jc w:val="left"/>
        <w:rPr>
          <w:color w:val="auto"/>
          <w:highlight w:val="none"/>
        </w:rPr>
      </w:pPr>
      <w:r>
        <w:rPr>
          <w:rFonts w:hint="eastAsia" w:cs="宋体"/>
          <w:color w:val="auto"/>
          <w:highlight w:val="none"/>
          <w:lang w:bidi="ar"/>
        </w:rPr>
        <w:t>项目危废暂存间（40m</w:t>
      </w:r>
      <w:r>
        <w:rPr>
          <w:rFonts w:hint="eastAsia" w:cs="宋体"/>
          <w:color w:val="auto"/>
          <w:highlight w:val="none"/>
          <w:vertAlign w:val="superscript"/>
          <w:lang w:bidi="ar"/>
        </w:rPr>
        <w:t>2</w:t>
      </w:r>
      <w:r>
        <w:rPr>
          <w:rFonts w:hint="eastAsia" w:cs="宋体"/>
          <w:color w:val="auto"/>
          <w:highlight w:val="none"/>
          <w:lang w:bidi="ar"/>
        </w:rPr>
        <w:t>）根据《危险废物贮存污染控制标准》（</w:t>
      </w:r>
      <w:r>
        <w:rPr>
          <w:color w:val="auto"/>
          <w:highlight w:val="none"/>
          <w:lang w:bidi="ar"/>
        </w:rPr>
        <w:t>GB18597-2001</w:t>
      </w:r>
      <w:r>
        <w:rPr>
          <w:rFonts w:hint="eastAsia" w:cs="宋体"/>
          <w:color w:val="auto"/>
          <w:highlight w:val="none"/>
          <w:lang w:bidi="ar"/>
        </w:rPr>
        <w:t>）及其修改单的要求建设，地面采取防渗措施，设置截流地沟，做到</w:t>
      </w:r>
      <w:r>
        <w:rPr>
          <w:rFonts w:hint="eastAsia"/>
          <w:color w:val="auto"/>
          <w:highlight w:val="none"/>
          <w:lang w:bidi="ar"/>
        </w:rPr>
        <w:t>“</w:t>
      </w:r>
      <w:r>
        <w:rPr>
          <w:rFonts w:hint="eastAsia" w:cs="宋体"/>
          <w:color w:val="auto"/>
          <w:highlight w:val="none"/>
          <w:lang w:bidi="ar"/>
        </w:rPr>
        <w:t>四防</w:t>
      </w:r>
      <w:r>
        <w:rPr>
          <w:rFonts w:hint="eastAsia"/>
          <w:color w:val="auto"/>
          <w:highlight w:val="none"/>
          <w:lang w:bidi="ar"/>
        </w:rPr>
        <w:t>”</w:t>
      </w:r>
      <w:r>
        <w:rPr>
          <w:rFonts w:hint="eastAsia" w:cs="宋体"/>
          <w:color w:val="auto"/>
          <w:highlight w:val="none"/>
          <w:lang w:bidi="ar"/>
        </w:rPr>
        <w:t>（防风、防雨、防晒、防渗漏）要求，按规范设置液体收集装置，能有效防止危险废物泄漏，能够避免污染物污染地下水和土壤环境。</w:t>
      </w:r>
    </w:p>
    <w:p>
      <w:pPr>
        <w:widowControl w:val="0"/>
        <w:ind w:firstLine="480"/>
        <w:rPr>
          <w:color w:val="auto"/>
          <w:highlight w:val="none"/>
        </w:rPr>
      </w:pPr>
      <w:r>
        <w:rPr>
          <w:rFonts w:hint="eastAsia"/>
          <w:color w:val="auto"/>
          <w:highlight w:val="none"/>
        </w:rPr>
        <w:t>综上，项目固废均按不同的性质、种类采取了不同的处置方式，因此，固废处置措施经济可行。</w:t>
      </w:r>
    </w:p>
    <w:p>
      <w:pPr>
        <w:pStyle w:val="4"/>
        <w:widowControl w:val="0"/>
        <w:rPr>
          <w:color w:val="auto"/>
          <w:highlight w:val="none"/>
        </w:rPr>
      </w:pPr>
      <w:bookmarkStart w:id="84" w:name="_Toc980"/>
      <w:r>
        <w:rPr>
          <w:rFonts w:hint="eastAsia"/>
          <w:color w:val="auto"/>
          <w:highlight w:val="none"/>
        </w:rPr>
        <w:t>环保投资估算</w:t>
      </w:r>
      <w:bookmarkEnd w:id="84"/>
    </w:p>
    <w:p>
      <w:pPr>
        <w:widowControl w:val="0"/>
        <w:ind w:firstLine="480"/>
        <w:jc w:val="left"/>
        <w:rPr>
          <w:color w:val="auto"/>
          <w:highlight w:val="none"/>
        </w:rPr>
      </w:pPr>
      <w:r>
        <w:rPr>
          <w:rFonts w:hint="eastAsia" w:ascii="宋体" w:hAnsi="宋体"/>
          <w:color w:val="auto"/>
          <w:szCs w:val="24"/>
          <w:highlight w:val="none"/>
        </w:rPr>
        <w:t>项目环保拟投资</w:t>
      </w:r>
      <w:r>
        <w:rPr>
          <w:rFonts w:hint="eastAsia"/>
          <w:color w:val="auto"/>
          <w:szCs w:val="24"/>
          <w:highlight w:val="none"/>
        </w:rPr>
        <w:t>580.9</w:t>
      </w:r>
      <w:r>
        <w:rPr>
          <w:rFonts w:hint="eastAsia" w:ascii="宋体" w:hAnsi="宋体"/>
          <w:color w:val="auto"/>
          <w:szCs w:val="24"/>
          <w:highlight w:val="none"/>
        </w:rPr>
        <w:t>万元，占总投资</w:t>
      </w:r>
      <w:r>
        <w:rPr>
          <w:rFonts w:hint="eastAsia"/>
          <w:color w:val="auto"/>
          <w:szCs w:val="24"/>
          <w:highlight w:val="none"/>
        </w:rPr>
        <w:t>5000</w:t>
      </w:r>
      <w:r>
        <w:rPr>
          <w:rFonts w:hint="eastAsia" w:ascii="宋体" w:hAnsi="宋体"/>
          <w:color w:val="auto"/>
          <w:szCs w:val="24"/>
          <w:highlight w:val="none"/>
        </w:rPr>
        <w:t>万元的</w:t>
      </w:r>
      <w:r>
        <w:rPr>
          <w:rFonts w:hint="eastAsia"/>
          <w:color w:val="auto"/>
          <w:szCs w:val="24"/>
          <w:highlight w:val="none"/>
        </w:rPr>
        <w:t>11.6</w:t>
      </w:r>
      <w:r>
        <w:rPr>
          <w:rFonts w:eastAsia="Times New Roman"/>
          <w:color w:val="auto"/>
          <w:szCs w:val="24"/>
          <w:highlight w:val="none"/>
        </w:rPr>
        <w:t>%</w:t>
      </w:r>
      <w:r>
        <w:rPr>
          <w:rFonts w:hint="eastAsia" w:ascii="宋体" w:hAnsi="宋体"/>
          <w:color w:val="auto"/>
          <w:szCs w:val="24"/>
          <w:highlight w:val="none"/>
        </w:rPr>
        <w:t>。主要用于废水的处理、恶臭的处理、噪声控制和固废处置等，经过对废水、废气的治理和噪声设备的降噪治理，能满足环保的要求，环保设施合理可行。具体环保投资见表</w:t>
      </w:r>
      <w:r>
        <w:rPr>
          <w:rFonts w:hint="default" w:ascii="Times New Roman" w:hAnsi="Times New Roman"/>
          <w:color w:val="auto"/>
          <w:szCs w:val="20"/>
          <w:highlight w:val="none"/>
          <w:lang w:val="en-US" w:eastAsia="zh-CN"/>
        </w:rPr>
        <w:t>8</w:t>
      </w:r>
      <w:r>
        <w:rPr>
          <w:rFonts w:eastAsia="宋体"/>
          <w:color w:val="auto"/>
          <w:szCs w:val="20"/>
          <w:highlight w:val="none"/>
        </w:rPr>
        <w:t>.3-1</w:t>
      </w:r>
      <w:r>
        <w:rPr>
          <w:rFonts w:hint="default" w:ascii="Times New Roman" w:hAnsi="Times New Roman"/>
          <w:color w:val="auto"/>
          <w:szCs w:val="20"/>
          <w:highlight w:val="none"/>
        </w:rPr>
        <w:t>。</w:t>
      </w:r>
    </w:p>
    <w:p>
      <w:pPr>
        <w:pStyle w:val="27"/>
        <w:widowControl w:val="0"/>
        <w:rPr>
          <w:color w:val="auto"/>
          <w:highlight w:val="none"/>
        </w:rPr>
      </w:pPr>
      <w:r>
        <w:rPr>
          <w:rFonts w:hint="eastAsia"/>
          <w:color w:val="auto"/>
          <w:highlight w:val="none"/>
        </w:rPr>
        <w:t>环保措施投资估算</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15"/>
        <w:gridCol w:w="1290"/>
        <w:gridCol w:w="5535"/>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28"/>
              <w:widowControl w:val="0"/>
              <w:rPr>
                <w:b/>
                <w:bCs/>
                <w:color w:val="auto"/>
                <w:highlight w:val="none"/>
              </w:rPr>
            </w:pPr>
            <w:r>
              <w:rPr>
                <w:rFonts w:hint="eastAsia"/>
                <w:b/>
                <w:bCs/>
                <w:color w:val="auto"/>
                <w:highlight w:val="none"/>
              </w:rPr>
              <w:t>项目</w:t>
            </w:r>
          </w:p>
        </w:tc>
        <w:tc>
          <w:tcPr>
            <w:tcW w:w="915" w:type="dxa"/>
            <w:tcBorders>
              <w:tl2br w:val="nil"/>
              <w:tr2bl w:val="nil"/>
            </w:tcBorders>
            <w:vAlign w:val="center"/>
          </w:tcPr>
          <w:p>
            <w:pPr>
              <w:pStyle w:val="28"/>
              <w:widowControl w:val="0"/>
              <w:rPr>
                <w:b/>
                <w:bCs/>
                <w:color w:val="auto"/>
                <w:highlight w:val="none"/>
              </w:rPr>
            </w:pPr>
            <w:r>
              <w:rPr>
                <w:rFonts w:hint="eastAsia"/>
                <w:b/>
                <w:bCs/>
                <w:color w:val="auto"/>
                <w:highlight w:val="none"/>
              </w:rPr>
              <w:t>时段</w:t>
            </w:r>
          </w:p>
        </w:tc>
        <w:tc>
          <w:tcPr>
            <w:tcW w:w="1290" w:type="dxa"/>
            <w:tcBorders>
              <w:tl2br w:val="nil"/>
              <w:tr2bl w:val="nil"/>
            </w:tcBorders>
            <w:vAlign w:val="center"/>
          </w:tcPr>
          <w:p>
            <w:pPr>
              <w:pStyle w:val="28"/>
              <w:widowControl w:val="0"/>
              <w:rPr>
                <w:b/>
                <w:bCs/>
                <w:color w:val="auto"/>
                <w:highlight w:val="none"/>
              </w:rPr>
            </w:pPr>
            <w:r>
              <w:rPr>
                <w:rFonts w:hint="eastAsia"/>
                <w:b/>
                <w:bCs/>
                <w:color w:val="auto"/>
                <w:highlight w:val="none"/>
              </w:rPr>
              <w:t>污染物名称</w:t>
            </w:r>
          </w:p>
        </w:tc>
        <w:tc>
          <w:tcPr>
            <w:tcW w:w="5535" w:type="dxa"/>
            <w:tcBorders>
              <w:tl2br w:val="nil"/>
              <w:tr2bl w:val="nil"/>
            </w:tcBorders>
            <w:vAlign w:val="center"/>
          </w:tcPr>
          <w:p>
            <w:pPr>
              <w:pStyle w:val="28"/>
              <w:widowControl w:val="0"/>
              <w:rPr>
                <w:b/>
                <w:bCs/>
                <w:color w:val="auto"/>
                <w:highlight w:val="none"/>
              </w:rPr>
            </w:pPr>
            <w:r>
              <w:rPr>
                <w:rFonts w:hint="eastAsia"/>
                <w:b/>
                <w:bCs/>
                <w:color w:val="auto"/>
                <w:highlight w:val="none"/>
              </w:rPr>
              <w:t>环保治理措施</w:t>
            </w:r>
          </w:p>
        </w:tc>
        <w:tc>
          <w:tcPr>
            <w:tcW w:w="1143" w:type="dxa"/>
            <w:tcBorders>
              <w:tl2br w:val="nil"/>
              <w:tr2bl w:val="nil"/>
            </w:tcBorders>
            <w:vAlign w:val="center"/>
          </w:tcPr>
          <w:p>
            <w:pPr>
              <w:pStyle w:val="28"/>
              <w:widowControl w:val="0"/>
              <w:rPr>
                <w:b/>
                <w:bCs/>
                <w:color w:val="auto"/>
                <w:highlight w:val="none"/>
              </w:rPr>
            </w:pPr>
            <w:r>
              <w:rPr>
                <w:rFonts w:hint="eastAsia"/>
                <w:b/>
                <w:bCs/>
                <w:color w:val="auto"/>
                <w:highlight w:val="none"/>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8"/>
              <w:widowControl w:val="0"/>
              <w:rPr>
                <w:color w:val="auto"/>
                <w:highlight w:val="none"/>
              </w:rPr>
            </w:pPr>
            <w:r>
              <w:rPr>
                <w:rFonts w:hint="eastAsia"/>
                <w:color w:val="auto"/>
                <w:highlight w:val="none"/>
              </w:rPr>
              <w:t>废水治理措施</w:t>
            </w: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施工期</w:t>
            </w: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生活污水</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依托周围农户已有卫生设施</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施工废水</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设置</w:t>
            </w:r>
            <w:r>
              <w:rPr>
                <w:rFonts w:eastAsia="Times New Roman"/>
                <w:color w:val="auto"/>
                <w:sz w:val="22"/>
                <w:szCs w:val="24"/>
                <w:highlight w:val="none"/>
              </w:rPr>
              <w:t>1</w:t>
            </w:r>
            <w:r>
              <w:rPr>
                <w:rFonts w:hint="eastAsia" w:ascii="宋体" w:hAnsi="宋体"/>
                <w:color w:val="auto"/>
                <w:sz w:val="22"/>
                <w:szCs w:val="24"/>
                <w:highlight w:val="none"/>
              </w:rPr>
              <w:t>座临时沉淀隔油池处理后回收利用</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营运期</w:t>
            </w:r>
          </w:p>
        </w:tc>
        <w:tc>
          <w:tcPr>
            <w:tcW w:w="1290" w:type="dxa"/>
            <w:vMerge w:val="restart"/>
            <w:tcBorders>
              <w:tl2br w:val="nil"/>
              <w:tr2bl w:val="nil"/>
            </w:tcBorders>
            <w:vAlign w:val="center"/>
          </w:tcPr>
          <w:p>
            <w:pPr>
              <w:pStyle w:val="28"/>
              <w:widowControl w:val="0"/>
              <w:rPr>
                <w:color w:val="auto"/>
                <w:highlight w:val="none"/>
              </w:rPr>
            </w:pPr>
            <w:r>
              <w:rPr>
                <w:rFonts w:hint="eastAsia"/>
                <w:color w:val="auto"/>
                <w:highlight w:val="none"/>
              </w:rPr>
              <w:t>综合废水</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设置1座500</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的污水处理站，采用“格栅池+沉渣池+多功能生物调节池+气浮沉渣池+厌氧池+初沉池+缺氧池1+好氧池1紫外线消毒+清水池”组合工艺。</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vMerge w:val="continue"/>
            <w:tcBorders>
              <w:tl2br w:val="nil"/>
              <w:tr2bl w:val="nil"/>
            </w:tcBorders>
            <w:vAlign w:val="center"/>
          </w:tcPr>
          <w:p>
            <w:pPr>
              <w:pStyle w:val="28"/>
              <w:widowControl w:val="0"/>
              <w:rPr>
                <w:color w:val="auto"/>
                <w:highlight w:val="none"/>
              </w:rPr>
            </w:pP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连接市政污水管网配套输送管道</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8"/>
              <w:widowControl w:val="0"/>
              <w:rPr>
                <w:color w:val="auto"/>
                <w:highlight w:val="none"/>
              </w:rPr>
            </w:pPr>
            <w:r>
              <w:rPr>
                <w:rFonts w:hint="eastAsia"/>
                <w:color w:val="auto"/>
                <w:highlight w:val="none"/>
              </w:rPr>
              <w:t>废气治理措施</w:t>
            </w: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施工期</w:t>
            </w: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扬尘</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封闭打围施工，洒水降尘，运输车辆加盖篷布</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机械燃油废气、装修废气</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加强管理，定期维修</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营运期</w:t>
            </w:r>
          </w:p>
        </w:tc>
        <w:tc>
          <w:tcPr>
            <w:tcW w:w="1290" w:type="dxa"/>
            <w:vMerge w:val="restart"/>
            <w:tcBorders>
              <w:tl2br w:val="nil"/>
              <w:tr2bl w:val="nil"/>
            </w:tcBorders>
            <w:vAlign w:val="center"/>
          </w:tcPr>
          <w:p>
            <w:pPr>
              <w:pStyle w:val="28"/>
              <w:widowControl w:val="0"/>
              <w:rPr>
                <w:color w:val="auto"/>
                <w:highlight w:val="none"/>
              </w:rPr>
            </w:pPr>
            <w:r>
              <w:rPr>
                <w:rFonts w:hint="eastAsia"/>
                <w:color w:val="auto"/>
                <w:highlight w:val="none"/>
              </w:rPr>
              <w:t>恶臭</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对待宰车间、隔离间、急宰间和</w:t>
            </w:r>
            <w:r>
              <w:rPr>
                <w:rFonts w:hint="eastAsia"/>
                <w:color w:val="auto"/>
                <w:highlight w:val="none"/>
                <w:lang w:val="en-US" w:eastAsia="zh-CN"/>
              </w:rPr>
              <w:t>生猪屠宰车间</w:t>
            </w:r>
            <w:r>
              <w:rPr>
                <w:rFonts w:hint="eastAsia"/>
                <w:color w:val="auto"/>
                <w:highlight w:val="none"/>
              </w:rPr>
              <w:t>进行密闭并微负压抽风，废气经管道收集后进入</w:t>
            </w:r>
            <w:r>
              <w:rPr>
                <w:color w:val="auto"/>
                <w:highlight w:val="none"/>
              </w:rPr>
              <w:t>1</w:t>
            </w:r>
            <w:r>
              <w:rPr>
                <w:rFonts w:hint="eastAsia"/>
                <w:color w:val="auto"/>
                <w:highlight w:val="none"/>
              </w:rPr>
              <w:t>套“UV光解+生物洗涤塔”处理后由</w:t>
            </w:r>
            <w:r>
              <w:rPr>
                <w:color w:val="auto"/>
                <w:highlight w:val="none"/>
              </w:rPr>
              <w:t>15m</w:t>
            </w:r>
            <w:r>
              <w:rPr>
                <w:rFonts w:hint="eastAsia"/>
                <w:color w:val="auto"/>
                <w:highlight w:val="none"/>
              </w:rPr>
              <w:t>高排气筒（</w:t>
            </w:r>
            <w:r>
              <w:rPr>
                <w:color w:val="auto"/>
                <w:highlight w:val="none"/>
              </w:rPr>
              <w:t>P1</w:t>
            </w:r>
            <w:r>
              <w:rPr>
                <w:rFonts w:hint="eastAsia"/>
                <w:color w:val="auto"/>
                <w:highlight w:val="none"/>
              </w:rPr>
              <w:t>）进行排放</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vMerge w:val="continue"/>
            <w:tcBorders>
              <w:tl2br w:val="nil"/>
              <w:tr2bl w:val="nil"/>
            </w:tcBorders>
            <w:vAlign w:val="center"/>
          </w:tcPr>
          <w:p>
            <w:pPr>
              <w:pStyle w:val="28"/>
              <w:widowControl w:val="0"/>
              <w:rPr>
                <w:color w:val="auto"/>
                <w:highlight w:val="none"/>
              </w:rPr>
            </w:pP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对</w:t>
            </w:r>
            <w:r>
              <w:rPr>
                <w:rFonts w:hint="eastAsia"/>
                <w:color w:val="auto"/>
                <w:highlight w:val="none"/>
                <w:lang w:val="en-US" w:eastAsia="zh-CN"/>
              </w:rPr>
              <w:t>肉牛</w:t>
            </w:r>
            <w:r>
              <w:rPr>
                <w:rFonts w:hint="eastAsia"/>
                <w:color w:val="auto"/>
                <w:highlight w:val="none"/>
              </w:rPr>
              <w:t>屠宰车间</w:t>
            </w:r>
            <w:r>
              <w:rPr>
                <w:rFonts w:hint="eastAsia"/>
                <w:color w:val="auto"/>
                <w:highlight w:val="none"/>
                <w:lang w:val="en-US" w:eastAsia="zh-CN"/>
              </w:rPr>
              <w:t>和污水处理站</w:t>
            </w:r>
            <w:r>
              <w:rPr>
                <w:rFonts w:hint="eastAsia"/>
                <w:color w:val="auto"/>
                <w:highlight w:val="none"/>
              </w:rPr>
              <w:t>进行密闭并微负压抽风废气经管道收集后进入</w:t>
            </w:r>
            <w:r>
              <w:rPr>
                <w:color w:val="auto"/>
                <w:highlight w:val="none"/>
              </w:rPr>
              <w:t>1</w:t>
            </w:r>
            <w:r>
              <w:rPr>
                <w:rFonts w:hint="eastAsia"/>
                <w:color w:val="auto"/>
                <w:highlight w:val="none"/>
              </w:rPr>
              <w:t>套“UV光解+生物洗涤塔”处理后由</w:t>
            </w:r>
            <w:r>
              <w:rPr>
                <w:color w:val="auto"/>
                <w:highlight w:val="none"/>
              </w:rPr>
              <w:t>15m</w:t>
            </w:r>
            <w:r>
              <w:rPr>
                <w:rFonts w:hint="eastAsia"/>
                <w:color w:val="auto"/>
                <w:highlight w:val="none"/>
              </w:rPr>
              <w:t>高排气筒（</w:t>
            </w:r>
            <w:r>
              <w:rPr>
                <w:color w:val="auto"/>
                <w:highlight w:val="none"/>
              </w:rPr>
              <w:t>P2</w:t>
            </w:r>
            <w:r>
              <w:rPr>
                <w:rFonts w:hint="eastAsia"/>
                <w:color w:val="auto"/>
                <w:highlight w:val="none"/>
              </w:rPr>
              <w:t>）进行排放</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餐饮油烟</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设置油烟净化器处理后经烟道楼顶排放</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天然气废气</w:t>
            </w:r>
          </w:p>
        </w:tc>
        <w:tc>
          <w:tcPr>
            <w:tcW w:w="5535" w:type="dxa"/>
            <w:tcBorders>
              <w:tl2br w:val="nil"/>
              <w:tr2bl w:val="nil"/>
            </w:tcBorders>
            <w:vAlign w:val="center"/>
          </w:tcPr>
          <w:p>
            <w:pPr>
              <w:pStyle w:val="28"/>
              <w:widowControl w:val="0"/>
              <w:rPr>
                <w:rFonts w:ascii="宋体" w:hAnsi="宋体"/>
                <w:color w:val="auto"/>
                <w:szCs w:val="24"/>
                <w:highlight w:val="none"/>
              </w:rPr>
            </w:pPr>
            <w:r>
              <w:rPr>
                <w:rFonts w:hint="eastAsia"/>
                <w:color w:val="auto"/>
                <w:highlight w:val="none"/>
              </w:rPr>
              <w:t>设置于楼顶排气筒（h=8m）高空排放</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8"/>
              <w:widowControl w:val="0"/>
              <w:rPr>
                <w:color w:val="auto"/>
                <w:highlight w:val="none"/>
              </w:rPr>
            </w:pPr>
            <w:r>
              <w:rPr>
                <w:rFonts w:hint="eastAsia"/>
                <w:color w:val="auto"/>
                <w:highlight w:val="none"/>
              </w:rPr>
              <w:t>噪声治理措施</w:t>
            </w:r>
          </w:p>
        </w:tc>
        <w:tc>
          <w:tcPr>
            <w:tcW w:w="91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施工期</w:t>
            </w:r>
          </w:p>
        </w:tc>
        <w:tc>
          <w:tcPr>
            <w:tcW w:w="1290"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设备噪声</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选用低噪声设备；打围降噪；昼间施工；加强管理</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营运期</w:t>
            </w:r>
          </w:p>
        </w:tc>
        <w:tc>
          <w:tcPr>
            <w:tcW w:w="1290"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动物叫声</w:t>
            </w:r>
          </w:p>
        </w:tc>
        <w:tc>
          <w:tcPr>
            <w:tcW w:w="5535"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文明驱赶，电麻刺杀，建筑隔声</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纳入主体工程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设备噪声</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选用低噪声设备；建构筑物隔声；采用基础减振、风机设置消声器等措施</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8"/>
              <w:widowControl w:val="0"/>
              <w:rPr>
                <w:color w:val="auto"/>
                <w:highlight w:val="none"/>
              </w:rPr>
            </w:pPr>
            <w:r>
              <w:rPr>
                <w:rFonts w:hint="eastAsia"/>
                <w:color w:val="auto"/>
                <w:highlight w:val="none"/>
              </w:rPr>
              <w:t>固废处置措施</w:t>
            </w: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施工期</w:t>
            </w: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建筑垃圾</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分类回收利用，不能回收利用的送至政府指定的建渣场</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采用垃圾桶收集后袋装每日交环卫部门统一清运</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restart"/>
            <w:tcBorders>
              <w:tl2br w:val="nil"/>
              <w:tr2bl w:val="nil"/>
            </w:tcBorders>
            <w:vAlign w:val="center"/>
          </w:tcPr>
          <w:p>
            <w:pPr>
              <w:pStyle w:val="28"/>
              <w:widowControl w:val="0"/>
              <w:rPr>
                <w:color w:val="auto"/>
                <w:highlight w:val="none"/>
              </w:rPr>
            </w:pPr>
            <w:r>
              <w:rPr>
                <w:rFonts w:hint="eastAsia"/>
                <w:color w:val="auto"/>
                <w:highlight w:val="none"/>
              </w:rPr>
              <w:t>营运期</w:t>
            </w: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固体废物</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设置危废暂存间（40m</w:t>
            </w:r>
            <w:r>
              <w:rPr>
                <w:rFonts w:hint="eastAsia"/>
                <w:color w:val="auto"/>
                <w:highlight w:val="none"/>
                <w:vertAlign w:val="superscript"/>
              </w:rPr>
              <w:t>2</w:t>
            </w:r>
            <w:r>
              <w:rPr>
                <w:rFonts w:hint="eastAsia"/>
                <w:color w:val="auto"/>
                <w:highlight w:val="none"/>
              </w:rPr>
              <w:t>）、无害化暂存间（定期交由有无害化处理资质的单位处置），待宰圈和内脏处理间各设置密闭垃圾桶，分类收集，分类处置</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生活垃圾</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设置垃圾收集点，袋装每日交环卫部门统一清运</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915" w:type="dxa"/>
            <w:vMerge w:val="continue"/>
            <w:tcBorders>
              <w:tl2br w:val="nil"/>
              <w:tr2bl w:val="nil"/>
            </w:tcBorders>
            <w:vAlign w:val="center"/>
          </w:tcPr>
          <w:p>
            <w:pPr>
              <w:pStyle w:val="28"/>
              <w:widowControl w:val="0"/>
              <w:rPr>
                <w:color w:val="auto"/>
                <w:highlight w:val="none"/>
              </w:rPr>
            </w:pPr>
          </w:p>
        </w:tc>
        <w:tc>
          <w:tcPr>
            <w:tcW w:w="1290" w:type="dxa"/>
            <w:tcBorders>
              <w:tl2br w:val="nil"/>
              <w:tr2bl w:val="nil"/>
            </w:tcBorders>
            <w:vAlign w:val="center"/>
          </w:tcPr>
          <w:p>
            <w:pPr>
              <w:pStyle w:val="28"/>
              <w:widowControl w:val="0"/>
              <w:rPr>
                <w:color w:val="auto"/>
                <w:highlight w:val="none"/>
              </w:rPr>
            </w:pPr>
            <w:r>
              <w:rPr>
                <w:rFonts w:hint="eastAsia"/>
                <w:color w:val="auto"/>
                <w:highlight w:val="none"/>
              </w:rPr>
              <w:t>餐厨垃圾</w:t>
            </w:r>
          </w:p>
        </w:tc>
        <w:tc>
          <w:tcPr>
            <w:tcW w:w="5535" w:type="dxa"/>
            <w:tcBorders>
              <w:tl2br w:val="nil"/>
              <w:tr2bl w:val="nil"/>
            </w:tcBorders>
            <w:vAlign w:val="center"/>
          </w:tcPr>
          <w:p>
            <w:pPr>
              <w:pStyle w:val="28"/>
              <w:widowControl w:val="0"/>
              <w:rPr>
                <w:color w:val="auto"/>
                <w:highlight w:val="none"/>
              </w:rPr>
            </w:pPr>
            <w:r>
              <w:rPr>
                <w:rFonts w:hint="eastAsia"/>
                <w:color w:val="auto"/>
                <w:highlight w:val="none"/>
              </w:rPr>
              <w:t>设置专用收集容器，交经城管部门许可的餐厨垃圾收运单位处置</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8"/>
              <w:widowControl w:val="0"/>
              <w:rPr>
                <w:color w:val="auto"/>
                <w:highlight w:val="none"/>
              </w:rPr>
            </w:pPr>
            <w:r>
              <w:rPr>
                <w:rFonts w:hint="eastAsia"/>
                <w:color w:val="auto"/>
                <w:highlight w:val="none"/>
              </w:rPr>
              <w:t>地下水防治措施</w:t>
            </w:r>
          </w:p>
        </w:tc>
        <w:tc>
          <w:tcPr>
            <w:tcW w:w="7740" w:type="dxa"/>
            <w:gridSpan w:val="3"/>
            <w:tcBorders>
              <w:tl2br w:val="nil"/>
              <w:tr2bl w:val="nil"/>
            </w:tcBorders>
            <w:vAlign w:val="center"/>
          </w:tcPr>
          <w:p>
            <w:pPr>
              <w:pStyle w:val="28"/>
              <w:widowControl w:val="0"/>
              <w:jc w:val="both"/>
              <w:rPr>
                <w:color w:val="auto"/>
                <w:highlight w:val="none"/>
              </w:rPr>
            </w:pPr>
            <w:r>
              <w:rPr>
                <w:rFonts w:hint="eastAsia"/>
                <w:color w:val="auto"/>
                <w:highlight w:val="none"/>
              </w:rPr>
              <w:t>采取分区防渗措施。</w:t>
            </w:r>
          </w:p>
          <w:p>
            <w:pPr>
              <w:pStyle w:val="28"/>
              <w:widowControl w:val="0"/>
              <w:jc w:val="both"/>
              <w:rPr>
                <w:color w:val="auto"/>
                <w:highlight w:val="none"/>
              </w:rPr>
            </w:pPr>
            <w:r>
              <w:rPr>
                <w:rFonts w:hint="eastAsia"/>
                <w:color w:val="auto"/>
                <w:highlight w:val="none"/>
              </w:rPr>
              <w:t>重点防渗：危废暂存间采用防渗混凝土</w:t>
            </w:r>
            <w:r>
              <w:rPr>
                <w:color w:val="auto"/>
                <w:highlight w:val="none"/>
              </w:rPr>
              <w:t>+2mmHDPE</w:t>
            </w:r>
            <w:r>
              <w:rPr>
                <w:rFonts w:hint="eastAsia"/>
                <w:color w:val="auto"/>
                <w:highlight w:val="none"/>
              </w:rPr>
              <w:t>防渗膜+金属托盘，可满足等效粘土防渗层Mb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-10</w:t>
            </w:r>
            <w:r>
              <w:rPr>
                <w:rFonts w:hint="eastAsia"/>
                <w:color w:val="auto"/>
                <w:highlight w:val="none"/>
              </w:rPr>
              <w:t>cm/s的要求；药品库、污水处理站及污水管网、污水处理站加药间、无害化暂存间均采用防渗混凝土+</w:t>
            </w:r>
            <w:r>
              <w:rPr>
                <w:color w:val="auto"/>
                <w:highlight w:val="none"/>
              </w:rPr>
              <w:t>2mmHDPE</w:t>
            </w:r>
            <w:r>
              <w:rPr>
                <w:rFonts w:hint="eastAsia"/>
                <w:color w:val="auto"/>
                <w:highlight w:val="none"/>
              </w:rPr>
              <w:t>防渗膜可满足等效粘土防渗层Mb</w:t>
            </w:r>
            <w:r>
              <w:rPr>
                <w:color w:val="auto"/>
                <w:highlight w:val="none"/>
              </w:rPr>
              <w:t>≥</w:t>
            </w:r>
            <w:r>
              <w:rPr>
                <w:rFonts w:hint="eastAsia"/>
                <w:color w:val="auto"/>
                <w:highlight w:val="none"/>
              </w:rPr>
              <w:t>6.0m，K</w:t>
            </w:r>
            <w:r>
              <w:rPr>
                <w:color w:val="auto"/>
                <w:highlight w:val="none"/>
              </w:rPr>
              <w:t>≤</w:t>
            </w:r>
            <w:r>
              <w:rPr>
                <w:rFonts w:hint="eastAsia"/>
                <w:color w:val="auto"/>
                <w:highlight w:val="none"/>
              </w:rPr>
              <w:t>10</w:t>
            </w:r>
            <w:r>
              <w:rPr>
                <w:rFonts w:hint="eastAsia"/>
                <w:color w:val="auto"/>
                <w:highlight w:val="none"/>
                <w:vertAlign w:val="superscript"/>
              </w:rPr>
              <w:t>-7</w:t>
            </w:r>
            <w:r>
              <w:rPr>
                <w:rFonts w:hint="eastAsia"/>
                <w:color w:val="auto"/>
                <w:highlight w:val="none"/>
              </w:rPr>
              <w:t>cm/s的要求。</w:t>
            </w:r>
          </w:p>
          <w:p>
            <w:pPr>
              <w:pStyle w:val="28"/>
              <w:widowControl w:val="0"/>
              <w:jc w:val="both"/>
              <w:rPr>
                <w:color w:val="auto"/>
                <w:highlight w:val="none"/>
              </w:rPr>
            </w:pPr>
            <w:r>
              <w:rPr>
                <w:rFonts w:hint="eastAsia"/>
                <w:color w:val="auto"/>
                <w:highlight w:val="none"/>
              </w:rPr>
              <w:t>一般防渗：待宰圈、屠宰车间、急宰间、隔离间、观察室、检疫室、垃圾回收站要求进行一般防渗，防渗技术采用防渗混凝土可满足等效粘土防渗层</w:t>
            </w:r>
            <w:r>
              <w:rPr>
                <w:color w:val="auto"/>
                <w:highlight w:val="none"/>
              </w:rPr>
              <w:t>Mb≥1.5m</w:t>
            </w:r>
            <w:r>
              <w:rPr>
                <w:rFonts w:hint="eastAsia"/>
                <w:color w:val="auto"/>
                <w:highlight w:val="none"/>
              </w:rPr>
              <w:t>，</w:t>
            </w:r>
            <w:r>
              <w:rPr>
                <w:color w:val="auto"/>
                <w:highlight w:val="none"/>
              </w:rPr>
              <w:t>K≤10</w:t>
            </w:r>
            <w:r>
              <w:rPr>
                <w:color w:val="auto"/>
                <w:highlight w:val="none"/>
                <w:vertAlign w:val="superscript"/>
              </w:rPr>
              <w:t>-7</w:t>
            </w:r>
            <w:r>
              <w:rPr>
                <w:color w:val="auto"/>
                <w:highlight w:val="none"/>
              </w:rPr>
              <w:t>cm/s</w:t>
            </w:r>
            <w:r>
              <w:rPr>
                <w:rFonts w:hint="eastAsia"/>
                <w:color w:val="auto"/>
                <w:highlight w:val="none"/>
              </w:rPr>
              <w:t>的要求。</w:t>
            </w:r>
          </w:p>
          <w:p>
            <w:pPr>
              <w:pStyle w:val="28"/>
              <w:widowControl w:val="0"/>
              <w:jc w:val="both"/>
              <w:rPr>
                <w:color w:val="auto"/>
                <w:highlight w:val="none"/>
              </w:rPr>
            </w:pPr>
            <w:r>
              <w:rPr>
                <w:rFonts w:hint="eastAsia"/>
                <w:color w:val="auto"/>
                <w:highlight w:val="none"/>
              </w:rPr>
              <w:t>简单防渗：倒班房、道路等除重点防渗区和一般防渗区以外的区域。防渗技术要求为一般地面硬化。</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8"/>
              <w:widowControl w:val="0"/>
              <w:rPr>
                <w:color w:val="auto"/>
                <w:highlight w:val="none"/>
              </w:rPr>
            </w:pPr>
          </w:p>
        </w:tc>
        <w:tc>
          <w:tcPr>
            <w:tcW w:w="7740" w:type="dxa"/>
            <w:gridSpan w:val="3"/>
            <w:tcBorders>
              <w:tl2br w:val="nil"/>
              <w:tr2bl w:val="nil"/>
            </w:tcBorders>
            <w:vAlign w:val="center"/>
          </w:tcPr>
          <w:p>
            <w:pPr>
              <w:pStyle w:val="28"/>
              <w:widowControl w:val="0"/>
              <w:rPr>
                <w:color w:val="auto"/>
                <w:highlight w:val="none"/>
              </w:rPr>
            </w:pPr>
            <w:r>
              <w:rPr>
                <w:rFonts w:hint="eastAsia" w:ascii="宋体" w:hAnsi="宋体"/>
                <w:color w:val="auto"/>
                <w:sz w:val="22"/>
                <w:szCs w:val="24"/>
                <w:highlight w:val="none"/>
              </w:rPr>
              <w:t>在污水处理站北侧设置</w:t>
            </w:r>
            <w:r>
              <w:rPr>
                <w:rFonts w:eastAsia="Times New Roman"/>
                <w:color w:val="auto"/>
                <w:sz w:val="22"/>
                <w:szCs w:val="24"/>
                <w:highlight w:val="none"/>
              </w:rPr>
              <w:t>1</w:t>
            </w:r>
            <w:r>
              <w:rPr>
                <w:rFonts w:hint="eastAsia" w:ascii="宋体" w:hAnsi="宋体"/>
                <w:color w:val="auto"/>
                <w:sz w:val="22"/>
                <w:szCs w:val="24"/>
                <w:highlight w:val="none"/>
              </w:rPr>
              <w:t>口地下水监测井</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28"/>
              <w:widowControl w:val="0"/>
              <w:rPr>
                <w:color w:val="auto"/>
                <w:highlight w:val="none"/>
              </w:rPr>
            </w:pPr>
            <w:r>
              <w:rPr>
                <w:rFonts w:hint="eastAsia"/>
                <w:color w:val="auto"/>
                <w:highlight w:val="none"/>
              </w:rPr>
              <w:t>环境风险</w:t>
            </w:r>
          </w:p>
        </w:tc>
        <w:tc>
          <w:tcPr>
            <w:tcW w:w="7740" w:type="dxa"/>
            <w:gridSpan w:val="3"/>
            <w:tcBorders>
              <w:tl2br w:val="nil"/>
              <w:tr2bl w:val="nil"/>
            </w:tcBorders>
            <w:vAlign w:val="center"/>
          </w:tcPr>
          <w:p>
            <w:pPr>
              <w:pStyle w:val="28"/>
              <w:widowControl w:val="0"/>
              <w:jc w:val="left"/>
              <w:rPr>
                <w:color w:val="auto"/>
                <w:highlight w:val="none"/>
              </w:rPr>
            </w:pPr>
            <w:r>
              <w:rPr>
                <w:color w:val="auto"/>
                <w:highlight w:val="none"/>
              </w:rPr>
              <w:t>1</w:t>
            </w:r>
            <w:r>
              <w:rPr>
                <w:rFonts w:hint="eastAsia"/>
                <w:color w:val="auto"/>
                <w:highlight w:val="none"/>
              </w:rPr>
              <w:t>、车间外设置截水沟，截水沟与厂区雨、污水管道接通，同时设置阀门控制；</w:t>
            </w:r>
          </w:p>
          <w:p>
            <w:pPr>
              <w:pStyle w:val="28"/>
              <w:widowControl w:val="0"/>
              <w:jc w:val="left"/>
              <w:rPr>
                <w:color w:val="auto"/>
                <w:highlight w:val="none"/>
              </w:rPr>
            </w:pPr>
            <w:r>
              <w:rPr>
                <w:color w:val="auto"/>
                <w:highlight w:val="none"/>
              </w:rPr>
              <w:t>2</w:t>
            </w:r>
            <w:r>
              <w:rPr>
                <w:rFonts w:hint="eastAsia"/>
                <w:color w:val="auto"/>
                <w:highlight w:val="none"/>
              </w:rPr>
              <w:t>、事故应急池（1000m</w:t>
            </w:r>
            <w:r>
              <w:rPr>
                <w:rFonts w:hint="eastAsia"/>
                <w:color w:val="auto"/>
                <w:highlight w:val="none"/>
                <w:vertAlign w:val="superscript"/>
              </w:rPr>
              <w:t>3</w:t>
            </w:r>
            <w:r>
              <w:rPr>
                <w:rFonts w:hint="eastAsia"/>
                <w:color w:val="auto"/>
                <w:highlight w:val="none"/>
              </w:rPr>
              <w:t>）；</w:t>
            </w:r>
          </w:p>
          <w:p>
            <w:pPr>
              <w:pStyle w:val="28"/>
              <w:widowControl w:val="0"/>
              <w:jc w:val="left"/>
              <w:rPr>
                <w:color w:val="auto"/>
                <w:highlight w:val="none"/>
              </w:rPr>
            </w:pPr>
            <w:r>
              <w:rPr>
                <w:color w:val="auto"/>
                <w:highlight w:val="none"/>
              </w:rPr>
              <w:t>3</w:t>
            </w:r>
            <w:r>
              <w:rPr>
                <w:rFonts w:hint="eastAsia"/>
                <w:color w:val="auto"/>
                <w:highlight w:val="none"/>
              </w:rPr>
              <w:t>、编制突发环境事件应急预案。</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28"/>
              <w:widowControl w:val="0"/>
              <w:rPr>
                <w:color w:val="auto"/>
                <w:highlight w:val="none"/>
              </w:rPr>
            </w:pPr>
            <w:r>
              <w:rPr>
                <w:rFonts w:hint="eastAsia"/>
                <w:color w:val="auto"/>
                <w:highlight w:val="none"/>
              </w:rPr>
              <w:t>合计</w:t>
            </w:r>
          </w:p>
        </w:tc>
        <w:tc>
          <w:tcPr>
            <w:tcW w:w="7740" w:type="dxa"/>
            <w:gridSpan w:val="3"/>
            <w:tcBorders>
              <w:tl2br w:val="nil"/>
              <w:tr2bl w:val="nil"/>
            </w:tcBorders>
            <w:vAlign w:val="center"/>
          </w:tcPr>
          <w:p>
            <w:pPr>
              <w:pStyle w:val="28"/>
              <w:widowControl w:val="0"/>
              <w:rPr>
                <w:color w:val="auto"/>
                <w:highlight w:val="none"/>
              </w:rPr>
            </w:pPr>
            <w:r>
              <w:rPr>
                <w:rFonts w:hint="eastAsia"/>
                <w:color w:val="auto"/>
                <w:highlight w:val="none"/>
              </w:rPr>
              <w:t>/</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580.9</w:t>
            </w:r>
          </w:p>
        </w:tc>
      </w:tr>
    </w:tbl>
    <w:p>
      <w:pPr>
        <w:widowControl w:val="0"/>
        <w:ind w:firstLine="480"/>
        <w:rPr>
          <w:color w:val="auto"/>
          <w:highlight w:val="none"/>
        </w:rPr>
      </w:pPr>
      <w:r>
        <w:rPr>
          <w:color w:val="auto"/>
          <w:highlight w:val="none"/>
        </w:rPr>
        <w:br w:type="page"/>
      </w:r>
    </w:p>
    <w:p>
      <w:pPr>
        <w:pStyle w:val="3"/>
        <w:widowControl w:val="0"/>
        <w:ind w:firstLine="643"/>
        <w:rPr>
          <w:color w:val="auto"/>
          <w:highlight w:val="none"/>
        </w:rPr>
      </w:pPr>
      <w:bookmarkStart w:id="85" w:name="_Toc8736"/>
      <w:r>
        <w:rPr>
          <w:rFonts w:hint="eastAsia"/>
          <w:color w:val="auto"/>
          <w:highlight w:val="none"/>
        </w:rPr>
        <w:t>环境影响经济损益分析</w:t>
      </w:r>
      <w:bookmarkEnd w:id="85"/>
    </w:p>
    <w:p>
      <w:pPr>
        <w:widowControl w:val="0"/>
        <w:ind w:firstLine="480"/>
        <w:rPr>
          <w:color w:val="auto"/>
          <w:highlight w:val="none"/>
        </w:rPr>
      </w:pPr>
      <w:r>
        <w:rPr>
          <w:rFonts w:hint="eastAsia"/>
          <w:color w:val="auto"/>
          <w:highlight w:val="none"/>
        </w:rPr>
        <w:t>随着我国经济的发展和城乡居民生活水平的提高，食品的种类也日益丰富。根据市场调查，猪肉加工产品在市场上是畅销产品，具有营养丰富、口感好、再加工方便等优点，备受消费者的欢迎。本项目的投产运行不仅能带来良好的经济效益，而且能够缓解当地劳动力的就业压力，具有良好的社会效益。下面就该项目的社会效益、经济效益和环境效益做简要分析。</w:t>
      </w:r>
    </w:p>
    <w:p>
      <w:pPr>
        <w:pStyle w:val="4"/>
        <w:widowControl w:val="0"/>
        <w:rPr>
          <w:color w:val="auto"/>
          <w:highlight w:val="none"/>
        </w:rPr>
      </w:pPr>
      <w:bookmarkStart w:id="86" w:name="_Toc22100"/>
      <w:r>
        <w:rPr>
          <w:rFonts w:hint="eastAsia"/>
          <w:color w:val="auto"/>
          <w:highlight w:val="none"/>
        </w:rPr>
        <w:t>社会效益分析</w:t>
      </w:r>
      <w:bookmarkEnd w:id="86"/>
    </w:p>
    <w:p>
      <w:pPr>
        <w:widowControl w:val="0"/>
        <w:ind w:firstLine="480"/>
        <w:rPr>
          <w:color w:val="auto"/>
          <w:highlight w:val="none"/>
        </w:rPr>
      </w:pPr>
      <w:r>
        <w:rPr>
          <w:rFonts w:hint="eastAsia"/>
          <w:color w:val="auto"/>
          <w:highlight w:val="none"/>
        </w:rPr>
        <w:t>本项目的社会效益主要体现在以下几个方面：</w:t>
      </w:r>
    </w:p>
    <w:p>
      <w:pPr>
        <w:widowControl w:val="0"/>
        <w:ind w:firstLine="480"/>
        <w:rPr>
          <w:color w:val="auto"/>
          <w:highlight w:val="none"/>
        </w:rPr>
      </w:pPr>
      <w:r>
        <w:rPr>
          <w:rFonts w:hint="eastAsia"/>
          <w:color w:val="auto"/>
          <w:highlight w:val="none"/>
        </w:rPr>
        <w:t>（1）可以改变目前平昌县猪屠宰场行业落后不达标的局面。</w:t>
      </w:r>
    </w:p>
    <w:p>
      <w:pPr>
        <w:widowControl w:val="0"/>
        <w:ind w:firstLine="480"/>
        <w:rPr>
          <w:color w:val="auto"/>
          <w:highlight w:val="none"/>
        </w:rPr>
      </w:pPr>
      <w:r>
        <w:rPr>
          <w:rFonts w:hint="eastAsia"/>
          <w:color w:val="auto"/>
          <w:highlight w:val="none"/>
        </w:rPr>
        <w:t>项目的实施，将达到国家、省、市规定的设置条件和标准的猪定点屠宰场，改变目前平昌县生猪屠宰场落后不达标的局面，促进猪定点屠宰场的规范发展。</w:t>
      </w:r>
    </w:p>
    <w:p>
      <w:pPr>
        <w:widowControl w:val="0"/>
        <w:ind w:firstLine="480"/>
        <w:rPr>
          <w:color w:val="auto"/>
          <w:highlight w:val="none"/>
        </w:rPr>
      </w:pPr>
      <w:r>
        <w:rPr>
          <w:rFonts w:hint="eastAsia"/>
          <w:color w:val="auto"/>
          <w:highlight w:val="none"/>
        </w:rPr>
        <w:t>（2）更好地满足人民群众对安全优质肉品的消费需求</w:t>
      </w:r>
    </w:p>
    <w:p>
      <w:pPr>
        <w:widowControl w:val="0"/>
        <w:ind w:firstLine="480"/>
        <w:rPr>
          <w:color w:val="auto"/>
          <w:highlight w:val="none"/>
        </w:rPr>
      </w:pPr>
      <w:r>
        <w:rPr>
          <w:rFonts w:hint="eastAsia"/>
          <w:color w:val="auto"/>
          <w:highlight w:val="none"/>
        </w:rPr>
        <w:t>随着广大城乡居民生活标准和生活质量的提高，作为与人息息相关的“放心肉”，越来越受到人们的普遍重视和迫切需求。它对于控制污染和病毒、减少疾病、增加营养、增强体质、延年益寿、改善生活，具有深远的生命科学意义和不可低估的社会生态环境效益。因此，为了让老百姓吃上真正的“放心肉”，必须按照国家省、市建设规范合格的星级定点屠宰场，走标准化、集约化、产业化道路，达到优化布局、减控总量、升级改造、规范经营的目的，从而提升定点屠宰的技术装备，管理水平和污染防治水平，提升猪肉产品卫生和质量安全保障能力，确保猪屠宰环节病死、病害猪肉的生物安全处理率达</w:t>
      </w:r>
      <w:r>
        <w:rPr>
          <w:color w:val="auto"/>
          <w:highlight w:val="none"/>
        </w:rPr>
        <w:t>100%</w:t>
      </w:r>
      <w:r>
        <w:rPr>
          <w:rFonts w:hint="eastAsia"/>
          <w:color w:val="auto"/>
          <w:highlight w:val="none"/>
        </w:rPr>
        <w:t>，从源头上彻底杜绝病害猪肉上市，更好地满足人民群众对安全优质肉品的消费需求。</w:t>
      </w:r>
    </w:p>
    <w:p>
      <w:pPr>
        <w:widowControl w:val="0"/>
        <w:ind w:firstLine="480"/>
        <w:rPr>
          <w:color w:val="auto"/>
          <w:highlight w:val="none"/>
        </w:rPr>
      </w:pPr>
      <w:r>
        <w:rPr>
          <w:rFonts w:hint="eastAsia"/>
          <w:color w:val="auto"/>
          <w:highlight w:val="none"/>
        </w:rPr>
        <w:t>（3）农业可以发展循环经济</w:t>
      </w:r>
    </w:p>
    <w:p>
      <w:pPr>
        <w:widowControl w:val="0"/>
        <w:ind w:firstLine="480"/>
        <w:rPr>
          <w:color w:val="auto"/>
          <w:highlight w:val="none"/>
        </w:rPr>
      </w:pPr>
      <w:r>
        <w:rPr>
          <w:rFonts w:hint="eastAsia"/>
          <w:color w:val="auto"/>
          <w:highlight w:val="none"/>
        </w:rPr>
        <w:t>本项目正是有效地利用了有机农业的特点与优点，不但解决了种植基地的有机肥需求问题，并把屠宰场的废物变废为宝，充分的利用了资源，形成一个种养循环生态有机农业。既减少了当地化肥的使用量，又有利地改善了当地土壤和水质污染，保护了项目区周边的水体。</w:t>
      </w:r>
    </w:p>
    <w:p>
      <w:pPr>
        <w:pStyle w:val="4"/>
        <w:widowControl w:val="0"/>
        <w:rPr>
          <w:color w:val="auto"/>
          <w:highlight w:val="none"/>
        </w:rPr>
      </w:pPr>
      <w:bookmarkStart w:id="87" w:name="_Toc23716"/>
      <w:r>
        <w:rPr>
          <w:rFonts w:hint="eastAsia"/>
          <w:color w:val="auto"/>
          <w:highlight w:val="none"/>
        </w:rPr>
        <w:t>经济效益分析</w:t>
      </w:r>
      <w:bookmarkEnd w:id="87"/>
    </w:p>
    <w:p>
      <w:pPr>
        <w:widowControl w:val="0"/>
        <w:ind w:firstLine="480"/>
        <w:jc w:val="left"/>
        <w:rPr>
          <w:color w:val="auto"/>
          <w:highlight w:val="none"/>
        </w:rPr>
      </w:pPr>
      <w:r>
        <w:rPr>
          <w:rFonts w:hint="eastAsia" w:ascii="宋体" w:hAnsi="宋体"/>
          <w:color w:val="auto"/>
          <w:szCs w:val="24"/>
          <w:highlight w:val="none"/>
        </w:rPr>
        <w:t>本项目总投资</w:t>
      </w:r>
      <w:r>
        <w:rPr>
          <w:rFonts w:hint="eastAsia"/>
          <w:color w:val="auto"/>
          <w:szCs w:val="24"/>
          <w:highlight w:val="none"/>
        </w:rPr>
        <w:t>5000</w:t>
      </w:r>
      <w:r>
        <w:rPr>
          <w:rFonts w:hint="eastAsia" w:ascii="宋体" w:hAnsi="宋体"/>
          <w:color w:val="auto"/>
          <w:szCs w:val="24"/>
          <w:highlight w:val="none"/>
        </w:rPr>
        <w:t>万元，预计年屠宰加工生猪</w:t>
      </w:r>
      <w:r>
        <w:rPr>
          <w:rFonts w:hint="eastAsia"/>
          <w:color w:val="auto"/>
          <w:szCs w:val="24"/>
          <w:highlight w:val="none"/>
        </w:rPr>
        <w:t>16万头</w:t>
      </w:r>
      <w:r>
        <w:rPr>
          <w:rFonts w:hint="eastAsia" w:ascii="宋体" w:hAnsi="宋体"/>
          <w:color w:val="auto"/>
          <w:szCs w:val="24"/>
          <w:highlight w:val="none"/>
        </w:rPr>
        <w:t>、肉</w:t>
      </w:r>
      <w:r>
        <w:rPr>
          <w:rFonts w:hint="eastAsia"/>
          <w:color w:val="auto"/>
          <w:highlight w:val="none"/>
        </w:rPr>
        <w:t>牛1万头</w:t>
      </w:r>
      <w:r>
        <w:rPr>
          <w:rFonts w:hint="eastAsia" w:ascii="宋体" w:hAnsi="宋体"/>
          <w:color w:val="auto"/>
          <w:szCs w:val="24"/>
          <w:highlight w:val="none"/>
        </w:rPr>
        <w:t>。各项评价指标具有良好的财务盈利能力和较强的抗风险能力将取得较好的经济效益。</w:t>
      </w:r>
    </w:p>
    <w:p>
      <w:pPr>
        <w:pStyle w:val="4"/>
        <w:widowControl w:val="0"/>
        <w:rPr>
          <w:color w:val="auto"/>
          <w:highlight w:val="none"/>
        </w:rPr>
      </w:pPr>
      <w:bookmarkStart w:id="88" w:name="_Toc12380"/>
      <w:r>
        <w:rPr>
          <w:rFonts w:hint="eastAsia"/>
          <w:color w:val="auto"/>
          <w:highlight w:val="none"/>
        </w:rPr>
        <w:t>环境效益分析</w:t>
      </w:r>
      <w:bookmarkEnd w:id="88"/>
    </w:p>
    <w:p>
      <w:pPr>
        <w:widowControl w:val="0"/>
        <w:ind w:firstLine="480"/>
        <w:rPr>
          <w:color w:val="auto"/>
          <w:highlight w:val="none"/>
        </w:rPr>
      </w:pPr>
      <w:r>
        <w:rPr>
          <w:rFonts w:hint="eastAsia"/>
          <w:color w:val="auto"/>
          <w:highlight w:val="none"/>
        </w:rPr>
        <w:t>本工程拟实施的环保治理措施全部落实到位以后将对工程所产生的废水、废气、废渣以及噪声进行比较彻底的治理，可以实现“达标排放”，污染物排放量较小。</w:t>
      </w:r>
    </w:p>
    <w:p>
      <w:pPr>
        <w:widowControl w:val="0"/>
        <w:ind w:firstLine="480"/>
        <w:rPr>
          <w:color w:val="auto"/>
          <w:highlight w:val="none"/>
        </w:rPr>
      </w:pPr>
      <w:r>
        <w:rPr>
          <w:rFonts w:hint="eastAsia"/>
          <w:color w:val="auto"/>
          <w:highlight w:val="none"/>
        </w:rPr>
        <w:t>项目环保投资580.9万元，带来的环境效益主要体现在减少污染物的排放，具有良好的环境效益。</w:t>
      </w:r>
    </w:p>
    <w:p>
      <w:pPr>
        <w:widowControl w:val="0"/>
        <w:ind w:firstLine="480"/>
        <w:rPr>
          <w:color w:val="auto"/>
          <w:highlight w:val="none"/>
        </w:rPr>
      </w:pPr>
      <w:r>
        <w:rPr>
          <w:rFonts w:hint="eastAsia"/>
          <w:color w:val="auto"/>
          <w:highlight w:val="none"/>
        </w:rPr>
        <w:t>本项目环境保护措施的经济效益大致可分为：</w:t>
      </w:r>
    </w:p>
    <w:p>
      <w:pPr>
        <w:widowControl w:val="0"/>
        <w:ind w:firstLine="480"/>
        <w:rPr>
          <w:color w:val="auto"/>
          <w:highlight w:val="none"/>
        </w:rPr>
      </w:pPr>
      <w:r>
        <w:rPr>
          <w:rFonts w:hint="eastAsia"/>
          <w:color w:val="auto"/>
          <w:highlight w:val="none"/>
        </w:rPr>
        <w:t>（1）可用市场价值估算的经济收益</w:t>
      </w:r>
    </w:p>
    <w:p>
      <w:pPr>
        <w:widowControl w:val="0"/>
        <w:ind w:firstLine="480"/>
        <w:rPr>
          <w:color w:val="auto"/>
          <w:highlight w:val="none"/>
        </w:rPr>
      </w:pPr>
      <w:r>
        <w:rPr>
          <w:rFonts w:hint="eastAsia"/>
          <w:color w:val="auto"/>
          <w:highlight w:val="none"/>
        </w:rPr>
        <w:t>本项目废气、废水等处理系统设备先进，处理效果好，能较大程度地削减生产废水和废气中污染物的排放量，从而大幅度降低排污费。</w:t>
      </w:r>
    </w:p>
    <w:p>
      <w:pPr>
        <w:widowControl w:val="0"/>
        <w:ind w:firstLine="480"/>
        <w:rPr>
          <w:color w:val="auto"/>
          <w:highlight w:val="none"/>
        </w:rPr>
      </w:pPr>
      <w:r>
        <w:rPr>
          <w:rFonts w:hint="eastAsia"/>
          <w:color w:val="auto"/>
          <w:highlight w:val="none"/>
        </w:rPr>
        <w:t>（2）改善环境质量的非货币效益</w:t>
      </w:r>
    </w:p>
    <w:p>
      <w:pPr>
        <w:widowControl w:val="0"/>
        <w:ind w:firstLine="480"/>
        <w:rPr>
          <w:color w:val="auto"/>
          <w:highlight w:val="none"/>
        </w:rPr>
      </w:pPr>
      <w:r>
        <w:rPr>
          <w:rFonts w:hint="eastAsia"/>
          <w:color w:val="auto"/>
          <w:highlight w:val="none"/>
        </w:rPr>
        <w:t>①通过对本工程的废气、废水、噪声进行治理，达标排放；对固体废物、废液进行处置，去向明确，不会产生二次污染，降低了对周围环境的影响。</w:t>
      </w:r>
    </w:p>
    <w:p>
      <w:pPr>
        <w:widowControl w:val="0"/>
        <w:ind w:firstLine="480"/>
        <w:rPr>
          <w:color w:val="auto"/>
          <w:highlight w:val="none"/>
        </w:rPr>
      </w:pPr>
      <w:r>
        <w:rPr>
          <w:rFonts w:hint="eastAsia"/>
          <w:color w:val="auto"/>
          <w:highlight w:val="none"/>
        </w:rPr>
        <w:t>②对动力设备采取的降噪措施，可避免或很大程度地缓解噪声对人体的听力及正常生活的影响。</w:t>
      </w:r>
    </w:p>
    <w:p>
      <w:pPr>
        <w:widowControl w:val="0"/>
        <w:ind w:firstLine="480"/>
        <w:rPr>
          <w:color w:val="auto"/>
          <w:highlight w:val="none"/>
        </w:rPr>
      </w:pPr>
      <w:r>
        <w:rPr>
          <w:rFonts w:hint="eastAsia"/>
          <w:color w:val="auto"/>
          <w:highlight w:val="none"/>
        </w:rPr>
        <w:t>由此可见工程在取得良好的经济效益和社会效益的前提下，对环境的影响比较小，从此角度讲，工程的环境效益是可行的。</w:t>
      </w:r>
    </w:p>
    <w:p>
      <w:pPr>
        <w:pStyle w:val="4"/>
        <w:widowControl w:val="0"/>
        <w:rPr>
          <w:color w:val="auto"/>
          <w:highlight w:val="none"/>
        </w:rPr>
      </w:pPr>
      <w:bookmarkStart w:id="89" w:name="_Toc21227"/>
      <w:r>
        <w:rPr>
          <w:rFonts w:hint="eastAsia"/>
          <w:color w:val="auto"/>
          <w:highlight w:val="none"/>
        </w:rPr>
        <w:t>环境经济损益分析结论</w:t>
      </w:r>
      <w:bookmarkEnd w:id="89"/>
    </w:p>
    <w:p>
      <w:pPr>
        <w:widowControl w:val="0"/>
        <w:ind w:firstLine="480"/>
        <w:rPr>
          <w:color w:val="auto"/>
          <w:highlight w:val="none"/>
        </w:rPr>
      </w:pPr>
      <w:r>
        <w:rPr>
          <w:rFonts w:hint="eastAsia"/>
          <w:color w:val="auto"/>
          <w:highlight w:val="none"/>
        </w:rPr>
        <w:t>本项目符合国家产业政策和环境保护政策的要求，项目采用成熟先进的生产工艺、设备装备以及管理体系，可体现畜类屠宰规模化生产物耗低、利率高、污染小的特征。项目的实施在促进地方经济发展的同时，将给当地人民提供广阔的就业、致富机遇，对促进当地社会稳定，提高人民生活水平发挥积极作用。项目市场前景良好，并有较好的盈利能力、清偿能力和抗风险能力，从社会经济角度看是可行的。从经济可行性分析来看，项目在保证环保投资的前提下，污染物能够达标排放并不增大区域污染负荷，环境效益比较明显，从环境经济角度来看也是合理可行的。因此，本项目建设可行。</w:t>
      </w:r>
    </w:p>
    <w:p>
      <w:pPr>
        <w:widowControl w:val="0"/>
        <w:ind w:firstLine="480"/>
        <w:rPr>
          <w:color w:val="auto"/>
          <w:highlight w:val="none"/>
        </w:rPr>
      </w:pPr>
      <w:r>
        <w:rPr>
          <w:rFonts w:hint="eastAsia"/>
          <w:color w:val="auto"/>
          <w:highlight w:val="none"/>
        </w:rPr>
        <w:br w:type="page"/>
      </w:r>
    </w:p>
    <w:p>
      <w:pPr>
        <w:pStyle w:val="3"/>
        <w:widowControl w:val="0"/>
        <w:ind w:firstLine="643"/>
        <w:rPr>
          <w:color w:val="auto"/>
          <w:highlight w:val="none"/>
        </w:rPr>
      </w:pPr>
      <w:bookmarkStart w:id="90" w:name="_Toc23820"/>
      <w:r>
        <w:rPr>
          <w:rFonts w:hint="eastAsia"/>
          <w:color w:val="auto"/>
          <w:highlight w:val="none"/>
        </w:rPr>
        <w:t>环境管理及监测计划</w:t>
      </w:r>
      <w:bookmarkEnd w:id="90"/>
    </w:p>
    <w:p>
      <w:pPr>
        <w:widowControl w:val="0"/>
        <w:ind w:firstLine="480"/>
        <w:rPr>
          <w:color w:val="auto"/>
          <w:highlight w:val="none"/>
        </w:rPr>
      </w:pPr>
      <w:r>
        <w:rPr>
          <w:rFonts w:hint="eastAsia"/>
          <w:color w:val="auto"/>
          <w:highlight w:val="none"/>
        </w:rPr>
        <w:t>企业的环境管理是企业的管理者为实现预期的环境目标，运用环保法律、法规、技术、经济、教育等手段对企业合理开发利用资源、能源、控制环境污染与保护环境所实施重要措施。</w:t>
      </w:r>
    </w:p>
    <w:p>
      <w:pPr>
        <w:widowControl w:val="0"/>
        <w:ind w:firstLine="480"/>
        <w:rPr>
          <w:color w:val="auto"/>
          <w:highlight w:val="none"/>
        </w:rPr>
      </w:pPr>
      <w:r>
        <w:rPr>
          <w:rFonts w:hint="eastAsia"/>
          <w:color w:val="auto"/>
          <w:highlight w:val="none"/>
        </w:rPr>
        <w:t>环境监测制度是为环境管理服务的一项重要制度，通过环境监测，及时了解企业的环境状况，不断完善，改进防治措施，不断适应环境保护发展的要求；是实现企业环境管理定量化，规范化的重要举措。建立一套完善的行之有效的环境管理与监测制度是企业环境保护工作的重要组成部分。</w:t>
      </w:r>
    </w:p>
    <w:p>
      <w:pPr>
        <w:pStyle w:val="4"/>
        <w:widowControl w:val="0"/>
        <w:rPr>
          <w:color w:val="auto"/>
          <w:highlight w:val="none"/>
        </w:rPr>
      </w:pPr>
      <w:bookmarkStart w:id="91" w:name="_Toc18544"/>
      <w:r>
        <w:rPr>
          <w:rFonts w:hint="eastAsia"/>
          <w:color w:val="auto"/>
          <w:highlight w:val="none"/>
        </w:rPr>
        <w:t>环境管理</w:t>
      </w:r>
      <w:bookmarkEnd w:id="91"/>
    </w:p>
    <w:p>
      <w:pPr>
        <w:pStyle w:val="5"/>
        <w:widowControl w:val="0"/>
        <w:ind w:firstLine="120"/>
        <w:rPr>
          <w:color w:val="auto"/>
          <w:highlight w:val="none"/>
        </w:rPr>
      </w:pPr>
      <w:r>
        <w:rPr>
          <w:rFonts w:hint="eastAsia"/>
          <w:color w:val="auto"/>
          <w:highlight w:val="none"/>
        </w:rPr>
        <w:t>建立环境管理体系</w:t>
      </w:r>
    </w:p>
    <w:p>
      <w:pPr>
        <w:widowControl w:val="0"/>
        <w:ind w:firstLine="480"/>
        <w:rPr>
          <w:color w:val="auto"/>
          <w:highlight w:val="none"/>
        </w:rPr>
      </w:pPr>
      <w:r>
        <w:rPr>
          <w:rFonts w:hint="eastAsia"/>
          <w:color w:val="auto"/>
          <w:highlight w:val="none"/>
        </w:rPr>
        <w:t>为做好环境管理工作，公司应建立环境管理体系，将环境管理工作自上而下地贯穿到公司的生产管理中，现就建立环境管理体系提出如下建议：</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）公司的环境管理工作实行公司主要负责人负责制，以便在制定环保方针、制度、规划，协调人力、物力和财力等方面，将环境管理和生产管理结合起来。</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）建立专职环境管理机构，配备专职环保管理人员和兼职管理人员若干名，具体制定环境管理方案并实施运行；负责与政府环保主管部门的联系与协调工作。</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）以水、气、声等环境要素的保护和改善作为推动企业环境保护工作的基础，并在生产工作中检查环境管理的成效。</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）按照所制定的环保方针和环境管理方案，将环境管理目标和指标层层分解，落实到各生产部门和人，签订责任书，定期考核。</w:t>
      </w:r>
    </w:p>
    <w:p>
      <w:pPr>
        <w:widowControl w:val="0"/>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）按照环境管理的要求，将计划实现的目标和过程编制成文件，有关指标制成目标管理图表，标明工作内容和进度，以便与目标对比，及时掌握环保工作的进展情况。</w:t>
      </w:r>
    </w:p>
    <w:p>
      <w:pPr>
        <w:pStyle w:val="5"/>
        <w:widowControl w:val="0"/>
        <w:ind w:firstLine="120"/>
        <w:rPr>
          <w:color w:val="auto"/>
          <w:highlight w:val="none"/>
        </w:rPr>
      </w:pPr>
      <w:r>
        <w:rPr>
          <w:rFonts w:hint="eastAsia"/>
          <w:color w:val="auto"/>
          <w:highlight w:val="none"/>
        </w:rPr>
        <w:t>环境管理规章制度</w:t>
      </w:r>
    </w:p>
    <w:p>
      <w:pPr>
        <w:widowControl w:val="0"/>
        <w:ind w:firstLine="480"/>
        <w:rPr>
          <w:color w:val="auto"/>
          <w:highlight w:val="none"/>
        </w:rPr>
      </w:pPr>
      <w:r>
        <w:rPr>
          <w:rFonts w:hint="eastAsia"/>
          <w:color w:val="auto"/>
          <w:highlight w:val="none"/>
        </w:rPr>
        <w:t>建立和完善环境管理制度，是企业环境管理体系的重要组成部分，需建立的环境管理制度主要有：</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）环境管理岗位责任制；</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）环保设施运行和管理制度；</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）环境污染物排放和监测制度；</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）原材料的管理和使用、节约制度；</w:t>
      </w:r>
    </w:p>
    <w:p>
      <w:pPr>
        <w:widowControl w:val="0"/>
        <w:ind w:firstLine="480"/>
        <w:jc w:val="left"/>
        <w:rPr>
          <w:rFonts w:ascii="宋体" w:hAnsi="宋体"/>
          <w:color w:val="auto"/>
          <w:szCs w:val="24"/>
          <w:highlight w:val="none"/>
        </w:rPr>
      </w:pPr>
      <w:r>
        <w:rPr>
          <w:rFonts w:hint="eastAsia" w:ascii="宋体" w:hAnsi="宋体"/>
          <w:color w:val="auto"/>
          <w:szCs w:val="24"/>
          <w:highlight w:val="none"/>
        </w:rPr>
        <w:t>（</w:t>
      </w:r>
      <w:r>
        <w:rPr>
          <w:rFonts w:eastAsia="Times New Roman"/>
          <w:color w:val="auto"/>
          <w:szCs w:val="24"/>
          <w:highlight w:val="none"/>
        </w:rPr>
        <w:t>5</w:t>
      </w:r>
      <w:r>
        <w:rPr>
          <w:rFonts w:hint="eastAsia" w:ascii="宋体" w:hAnsi="宋体"/>
          <w:color w:val="auto"/>
          <w:szCs w:val="24"/>
          <w:highlight w:val="none"/>
        </w:rPr>
        <w:t>）环境污染事故应急和处理制度；</w:t>
      </w:r>
    </w:p>
    <w:p>
      <w:pPr>
        <w:widowControl w:val="0"/>
        <w:ind w:firstLine="480"/>
        <w:jc w:val="left"/>
        <w:rPr>
          <w:rFonts w:ascii="宋体" w:hAnsi="宋体"/>
          <w:color w:val="auto"/>
          <w:szCs w:val="24"/>
          <w:highlight w:val="none"/>
        </w:rPr>
      </w:pPr>
      <w:r>
        <w:rPr>
          <w:rFonts w:hint="eastAsia" w:ascii="宋体" w:hAnsi="宋体"/>
          <w:color w:val="auto"/>
          <w:szCs w:val="24"/>
          <w:highlight w:val="none"/>
        </w:rPr>
        <w:t>（</w:t>
      </w:r>
      <w:r>
        <w:rPr>
          <w:rFonts w:eastAsia="Times New Roman"/>
          <w:color w:val="auto"/>
          <w:szCs w:val="24"/>
          <w:highlight w:val="none"/>
        </w:rPr>
        <w:t>6</w:t>
      </w:r>
      <w:r>
        <w:rPr>
          <w:rFonts w:hint="eastAsia" w:ascii="宋体" w:hAnsi="宋体"/>
          <w:color w:val="auto"/>
          <w:szCs w:val="24"/>
          <w:highlight w:val="none"/>
        </w:rPr>
        <w:t>）生产环境管理制度；</w:t>
      </w:r>
    </w:p>
    <w:p>
      <w:pPr>
        <w:widowControl w:val="0"/>
        <w:ind w:firstLine="480"/>
        <w:rPr>
          <w:color w:val="auto"/>
          <w:highlight w:val="none"/>
        </w:rPr>
      </w:pPr>
      <w:r>
        <w:rPr>
          <w:rFonts w:hint="eastAsia" w:ascii="宋体" w:hAnsi="宋体"/>
          <w:color w:val="auto"/>
          <w:szCs w:val="24"/>
          <w:highlight w:val="none"/>
        </w:rPr>
        <w:t>（</w:t>
      </w:r>
      <w:r>
        <w:rPr>
          <w:rFonts w:eastAsia="Times New Roman"/>
          <w:color w:val="auto"/>
          <w:szCs w:val="24"/>
          <w:highlight w:val="none"/>
        </w:rPr>
        <w:t>7</w:t>
      </w:r>
      <w:r>
        <w:rPr>
          <w:rFonts w:hint="eastAsia" w:ascii="宋体" w:hAnsi="宋体"/>
          <w:color w:val="auto"/>
          <w:szCs w:val="24"/>
          <w:highlight w:val="none"/>
        </w:rPr>
        <w:t>）厂区绿化和管理制度。</w:t>
      </w:r>
    </w:p>
    <w:p>
      <w:pPr>
        <w:pStyle w:val="5"/>
        <w:widowControl w:val="0"/>
        <w:ind w:firstLine="120"/>
        <w:rPr>
          <w:color w:val="auto"/>
          <w:highlight w:val="none"/>
        </w:rPr>
      </w:pPr>
      <w:r>
        <w:rPr>
          <w:rFonts w:hint="eastAsia"/>
          <w:color w:val="auto"/>
          <w:highlight w:val="none"/>
        </w:rPr>
        <w:t>环境管理机构的主要职责</w:t>
      </w:r>
    </w:p>
    <w:p>
      <w:pPr>
        <w:widowControl w:val="0"/>
        <w:ind w:firstLine="480"/>
        <w:rPr>
          <w:color w:val="auto"/>
          <w:highlight w:val="none"/>
        </w:rPr>
      </w:pPr>
      <w:r>
        <w:rPr>
          <w:rFonts w:hint="eastAsia"/>
          <w:color w:val="auto"/>
          <w:highlight w:val="none"/>
        </w:rPr>
        <w:t>公司环境管理机构主要职责是：</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）贯彻执行中华人民共和国的环境保护法规和标准，接受环保主管部门的检查监督，定期上报各项管理工作的执行情况；</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）接受环境保护主管部门的检查，定期上报各项管理工作的执行情况；</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）如实向环保主管部门申报公司使用的各种化学品，如有变更，事先征得主管部门许可，培训并让每个员工掌握这些化学品的危险性、毒性、腐蚀性物质的特征及防护措施；</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）组织制定工厂内各部门的环保管理规章制度，并监督执行；</w:t>
      </w:r>
    </w:p>
    <w:p>
      <w:pPr>
        <w:widowControl w:val="0"/>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）检查公司内部环保治理设备的运转情况以及日常维护保养，保证其正常运转；</w:t>
      </w:r>
    </w:p>
    <w:p>
      <w:pPr>
        <w:widowControl w:val="0"/>
        <w:ind w:firstLine="480"/>
        <w:rPr>
          <w:color w:val="auto"/>
          <w:highlight w:val="none"/>
        </w:rPr>
      </w:pPr>
      <w:r>
        <w:rPr>
          <w:rFonts w:hint="eastAsia"/>
          <w:color w:val="auto"/>
          <w:highlight w:val="none"/>
        </w:rPr>
        <w:t>（</w:t>
      </w:r>
      <w:r>
        <w:rPr>
          <w:color w:val="auto"/>
          <w:highlight w:val="none"/>
        </w:rPr>
        <w:t>6</w:t>
      </w:r>
      <w:r>
        <w:rPr>
          <w:rFonts w:hint="eastAsia"/>
          <w:color w:val="auto"/>
          <w:highlight w:val="none"/>
        </w:rPr>
        <w:t>）组织参加环境监测工作；</w:t>
      </w:r>
    </w:p>
    <w:p>
      <w:pPr>
        <w:widowControl w:val="0"/>
        <w:ind w:firstLine="480"/>
        <w:rPr>
          <w:color w:val="auto"/>
          <w:highlight w:val="none"/>
        </w:rPr>
      </w:pPr>
      <w:r>
        <w:rPr>
          <w:rFonts w:hint="eastAsia"/>
          <w:color w:val="auto"/>
          <w:highlight w:val="none"/>
        </w:rPr>
        <w:t>（</w:t>
      </w:r>
      <w:r>
        <w:rPr>
          <w:color w:val="auto"/>
          <w:highlight w:val="none"/>
        </w:rPr>
        <w:t>7</w:t>
      </w:r>
      <w:r>
        <w:rPr>
          <w:rFonts w:hint="eastAsia"/>
          <w:color w:val="auto"/>
          <w:highlight w:val="none"/>
        </w:rPr>
        <w:t>）定期进行审计，检查环境管理计划实施情况，使环境污染的治理、管理和控制不断得到改善，使企业对环境的影响降到最低程度。</w:t>
      </w:r>
    </w:p>
    <w:p>
      <w:pPr>
        <w:pStyle w:val="5"/>
        <w:widowControl w:val="0"/>
        <w:ind w:firstLine="120"/>
        <w:rPr>
          <w:color w:val="auto"/>
          <w:highlight w:val="none"/>
        </w:rPr>
      </w:pPr>
      <w:r>
        <w:rPr>
          <w:rFonts w:hint="eastAsia"/>
          <w:color w:val="auto"/>
          <w:highlight w:val="none"/>
        </w:rPr>
        <w:t>规范排污口</w:t>
      </w:r>
    </w:p>
    <w:p>
      <w:pPr>
        <w:widowControl w:val="0"/>
        <w:ind w:firstLine="480"/>
        <w:rPr>
          <w:color w:val="auto"/>
          <w:highlight w:val="none"/>
        </w:rPr>
      </w:pPr>
      <w:r>
        <w:rPr>
          <w:rFonts w:hint="eastAsia"/>
          <w:color w:val="auto"/>
          <w:highlight w:val="none"/>
        </w:rPr>
        <w:t>根据《环境保护图形标志—排放口（源）》（</w:t>
      </w:r>
      <w:r>
        <w:rPr>
          <w:color w:val="auto"/>
          <w:highlight w:val="none"/>
        </w:rPr>
        <w:t>GB15562.1-1995</w:t>
      </w:r>
      <w:r>
        <w:rPr>
          <w:rFonts w:hint="eastAsia"/>
          <w:color w:val="auto"/>
          <w:highlight w:val="none"/>
        </w:rPr>
        <w:t>）和《排污口规范化整治要求（试行）》（环监[</w:t>
      </w:r>
      <w:r>
        <w:rPr>
          <w:color w:val="auto"/>
          <w:highlight w:val="none"/>
        </w:rPr>
        <w:t>1996</w:t>
      </w:r>
      <w:r>
        <w:rPr>
          <w:rFonts w:hint="eastAsia"/>
          <w:color w:val="auto"/>
          <w:highlight w:val="none"/>
        </w:rPr>
        <w:t>]</w:t>
      </w:r>
      <w:r>
        <w:rPr>
          <w:color w:val="auto"/>
          <w:highlight w:val="none"/>
        </w:rPr>
        <w:t>470</w:t>
      </w:r>
      <w:r>
        <w:rPr>
          <w:rFonts w:hint="eastAsia"/>
          <w:color w:val="auto"/>
          <w:highlight w:val="none"/>
        </w:rPr>
        <w:t>号）的要求，企业所有排放口（包括气、声、固体废物），必须按照“便于计量监测、便于日常现场监督检查”的原则和规范化要求，设置与之相适应的环境保护图形标志牌，绘制企业排污口分布图，对治理设施安装运行监控装置。</w:t>
      </w:r>
    </w:p>
    <w:p>
      <w:pPr>
        <w:widowControl w:val="0"/>
        <w:ind w:firstLine="482"/>
        <w:rPr>
          <w:b/>
          <w:bCs/>
          <w:color w:val="auto"/>
          <w:highlight w:val="none"/>
        </w:rPr>
      </w:pPr>
      <w:r>
        <w:rPr>
          <w:rFonts w:hint="eastAsia"/>
          <w:b/>
          <w:bCs/>
          <w:color w:val="auto"/>
          <w:highlight w:val="none"/>
        </w:rPr>
        <w:t>（1）固定噪声源</w:t>
      </w:r>
    </w:p>
    <w:p>
      <w:pPr>
        <w:widowControl w:val="0"/>
        <w:ind w:firstLine="480"/>
        <w:rPr>
          <w:color w:val="auto"/>
          <w:highlight w:val="none"/>
        </w:rPr>
      </w:pPr>
      <w:r>
        <w:rPr>
          <w:rFonts w:hint="eastAsia"/>
          <w:color w:val="auto"/>
          <w:highlight w:val="none"/>
        </w:rPr>
        <w:t>对固定噪声源进行治理，并在边界噪声敏感点，且对外界影响最大处设置标志牌。</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）设置标志牌要求</w:t>
      </w:r>
    </w:p>
    <w:p>
      <w:pPr>
        <w:widowControl w:val="0"/>
        <w:ind w:firstLine="480"/>
        <w:rPr>
          <w:color w:val="auto"/>
          <w:highlight w:val="none"/>
        </w:rPr>
      </w:pPr>
      <w:r>
        <w:rPr>
          <w:rFonts w:hint="eastAsia"/>
          <w:color w:val="auto"/>
          <w:highlight w:val="none"/>
        </w:rPr>
        <w:t>环境保护图形标志牌由环保部统一定点制作，企业排污口分布图由市环境监管部门统一绘制。排放一般污染物排污口（源），设置提示式标志牌。</w:t>
      </w:r>
    </w:p>
    <w:p>
      <w:pPr>
        <w:widowControl w:val="0"/>
        <w:ind w:firstLine="480"/>
        <w:rPr>
          <w:color w:val="auto"/>
          <w:highlight w:val="none"/>
        </w:rPr>
      </w:pPr>
      <w:r>
        <w:rPr>
          <w:rFonts w:hint="eastAsia"/>
          <w:color w:val="auto"/>
          <w:highlight w:val="none"/>
        </w:rPr>
        <w:t>标志牌设置位置在排污口附近且醒目处，高度为标志牌上缘离地面</w:t>
      </w:r>
      <w:r>
        <w:rPr>
          <w:color w:val="auto"/>
          <w:highlight w:val="none"/>
        </w:rPr>
        <w:t>2m</w:t>
      </w:r>
      <w:r>
        <w:rPr>
          <w:rFonts w:hint="eastAsia"/>
          <w:color w:val="auto"/>
          <w:highlight w:val="none"/>
        </w:rPr>
        <w:t>；排污口附近</w:t>
      </w:r>
      <w:r>
        <w:rPr>
          <w:color w:val="auto"/>
          <w:highlight w:val="none"/>
        </w:rPr>
        <w:t>1m</w:t>
      </w:r>
      <w:r>
        <w:rPr>
          <w:rFonts w:hint="eastAsia"/>
          <w:color w:val="auto"/>
          <w:highlight w:val="none"/>
        </w:rPr>
        <w:t>范围内有建筑物的，设平面式标志牌，无建筑物的设立式标志牌。</w:t>
      </w:r>
    </w:p>
    <w:p>
      <w:pPr>
        <w:widowControl w:val="0"/>
        <w:ind w:firstLine="480"/>
        <w:rPr>
          <w:color w:val="auto"/>
          <w:highlight w:val="none"/>
        </w:rPr>
      </w:pPr>
      <w:r>
        <w:rPr>
          <w:rFonts w:hint="eastAsia"/>
          <w:color w:val="auto"/>
          <w:highlight w:val="none"/>
        </w:rPr>
        <w:t>规范化排污口的有关设置（如图形标志牌、监控装置等）属环保设施，排污单位必须负责日常的维护保养，任何单位和个人不得擅自拆除，如需变更的须报环境监管部门同意并办理变更手续。</w:t>
      </w:r>
    </w:p>
    <w:p>
      <w:pPr>
        <w:pStyle w:val="4"/>
        <w:widowControl w:val="0"/>
        <w:rPr>
          <w:color w:val="auto"/>
          <w:highlight w:val="none"/>
        </w:rPr>
      </w:pPr>
      <w:bookmarkStart w:id="92" w:name="_Toc2914"/>
      <w:r>
        <w:rPr>
          <w:rFonts w:hint="eastAsia"/>
          <w:color w:val="auto"/>
          <w:highlight w:val="none"/>
        </w:rPr>
        <w:t>环境监测</w:t>
      </w:r>
      <w:bookmarkEnd w:id="92"/>
    </w:p>
    <w:p>
      <w:pPr>
        <w:pStyle w:val="5"/>
        <w:widowControl w:val="0"/>
        <w:ind w:firstLine="120"/>
        <w:rPr>
          <w:color w:val="auto"/>
          <w:highlight w:val="none"/>
        </w:rPr>
      </w:pPr>
      <w:r>
        <w:rPr>
          <w:rFonts w:hint="eastAsia" w:ascii="宋体" w:hAnsi="宋体"/>
          <w:color w:val="auto"/>
          <w:szCs w:val="24"/>
          <w:highlight w:val="none"/>
        </w:rPr>
        <w:t>环境监测的主要任务</w:t>
      </w:r>
    </w:p>
    <w:p>
      <w:pPr>
        <w:widowControl w:val="0"/>
        <w:ind w:firstLine="480"/>
        <w:rPr>
          <w:color w:val="auto"/>
          <w:highlight w:val="none"/>
        </w:rPr>
      </w:pPr>
      <w:r>
        <w:rPr>
          <w:rFonts w:hint="eastAsia"/>
          <w:color w:val="auto"/>
          <w:highlight w:val="none"/>
        </w:rPr>
        <w:t>公司环境监测以厂区污染源源强排放监测为重点，应委托环境管理机构对项目施工期和营运期环境进行定期监测，并向当地环保部门提交监测报告。环境监测的主要任务是：</w:t>
      </w:r>
    </w:p>
    <w:p>
      <w:pPr>
        <w:widowControl w:val="0"/>
        <w:ind w:firstLine="480"/>
        <w:rPr>
          <w:color w:val="auto"/>
          <w:highlight w:val="none"/>
        </w:rPr>
      </w:pPr>
      <w:r>
        <w:rPr>
          <w:rFonts w:hint="eastAsia"/>
          <w:color w:val="auto"/>
          <w:highlight w:val="none"/>
        </w:rPr>
        <w:t>（1）定期对废气处理装置的废气进口和排放口进行监测；</w:t>
      </w:r>
    </w:p>
    <w:p>
      <w:pPr>
        <w:widowControl w:val="0"/>
        <w:ind w:firstLine="480"/>
        <w:rPr>
          <w:color w:val="auto"/>
          <w:highlight w:val="none"/>
        </w:rPr>
      </w:pPr>
      <w:r>
        <w:rPr>
          <w:rFonts w:hint="eastAsia"/>
          <w:color w:val="auto"/>
          <w:highlight w:val="none"/>
        </w:rPr>
        <w:t>（2）定期对厂界噪声进行监测；</w:t>
      </w:r>
    </w:p>
    <w:p>
      <w:pPr>
        <w:widowControl w:val="0"/>
        <w:ind w:firstLine="480"/>
        <w:rPr>
          <w:color w:val="auto"/>
          <w:highlight w:val="none"/>
        </w:rPr>
      </w:pPr>
      <w:r>
        <w:rPr>
          <w:rFonts w:hint="eastAsia"/>
          <w:color w:val="auto"/>
          <w:highlight w:val="none"/>
        </w:rPr>
        <w:t>（3）设置地下水监测井，定期对地下水进行监测；</w:t>
      </w:r>
    </w:p>
    <w:p>
      <w:pPr>
        <w:widowControl w:val="0"/>
        <w:ind w:firstLine="480"/>
        <w:rPr>
          <w:color w:val="auto"/>
          <w:highlight w:val="none"/>
        </w:rPr>
      </w:pPr>
      <w:r>
        <w:rPr>
          <w:rFonts w:hint="eastAsia"/>
          <w:color w:val="auto"/>
          <w:highlight w:val="none"/>
        </w:rPr>
        <w:t>（4）对环保治理设施的运行情况进行监测，以便及时对设施的设计和处理效果进行比较；发现问题及时报告公司有关部门；</w:t>
      </w:r>
    </w:p>
    <w:p>
      <w:pPr>
        <w:widowControl w:val="0"/>
        <w:ind w:firstLine="480"/>
        <w:rPr>
          <w:color w:val="auto"/>
          <w:highlight w:val="none"/>
        </w:rPr>
      </w:pPr>
      <w:r>
        <w:rPr>
          <w:rFonts w:hint="eastAsia"/>
          <w:color w:val="auto"/>
          <w:highlight w:val="none"/>
        </w:rPr>
        <w:t>（5）当发生污染事故时，进行应急监测，为采取处理措施提供第一手资料；</w:t>
      </w:r>
    </w:p>
    <w:p>
      <w:pPr>
        <w:widowControl w:val="0"/>
        <w:ind w:firstLine="480"/>
        <w:rPr>
          <w:color w:val="auto"/>
          <w:highlight w:val="none"/>
        </w:rPr>
      </w:pPr>
      <w:r>
        <w:rPr>
          <w:rFonts w:hint="eastAsia"/>
          <w:color w:val="auto"/>
          <w:highlight w:val="none"/>
        </w:rPr>
        <w:t>（6）编制环境监测季报或年报，及时上报县、市环保主管部门。</w:t>
      </w:r>
    </w:p>
    <w:p>
      <w:pPr>
        <w:pStyle w:val="5"/>
        <w:widowControl w:val="0"/>
        <w:ind w:firstLine="120"/>
        <w:rPr>
          <w:color w:val="auto"/>
          <w:highlight w:val="none"/>
        </w:rPr>
      </w:pPr>
      <w:r>
        <w:rPr>
          <w:rFonts w:hint="eastAsia"/>
          <w:color w:val="auto"/>
          <w:highlight w:val="none"/>
        </w:rPr>
        <w:t>环境监测计划</w:t>
      </w:r>
    </w:p>
    <w:p>
      <w:pPr>
        <w:pStyle w:val="6"/>
        <w:widowControl w:val="0"/>
        <w:ind w:left="-160" w:firstLineChars="0"/>
        <w:rPr>
          <w:color w:val="auto"/>
          <w:highlight w:val="none"/>
        </w:rPr>
      </w:pPr>
      <w:r>
        <w:rPr>
          <w:rFonts w:hint="eastAsia"/>
          <w:color w:val="auto"/>
          <w:highlight w:val="none"/>
        </w:rPr>
        <w:t>施工期监测计划</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）建设单位与施工单位签订工程承包合同时，应包括有关工程施工期间环境保护条款，包括工程施工中生态环境保护（水土保持）、施工期间环境污染控制、污染物排放管理、施工人员环保教育及相关奖惩条款。</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施工单位应提高环保意识，加强驻地和施工现场的环境管理，合理安排施工计划，切实做到组织计划严谨，文明施工；环保措施逐条落实到位，环保工程与主体工程同时施工、同时运行，环保工程费用专款专用，不偷工减料、延误工期。</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）施工单位应特别注意工程施工中的水土保持，临时堆渣应按设计中指定的地点弃置，严禁随意堆置、侵占河道，防止对地表水环境产生影响。</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施工现场、施工单位驻地及其它施工临时设施，应加强环境管理，施工污水避免无组织散排，尽可能处理后回用；扬尘大的工地应采取降尘措施，工程施工完毕后施工单位及时清理和恢复施工现场，妥善处理生活垃圾与施工弃渣，减少扬尘；施工现场应执行《建筑施工场界环境噪声排放标准》（</w:t>
      </w:r>
      <w:r>
        <w:rPr>
          <w:color w:val="auto"/>
          <w:highlight w:val="none"/>
        </w:rPr>
        <w:t>GB12523-2011</w:t>
      </w:r>
      <w:r>
        <w:rPr>
          <w:rFonts w:hint="eastAsia"/>
          <w:color w:val="auto"/>
          <w:highlight w:val="none"/>
        </w:rPr>
        <w:t>）中的有关规定和要求。</w:t>
      </w:r>
    </w:p>
    <w:p>
      <w:pPr>
        <w:widowControl w:val="0"/>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）认真落实各项补偿措施，做好工程各项环保设施的施工监理与验收，保证环保工程质量，真正做到环保工程“三同时”。</w:t>
      </w:r>
    </w:p>
    <w:p>
      <w:pPr>
        <w:pStyle w:val="6"/>
        <w:widowControl w:val="0"/>
        <w:ind w:left="-160" w:firstLineChars="0"/>
        <w:rPr>
          <w:color w:val="auto"/>
          <w:highlight w:val="none"/>
        </w:rPr>
      </w:pPr>
      <w:r>
        <w:rPr>
          <w:rFonts w:hint="eastAsia"/>
          <w:color w:val="auto"/>
          <w:highlight w:val="none"/>
        </w:rPr>
        <w:t>运营期环境监测计划</w:t>
      </w:r>
    </w:p>
    <w:p>
      <w:pPr>
        <w:widowControl w:val="0"/>
        <w:ind w:firstLine="480"/>
        <w:rPr>
          <w:color w:val="auto"/>
          <w:highlight w:val="none"/>
        </w:rPr>
      </w:pPr>
      <w:r>
        <w:rPr>
          <w:rFonts w:hint="eastAsia"/>
          <w:color w:val="auto"/>
          <w:highlight w:val="none"/>
        </w:rPr>
        <w:t>生态环境部已经发布了《排污许可证申请与核发技术规范——农副食品加工工业—屠宰及肉类加工工业》（</w:t>
      </w:r>
      <w:r>
        <w:rPr>
          <w:color w:val="auto"/>
          <w:highlight w:val="none"/>
        </w:rPr>
        <w:t>HJ 860.3-2018</w:t>
      </w:r>
      <w:r>
        <w:rPr>
          <w:rFonts w:hint="eastAsia"/>
          <w:color w:val="auto"/>
          <w:highlight w:val="none"/>
        </w:rPr>
        <w:t>），项目污染源的监测按照</w:t>
      </w:r>
      <w:r>
        <w:rPr>
          <w:color w:val="auto"/>
          <w:highlight w:val="none"/>
        </w:rPr>
        <w:t>HJ860.3-2018</w:t>
      </w:r>
      <w:r>
        <w:rPr>
          <w:rFonts w:hint="eastAsia"/>
          <w:color w:val="auto"/>
          <w:highlight w:val="none"/>
        </w:rPr>
        <w:t>要求执行。监测要求如下：</w:t>
      </w:r>
    </w:p>
    <w:p>
      <w:pPr>
        <w:widowControl w:val="0"/>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）监测单位</w:t>
      </w:r>
    </w:p>
    <w:p>
      <w:pPr>
        <w:widowControl w:val="0"/>
        <w:ind w:firstLine="480"/>
        <w:rPr>
          <w:color w:val="auto"/>
          <w:highlight w:val="none"/>
        </w:rPr>
      </w:pPr>
      <w:r>
        <w:rPr>
          <w:rFonts w:hint="eastAsia"/>
          <w:color w:val="auto"/>
          <w:highlight w:val="none"/>
        </w:rPr>
        <w:t>屠宰及肉类加工工业排污单位可自行或委托第三方监测机构开展监测工作，并安排专人专职对监测数据进行记录、整理、统计和分析。对监测结果的真实性、准确性、完整性负责。</w:t>
      </w:r>
    </w:p>
    <w:p>
      <w:pPr>
        <w:widowControl w:val="0"/>
        <w:ind w:firstLine="480"/>
        <w:rPr>
          <w:color w:val="auto"/>
          <w:highlight w:val="none"/>
        </w:rPr>
      </w:pPr>
      <w:r>
        <w:rPr>
          <w:rFonts w:hint="eastAsia"/>
          <w:color w:val="auto"/>
          <w:highlight w:val="none"/>
        </w:rPr>
        <w:t>手工监测时，生产负荷应不低于本次监测与上一次监测周期内的平均生产负荷。</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）监测内容</w:t>
      </w:r>
    </w:p>
    <w:p>
      <w:pPr>
        <w:widowControl w:val="0"/>
        <w:ind w:firstLine="480"/>
        <w:rPr>
          <w:color w:val="auto"/>
          <w:highlight w:val="none"/>
        </w:rPr>
      </w:pPr>
      <w:r>
        <w:rPr>
          <w:rFonts w:hint="eastAsia"/>
          <w:color w:val="auto"/>
          <w:highlight w:val="none"/>
        </w:rPr>
        <w:t>自行监测污染源和污染物应包括排放标准中涉及的各项废气污染源和污染物。屠宰及肉类加工工业排污单位应当开展自行监测的污染源包括产生有组织废气、无组织废气等的全部污染源。废气污染物包括臭气浓度、硫化氢、氨等。同时对雨水中化学需氧量、悬浮物开展监测。</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）监测点位</w:t>
      </w:r>
    </w:p>
    <w:p>
      <w:pPr>
        <w:widowControl w:val="0"/>
        <w:ind w:firstLine="480"/>
        <w:rPr>
          <w:color w:val="auto"/>
          <w:highlight w:val="none"/>
        </w:rPr>
      </w:pPr>
      <w:r>
        <w:rPr>
          <w:rFonts w:hint="eastAsia"/>
          <w:color w:val="auto"/>
          <w:highlight w:val="none"/>
        </w:rPr>
        <w:t>屠宰及肉类加工工业排污单位自行监测点位包括无组织排放监测点、内部监测点、周边环境影响监测点等。</w:t>
      </w:r>
    </w:p>
    <w:p>
      <w:pPr>
        <w:widowControl w:val="0"/>
        <w:ind w:firstLine="482"/>
        <w:rPr>
          <w:b/>
          <w:bCs/>
          <w:color w:val="auto"/>
          <w:highlight w:val="none"/>
        </w:rPr>
      </w:pPr>
      <w:r>
        <w:rPr>
          <w:rFonts w:hint="eastAsia"/>
          <w:b/>
          <w:bCs/>
          <w:color w:val="auto"/>
          <w:highlight w:val="none"/>
        </w:rPr>
        <w:t>①废水排放口</w:t>
      </w:r>
    </w:p>
    <w:p>
      <w:pPr>
        <w:widowControl w:val="0"/>
        <w:ind w:firstLine="480"/>
        <w:rPr>
          <w:color w:val="auto"/>
          <w:highlight w:val="none"/>
        </w:rPr>
      </w:pPr>
      <w:r>
        <w:rPr>
          <w:rFonts w:hint="eastAsia"/>
          <w:color w:val="auto"/>
          <w:highlight w:val="none"/>
        </w:rPr>
        <w:t>按照排放标准规定的监控位置设置废水排放口监测点位，废水排放口应符合《排污口规范化整治技术要求（试行）》、</w:t>
      </w:r>
      <w:r>
        <w:rPr>
          <w:color w:val="auto"/>
          <w:highlight w:val="none"/>
        </w:rPr>
        <w:t>HJ/T91</w:t>
      </w:r>
      <w:r>
        <w:rPr>
          <w:rFonts w:hint="eastAsia"/>
          <w:color w:val="auto"/>
          <w:highlight w:val="none"/>
        </w:rPr>
        <w:t>和地方相关标准等的要求，水量（不包括间接冷却水等清下水）大于</w:t>
      </w:r>
      <w:r>
        <w:rPr>
          <w:color w:val="auto"/>
          <w:highlight w:val="none"/>
        </w:rPr>
        <w:t>100t/d</w:t>
      </w:r>
      <w:r>
        <w:rPr>
          <w:rFonts w:hint="eastAsia"/>
          <w:color w:val="auto"/>
          <w:highlight w:val="none"/>
        </w:rPr>
        <w:t>的，应安装自动测流设施并开展流量自动监测。</w:t>
      </w:r>
    </w:p>
    <w:p>
      <w:pPr>
        <w:widowControl w:val="0"/>
        <w:ind w:firstLine="480"/>
        <w:rPr>
          <w:color w:val="auto"/>
          <w:highlight w:val="none"/>
        </w:rPr>
      </w:pPr>
      <w:r>
        <w:rPr>
          <w:rFonts w:hint="eastAsia"/>
          <w:color w:val="auto"/>
          <w:highlight w:val="none"/>
        </w:rPr>
        <w:t>排放标准规定的监控位置为废水总排放口，在废水总排放口采样。排放标准中规定的监控位置为排污单位废水总排放口的污染物，废水直接排放的，在排污单位的排放口采样；废水间接排放的，在排污单位的污水处理设施排放口后、进入公共污水处理系统前的用地红线边界位置采样。单独排向城镇污水集中处理设施的生活污水不需监测。</w:t>
      </w:r>
    </w:p>
    <w:p>
      <w:pPr>
        <w:widowControl w:val="0"/>
        <w:ind w:firstLine="480"/>
        <w:rPr>
          <w:color w:val="auto"/>
          <w:highlight w:val="none"/>
        </w:rPr>
      </w:pPr>
      <w:r>
        <w:rPr>
          <w:rFonts w:hint="eastAsia"/>
          <w:color w:val="auto"/>
          <w:highlight w:val="none"/>
        </w:rPr>
        <w:t>选取全厂雨水排放口开展监测。对于有多个雨水排放口的排污单位，对全部雨水排放口开展监测。雨水监测点位设在厂内雨水排放口后、排污单位用地红线边界位置。在雨水排放口有流量的前提下进行采样。</w:t>
      </w:r>
    </w:p>
    <w:p>
      <w:pPr>
        <w:widowControl w:val="0"/>
        <w:ind w:firstLine="482"/>
        <w:jc w:val="left"/>
        <w:rPr>
          <w:rFonts w:ascii="宋体" w:hAnsi="宋体"/>
          <w:b/>
          <w:bCs/>
          <w:color w:val="auto"/>
          <w:szCs w:val="24"/>
          <w:highlight w:val="none"/>
        </w:rPr>
      </w:pPr>
      <w:r>
        <w:rPr>
          <w:rFonts w:hint="eastAsia" w:ascii="宋体" w:hAnsi="宋体"/>
          <w:b/>
          <w:bCs/>
          <w:color w:val="auto"/>
          <w:szCs w:val="24"/>
          <w:highlight w:val="none"/>
        </w:rPr>
        <w:t>②废气排放口</w:t>
      </w:r>
    </w:p>
    <w:p>
      <w:pPr>
        <w:widowControl w:val="0"/>
        <w:ind w:firstLine="480"/>
        <w:rPr>
          <w:color w:val="auto"/>
          <w:highlight w:val="none"/>
        </w:rPr>
      </w:pPr>
      <w:r>
        <w:rPr>
          <w:rFonts w:hint="eastAsia"/>
          <w:color w:val="auto"/>
          <w:highlight w:val="none"/>
        </w:rPr>
        <w:t>各类废气污染源通过烟囱或排气筒等方式排放至外环境的废气，应在烟囱或排气筒上设置废气排放口监测点位。点位设置应满足</w:t>
      </w:r>
      <w:r>
        <w:rPr>
          <w:color w:val="auto"/>
          <w:highlight w:val="none"/>
        </w:rPr>
        <w:t>GB/T16157</w:t>
      </w:r>
      <w:r>
        <w:rPr>
          <w:rFonts w:hint="eastAsia"/>
          <w:color w:val="auto"/>
          <w:highlight w:val="none"/>
        </w:rPr>
        <w:t>、</w:t>
      </w:r>
      <w:r>
        <w:rPr>
          <w:color w:val="auto"/>
          <w:highlight w:val="none"/>
        </w:rPr>
        <w:t>HJ75</w:t>
      </w:r>
      <w:r>
        <w:rPr>
          <w:rFonts w:hint="eastAsia"/>
          <w:color w:val="auto"/>
          <w:highlight w:val="none"/>
        </w:rPr>
        <w:t>等技术规范的要求。净烟气与原烟气混合排放的，应在排气筒或烟气汇合后的混合烟道上设置监测点位；净烟气直接排放的，应在净烟气烟道上设置监测点位。</w:t>
      </w:r>
    </w:p>
    <w:p>
      <w:pPr>
        <w:widowControl w:val="0"/>
        <w:ind w:firstLine="480"/>
        <w:rPr>
          <w:color w:val="auto"/>
          <w:highlight w:val="none"/>
        </w:rPr>
      </w:pPr>
      <w:r>
        <w:rPr>
          <w:rFonts w:hint="eastAsia"/>
          <w:color w:val="auto"/>
          <w:highlight w:val="none"/>
        </w:rPr>
        <w:t>废气监测平台、监测断面和监测孔的设置应符合</w:t>
      </w:r>
      <w:r>
        <w:rPr>
          <w:color w:val="auto"/>
          <w:highlight w:val="none"/>
        </w:rPr>
        <w:t>HJ76</w:t>
      </w:r>
      <w:r>
        <w:rPr>
          <w:rFonts w:hint="eastAsia"/>
          <w:color w:val="auto"/>
          <w:highlight w:val="none"/>
        </w:rPr>
        <w:t>、</w:t>
      </w:r>
      <w:r>
        <w:rPr>
          <w:color w:val="auto"/>
          <w:highlight w:val="none"/>
        </w:rPr>
        <w:t>HJ/T397</w:t>
      </w:r>
      <w:r>
        <w:rPr>
          <w:rFonts w:hint="eastAsia"/>
          <w:color w:val="auto"/>
          <w:highlight w:val="none"/>
        </w:rPr>
        <w:t>等的要求，同时监测平台应便于开展监测活动，应能保证监测人员的安全。</w:t>
      </w:r>
    </w:p>
    <w:p>
      <w:pPr>
        <w:widowControl w:val="0"/>
        <w:ind w:firstLine="482"/>
        <w:jc w:val="left"/>
        <w:rPr>
          <w:rFonts w:ascii="宋体" w:hAnsi="宋体"/>
          <w:b/>
          <w:bCs/>
          <w:color w:val="auto"/>
          <w:szCs w:val="24"/>
          <w:highlight w:val="none"/>
        </w:rPr>
      </w:pPr>
      <w:r>
        <w:rPr>
          <w:rFonts w:hint="eastAsia" w:ascii="宋体" w:hAnsi="宋体"/>
          <w:b/>
          <w:bCs/>
          <w:color w:val="auto"/>
          <w:szCs w:val="24"/>
          <w:highlight w:val="none"/>
        </w:rPr>
        <w:t>③无组织排放</w:t>
      </w:r>
    </w:p>
    <w:p>
      <w:pPr>
        <w:widowControl w:val="0"/>
        <w:ind w:firstLine="480"/>
        <w:rPr>
          <w:color w:val="auto"/>
          <w:highlight w:val="none"/>
        </w:rPr>
      </w:pPr>
      <w:r>
        <w:rPr>
          <w:rFonts w:hint="eastAsia"/>
          <w:color w:val="auto"/>
          <w:highlight w:val="none"/>
        </w:rPr>
        <w:t>屠宰及肉类加工工业排污单位应设置废气无组织排放监测点位，无组织排放监控位置为厂界。</w:t>
      </w:r>
    </w:p>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）监测技术手段</w:t>
      </w:r>
    </w:p>
    <w:p>
      <w:pPr>
        <w:widowControl w:val="0"/>
        <w:ind w:firstLine="480"/>
        <w:rPr>
          <w:color w:val="auto"/>
          <w:highlight w:val="none"/>
        </w:rPr>
      </w:pPr>
      <w:r>
        <w:rPr>
          <w:rFonts w:hint="eastAsia"/>
          <w:color w:val="auto"/>
          <w:highlight w:val="none"/>
        </w:rPr>
        <w:t>自行监测的技术手段包括手工监测、自动监测两种类型，屠宰及肉类加工工业排污单位可根据监测成本、监测指标以及监测频次等内容，合理选择适当的技术手段。</w:t>
      </w:r>
    </w:p>
    <w:p>
      <w:pPr>
        <w:widowControl w:val="0"/>
        <w:ind w:firstLine="482"/>
        <w:rPr>
          <w:b/>
          <w:bCs/>
          <w:color w:val="auto"/>
          <w:highlight w:val="none"/>
        </w:rPr>
      </w:pPr>
      <w:r>
        <w:rPr>
          <w:rFonts w:hint="eastAsia"/>
          <w:b/>
          <w:bCs/>
          <w:color w:val="auto"/>
          <w:highlight w:val="none"/>
        </w:rPr>
        <w:t>（</w:t>
      </w:r>
      <w:r>
        <w:rPr>
          <w:b/>
          <w:bCs/>
          <w:color w:val="auto"/>
          <w:highlight w:val="none"/>
        </w:rPr>
        <w:t>5</w:t>
      </w:r>
      <w:r>
        <w:rPr>
          <w:rFonts w:hint="eastAsia"/>
          <w:b/>
          <w:bCs/>
          <w:color w:val="auto"/>
          <w:highlight w:val="none"/>
        </w:rPr>
        <w:t>）监测频次</w:t>
      </w:r>
    </w:p>
    <w:p>
      <w:pPr>
        <w:widowControl w:val="0"/>
        <w:ind w:firstLine="480"/>
        <w:rPr>
          <w:color w:val="auto"/>
          <w:highlight w:val="none"/>
        </w:rPr>
      </w:pPr>
      <w:r>
        <w:rPr>
          <w:rFonts w:hint="eastAsia"/>
          <w:color w:val="auto"/>
          <w:highlight w:val="none"/>
        </w:rPr>
        <w:t>采用自动监测的，全天连续监测。屠宰及肉类加工工业排污单位应按照</w:t>
      </w:r>
      <w:r>
        <w:rPr>
          <w:color w:val="auto"/>
          <w:highlight w:val="none"/>
        </w:rPr>
        <w:t>HJ75</w:t>
      </w:r>
      <w:r>
        <w:rPr>
          <w:rFonts w:hint="eastAsia"/>
          <w:color w:val="auto"/>
          <w:highlight w:val="none"/>
        </w:rPr>
        <w:t>开展自动监测数据的校验比对。按照《污染源自动监控设施运行管理办法》的要求，自动监测设施不能正常运行期间，应按要求将手工监测数据向环境保护主管部门报送，每天不少于</w:t>
      </w:r>
      <w:r>
        <w:rPr>
          <w:color w:val="auto"/>
          <w:highlight w:val="none"/>
        </w:rPr>
        <w:t>4</w:t>
      </w:r>
      <w:r>
        <w:rPr>
          <w:rFonts w:hint="eastAsia"/>
          <w:color w:val="auto"/>
          <w:highlight w:val="none"/>
        </w:rPr>
        <w:t>次，间隔不得超过</w:t>
      </w:r>
      <w:r>
        <w:rPr>
          <w:color w:val="auto"/>
          <w:highlight w:val="none"/>
        </w:rPr>
        <w:t>6h</w:t>
      </w:r>
      <w:r>
        <w:rPr>
          <w:rFonts w:hint="eastAsia"/>
          <w:color w:val="auto"/>
          <w:highlight w:val="none"/>
        </w:rPr>
        <w:t>。</w:t>
      </w:r>
    </w:p>
    <w:p>
      <w:pPr>
        <w:widowControl w:val="0"/>
        <w:ind w:firstLine="480"/>
        <w:rPr>
          <w:color w:val="auto"/>
          <w:highlight w:val="none"/>
        </w:rPr>
      </w:pPr>
      <w:r>
        <w:rPr>
          <w:rFonts w:hint="eastAsia"/>
          <w:color w:val="auto"/>
          <w:highlight w:val="none"/>
        </w:rPr>
        <w:t>采用手工监测的，监测频次不能低于国家或地方发布的标准、规范性文件、环境影响评价文件及其批复等明确规定的监测频次；废气排向特定的环境空气质量功能区的应适当增加监测频次；排放状况波动大的，应适当增加监测频次；历史稳定达标状况较差的应增加监测频次。</w:t>
      </w:r>
    </w:p>
    <w:p>
      <w:pPr>
        <w:widowControl w:val="0"/>
        <w:ind w:firstLine="480"/>
        <w:rPr>
          <w:color w:val="auto"/>
          <w:highlight w:val="none"/>
        </w:rPr>
      </w:pPr>
      <w:r>
        <w:rPr>
          <w:rFonts w:hint="eastAsia"/>
          <w:color w:val="auto"/>
          <w:highlight w:val="none"/>
        </w:rPr>
        <w:t>根据《排污许可证申请与核发技术规范 农副食品加工工业—屠宰及肉类加工工业》（</w:t>
      </w:r>
      <w:r>
        <w:rPr>
          <w:color w:val="auto"/>
          <w:highlight w:val="none"/>
        </w:rPr>
        <w:t>HJ860.3-2018</w:t>
      </w:r>
      <w:r>
        <w:rPr>
          <w:rFonts w:hint="eastAsia"/>
          <w:color w:val="auto"/>
          <w:highlight w:val="none"/>
        </w:rPr>
        <w:t>）、《固定污染源排污许可分类管理名录》（</w:t>
      </w:r>
      <w:r>
        <w:rPr>
          <w:color w:val="auto"/>
          <w:highlight w:val="none"/>
        </w:rPr>
        <w:t xml:space="preserve">2017 </w:t>
      </w:r>
      <w:r>
        <w:rPr>
          <w:rFonts w:hint="eastAsia"/>
          <w:color w:val="auto"/>
          <w:highlight w:val="none"/>
        </w:rPr>
        <w:t>年版），本项目属于重点管理单位。综上，项目自主监测点位、频次、因子等监测计划见表</w:t>
      </w:r>
      <w:r>
        <w:rPr>
          <w:color w:val="auto"/>
          <w:highlight w:val="none"/>
        </w:rPr>
        <w:t>9.2-1</w:t>
      </w:r>
      <w:r>
        <w:rPr>
          <w:rFonts w:hint="eastAsia"/>
          <w:color w:val="auto"/>
          <w:highlight w:val="none"/>
        </w:rPr>
        <w:t>。</w:t>
      </w:r>
    </w:p>
    <w:p>
      <w:pPr>
        <w:pStyle w:val="27"/>
        <w:widowControl w:val="0"/>
        <w:rPr>
          <w:color w:val="auto"/>
          <w:highlight w:val="none"/>
        </w:rPr>
      </w:pPr>
      <w:r>
        <w:rPr>
          <w:rFonts w:hint="eastAsia"/>
          <w:color w:val="auto"/>
          <w:highlight w:val="none"/>
        </w:rPr>
        <w:t>本项目监测计划表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332"/>
        <w:gridCol w:w="1563"/>
        <w:gridCol w:w="3840"/>
        <w:gridCol w:w="1080"/>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b/>
                <w:bCs/>
                <w:color w:val="auto"/>
                <w:highlight w:val="none"/>
              </w:rPr>
            </w:pPr>
            <w:r>
              <w:rPr>
                <w:rFonts w:hint="eastAsia"/>
                <w:b/>
                <w:bCs/>
                <w:color w:val="auto"/>
                <w:highlight w:val="none"/>
              </w:rPr>
              <w:t>序号</w:t>
            </w:r>
          </w:p>
        </w:tc>
        <w:tc>
          <w:tcPr>
            <w:tcW w:w="1332" w:type="dxa"/>
            <w:tcBorders>
              <w:tl2br w:val="nil"/>
              <w:tr2bl w:val="nil"/>
            </w:tcBorders>
            <w:vAlign w:val="center"/>
          </w:tcPr>
          <w:p>
            <w:pPr>
              <w:pStyle w:val="28"/>
              <w:widowControl w:val="0"/>
              <w:rPr>
                <w:b/>
                <w:bCs/>
                <w:color w:val="auto"/>
                <w:highlight w:val="none"/>
              </w:rPr>
            </w:pPr>
            <w:r>
              <w:rPr>
                <w:rFonts w:hint="eastAsia"/>
                <w:b/>
                <w:bCs/>
                <w:color w:val="auto"/>
                <w:highlight w:val="none"/>
              </w:rPr>
              <w:t>环境要素</w:t>
            </w:r>
          </w:p>
        </w:tc>
        <w:tc>
          <w:tcPr>
            <w:tcW w:w="1563" w:type="dxa"/>
            <w:tcBorders>
              <w:tl2br w:val="nil"/>
              <w:tr2bl w:val="nil"/>
            </w:tcBorders>
            <w:vAlign w:val="center"/>
          </w:tcPr>
          <w:p>
            <w:pPr>
              <w:pStyle w:val="28"/>
              <w:widowControl w:val="0"/>
              <w:rPr>
                <w:b/>
                <w:bCs/>
                <w:color w:val="auto"/>
                <w:highlight w:val="none"/>
              </w:rPr>
            </w:pPr>
            <w:r>
              <w:rPr>
                <w:rFonts w:hint="eastAsia"/>
                <w:b/>
                <w:bCs/>
                <w:color w:val="auto"/>
                <w:highlight w:val="none"/>
              </w:rPr>
              <w:t>监测点位</w:t>
            </w:r>
          </w:p>
        </w:tc>
        <w:tc>
          <w:tcPr>
            <w:tcW w:w="3840" w:type="dxa"/>
            <w:tcBorders>
              <w:tl2br w:val="nil"/>
              <w:tr2bl w:val="nil"/>
            </w:tcBorders>
            <w:vAlign w:val="center"/>
          </w:tcPr>
          <w:p>
            <w:pPr>
              <w:pStyle w:val="28"/>
              <w:widowControl w:val="0"/>
              <w:rPr>
                <w:b/>
                <w:bCs/>
                <w:color w:val="auto"/>
                <w:highlight w:val="none"/>
              </w:rPr>
            </w:pPr>
            <w:r>
              <w:rPr>
                <w:rFonts w:hint="eastAsia"/>
                <w:b/>
                <w:bCs/>
                <w:color w:val="auto"/>
                <w:highlight w:val="none"/>
              </w:rPr>
              <w:t>监测因子</w:t>
            </w:r>
          </w:p>
        </w:tc>
        <w:tc>
          <w:tcPr>
            <w:tcW w:w="1080" w:type="dxa"/>
            <w:tcBorders>
              <w:tl2br w:val="nil"/>
              <w:tr2bl w:val="nil"/>
            </w:tcBorders>
            <w:vAlign w:val="center"/>
          </w:tcPr>
          <w:p>
            <w:pPr>
              <w:pStyle w:val="28"/>
              <w:widowControl w:val="0"/>
              <w:rPr>
                <w:b/>
                <w:bCs/>
                <w:color w:val="auto"/>
                <w:highlight w:val="none"/>
              </w:rPr>
            </w:pPr>
            <w:r>
              <w:rPr>
                <w:rFonts w:hint="eastAsia"/>
                <w:b/>
                <w:bCs/>
                <w:color w:val="auto"/>
                <w:highlight w:val="none"/>
              </w:rPr>
              <w:t>监测频次</w:t>
            </w:r>
          </w:p>
        </w:tc>
        <w:tc>
          <w:tcPr>
            <w:tcW w:w="1143" w:type="dxa"/>
            <w:tcBorders>
              <w:tl2br w:val="nil"/>
              <w:tr2bl w:val="nil"/>
            </w:tcBorders>
            <w:vAlign w:val="center"/>
          </w:tcPr>
          <w:p>
            <w:pPr>
              <w:pStyle w:val="28"/>
              <w:widowControl w:val="0"/>
              <w:rPr>
                <w:b/>
                <w:bCs/>
                <w:color w:val="auto"/>
                <w:highlight w:val="none"/>
              </w:rPr>
            </w:pPr>
            <w:r>
              <w:rPr>
                <w:rFonts w:hint="eastAsia"/>
                <w:b/>
                <w:bCs/>
                <w:color w:val="auto"/>
                <w:highlight w:val="none"/>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1</w:t>
            </w:r>
          </w:p>
        </w:tc>
        <w:tc>
          <w:tcPr>
            <w:tcW w:w="1332" w:type="dxa"/>
            <w:vMerge w:val="restart"/>
            <w:tcBorders>
              <w:tl2br w:val="nil"/>
              <w:tr2bl w:val="nil"/>
            </w:tcBorders>
            <w:vAlign w:val="center"/>
          </w:tcPr>
          <w:p>
            <w:pPr>
              <w:pStyle w:val="28"/>
              <w:widowControl w:val="0"/>
              <w:rPr>
                <w:color w:val="auto"/>
                <w:highlight w:val="none"/>
              </w:rPr>
            </w:pPr>
            <w:r>
              <w:rPr>
                <w:rFonts w:hint="eastAsia"/>
                <w:color w:val="auto"/>
                <w:highlight w:val="none"/>
              </w:rPr>
              <w:t>有组织废气</w:t>
            </w: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P1排气筒</w:t>
            </w:r>
          </w:p>
        </w:tc>
        <w:tc>
          <w:tcPr>
            <w:tcW w:w="3840" w:type="dxa"/>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r>
              <w:rPr>
                <w:rFonts w:hint="eastAsia"/>
                <w:color w:val="auto"/>
                <w:highlight w:val="none"/>
              </w:rPr>
              <w:t>、臭气浓度</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半年一次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2</w:t>
            </w:r>
          </w:p>
        </w:tc>
        <w:tc>
          <w:tcPr>
            <w:tcW w:w="1332" w:type="dxa"/>
            <w:vMerge w:val="continue"/>
            <w:tcBorders>
              <w:tl2br w:val="nil"/>
              <w:tr2bl w:val="nil"/>
            </w:tcBorders>
            <w:vAlign w:val="center"/>
          </w:tcPr>
          <w:p>
            <w:pPr>
              <w:pStyle w:val="28"/>
              <w:widowControl w:val="0"/>
              <w:rPr>
                <w:color w:val="auto"/>
                <w:highlight w:val="none"/>
              </w:rPr>
            </w:pP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P2排气筒</w:t>
            </w:r>
          </w:p>
        </w:tc>
        <w:tc>
          <w:tcPr>
            <w:tcW w:w="3840" w:type="dxa"/>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r>
              <w:rPr>
                <w:rFonts w:hint="eastAsia"/>
                <w:color w:val="auto"/>
                <w:highlight w:val="none"/>
              </w:rPr>
              <w:t>、臭气浓度</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半年一次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3</w:t>
            </w:r>
          </w:p>
        </w:tc>
        <w:tc>
          <w:tcPr>
            <w:tcW w:w="1332" w:type="dxa"/>
            <w:tcBorders>
              <w:tl2br w:val="nil"/>
              <w:tr2bl w:val="nil"/>
            </w:tcBorders>
            <w:vAlign w:val="center"/>
          </w:tcPr>
          <w:p>
            <w:pPr>
              <w:pStyle w:val="28"/>
              <w:widowControl w:val="0"/>
              <w:rPr>
                <w:color w:val="auto"/>
                <w:highlight w:val="none"/>
              </w:rPr>
            </w:pPr>
            <w:r>
              <w:rPr>
                <w:rFonts w:hint="eastAsia"/>
                <w:color w:val="auto"/>
                <w:highlight w:val="none"/>
              </w:rPr>
              <w:t>无组织废气</w:t>
            </w: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厂界四周</w:t>
            </w:r>
          </w:p>
        </w:tc>
        <w:tc>
          <w:tcPr>
            <w:tcW w:w="3840" w:type="dxa"/>
            <w:tcBorders>
              <w:tl2br w:val="nil"/>
              <w:tr2bl w:val="nil"/>
            </w:tcBorders>
            <w:vAlign w:val="center"/>
          </w:tcPr>
          <w:p>
            <w:pPr>
              <w:pStyle w:val="28"/>
              <w:widowControl w:val="0"/>
              <w:rPr>
                <w:color w:val="auto"/>
                <w:highlight w:val="none"/>
              </w:rPr>
            </w:pPr>
            <w:r>
              <w:rPr>
                <w:color w:val="auto"/>
                <w:highlight w:val="none"/>
              </w:rPr>
              <w:t>H</w:t>
            </w:r>
            <w:r>
              <w:rPr>
                <w:color w:val="auto"/>
                <w:highlight w:val="none"/>
                <w:vertAlign w:val="subscript"/>
              </w:rPr>
              <w:t>2</w:t>
            </w:r>
            <w:r>
              <w:rPr>
                <w:color w:val="auto"/>
                <w:highlight w:val="none"/>
              </w:rPr>
              <w:t>S</w:t>
            </w:r>
            <w:r>
              <w:rPr>
                <w:rFonts w:hint="eastAsia"/>
                <w:color w:val="auto"/>
                <w:highlight w:val="none"/>
              </w:rPr>
              <w:t>、</w:t>
            </w:r>
            <w:r>
              <w:rPr>
                <w:color w:val="auto"/>
                <w:highlight w:val="none"/>
              </w:rPr>
              <w:t>NH</w:t>
            </w:r>
            <w:r>
              <w:rPr>
                <w:color w:val="auto"/>
                <w:highlight w:val="none"/>
                <w:vertAlign w:val="subscript"/>
              </w:rPr>
              <w:t>3</w:t>
            </w:r>
            <w:r>
              <w:rPr>
                <w:rFonts w:hint="eastAsia"/>
                <w:color w:val="auto"/>
                <w:highlight w:val="none"/>
              </w:rPr>
              <w:t>、臭气浓度</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半年一次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4</w:t>
            </w:r>
          </w:p>
        </w:tc>
        <w:tc>
          <w:tcPr>
            <w:tcW w:w="1332" w:type="dxa"/>
            <w:tcBorders>
              <w:tl2br w:val="nil"/>
              <w:tr2bl w:val="nil"/>
            </w:tcBorders>
            <w:vAlign w:val="center"/>
          </w:tcPr>
          <w:p>
            <w:pPr>
              <w:pStyle w:val="28"/>
              <w:widowControl w:val="0"/>
              <w:rPr>
                <w:color w:val="auto"/>
                <w:highlight w:val="none"/>
              </w:rPr>
            </w:pPr>
            <w:r>
              <w:rPr>
                <w:rFonts w:hint="eastAsia"/>
                <w:color w:val="auto"/>
                <w:highlight w:val="none"/>
              </w:rPr>
              <w:t>地下水</w:t>
            </w: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地下水监测井</w:t>
            </w:r>
          </w:p>
        </w:tc>
        <w:tc>
          <w:tcPr>
            <w:tcW w:w="3840" w:type="dxa"/>
            <w:tcBorders>
              <w:tl2br w:val="nil"/>
              <w:tr2bl w:val="nil"/>
            </w:tcBorders>
            <w:vAlign w:val="center"/>
          </w:tcPr>
          <w:p>
            <w:pPr>
              <w:pStyle w:val="28"/>
              <w:widowControl w:val="0"/>
              <w:rPr>
                <w:color w:val="auto"/>
                <w:highlight w:val="none"/>
              </w:rPr>
            </w:pPr>
            <w:r>
              <w:rPr>
                <w:color w:val="auto"/>
                <w:highlight w:val="none"/>
              </w:rPr>
              <w:t>pH</w:t>
            </w:r>
            <w:r>
              <w:rPr>
                <w:rFonts w:hint="eastAsia"/>
                <w:color w:val="auto"/>
                <w:highlight w:val="none"/>
              </w:rPr>
              <w:t>、氨氮、耗氧量、总硬度（以</w:t>
            </w:r>
            <w:r>
              <w:rPr>
                <w:color w:val="auto"/>
                <w:highlight w:val="none"/>
              </w:rPr>
              <w:t>CaCO</w:t>
            </w:r>
            <w:r>
              <w:rPr>
                <w:color w:val="auto"/>
                <w:highlight w:val="none"/>
                <w:vertAlign w:val="subscript"/>
              </w:rPr>
              <w:t>3</w:t>
            </w:r>
            <w:r>
              <w:rPr>
                <w:rFonts w:hint="eastAsia"/>
                <w:color w:val="auto"/>
                <w:highlight w:val="none"/>
              </w:rPr>
              <w:t>计）、总大肠菌群、氯化物</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每季一次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5</w:t>
            </w:r>
          </w:p>
        </w:tc>
        <w:tc>
          <w:tcPr>
            <w:tcW w:w="1332" w:type="dxa"/>
            <w:tcBorders>
              <w:tl2br w:val="nil"/>
              <w:tr2bl w:val="nil"/>
            </w:tcBorders>
            <w:vAlign w:val="center"/>
          </w:tcPr>
          <w:p>
            <w:pPr>
              <w:pStyle w:val="28"/>
              <w:widowControl w:val="0"/>
              <w:rPr>
                <w:color w:val="auto"/>
                <w:highlight w:val="none"/>
              </w:rPr>
            </w:pPr>
            <w:r>
              <w:rPr>
                <w:rFonts w:hint="eastAsia"/>
                <w:color w:val="auto"/>
                <w:highlight w:val="none"/>
              </w:rPr>
              <w:t>噪声</w:t>
            </w: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厂界四周</w:t>
            </w:r>
          </w:p>
        </w:tc>
        <w:tc>
          <w:tcPr>
            <w:tcW w:w="3840" w:type="dxa"/>
            <w:tcBorders>
              <w:tl2br w:val="nil"/>
              <w:tr2bl w:val="nil"/>
            </w:tcBorders>
            <w:vAlign w:val="center"/>
          </w:tcPr>
          <w:p>
            <w:pPr>
              <w:pStyle w:val="28"/>
              <w:widowControl w:val="0"/>
              <w:rPr>
                <w:color w:val="auto"/>
                <w:highlight w:val="none"/>
              </w:rPr>
            </w:pPr>
            <w:r>
              <w:rPr>
                <w:rFonts w:hint="eastAsia"/>
                <w:color w:val="auto"/>
                <w:highlight w:val="none"/>
              </w:rPr>
              <w:t>等效连续A声级</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每季一次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vMerge w:val="restart"/>
            <w:tcBorders>
              <w:tl2br w:val="nil"/>
              <w:tr2bl w:val="nil"/>
            </w:tcBorders>
            <w:vAlign w:val="center"/>
          </w:tcPr>
          <w:p>
            <w:pPr>
              <w:pStyle w:val="28"/>
              <w:widowControl w:val="0"/>
              <w:rPr>
                <w:color w:val="auto"/>
                <w:highlight w:val="none"/>
              </w:rPr>
            </w:pPr>
            <w:r>
              <w:rPr>
                <w:rFonts w:hint="eastAsia"/>
                <w:color w:val="auto"/>
                <w:highlight w:val="none"/>
              </w:rPr>
              <w:t>6</w:t>
            </w:r>
          </w:p>
        </w:tc>
        <w:tc>
          <w:tcPr>
            <w:tcW w:w="1332" w:type="dxa"/>
            <w:vMerge w:val="restart"/>
            <w:tcBorders>
              <w:tl2br w:val="nil"/>
              <w:tr2bl w:val="nil"/>
            </w:tcBorders>
            <w:vAlign w:val="center"/>
          </w:tcPr>
          <w:p>
            <w:pPr>
              <w:pStyle w:val="28"/>
              <w:widowControl w:val="0"/>
              <w:rPr>
                <w:color w:val="auto"/>
                <w:highlight w:val="none"/>
              </w:rPr>
            </w:pPr>
            <w:r>
              <w:rPr>
                <w:rFonts w:hint="eastAsia"/>
                <w:color w:val="auto"/>
                <w:highlight w:val="none"/>
              </w:rPr>
              <w:t>废水</w:t>
            </w:r>
          </w:p>
        </w:tc>
        <w:tc>
          <w:tcPr>
            <w:tcW w:w="1563" w:type="dxa"/>
            <w:vMerge w:val="restart"/>
            <w:tcBorders>
              <w:tl2br w:val="nil"/>
              <w:tr2bl w:val="nil"/>
            </w:tcBorders>
            <w:vAlign w:val="center"/>
          </w:tcPr>
          <w:p>
            <w:pPr>
              <w:pStyle w:val="28"/>
              <w:widowControl w:val="0"/>
              <w:rPr>
                <w:color w:val="auto"/>
                <w:highlight w:val="none"/>
              </w:rPr>
            </w:pPr>
            <w:r>
              <w:rPr>
                <w:rFonts w:hint="eastAsia"/>
                <w:color w:val="auto"/>
                <w:highlight w:val="none"/>
              </w:rPr>
              <w:t>厂区综合废水排口</w:t>
            </w:r>
          </w:p>
        </w:tc>
        <w:tc>
          <w:tcPr>
            <w:tcW w:w="3840" w:type="dxa"/>
            <w:tcBorders>
              <w:tl2br w:val="nil"/>
              <w:tr2bl w:val="nil"/>
            </w:tcBorders>
            <w:vAlign w:val="center"/>
          </w:tcPr>
          <w:p>
            <w:pPr>
              <w:pStyle w:val="28"/>
              <w:widowControl w:val="0"/>
              <w:rPr>
                <w:color w:val="auto"/>
                <w:highlight w:val="none"/>
              </w:rPr>
            </w:pPr>
            <w:r>
              <w:rPr>
                <w:rFonts w:hint="eastAsia"/>
                <w:color w:val="auto"/>
                <w:highlight w:val="none"/>
              </w:rPr>
              <w:t>流量、pH值、化学需氧量、氨氮</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自动监测</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在线监测仪器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vMerge w:val="continue"/>
            <w:tcBorders>
              <w:tl2br w:val="nil"/>
              <w:tr2bl w:val="nil"/>
            </w:tcBorders>
            <w:vAlign w:val="center"/>
          </w:tcPr>
          <w:p>
            <w:pPr>
              <w:pStyle w:val="28"/>
              <w:widowControl w:val="0"/>
              <w:rPr>
                <w:color w:val="auto"/>
                <w:highlight w:val="none"/>
              </w:rPr>
            </w:pPr>
          </w:p>
        </w:tc>
        <w:tc>
          <w:tcPr>
            <w:tcW w:w="1332" w:type="dxa"/>
            <w:vMerge w:val="continue"/>
            <w:tcBorders>
              <w:tl2br w:val="nil"/>
              <w:tr2bl w:val="nil"/>
            </w:tcBorders>
            <w:vAlign w:val="center"/>
          </w:tcPr>
          <w:p>
            <w:pPr>
              <w:pStyle w:val="28"/>
              <w:widowControl w:val="0"/>
              <w:rPr>
                <w:color w:val="auto"/>
                <w:highlight w:val="none"/>
              </w:rPr>
            </w:pPr>
          </w:p>
        </w:tc>
        <w:tc>
          <w:tcPr>
            <w:tcW w:w="1563" w:type="dxa"/>
            <w:vMerge w:val="continue"/>
            <w:tcBorders>
              <w:tl2br w:val="nil"/>
              <w:tr2bl w:val="nil"/>
            </w:tcBorders>
            <w:vAlign w:val="center"/>
          </w:tcPr>
          <w:p>
            <w:pPr>
              <w:pStyle w:val="28"/>
              <w:widowControl w:val="0"/>
              <w:rPr>
                <w:color w:val="auto"/>
                <w:highlight w:val="none"/>
              </w:rPr>
            </w:pPr>
          </w:p>
        </w:tc>
        <w:tc>
          <w:tcPr>
            <w:tcW w:w="3840" w:type="dxa"/>
            <w:tcBorders>
              <w:tl2br w:val="nil"/>
              <w:tr2bl w:val="nil"/>
            </w:tcBorders>
            <w:vAlign w:val="center"/>
          </w:tcPr>
          <w:p>
            <w:pPr>
              <w:pStyle w:val="28"/>
              <w:widowControl w:val="0"/>
              <w:rPr>
                <w:color w:val="auto"/>
                <w:highlight w:val="none"/>
              </w:rPr>
            </w:pPr>
            <w:r>
              <w:rPr>
                <w:rFonts w:hint="eastAsia"/>
                <w:color w:val="auto"/>
                <w:highlight w:val="none"/>
              </w:rPr>
              <w:t>悬浮物、五日生化需氧量、动植物油、大肠菌群数</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每月一次</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28"/>
              <w:widowControl w:val="0"/>
              <w:rPr>
                <w:color w:val="auto"/>
                <w:highlight w:val="none"/>
              </w:rPr>
            </w:pPr>
            <w:r>
              <w:rPr>
                <w:rFonts w:hint="eastAsia"/>
                <w:color w:val="auto"/>
                <w:highlight w:val="none"/>
              </w:rPr>
              <w:t>7</w:t>
            </w:r>
          </w:p>
        </w:tc>
        <w:tc>
          <w:tcPr>
            <w:tcW w:w="1332" w:type="dxa"/>
            <w:tcBorders>
              <w:tl2br w:val="nil"/>
              <w:tr2bl w:val="nil"/>
            </w:tcBorders>
            <w:vAlign w:val="center"/>
          </w:tcPr>
          <w:p>
            <w:pPr>
              <w:pStyle w:val="28"/>
              <w:widowControl w:val="0"/>
              <w:rPr>
                <w:color w:val="auto"/>
                <w:highlight w:val="none"/>
              </w:rPr>
            </w:pPr>
            <w:r>
              <w:rPr>
                <w:rFonts w:hint="eastAsia"/>
                <w:color w:val="auto"/>
                <w:highlight w:val="none"/>
              </w:rPr>
              <w:t>雨水</w:t>
            </w:r>
          </w:p>
        </w:tc>
        <w:tc>
          <w:tcPr>
            <w:tcW w:w="1563" w:type="dxa"/>
            <w:tcBorders>
              <w:tl2br w:val="nil"/>
              <w:tr2bl w:val="nil"/>
            </w:tcBorders>
            <w:vAlign w:val="center"/>
          </w:tcPr>
          <w:p>
            <w:pPr>
              <w:pStyle w:val="28"/>
              <w:widowControl w:val="0"/>
              <w:rPr>
                <w:color w:val="auto"/>
                <w:highlight w:val="none"/>
              </w:rPr>
            </w:pPr>
            <w:r>
              <w:rPr>
                <w:rFonts w:hint="eastAsia"/>
                <w:color w:val="auto"/>
                <w:highlight w:val="none"/>
              </w:rPr>
              <w:t>雨水排放口</w:t>
            </w:r>
          </w:p>
        </w:tc>
        <w:tc>
          <w:tcPr>
            <w:tcW w:w="3840" w:type="dxa"/>
            <w:tcBorders>
              <w:tl2br w:val="nil"/>
              <w:tr2bl w:val="nil"/>
            </w:tcBorders>
            <w:vAlign w:val="center"/>
          </w:tcPr>
          <w:p>
            <w:pPr>
              <w:pStyle w:val="28"/>
              <w:widowControl w:val="0"/>
              <w:rPr>
                <w:color w:val="auto"/>
                <w:highlight w:val="none"/>
              </w:rPr>
            </w:pPr>
            <w:r>
              <w:rPr>
                <w:rFonts w:hint="eastAsia"/>
                <w:color w:val="auto"/>
                <w:highlight w:val="none"/>
              </w:rPr>
              <w:t>化学需氧量、悬浮物</w:t>
            </w:r>
          </w:p>
        </w:tc>
        <w:tc>
          <w:tcPr>
            <w:tcW w:w="1080" w:type="dxa"/>
            <w:tcBorders>
              <w:tl2br w:val="nil"/>
              <w:tr2bl w:val="nil"/>
            </w:tcBorders>
            <w:vAlign w:val="center"/>
          </w:tcPr>
          <w:p>
            <w:pPr>
              <w:pStyle w:val="28"/>
              <w:widowControl w:val="0"/>
              <w:rPr>
                <w:color w:val="auto"/>
                <w:highlight w:val="none"/>
              </w:rPr>
            </w:pPr>
            <w:r>
              <w:rPr>
                <w:rFonts w:hint="eastAsia"/>
                <w:color w:val="auto"/>
                <w:highlight w:val="none"/>
              </w:rPr>
              <w:t>下雨当天</w:t>
            </w:r>
          </w:p>
        </w:tc>
        <w:tc>
          <w:tcPr>
            <w:tcW w:w="1143" w:type="dxa"/>
            <w:tcBorders>
              <w:tl2br w:val="nil"/>
              <w:tr2bl w:val="nil"/>
            </w:tcBorders>
            <w:vAlign w:val="center"/>
          </w:tcPr>
          <w:p>
            <w:pPr>
              <w:pStyle w:val="28"/>
              <w:widowControl w:val="0"/>
              <w:rPr>
                <w:color w:val="auto"/>
                <w:highlight w:val="none"/>
              </w:rPr>
            </w:pPr>
            <w:r>
              <w:rPr>
                <w:rFonts w:hint="eastAsia"/>
                <w:color w:val="auto"/>
                <w:highlight w:val="none"/>
              </w:rPr>
              <w:t>外委</w:t>
            </w:r>
          </w:p>
        </w:tc>
      </w:tr>
    </w:tbl>
    <w:p>
      <w:pPr>
        <w:pStyle w:val="28"/>
        <w:widowControl w:val="0"/>
        <w:jc w:val="left"/>
        <w:rPr>
          <w:color w:val="auto"/>
          <w:highlight w:val="none"/>
        </w:rPr>
      </w:pPr>
      <w:r>
        <w:rPr>
          <w:rFonts w:hint="eastAsia"/>
          <w:color w:val="auto"/>
          <w:highlight w:val="none"/>
        </w:rPr>
        <w:t>注：如果卫生防护范围边界处无组织排放出现超标现象，需扩大卫生防护范围（扩大距离根据监测结果进一步论证）</w:t>
      </w:r>
    </w:p>
    <w:p>
      <w:pPr>
        <w:pStyle w:val="4"/>
        <w:widowControl w:val="0"/>
        <w:rPr>
          <w:color w:val="auto"/>
          <w:highlight w:val="none"/>
        </w:rPr>
      </w:pPr>
      <w:bookmarkStart w:id="93" w:name="_Toc3039"/>
      <w:r>
        <w:rPr>
          <w:rFonts w:hint="eastAsia"/>
          <w:color w:val="auto"/>
          <w:highlight w:val="none"/>
        </w:rPr>
        <w:t>环保竣工验收</w:t>
      </w:r>
      <w:bookmarkEnd w:id="93"/>
    </w:p>
    <w:p>
      <w:pPr>
        <w:pStyle w:val="5"/>
        <w:widowControl w:val="0"/>
        <w:ind w:firstLine="120"/>
        <w:rPr>
          <w:color w:val="auto"/>
          <w:highlight w:val="none"/>
        </w:rPr>
      </w:pPr>
      <w:r>
        <w:rPr>
          <w:rFonts w:hint="eastAsia"/>
          <w:color w:val="auto"/>
          <w:highlight w:val="none"/>
        </w:rPr>
        <w:t>环保工程设计要求</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按照环评报告书提出的污染防治措施，完善本项目的环保工程设计，并针对本项目的特点，重点做好恶臭的无组织排放污染防治，废水的处理及污泥的处置与综合利用设计工作，确保工程建成投产后“三废”做到达标排放。</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）核准环保投资概算，增加环保资金，要求做到专款专用，环保投资及时到位。</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）主体工程完工后，其配套建设的环境保护设施必须与主体工程同时完工；如需进行试生产，其配套建设的环境保护设施必须与主体工程同时投入运行。</w:t>
      </w:r>
    </w:p>
    <w:p>
      <w:pPr>
        <w:pStyle w:val="5"/>
        <w:widowControl w:val="0"/>
        <w:ind w:firstLine="120"/>
        <w:rPr>
          <w:color w:val="auto"/>
          <w:highlight w:val="none"/>
        </w:rPr>
      </w:pPr>
      <w:r>
        <w:rPr>
          <w:rFonts w:hint="eastAsia"/>
          <w:color w:val="auto"/>
          <w:highlight w:val="none"/>
        </w:rPr>
        <w:t>环保设施验收内容</w:t>
      </w:r>
    </w:p>
    <w:p>
      <w:pPr>
        <w:widowControl w:val="0"/>
        <w:ind w:firstLine="480"/>
        <w:rPr>
          <w:color w:val="auto"/>
          <w:highlight w:val="none"/>
        </w:rPr>
      </w:pPr>
      <w:r>
        <w:rPr>
          <w:rFonts w:hint="eastAsia"/>
          <w:color w:val="auto"/>
          <w:highlight w:val="none"/>
        </w:rPr>
        <w:t>根据新的相关法律法规，现阶段水、大气、噪声、固废均属于企业自主验收范畴，自主验收后报环保局备案。后期相关的法律法规或许会进行调整，验收的形式按项目建成后相关法律法规规定执行。以下对验收的范围和条件提出建议，供建设单位参考。</w:t>
      </w:r>
    </w:p>
    <w:p>
      <w:pPr>
        <w:pStyle w:val="6"/>
        <w:widowControl w:val="0"/>
        <w:ind w:left="-160" w:firstLineChars="0"/>
        <w:rPr>
          <w:color w:val="auto"/>
          <w:highlight w:val="none"/>
        </w:rPr>
      </w:pPr>
      <w:r>
        <w:rPr>
          <w:rFonts w:hint="eastAsia"/>
          <w:color w:val="auto"/>
          <w:highlight w:val="none"/>
        </w:rPr>
        <w:t>验收范围</w:t>
      </w:r>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）与本项目有关的各项环境保护设施，包括为污染防治和保护环境所建成或配套的工程、设备、装置和监测手段，各项生态保护设施等。</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）本报告书和有关文件规定应采取的其它各项环保措施。</w:t>
      </w:r>
    </w:p>
    <w:p>
      <w:pPr>
        <w:pStyle w:val="6"/>
        <w:widowControl w:val="0"/>
        <w:ind w:left="-160" w:firstLineChars="0"/>
        <w:rPr>
          <w:color w:val="auto"/>
          <w:highlight w:val="none"/>
        </w:rPr>
      </w:pPr>
      <w:r>
        <w:rPr>
          <w:rFonts w:hint="eastAsia"/>
          <w:color w:val="auto"/>
          <w:highlight w:val="none"/>
        </w:rPr>
        <w:t>验收内容</w:t>
      </w:r>
    </w:p>
    <w:p>
      <w:pPr>
        <w:widowControl w:val="0"/>
        <w:ind w:firstLine="480"/>
        <w:rPr>
          <w:color w:val="auto"/>
          <w:highlight w:val="none"/>
        </w:rPr>
      </w:pPr>
      <w:r>
        <w:rPr>
          <w:rFonts w:hint="eastAsia"/>
          <w:color w:val="auto"/>
          <w:highlight w:val="none"/>
        </w:rPr>
        <w:t>建设单位在环境保护设施验收过程中，应当如实查验、监测、记载建设项目环境保护设施的建设和调试情况，不得弄虚作假。除按照国家规定需要保密的情形外，建设单位应当依法向社会公开验收报告。</w:t>
      </w:r>
    </w:p>
    <w:p>
      <w:pPr>
        <w:widowControl w:val="0"/>
        <w:ind w:firstLine="480"/>
        <w:rPr>
          <w:color w:val="auto"/>
          <w:highlight w:val="none"/>
        </w:rPr>
      </w:pPr>
      <w:r>
        <w:rPr>
          <w:color w:val="auto"/>
          <w:highlight w:val="none"/>
        </w:rPr>
        <w:br w:type="page"/>
      </w:r>
    </w:p>
    <w:p>
      <w:pPr>
        <w:pStyle w:val="3"/>
        <w:widowControl w:val="0"/>
        <w:ind w:firstLine="643"/>
        <w:rPr>
          <w:color w:val="auto"/>
          <w:highlight w:val="none"/>
        </w:rPr>
      </w:pPr>
      <w:bookmarkStart w:id="94" w:name="_Toc25689"/>
      <w:r>
        <w:rPr>
          <w:rFonts w:hint="eastAsia"/>
          <w:color w:val="auto"/>
          <w:highlight w:val="none"/>
        </w:rPr>
        <w:t>环境影响评价结论与建议</w:t>
      </w:r>
      <w:bookmarkEnd w:id="94"/>
    </w:p>
    <w:p>
      <w:pPr>
        <w:pStyle w:val="4"/>
        <w:widowControl w:val="0"/>
        <w:rPr>
          <w:color w:val="auto"/>
          <w:highlight w:val="none"/>
        </w:rPr>
      </w:pPr>
      <w:bookmarkStart w:id="95" w:name="_Toc27462"/>
      <w:r>
        <w:rPr>
          <w:rFonts w:hint="eastAsia"/>
          <w:color w:val="auto"/>
          <w:highlight w:val="none"/>
        </w:rPr>
        <w:t>项目概况</w:t>
      </w:r>
      <w:bookmarkEnd w:id="95"/>
    </w:p>
    <w:p>
      <w:pPr>
        <w:widowControl w:val="0"/>
        <w:ind w:firstLine="480"/>
        <w:rPr>
          <w:color w:val="auto"/>
          <w:szCs w:val="21"/>
          <w:highlight w:val="none"/>
        </w:rPr>
      </w:pPr>
      <w:r>
        <w:rPr>
          <w:rFonts w:hint="eastAsia"/>
          <w:color w:val="auto"/>
          <w:highlight w:val="none"/>
        </w:rPr>
        <w:t>本项目位于巴中市平昌县响滩镇石泉村建设生猪屠宰和肉牛屠宰项目，项目总投资5000万元，环保投资580.9万元，占总投资的11.6%，</w:t>
      </w:r>
      <w:r>
        <w:rPr>
          <w:rFonts w:hint="eastAsia"/>
          <w:color w:val="auto"/>
          <w:szCs w:val="21"/>
          <w:highlight w:val="none"/>
        </w:rPr>
        <w:t>厂区占地面积约为29亩，总建筑面积为17825平方米，该项目建成后将成为平昌县生猪肉和生牛肉的统一屠宰、分割和冷鲜加工的集中地，项目建成后，本项目运营期间对生猪的年屠宰量将达到16万头，年屠宰肉牛1万头。</w:t>
      </w:r>
    </w:p>
    <w:p>
      <w:pPr>
        <w:widowControl w:val="0"/>
        <w:ind w:firstLine="480"/>
        <w:rPr>
          <w:color w:val="auto"/>
          <w:highlight w:val="none"/>
        </w:rPr>
      </w:pPr>
      <w:r>
        <w:rPr>
          <w:rFonts w:hint="eastAsia"/>
          <w:color w:val="auto"/>
          <w:highlight w:val="none"/>
        </w:rPr>
        <w:t>平昌乐顺食品有限公司收购平昌县响滩食品公司、平昌县云台食品公司将两个B级屠宰场合并扩建升至A级屠宰场在平昌县响滩镇石泉村建设平昌县乐顺现代牲畜屠宰冷链物流一体化建设项目，本项目于2021年9月开工建设，2021年11月巴中市生态环境局对其进行了处罚。项目建设符合国家当前产业政策，选址符合当地规划。</w:t>
      </w:r>
    </w:p>
    <w:p>
      <w:pPr>
        <w:pStyle w:val="4"/>
        <w:widowControl w:val="0"/>
        <w:rPr>
          <w:color w:val="auto"/>
          <w:highlight w:val="none"/>
        </w:rPr>
      </w:pPr>
      <w:bookmarkStart w:id="96" w:name="_Toc2783"/>
      <w:r>
        <w:rPr>
          <w:rFonts w:hint="eastAsia"/>
          <w:color w:val="auto"/>
          <w:highlight w:val="none"/>
        </w:rPr>
        <w:t>环境质量现状</w:t>
      </w:r>
      <w:bookmarkEnd w:id="96"/>
    </w:p>
    <w:p>
      <w:pPr>
        <w:widowControl w:val="0"/>
        <w:ind w:firstLine="480"/>
        <w:rPr>
          <w:color w:val="auto"/>
          <w:highlight w:val="none"/>
        </w:rPr>
      </w:pPr>
      <w:r>
        <w:rPr>
          <w:rFonts w:hint="eastAsia"/>
          <w:color w:val="auto"/>
          <w:highlight w:val="none"/>
        </w:rPr>
        <w:t>（1）地表水环境：根据地表水监测结果，本项目地表水各采样点的各项监测因子均满足《地表水环境质量标准》（GB3838-2002）Ⅲ类标准要求，项目所在区域地表水环境质量现状较好</w:t>
      </w:r>
      <w:r>
        <w:rPr>
          <w:color w:val="auto"/>
          <w:highlight w:val="none"/>
        </w:rPr>
        <w:t>。</w:t>
      </w:r>
    </w:p>
    <w:p>
      <w:pPr>
        <w:widowControl w:val="0"/>
        <w:ind w:firstLine="480"/>
        <w:rPr>
          <w:color w:val="auto"/>
          <w:highlight w:val="none"/>
        </w:rPr>
      </w:pPr>
      <w:r>
        <w:rPr>
          <w:rFonts w:hint="eastAsia"/>
          <w:color w:val="auto"/>
          <w:highlight w:val="none"/>
        </w:rPr>
        <w:t>（2）环境空气：</w:t>
      </w:r>
      <w:r>
        <w:rPr>
          <w:rFonts w:cs="宋体"/>
          <w:color w:val="auto"/>
          <w:szCs w:val="24"/>
          <w:highlight w:val="none"/>
        </w:rPr>
        <w:t>平昌生态环境局公布的《平昌县环境质量状况公报（</w:t>
      </w:r>
      <w:r>
        <w:rPr>
          <w:color w:val="auto"/>
          <w:szCs w:val="24"/>
          <w:highlight w:val="none"/>
        </w:rPr>
        <w:t>2020</w:t>
      </w:r>
      <w:r>
        <w:rPr>
          <w:rFonts w:cs="宋体"/>
          <w:color w:val="auto"/>
          <w:szCs w:val="24"/>
          <w:highlight w:val="none"/>
        </w:rPr>
        <w:t>年度）》</w:t>
      </w:r>
      <w:r>
        <w:rPr>
          <w:rFonts w:hint="eastAsia"/>
          <w:color w:val="auto"/>
          <w:highlight w:val="none"/>
          <w:lang w:val="en-US" w:eastAsia="zh-CN"/>
        </w:rPr>
        <w:t>可知</w:t>
      </w:r>
      <w:r>
        <w:rPr>
          <w:color w:val="auto"/>
          <w:highlight w:val="none"/>
        </w:rPr>
        <w:t>，SO、NO、PM</w:t>
      </w:r>
      <w:r>
        <w:rPr>
          <w:rFonts w:hint="eastAsia"/>
          <w:color w:val="auto"/>
          <w:highlight w:val="none"/>
          <w:vertAlign w:val="subscript"/>
        </w:rPr>
        <w:t>10</w:t>
      </w:r>
      <w:r>
        <w:rPr>
          <w:color w:val="auto"/>
          <w:highlight w:val="none"/>
        </w:rPr>
        <w:t>、PM</w:t>
      </w:r>
      <w:r>
        <w:rPr>
          <w:rFonts w:hint="eastAsia"/>
          <w:color w:val="auto"/>
          <w:highlight w:val="none"/>
          <w:vertAlign w:val="subscript"/>
        </w:rPr>
        <w:t>2.5</w:t>
      </w:r>
      <w:r>
        <w:rPr>
          <w:color w:val="auto"/>
          <w:highlight w:val="none"/>
        </w:rPr>
        <w:t>、CO、</w:t>
      </w:r>
      <w:r>
        <w:rPr>
          <w:rFonts w:hint="eastAsia"/>
          <w:color w:val="auto"/>
          <w:highlight w:val="none"/>
        </w:rPr>
        <w:t>O</w:t>
      </w:r>
      <w:r>
        <w:rPr>
          <w:rFonts w:hint="eastAsia"/>
          <w:color w:val="auto"/>
          <w:highlight w:val="none"/>
          <w:vertAlign w:val="subscript"/>
        </w:rPr>
        <w:t>3</w:t>
      </w:r>
      <w:r>
        <w:rPr>
          <w:rFonts w:cs="宋体"/>
          <w:color w:val="auto"/>
          <w:szCs w:val="24"/>
          <w:highlight w:val="none"/>
        </w:rPr>
        <w:t>年平均浓度均</w:t>
      </w:r>
      <w:r>
        <w:rPr>
          <w:color w:val="auto"/>
          <w:highlight w:val="none"/>
        </w:rPr>
        <w:t>达到《环境空气质量标准》</w:t>
      </w:r>
      <w:r>
        <w:rPr>
          <w:rFonts w:hint="eastAsia"/>
          <w:color w:val="auto"/>
          <w:highlight w:val="none"/>
        </w:rPr>
        <w:t>（</w:t>
      </w:r>
      <w:r>
        <w:rPr>
          <w:color w:val="auto"/>
          <w:highlight w:val="none"/>
        </w:rPr>
        <w:t>GB3095-2012）中的二级标准。项目所在的</w:t>
      </w:r>
      <w:r>
        <w:rPr>
          <w:rFonts w:hint="eastAsia"/>
          <w:color w:val="auto"/>
          <w:highlight w:val="none"/>
          <w:lang w:val="en-US" w:eastAsia="zh-CN"/>
        </w:rPr>
        <w:t>平昌县</w:t>
      </w:r>
      <w:r>
        <w:rPr>
          <w:color w:val="auto"/>
          <w:highlight w:val="none"/>
        </w:rPr>
        <w:t>环境空气中的六项基本污染物均</w:t>
      </w:r>
      <w:r>
        <w:rPr>
          <w:rFonts w:hint="eastAsia"/>
          <w:color w:val="auto"/>
          <w:highlight w:val="none"/>
        </w:rPr>
        <w:t>未达标</w:t>
      </w:r>
      <w:r>
        <w:rPr>
          <w:color w:val="auto"/>
          <w:highlight w:val="none"/>
        </w:rPr>
        <w:t>，故本项目所在区域属于达标区。</w:t>
      </w:r>
    </w:p>
    <w:p>
      <w:pPr>
        <w:widowControl w:val="0"/>
        <w:ind w:firstLine="480"/>
        <w:rPr>
          <w:color w:val="auto"/>
          <w:highlight w:val="none"/>
        </w:rPr>
      </w:pPr>
      <w:r>
        <w:rPr>
          <w:rFonts w:hint="eastAsia"/>
          <w:color w:val="auto"/>
          <w:highlight w:val="none"/>
        </w:rPr>
        <w:t>根据补充监测结果，</w:t>
      </w:r>
      <w:r>
        <w:rPr>
          <w:color w:val="auto"/>
          <w:highlight w:val="none"/>
        </w:rPr>
        <w:t>H</w:t>
      </w:r>
      <w:r>
        <w:rPr>
          <w:color w:val="auto"/>
          <w:highlight w:val="none"/>
          <w:vertAlign w:val="subscript"/>
        </w:rPr>
        <w:t>2</w:t>
      </w:r>
      <w:r>
        <w:rPr>
          <w:color w:val="auto"/>
          <w:highlight w:val="none"/>
        </w:rPr>
        <w:t>S</w:t>
      </w:r>
      <w:r>
        <w:rPr>
          <w:rFonts w:hint="eastAsia"/>
          <w:color w:val="auto"/>
          <w:highlight w:val="none"/>
        </w:rPr>
        <w:t>和</w:t>
      </w:r>
      <w:r>
        <w:rPr>
          <w:color w:val="auto"/>
          <w:highlight w:val="none"/>
        </w:rPr>
        <w:t>NH</w:t>
      </w:r>
      <w:r>
        <w:rPr>
          <w:color w:val="auto"/>
          <w:highlight w:val="none"/>
          <w:vertAlign w:val="subscript"/>
        </w:rPr>
        <w:t>3</w:t>
      </w:r>
      <w:r>
        <w:rPr>
          <w:rFonts w:hint="eastAsia"/>
          <w:color w:val="auto"/>
          <w:highlight w:val="none"/>
        </w:rPr>
        <w:t>监测值均满足《环境影响评价技术导则－大气环境》（</w:t>
      </w:r>
      <w:r>
        <w:rPr>
          <w:color w:val="auto"/>
          <w:highlight w:val="none"/>
        </w:rPr>
        <w:t>HJ2.2-2018</w:t>
      </w:r>
      <w:r>
        <w:rPr>
          <w:rFonts w:hint="eastAsia"/>
          <w:color w:val="auto"/>
          <w:highlight w:val="none"/>
        </w:rPr>
        <w:t>）附录</w:t>
      </w:r>
      <w:r>
        <w:rPr>
          <w:color w:val="auto"/>
          <w:highlight w:val="none"/>
        </w:rPr>
        <w:t>D</w:t>
      </w:r>
      <w:r>
        <w:rPr>
          <w:rFonts w:hint="eastAsia"/>
          <w:color w:val="auto"/>
          <w:highlight w:val="none"/>
        </w:rPr>
        <w:t>中表</w:t>
      </w:r>
      <w:r>
        <w:rPr>
          <w:color w:val="auto"/>
          <w:highlight w:val="none"/>
        </w:rPr>
        <w:t>D.1</w:t>
      </w:r>
      <w:r>
        <w:rPr>
          <w:rFonts w:hint="eastAsia"/>
          <w:color w:val="auto"/>
          <w:highlight w:val="none"/>
        </w:rPr>
        <w:t>“其他污染空气质量浓度参考限值”相应要求。</w:t>
      </w:r>
    </w:p>
    <w:p>
      <w:pPr>
        <w:widowControl w:val="0"/>
        <w:ind w:firstLine="480"/>
        <w:rPr>
          <w:color w:val="auto"/>
          <w:highlight w:val="none"/>
        </w:rPr>
      </w:pPr>
      <w:r>
        <w:rPr>
          <w:rFonts w:hint="eastAsia"/>
          <w:color w:val="auto"/>
          <w:highlight w:val="none"/>
        </w:rPr>
        <w:t>（3）环境噪声：根据项目所在厂界环境噪声监测结果，本项目所在区域声环境质量满足《声环境质量标准》</w:t>
      </w:r>
      <w:r>
        <w:rPr>
          <w:color w:val="auto"/>
          <w:highlight w:val="none"/>
        </w:rPr>
        <w:t>GB3096-2008</w:t>
      </w:r>
      <w:r>
        <w:rPr>
          <w:rFonts w:hint="eastAsia"/>
          <w:color w:val="auto"/>
          <w:highlight w:val="none"/>
        </w:rPr>
        <w:t>中</w:t>
      </w:r>
      <w:r>
        <w:rPr>
          <w:color w:val="auto"/>
          <w:highlight w:val="none"/>
        </w:rPr>
        <w:t>2</w:t>
      </w:r>
      <w:r>
        <w:rPr>
          <w:rFonts w:hint="eastAsia"/>
          <w:color w:val="auto"/>
          <w:highlight w:val="none"/>
        </w:rPr>
        <w:t>类标准限值的要求。</w:t>
      </w:r>
    </w:p>
    <w:p>
      <w:pPr>
        <w:widowControl w:val="0"/>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）地下水环境：根据地下水水质监测结果，本项目地下水各采样点的各项监测因子均满足《地下水质量标准》（</w:t>
      </w:r>
      <w:r>
        <w:rPr>
          <w:color w:val="auto"/>
          <w:highlight w:val="none"/>
        </w:rPr>
        <w:t>GB/T14848-2017</w:t>
      </w:r>
      <w:r>
        <w:rPr>
          <w:rFonts w:hint="eastAsia"/>
          <w:color w:val="auto"/>
          <w:highlight w:val="none"/>
        </w:rPr>
        <w:t>）</w:t>
      </w:r>
      <w:r>
        <w:rPr>
          <w:color w:val="auto"/>
          <w:highlight w:val="none"/>
        </w:rPr>
        <w:t>Ⅲ</w:t>
      </w:r>
      <w:r>
        <w:rPr>
          <w:rFonts w:hint="eastAsia"/>
          <w:color w:val="auto"/>
          <w:highlight w:val="none"/>
        </w:rPr>
        <w:t>类标准要求，项目所在区域地下水质量现状较好。</w:t>
      </w:r>
    </w:p>
    <w:p>
      <w:pPr>
        <w:pStyle w:val="4"/>
        <w:widowControl w:val="0"/>
        <w:rPr>
          <w:color w:val="auto"/>
          <w:highlight w:val="none"/>
        </w:rPr>
      </w:pPr>
      <w:bookmarkStart w:id="97" w:name="_Toc7846"/>
      <w:r>
        <w:rPr>
          <w:rFonts w:hint="eastAsia"/>
          <w:color w:val="auto"/>
          <w:highlight w:val="none"/>
        </w:rPr>
        <w:t>污染物排放及环保措施设置结论</w:t>
      </w:r>
      <w:bookmarkEnd w:id="97"/>
    </w:p>
    <w:p>
      <w:pPr>
        <w:pStyle w:val="5"/>
        <w:widowControl w:val="0"/>
        <w:ind w:firstLine="120"/>
        <w:rPr>
          <w:color w:val="auto"/>
          <w:highlight w:val="none"/>
        </w:rPr>
      </w:pPr>
      <w:r>
        <w:rPr>
          <w:rFonts w:hint="eastAsia"/>
          <w:color w:val="auto"/>
          <w:highlight w:val="none"/>
        </w:rPr>
        <w:t>废水</w:t>
      </w:r>
    </w:p>
    <w:p>
      <w:pPr>
        <w:widowControl w:val="0"/>
        <w:ind w:firstLine="480"/>
        <w:rPr>
          <w:color w:val="auto"/>
          <w:highlight w:val="none"/>
        </w:rPr>
      </w:pPr>
      <w:r>
        <w:rPr>
          <w:rFonts w:hint="eastAsia"/>
          <w:color w:val="auto"/>
          <w:highlight w:val="none"/>
        </w:rPr>
        <w:t>本项目运营期废水主要为包括屠宰废水、地面及车辆冲洗废水、洗涤塔废水及生活污水，其主要污染物为</w:t>
      </w:r>
      <w:r>
        <w:rPr>
          <w:rFonts w:eastAsia="Times New Roman"/>
          <w:color w:val="auto"/>
          <w:highlight w:val="none"/>
        </w:rPr>
        <w:t>COD</w:t>
      </w:r>
      <w:r>
        <w:rPr>
          <w:rFonts w:hint="eastAsia" w:ascii="宋体" w:hAnsi="宋体"/>
          <w:color w:val="auto"/>
          <w:highlight w:val="none"/>
        </w:rPr>
        <w:t>、</w:t>
      </w:r>
      <w:r>
        <w:rPr>
          <w:rFonts w:eastAsia="Times New Roman"/>
          <w:color w:val="auto"/>
          <w:highlight w:val="none"/>
        </w:rPr>
        <w:t>BOD</w:t>
      </w:r>
      <w:r>
        <w:rPr>
          <w:rFonts w:eastAsia="Times New Roman"/>
          <w:color w:val="auto"/>
          <w:sz w:val="16"/>
          <w:highlight w:val="none"/>
        </w:rPr>
        <w:t>5</w:t>
      </w:r>
      <w:r>
        <w:rPr>
          <w:rFonts w:hint="eastAsia" w:ascii="宋体" w:hAnsi="宋体"/>
          <w:color w:val="auto"/>
          <w:highlight w:val="none"/>
        </w:rPr>
        <w:t>、</w:t>
      </w:r>
      <w:r>
        <w:rPr>
          <w:rFonts w:eastAsia="Times New Roman"/>
          <w:color w:val="auto"/>
          <w:highlight w:val="none"/>
        </w:rPr>
        <w:t>NH</w:t>
      </w:r>
      <w:r>
        <w:rPr>
          <w:rFonts w:eastAsia="Times New Roman"/>
          <w:color w:val="auto"/>
          <w:sz w:val="16"/>
          <w:highlight w:val="none"/>
        </w:rPr>
        <w:t>3</w:t>
      </w:r>
      <w:r>
        <w:rPr>
          <w:rFonts w:eastAsia="Times New Roman"/>
          <w:color w:val="auto"/>
          <w:highlight w:val="none"/>
        </w:rPr>
        <w:t>-N</w:t>
      </w:r>
      <w:r>
        <w:rPr>
          <w:rFonts w:hint="eastAsia" w:ascii="宋体" w:hAnsi="宋体"/>
          <w:color w:val="auto"/>
          <w:highlight w:val="none"/>
        </w:rPr>
        <w:t>、</w:t>
      </w:r>
      <w:r>
        <w:rPr>
          <w:rFonts w:eastAsia="Times New Roman"/>
          <w:color w:val="auto"/>
          <w:highlight w:val="none"/>
        </w:rPr>
        <w:t>SS</w:t>
      </w:r>
      <w:r>
        <w:rPr>
          <w:rFonts w:hint="eastAsia"/>
          <w:color w:val="auto"/>
          <w:highlight w:val="none"/>
        </w:rPr>
        <w:t>、TP、动植物油等，本项目生产及生活废水总产生量约为254.8m</w:t>
      </w:r>
      <w:r>
        <w:rPr>
          <w:rFonts w:hint="eastAsia"/>
          <w:color w:val="auto"/>
          <w:highlight w:val="none"/>
          <w:vertAlign w:val="superscript"/>
        </w:rPr>
        <w:t>3</w:t>
      </w:r>
      <w:r>
        <w:rPr>
          <w:rFonts w:hint="eastAsia"/>
          <w:color w:val="auto"/>
          <w:highlight w:val="none"/>
        </w:rPr>
        <w:t>/d（旺季），79980m</w:t>
      </w:r>
      <w:r>
        <w:rPr>
          <w:rFonts w:hint="eastAsia"/>
          <w:color w:val="auto"/>
          <w:highlight w:val="none"/>
          <w:vertAlign w:val="superscript"/>
        </w:rPr>
        <w:t>3</w:t>
      </w:r>
      <w:r>
        <w:rPr>
          <w:rFonts w:hint="eastAsia"/>
          <w:color w:val="auto"/>
          <w:highlight w:val="none"/>
        </w:rPr>
        <w:t>/a，均排入自建污水处理站进行处理，处理达到《肉类加工工业水污染物排放标准》（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畜类屠宰三级排放标准及满足《污水排入城镇下水道水质标准》（GB/T 31962-2015） 排入元坨社区市政污水管网，通过市政污水管网汇入响滩镇污水处理厂处理，经污水处理厂处理达到《城镇污水处理厂污染物排放标准》（GB18918-2002）一级A标准限值后排入濛溪河。</w:t>
      </w:r>
    </w:p>
    <w:p>
      <w:pPr>
        <w:widowControl w:val="0"/>
        <w:ind w:firstLine="480"/>
        <w:rPr>
          <w:color w:val="auto"/>
          <w:highlight w:val="none"/>
        </w:rPr>
      </w:pPr>
      <w:r>
        <w:rPr>
          <w:rFonts w:hint="eastAsia"/>
          <w:color w:val="auto"/>
          <w:highlight w:val="none"/>
        </w:rPr>
        <w:t>本项目建设不会改变响滩镇污水处理厂性质，业主单位承诺在元坨社区管网未建成前，项目不投入运营。</w:t>
      </w:r>
    </w:p>
    <w:p>
      <w:pPr>
        <w:pStyle w:val="5"/>
        <w:widowControl w:val="0"/>
        <w:ind w:firstLine="120"/>
        <w:rPr>
          <w:color w:val="auto"/>
          <w:highlight w:val="none"/>
        </w:rPr>
      </w:pPr>
      <w:r>
        <w:rPr>
          <w:rFonts w:hint="eastAsia"/>
          <w:color w:val="auto"/>
          <w:highlight w:val="none"/>
        </w:rPr>
        <w:t>废气</w:t>
      </w:r>
    </w:p>
    <w:p>
      <w:pPr>
        <w:pStyle w:val="6"/>
        <w:widowControl w:val="0"/>
        <w:ind w:firstLine="241"/>
        <w:rPr>
          <w:color w:val="auto"/>
          <w:highlight w:val="none"/>
        </w:rPr>
      </w:pPr>
      <w:r>
        <w:rPr>
          <w:rFonts w:hint="eastAsia"/>
          <w:color w:val="auto"/>
          <w:highlight w:val="none"/>
        </w:rPr>
        <w:t>待宰圈恶臭</w:t>
      </w:r>
    </w:p>
    <w:p>
      <w:pPr>
        <w:widowControl w:val="0"/>
        <w:ind w:firstLine="480"/>
        <w:rPr>
          <w:color w:val="auto"/>
          <w:highlight w:val="none"/>
        </w:rPr>
      </w:pPr>
      <w:r>
        <w:rPr>
          <w:rFonts w:hint="eastAsia"/>
          <w:color w:val="auto"/>
          <w:highlight w:val="none"/>
        </w:rPr>
        <w:t>待宰圈恶臭染物主要为NH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S等恶臭有害气体，根据源强核算可知，屠宰产生的恶臭气体中NH</w:t>
      </w:r>
      <w:r>
        <w:rPr>
          <w:rFonts w:hint="eastAsia"/>
          <w:color w:val="auto"/>
          <w:highlight w:val="none"/>
          <w:vertAlign w:val="subscript"/>
        </w:rPr>
        <w:t>3</w:t>
      </w:r>
      <w:r>
        <w:rPr>
          <w:rFonts w:hint="eastAsia"/>
          <w:color w:val="auto"/>
          <w:highlight w:val="none"/>
        </w:rPr>
        <w:t>排放量为1.44t/a、H</w:t>
      </w:r>
      <w:r>
        <w:rPr>
          <w:rFonts w:hint="eastAsia"/>
          <w:color w:val="auto"/>
          <w:highlight w:val="none"/>
          <w:vertAlign w:val="subscript"/>
        </w:rPr>
        <w:t>2</w:t>
      </w:r>
      <w:r>
        <w:rPr>
          <w:rFonts w:hint="eastAsia"/>
          <w:color w:val="auto"/>
          <w:highlight w:val="none"/>
        </w:rPr>
        <w:t>S 排放量为0.085t/a，待宰圈采用全密闭，</w:t>
      </w:r>
      <w:r>
        <w:rPr>
          <w:color w:val="auto"/>
          <w:highlight w:val="none"/>
        </w:rPr>
        <w:t>设置强制通风设施，保持车间负压；喷洒生物除臭剂，猪粪采用水冲式，设水雾喷淋装置，保持</w:t>
      </w:r>
      <w:r>
        <w:rPr>
          <w:rFonts w:hint="eastAsia"/>
          <w:color w:val="auto"/>
          <w:highlight w:val="none"/>
        </w:rPr>
        <w:t>待宰圈</w:t>
      </w:r>
      <w:r>
        <w:rPr>
          <w:color w:val="auto"/>
          <w:highlight w:val="none"/>
        </w:rPr>
        <w:t>清洁</w:t>
      </w:r>
      <w:r>
        <w:rPr>
          <w:rFonts w:hint="eastAsia"/>
          <w:color w:val="auto"/>
          <w:highlight w:val="none"/>
        </w:rPr>
        <w:t>，并将臭气收集后采用1套UV光解+生物洗涤塔处理后15m排气筒（P1）排放，因此，项目待宰圈NH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S有组织排放量分别为0.026t/a，0.0015t/a；NH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S无组织排放量分别为0.029t/a，0.0017t/a。</w:t>
      </w:r>
    </w:p>
    <w:p>
      <w:pPr>
        <w:pStyle w:val="6"/>
        <w:widowControl w:val="0"/>
        <w:ind w:firstLine="241"/>
        <w:rPr>
          <w:color w:val="auto"/>
          <w:highlight w:val="none"/>
        </w:rPr>
      </w:pPr>
      <w:r>
        <w:rPr>
          <w:rFonts w:hint="eastAsia"/>
          <w:color w:val="auto"/>
          <w:highlight w:val="none"/>
        </w:rPr>
        <w:t>屠宰车间恶臭</w:t>
      </w:r>
    </w:p>
    <w:p>
      <w:pPr>
        <w:widowControl w:val="0"/>
        <w:ind w:firstLine="480"/>
        <w:rPr>
          <w:color w:val="auto"/>
          <w:highlight w:val="none"/>
        </w:rPr>
      </w:pPr>
      <w:r>
        <w:rPr>
          <w:rFonts w:hint="eastAsia"/>
          <w:color w:val="auto"/>
          <w:highlight w:val="none"/>
        </w:rPr>
        <w:t>屠宰过程中恶臭源主要为屠宰车间，污染物主要为NH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S等恶臭有害气体，根据源强核算可知，屠宰产生的恶臭气体中NH</w:t>
      </w:r>
      <w:r>
        <w:rPr>
          <w:rFonts w:hint="eastAsia"/>
          <w:color w:val="auto"/>
          <w:highlight w:val="none"/>
          <w:vertAlign w:val="subscript"/>
        </w:rPr>
        <w:t>3</w:t>
      </w:r>
      <w:r>
        <w:rPr>
          <w:rFonts w:hint="eastAsia"/>
          <w:color w:val="auto"/>
          <w:highlight w:val="none"/>
        </w:rPr>
        <w:t>排放量为0.042t/a、H</w:t>
      </w:r>
      <w:r>
        <w:rPr>
          <w:rFonts w:hint="eastAsia"/>
          <w:color w:val="auto"/>
          <w:highlight w:val="none"/>
          <w:vertAlign w:val="subscript"/>
        </w:rPr>
        <w:t>2</w:t>
      </w:r>
      <w:r>
        <w:rPr>
          <w:rFonts w:hint="eastAsia"/>
          <w:color w:val="auto"/>
          <w:highlight w:val="none"/>
        </w:rPr>
        <w:t>S 排放量为0.0022t/a，</w:t>
      </w:r>
      <w:r>
        <w:rPr>
          <w:color w:val="auto"/>
          <w:highlight w:val="none"/>
        </w:rPr>
        <w:t>屠宰车间为全密闭，设置强制通风设施，车间</w:t>
      </w:r>
      <w:r>
        <w:rPr>
          <w:rFonts w:hint="eastAsia"/>
          <w:color w:val="auto"/>
          <w:highlight w:val="none"/>
          <w:lang w:eastAsia="zh-CN"/>
        </w:rPr>
        <w:t>每小时换气3次</w:t>
      </w:r>
      <w:r>
        <w:rPr>
          <w:color w:val="auto"/>
          <w:highlight w:val="none"/>
        </w:rPr>
        <w:t>，保持车间负压；车间生产线及时清洗，肠胃内容物和猪毛等污物及时清运，保持屠宰车间清洁；定期对车间进行消毒处理</w:t>
      </w:r>
      <w:r>
        <w:rPr>
          <w:rFonts w:hint="eastAsia"/>
          <w:color w:val="auto"/>
          <w:highlight w:val="none"/>
        </w:rPr>
        <w:t>，并将臭气收集后采用1套UV光解+生物洗涤塔处理后15m排气筒（P2）排放，因此，项目屠宰车间NH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S有组织排放量分别为0.00374t/a，0.00022t/a；NH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S无组织排放量分别为0.0042t/a，0.00022t/a。</w:t>
      </w:r>
    </w:p>
    <w:p>
      <w:pPr>
        <w:pStyle w:val="6"/>
        <w:widowControl w:val="0"/>
        <w:ind w:firstLine="241"/>
        <w:rPr>
          <w:color w:val="auto"/>
          <w:highlight w:val="none"/>
        </w:rPr>
      </w:pPr>
      <w:r>
        <w:rPr>
          <w:rFonts w:hint="eastAsia"/>
          <w:color w:val="auto"/>
          <w:highlight w:val="none"/>
        </w:rPr>
        <w:t>污水处理站恶臭</w:t>
      </w:r>
    </w:p>
    <w:p>
      <w:pPr>
        <w:widowControl w:val="0"/>
        <w:ind w:firstLine="480"/>
        <w:rPr>
          <w:color w:val="auto"/>
          <w:highlight w:val="none"/>
        </w:rPr>
      </w:pPr>
      <w:r>
        <w:rPr>
          <w:rFonts w:hint="eastAsia" w:ascii="宋体" w:hAnsi="宋体"/>
          <w:color w:val="auto"/>
          <w:szCs w:val="24"/>
          <w:highlight w:val="none"/>
        </w:rPr>
        <w:t>本项目拟建污水处理站内产生的恶臭气体全部进行密闭收集，收集的恶臭气体通过</w:t>
      </w:r>
      <w:r>
        <w:rPr>
          <w:rFonts w:hint="eastAsia"/>
          <w:color w:val="auto"/>
          <w:highlight w:val="none"/>
        </w:rPr>
        <w:t>1套UV光解+生物洗涤塔处理后15m排气筒（P1）排放，因此，污水处理站恶臭经收集处理后有组织排放量为NH</w:t>
      </w:r>
      <w:r>
        <w:rPr>
          <w:rFonts w:hint="eastAsia"/>
          <w:color w:val="auto"/>
          <w:highlight w:val="none"/>
          <w:vertAlign w:val="subscript"/>
        </w:rPr>
        <w:t>3</w:t>
      </w:r>
      <w:r>
        <w:rPr>
          <w:rFonts w:hint="eastAsia"/>
          <w:color w:val="auto"/>
          <w:highlight w:val="none"/>
        </w:rPr>
        <w:t>：0.014t/a，H</w:t>
      </w:r>
      <w:r>
        <w:rPr>
          <w:rFonts w:hint="eastAsia"/>
          <w:color w:val="auto"/>
          <w:highlight w:val="none"/>
          <w:vertAlign w:val="subscript"/>
        </w:rPr>
        <w:t>2</w:t>
      </w:r>
      <w:r>
        <w:rPr>
          <w:rFonts w:hint="eastAsia"/>
          <w:color w:val="auto"/>
          <w:highlight w:val="none"/>
        </w:rPr>
        <w:t>S：0.0005t/a；排放量为NH</w:t>
      </w:r>
      <w:r>
        <w:rPr>
          <w:rFonts w:hint="eastAsia"/>
          <w:color w:val="auto"/>
          <w:highlight w:val="none"/>
          <w:vertAlign w:val="subscript"/>
        </w:rPr>
        <w:t>3</w:t>
      </w:r>
      <w:r>
        <w:rPr>
          <w:rFonts w:hint="eastAsia"/>
          <w:color w:val="auto"/>
          <w:highlight w:val="none"/>
        </w:rPr>
        <w:t>：0.002t/a，H</w:t>
      </w:r>
      <w:r>
        <w:rPr>
          <w:rFonts w:hint="eastAsia"/>
          <w:color w:val="auto"/>
          <w:highlight w:val="none"/>
          <w:vertAlign w:val="subscript"/>
        </w:rPr>
        <w:t>2</w:t>
      </w:r>
      <w:r>
        <w:rPr>
          <w:rFonts w:hint="eastAsia"/>
          <w:color w:val="auto"/>
          <w:highlight w:val="none"/>
        </w:rPr>
        <w:t>S：0.0006t/a。</w:t>
      </w:r>
    </w:p>
    <w:p>
      <w:pPr>
        <w:pStyle w:val="6"/>
        <w:widowControl w:val="0"/>
        <w:ind w:firstLine="241"/>
        <w:rPr>
          <w:color w:val="auto"/>
          <w:highlight w:val="none"/>
        </w:rPr>
      </w:pPr>
      <w:r>
        <w:rPr>
          <w:rFonts w:hint="eastAsia"/>
          <w:color w:val="auto"/>
          <w:highlight w:val="none"/>
        </w:rPr>
        <w:t>食堂油烟</w:t>
      </w:r>
    </w:p>
    <w:p>
      <w:pPr>
        <w:widowControl w:val="0"/>
        <w:ind w:firstLine="480"/>
        <w:rPr>
          <w:color w:val="auto"/>
          <w:highlight w:val="none"/>
        </w:rPr>
      </w:pPr>
      <w:r>
        <w:rPr>
          <w:rFonts w:hint="eastAsia"/>
          <w:color w:val="auto"/>
          <w:highlight w:val="none"/>
        </w:rPr>
        <w:t>食堂油烟经去除率不低于70%油烟净化器处理后沿烟气管道在建筑物屋顶排放，能够满足《饮食业油烟排放标准（试行）》（GB18483-2001）中标准要求。</w:t>
      </w:r>
    </w:p>
    <w:p>
      <w:pPr>
        <w:pStyle w:val="6"/>
        <w:widowControl w:val="0"/>
        <w:ind w:firstLine="241"/>
        <w:rPr>
          <w:color w:val="auto"/>
          <w:highlight w:val="none"/>
        </w:rPr>
      </w:pPr>
      <w:r>
        <w:rPr>
          <w:rFonts w:hint="eastAsia"/>
          <w:color w:val="auto"/>
          <w:highlight w:val="none"/>
        </w:rPr>
        <w:t>备用发电机烟气</w:t>
      </w:r>
    </w:p>
    <w:p>
      <w:pPr>
        <w:widowControl w:val="0"/>
        <w:ind w:firstLine="480"/>
        <w:rPr>
          <w:color w:val="auto"/>
          <w:highlight w:val="none"/>
        </w:rPr>
      </w:pPr>
      <w:r>
        <w:rPr>
          <w:rFonts w:hint="eastAsia"/>
          <w:color w:val="auto"/>
          <w:highlight w:val="none"/>
        </w:rPr>
        <w:t>项目设置1台备用柴油发电机，柴油发电机在使用过程中会产生发电机烟气，其主要成分为</w:t>
      </w:r>
      <w:r>
        <w:rPr>
          <w:color w:val="auto"/>
          <w:highlight w:val="none"/>
        </w:rPr>
        <w:t>CO</w:t>
      </w:r>
      <w:r>
        <w:rPr>
          <w:rFonts w:hint="eastAsia"/>
          <w:color w:val="auto"/>
          <w:highlight w:val="none"/>
        </w:rPr>
        <w:t>、</w:t>
      </w:r>
      <w:r>
        <w:rPr>
          <w:color w:val="auto"/>
          <w:highlight w:val="none"/>
        </w:rPr>
        <w:t>HC</w:t>
      </w:r>
      <w:r>
        <w:rPr>
          <w:rFonts w:hint="eastAsia"/>
          <w:color w:val="auto"/>
          <w:highlight w:val="none"/>
        </w:rPr>
        <w:t>、</w:t>
      </w:r>
      <w:r>
        <w:rPr>
          <w:color w:val="auto"/>
          <w:highlight w:val="none"/>
        </w:rPr>
        <w:t>NOx</w:t>
      </w:r>
      <w:r>
        <w:rPr>
          <w:rFonts w:hint="eastAsia"/>
          <w:color w:val="auto"/>
          <w:highlight w:val="none"/>
        </w:rPr>
        <w:t>，烟气由自身携带的废气净化装置处理后经抽排风系统抽至配电房顶排放。由于柴油发电机只有在停电时应急使用，因此其产生频率小且具有偶发性，采用措施后完全能够做到达标排放，对周围环境影响很小。</w:t>
      </w:r>
    </w:p>
    <w:p>
      <w:pPr>
        <w:pStyle w:val="6"/>
        <w:widowControl w:val="0"/>
        <w:ind w:firstLine="241"/>
        <w:rPr>
          <w:color w:val="auto"/>
          <w:highlight w:val="none"/>
        </w:rPr>
      </w:pPr>
      <w:r>
        <w:rPr>
          <w:rFonts w:hint="eastAsia"/>
          <w:color w:val="auto"/>
          <w:highlight w:val="none"/>
        </w:rPr>
        <w:t>锅炉天然气燃烧废气</w:t>
      </w:r>
    </w:p>
    <w:p>
      <w:pPr>
        <w:widowControl w:val="0"/>
        <w:ind w:firstLine="480"/>
        <w:rPr>
          <w:color w:val="auto"/>
          <w:highlight w:val="none"/>
        </w:rPr>
      </w:pPr>
      <w:r>
        <w:rPr>
          <w:rFonts w:hint="eastAsia"/>
          <w:color w:val="auto"/>
          <w:highlight w:val="none"/>
        </w:rPr>
        <w:t>本项目设置两台</w:t>
      </w:r>
      <w:r>
        <w:rPr>
          <w:color w:val="auto"/>
          <w:highlight w:val="none"/>
        </w:rPr>
        <w:t>全自动恒温</w:t>
      </w:r>
      <w:r>
        <w:rPr>
          <w:rFonts w:hint="eastAsia"/>
          <w:color w:val="auto"/>
          <w:highlight w:val="none"/>
        </w:rPr>
        <w:t>锅炉，采用的燃料为天然气，天然气属清洁能源，产生的燃烧废气，对周边环境影响较小，项目采取增强厂区绿化，排气筒（h=8m）设置远离居民敏感点，采取上述措施后，天然气产生的燃烧废气影响较小。</w:t>
      </w:r>
    </w:p>
    <w:p>
      <w:pPr>
        <w:pStyle w:val="5"/>
        <w:widowControl w:val="0"/>
        <w:tabs>
          <w:tab w:val="left" w:pos="0"/>
        </w:tabs>
        <w:ind w:firstLine="120"/>
        <w:rPr>
          <w:color w:val="auto"/>
          <w:highlight w:val="none"/>
        </w:rPr>
      </w:pPr>
      <w:r>
        <w:rPr>
          <w:rFonts w:hint="eastAsia"/>
          <w:color w:val="auto"/>
          <w:highlight w:val="none"/>
        </w:rPr>
        <w:t>噪声</w:t>
      </w:r>
    </w:p>
    <w:p>
      <w:pPr>
        <w:widowControl w:val="0"/>
        <w:ind w:firstLine="480"/>
        <w:rPr>
          <w:color w:val="auto"/>
          <w:highlight w:val="none"/>
        </w:rPr>
      </w:pPr>
      <w:r>
        <w:rPr>
          <w:rFonts w:hint="eastAsia"/>
          <w:color w:val="auto"/>
          <w:highlight w:val="none"/>
        </w:rPr>
        <w:t>本项目在运行过程中的主要噪声源为项屠宰设备运行时产生机械噪声、待宰间内猪只发出的嚎叫声、污水站运行噪声，噪声为70-105dB(A)。项目采取选用低噪设备、设置减震隔声等措施能有效较小噪声对周边环境的影响。</w:t>
      </w:r>
    </w:p>
    <w:p>
      <w:pPr>
        <w:pStyle w:val="5"/>
        <w:widowControl w:val="0"/>
        <w:tabs>
          <w:tab w:val="left" w:pos="0"/>
        </w:tabs>
        <w:ind w:firstLine="120"/>
        <w:rPr>
          <w:color w:val="auto"/>
          <w:highlight w:val="none"/>
        </w:rPr>
      </w:pPr>
      <w:r>
        <w:rPr>
          <w:rFonts w:hint="eastAsia"/>
          <w:color w:val="auto"/>
          <w:highlight w:val="none"/>
        </w:rPr>
        <w:t>固废</w:t>
      </w:r>
    </w:p>
    <w:p>
      <w:pPr>
        <w:widowControl w:val="0"/>
        <w:ind w:firstLine="480"/>
        <w:rPr>
          <w:color w:val="auto"/>
          <w:highlight w:val="none"/>
        </w:rPr>
      </w:pPr>
      <w:r>
        <w:rPr>
          <w:rFonts w:hint="eastAsia"/>
          <w:color w:val="auto"/>
          <w:highlight w:val="none"/>
        </w:rPr>
        <w:t>本项目屠宰过程产生的检疫不合格猪、牛及病胴体、病内脏、粪便及肠胃内容物、不可食用内脏、检验后残渣、废弃动物组织及碎肉碎骨等，均暂存于无害化暂存间后交由具有无害化处理资质的单位处置；污水处理站运行期间产生的栅渣交由生产有机肥料的单位进行处置；污水处理站产生的污泥交由环卫部门统一清运；废油脂委托有资质的单位进行处置；废包装材料、废胶皮手套外售废品收购站；生活垃圾交由环卫部门统一清运；餐厨垃圾由经城管部门许可的餐厨垃圾收运单位处置；废试纸、废</w:t>
      </w:r>
      <w:r>
        <w:rPr>
          <w:color w:val="auto"/>
          <w:highlight w:val="none"/>
        </w:rPr>
        <w:t>PCR</w:t>
      </w:r>
      <w:r>
        <w:rPr>
          <w:rFonts w:hint="eastAsia"/>
          <w:color w:val="auto"/>
          <w:highlight w:val="none"/>
        </w:rPr>
        <w:t>试剂盒</w:t>
      </w:r>
      <w:r>
        <w:rPr>
          <w:rFonts w:hint="eastAsia"/>
          <w:color w:val="auto"/>
          <w:highlight w:val="none"/>
          <w:lang w:val="en-US" w:eastAsia="zh-CN"/>
        </w:rPr>
        <w:t>按照</w:t>
      </w:r>
      <w:r>
        <w:rPr>
          <w:rFonts w:hint="eastAsia"/>
          <w:color w:val="auto"/>
          <w:highlight w:val="none"/>
        </w:rPr>
        <w:t>农业行政管理部门</w:t>
      </w:r>
      <w:r>
        <w:rPr>
          <w:rFonts w:hint="eastAsia"/>
          <w:color w:val="auto"/>
          <w:highlight w:val="none"/>
          <w:lang w:val="en-US" w:eastAsia="zh-CN"/>
        </w:rPr>
        <w:t>的管理要求，交由相应单位处理</w:t>
      </w:r>
      <w:r>
        <w:rPr>
          <w:rFonts w:hint="eastAsia"/>
          <w:color w:val="auto"/>
          <w:highlight w:val="none"/>
        </w:rPr>
        <w:t>；废润滑油及废油桶暂存于危废暂存间（40m</w:t>
      </w:r>
      <w:r>
        <w:rPr>
          <w:rFonts w:hint="eastAsia"/>
          <w:color w:val="auto"/>
          <w:highlight w:val="none"/>
          <w:vertAlign w:val="superscript"/>
        </w:rPr>
        <w:t>2</w:t>
      </w:r>
      <w:r>
        <w:rPr>
          <w:rFonts w:hint="eastAsia"/>
          <w:color w:val="auto"/>
          <w:highlight w:val="none"/>
        </w:rPr>
        <w:t>），定期交由有资质的单位处置。</w:t>
      </w:r>
    </w:p>
    <w:p>
      <w:pPr>
        <w:pStyle w:val="4"/>
        <w:widowControl w:val="0"/>
        <w:rPr>
          <w:color w:val="auto"/>
          <w:highlight w:val="none"/>
        </w:rPr>
      </w:pPr>
      <w:bookmarkStart w:id="98" w:name="_Toc7313"/>
      <w:r>
        <w:rPr>
          <w:rFonts w:hint="eastAsia"/>
          <w:color w:val="auto"/>
          <w:highlight w:val="none"/>
        </w:rPr>
        <w:t>主要环境影响结论</w:t>
      </w:r>
      <w:bookmarkEnd w:id="98"/>
    </w:p>
    <w:p>
      <w:pPr>
        <w:widowControl w:val="0"/>
        <w:ind w:firstLine="482"/>
        <w:rPr>
          <w:b/>
          <w:bCs/>
          <w:color w:val="auto"/>
          <w:highlight w:val="none"/>
        </w:rPr>
      </w:pPr>
      <w:r>
        <w:rPr>
          <w:rFonts w:hint="eastAsia"/>
          <w:b/>
          <w:bCs/>
          <w:color w:val="auto"/>
          <w:highlight w:val="none"/>
        </w:rPr>
        <w:t>（1）地表水</w:t>
      </w:r>
    </w:p>
    <w:p>
      <w:pPr>
        <w:widowControl w:val="0"/>
        <w:ind w:firstLine="480"/>
        <w:rPr>
          <w:color w:val="auto"/>
          <w:highlight w:val="none"/>
        </w:rPr>
      </w:pPr>
      <w:r>
        <w:rPr>
          <w:rFonts w:hint="eastAsia"/>
          <w:color w:val="auto"/>
          <w:highlight w:val="none"/>
        </w:rPr>
        <w:t>项目生产、生活废水经自建的污水处理站处理可达到《肉类加工工业水污染物排放标准》（</w:t>
      </w:r>
      <w:r>
        <w:rPr>
          <w:color w:val="auto"/>
          <w:highlight w:val="none"/>
        </w:rPr>
        <w:t>GB13457-92</w:t>
      </w:r>
      <w:r>
        <w:rPr>
          <w:rFonts w:hint="eastAsia"/>
          <w:color w:val="auto"/>
          <w:highlight w:val="none"/>
        </w:rPr>
        <w:t>）表</w:t>
      </w:r>
      <w:r>
        <w:rPr>
          <w:color w:val="auto"/>
          <w:highlight w:val="none"/>
        </w:rPr>
        <w:t>3</w:t>
      </w:r>
      <w:r>
        <w:rPr>
          <w:rFonts w:hint="eastAsia"/>
          <w:color w:val="auto"/>
          <w:highlight w:val="none"/>
        </w:rPr>
        <w:t>畜类屠宰三级排放标准及满足《污水排入城镇下水道水质标准》（GB/T 31962-2015） 排入元坨社区市政污水管网，通过市政污水管网汇入响滩镇污水处理厂处理，经污水处理厂处理达到《城镇污水处理厂污染物排放标准》（GB18918-2002）一级A标准限值后排入濛溪河。</w:t>
      </w:r>
    </w:p>
    <w:p>
      <w:pPr>
        <w:widowControl w:val="0"/>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）地下水</w:t>
      </w:r>
    </w:p>
    <w:p>
      <w:pPr>
        <w:widowControl w:val="0"/>
        <w:ind w:firstLine="480"/>
        <w:rPr>
          <w:color w:val="auto"/>
          <w:highlight w:val="none"/>
        </w:rPr>
      </w:pPr>
      <w:r>
        <w:rPr>
          <w:rFonts w:hint="eastAsia"/>
          <w:color w:val="auto"/>
          <w:highlight w:val="none"/>
        </w:rPr>
        <w:t>根据分析，本项目在采取相应的工程防渗措施和管理措施后，对地下水环境影响较小。</w:t>
      </w:r>
    </w:p>
    <w:p>
      <w:pPr>
        <w:widowControl w:val="0"/>
        <w:ind w:firstLine="482"/>
        <w:rPr>
          <w:b/>
          <w:bCs/>
          <w:color w:val="auto"/>
          <w:highlight w:val="none"/>
        </w:rPr>
      </w:pPr>
      <w:r>
        <w:rPr>
          <w:rFonts w:hint="eastAsia"/>
          <w:b/>
          <w:bCs/>
          <w:color w:val="auto"/>
          <w:highlight w:val="none"/>
        </w:rPr>
        <w:t>（</w:t>
      </w:r>
      <w:r>
        <w:rPr>
          <w:b/>
          <w:bCs/>
          <w:color w:val="auto"/>
          <w:highlight w:val="none"/>
        </w:rPr>
        <w:t>3</w:t>
      </w:r>
      <w:r>
        <w:rPr>
          <w:rFonts w:hint="eastAsia"/>
          <w:b/>
          <w:bCs/>
          <w:color w:val="auto"/>
          <w:highlight w:val="none"/>
        </w:rPr>
        <w:t>）大气</w:t>
      </w:r>
    </w:p>
    <w:p>
      <w:pPr>
        <w:widowControl w:val="0"/>
        <w:ind w:firstLine="480"/>
        <w:rPr>
          <w:color w:val="auto"/>
          <w:highlight w:val="none"/>
        </w:rPr>
      </w:pPr>
      <w:r>
        <w:rPr>
          <w:rFonts w:hint="eastAsia"/>
          <w:color w:val="auto"/>
          <w:highlight w:val="none"/>
        </w:rPr>
        <w:t>根据分析，项目产生的废气均得到有效治理，能够做到达标排放，对评价范围内的大气环境影响较小，不会改变评价范围内的大气环境功能，不会对评价范围内的保护目标造成明显不利影响。</w:t>
      </w:r>
    </w:p>
    <w:p>
      <w:pPr>
        <w:widowControl w:val="0"/>
        <w:ind w:firstLine="482"/>
        <w:rPr>
          <w:b/>
          <w:bCs/>
          <w:color w:val="auto"/>
          <w:highlight w:val="none"/>
        </w:rPr>
      </w:pPr>
      <w:r>
        <w:rPr>
          <w:rFonts w:hint="eastAsia"/>
          <w:b/>
          <w:bCs/>
          <w:color w:val="auto"/>
          <w:highlight w:val="none"/>
        </w:rPr>
        <w:t>（</w:t>
      </w:r>
      <w:r>
        <w:rPr>
          <w:b/>
          <w:bCs/>
          <w:color w:val="auto"/>
          <w:highlight w:val="none"/>
        </w:rPr>
        <w:t>4</w:t>
      </w:r>
      <w:r>
        <w:rPr>
          <w:rFonts w:hint="eastAsia"/>
          <w:b/>
          <w:bCs/>
          <w:color w:val="auto"/>
          <w:highlight w:val="none"/>
        </w:rPr>
        <w:t>）噪声</w:t>
      </w:r>
    </w:p>
    <w:p>
      <w:pPr>
        <w:widowControl w:val="0"/>
        <w:ind w:firstLine="480"/>
        <w:rPr>
          <w:color w:val="auto"/>
          <w:highlight w:val="none"/>
        </w:rPr>
      </w:pPr>
      <w:r>
        <w:rPr>
          <w:rFonts w:hint="eastAsia"/>
          <w:color w:val="auto"/>
          <w:highlight w:val="none"/>
        </w:rPr>
        <w:t>本项目噪声源经过采取降噪措施后，通过距离衰减，各厂界贡献值昼间、夜间噪声贡献值分别小于</w:t>
      </w:r>
      <w:r>
        <w:rPr>
          <w:color w:val="auto"/>
          <w:highlight w:val="none"/>
        </w:rPr>
        <w:t>60dB</w:t>
      </w:r>
      <w:r>
        <w:rPr>
          <w:rFonts w:hint="eastAsia"/>
          <w:color w:val="auto"/>
          <w:highlight w:val="none"/>
        </w:rPr>
        <w:t>（</w:t>
      </w:r>
      <w:r>
        <w:rPr>
          <w:color w:val="auto"/>
          <w:highlight w:val="none"/>
        </w:rPr>
        <w:t>A</w:t>
      </w:r>
      <w:r>
        <w:rPr>
          <w:rFonts w:hint="eastAsia"/>
          <w:color w:val="auto"/>
          <w:highlight w:val="none"/>
        </w:rPr>
        <w:t>）、</w:t>
      </w:r>
      <w:r>
        <w:rPr>
          <w:color w:val="auto"/>
          <w:highlight w:val="none"/>
        </w:rPr>
        <w:t>50dB</w:t>
      </w:r>
      <w:r>
        <w:rPr>
          <w:rFonts w:hint="eastAsia"/>
          <w:color w:val="auto"/>
          <w:highlight w:val="none"/>
        </w:rPr>
        <w:t>（</w:t>
      </w:r>
      <w:r>
        <w:rPr>
          <w:color w:val="auto"/>
          <w:highlight w:val="none"/>
        </w:rPr>
        <w:t>A</w:t>
      </w:r>
      <w:r>
        <w:rPr>
          <w:rFonts w:hint="eastAsia"/>
          <w:color w:val="auto"/>
          <w:highlight w:val="none"/>
        </w:rPr>
        <w:t>），满足《工业企业厂界环境噪声排放标准》（</w:t>
      </w:r>
      <w:r>
        <w:rPr>
          <w:color w:val="auto"/>
          <w:highlight w:val="none"/>
        </w:rPr>
        <w:t>GB12348-2008</w:t>
      </w:r>
      <w:r>
        <w:rPr>
          <w:rFonts w:hint="eastAsia"/>
          <w:color w:val="auto"/>
          <w:highlight w:val="none"/>
        </w:rPr>
        <w:t>）</w:t>
      </w:r>
      <w:r>
        <w:rPr>
          <w:color w:val="auto"/>
          <w:highlight w:val="none"/>
        </w:rPr>
        <w:t>2</w:t>
      </w:r>
      <w:r>
        <w:rPr>
          <w:rFonts w:hint="eastAsia"/>
          <w:color w:val="auto"/>
          <w:highlight w:val="none"/>
        </w:rPr>
        <w:t>类标准。可见本项目噪声源经过采取降噪措施后，通过距离衰减，对厂界噪声贡献较小。</w:t>
      </w:r>
    </w:p>
    <w:p>
      <w:pPr>
        <w:widowControl w:val="0"/>
        <w:ind w:firstLine="482"/>
        <w:rPr>
          <w:b/>
          <w:bCs/>
          <w:color w:val="auto"/>
          <w:highlight w:val="none"/>
        </w:rPr>
      </w:pPr>
      <w:r>
        <w:rPr>
          <w:rFonts w:hint="eastAsia"/>
          <w:b/>
          <w:bCs/>
          <w:color w:val="auto"/>
          <w:highlight w:val="none"/>
        </w:rPr>
        <w:t>（</w:t>
      </w:r>
      <w:r>
        <w:rPr>
          <w:b/>
          <w:bCs/>
          <w:color w:val="auto"/>
          <w:highlight w:val="none"/>
        </w:rPr>
        <w:t>5</w:t>
      </w:r>
      <w:r>
        <w:rPr>
          <w:rFonts w:hint="eastAsia"/>
          <w:b/>
          <w:bCs/>
          <w:color w:val="auto"/>
          <w:highlight w:val="none"/>
        </w:rPr>
        <w:t>）固废</w:t>
      </w:r>
    </w:p>
    <w:p>
      <w:pPr>
        <w:widowControl w:val="0"/>
        <w:ind w:firstLine="480"/>
        <w:rPr>
          <w:color w:val="auto"/>
          <w:highlight w:val="none"/>
        </w:rPr>
      </w:pPr>
      <w:r>
        <w:rPr>
          <w:rFonts w:hint="eastAsia"/>
          <w:color w:val="auto"/>
          <w:highlight w:val="none"/>
        </w:rPr>
        <w:t>项目产生的固废均能得到妥善处理，不会对周围环境造成二次污染。</w:t>
      </w:r>
    </w:p>
    <w:p>
      <w:pPr>
        <w:pStyle w:val="4"/>
        <w:widowControl w:val="0"/>
        <w:rPr>
          <w:color w:val="auto"/>
          <w:highlight w:val="none"/>
        </w:rPr>
      </w:pPr>
      <w:bookmarkStart w:id="99" w:name="_Toc1083"/>
      <w:r>
        <w:rPr>
          <w:rFonts w:hint="eastAsia"/>
          <w:color w:val="auto"/>
          <w:highlight w:val="none"/>
        </w:rPr>
        <w:t>公众意见采纳情况</w:t>
      </w:r>
      <w:bookmarkEnd w:id="99"/>
    </w:p>
    <w:p>
      <w:pPr>
        <w:widowControl w:val="0"/>
        <w:ind w:firstLine="480"/>
        <w:rPr>
          <w:color w:val="auto"/>
          <w:highlight w:val="none"/>
        </w:rPr>
      </w:pPr>
      <w:r>
        <w:rPr>
          <w:color w:val="auto"/>
          <w:kern w:val="0"/>
          <w:highlight w:val="none"/>
        </w:rPr>
        <w:t>项目</w:t>
      </w:r>
      <w:r>
        <w:rPr>
          <w:color w:val="auto"/>
          <w:highlight w:val="none"/>
        </w:rPr>
        <w:t>公众参与调查采取现场公示和网上公示</w:t>
      </w:r>
      <w:r>
        <w:rPr>
          <w:rFonts w:hint="eastAsia"/>
          <w:color w:val="auto"/>
          <w:highlight w:val="none"/>
        </w:rPr>
        <w:t>的</w:t>
      </w:r>
      <w:r>
        <w:rPr>
          <w:color w:val="auto"/>
          <w:highlight w:val="none"/>
        </w:rPr>
        <w:t>方式。项目进行网上公示、现场公示和报纸公示，公示期内亦没有收到任何反对意见。</w:t>
      </w:r>
    </w:p>
    <w:p>
      <w:pPr>
        <w:pStyle w:val="4"/>
        <w:widowControl w:val="0"/>
        <w:rPr>
          <w:color w:val="auto"/>
          <w:highlight w:val="none"/>
        </w:rPr>
      </w:pPr>
      <w:bookmarkStart w:id="100" w:name="_Toc16748"/>
      <w:r>
        <w:rPr>
          <w:rFonts w:hint="eastAsia"/>
          <w:color w:val="auto"/>
          <w:highlight w:val="none"/>
        </w:rPr>
        <w:t>环境影响经济损益分析结论</w:t>
      </w:r>
      <w:bookmarkEnd w:id="100"/>
    </w:p>
    <w:p>
      <w:pPr>
        <w:widowControl w:val="0"/>
        <w:ind w:firstLine="480"/>
        <w:rPr>
          <w:color w:val="auto"/>
          <w:highlight w:val="none"/>
        </w:rPr>
      </w:pPr>
      <w:r>
        <w:rPr>
          <w:rFonts w:hint="eastAsia"/>
          <w:color w:val="auto"/>
          <w:highlight w:val="none"/>
        </w:rPr>
        <w:t>本项目符合国家产业政策和环境保护政策的要求，项目采用成熟先进的生产工艺、设备装备以及管理体系，可体现畜类屠宰规模化生产物耗低、利率高、污染小的特征。项目的实施在促进地方经济发展的同时，将给当地人民提供广阔的就业、致富机遇，对促进当地社会稳定，提高人民生活水平发挥积极作用。项目市场前景良好，并有较好的盈利能力、清偿能力和抗风险能力，从社会经济角度看是可行的。从经济可行性分析来看，项目在保证环保投资的前提下，污染物能够达标排放并不增大区域污染负荷，环境效益比较明显，从环境经济角度来看也是合理可行的。因此，本项目建设可行。</w:t>
      </w:r>
    </w:p>
    <w:p>
      <w:pPr>
        <w:pStyle w:val="4"/>
        <w:widowControl w:val="0"/>
        <w:rPr>
          <w:color w:val="auto"/>
          <w:highlight w:val="none"/>
        </w:rPr>
      </w:pPr>
      <w:bookmarkStart w:id="101" w:name="_Toc9214"/>
      <w:r>
        <w:rPr>
          <w:rFonts w:hint="eastAsia"/>
          <w:color w:val="auto"/>
          <w:highlight w:val="none"/>
        </w:rPr>
        <w:t>环境管理与监测计划</w:t>
      </w:r>
      <w:bookmarkEnd w:id="101"/>
    </w:p>
    <w:p>
      <w:pPr>
        <w:widowControl w:val="0"/>
        <w:ind w:firstLine="480"/>
        <w:rPr>
          <w:color w:val="auto"/>
          <w:highlight w:val="none"/>
        </w:rPr>
      </w:pPr>
      <w:r>
        <w:rPr>
          <w:rFonts w:hint="eastAsia"/>
          <w:color w:val="auto"/>
          <w:highlight w:val="none"/>
        </w:rPr>
        <w:t>结合本项目的监测现状，为本项目制定了详细环境管理机构方案，并具体指明了机构的主要任务，制定了区域环境监测计划，对本项目产生的废气、噪声和固废等按照本环评所提污染源监测计划认真落实，确保不对周围环境造成影响；对项目周围环境质量定期监测，以便及时了解项目周围环境的情况。</w:t>
      </w:r>
    </w:p>
    <w:p>
      <w:pPr>
        <w:pStyle w:val="4"/>
        <w:widowControl w:val="0"/>
        <w:rPr>
          <w:color w:val="auto"/>
          <w:highlight w:val="none"/>
        </w:rPr>
      </w:pPr>
      <w:bookmarkStart w:id="102" w:name="_Toc2502"/>
      <w:r>
        <w:rPr>
          <w:rFonts w:hint="eastAsia"/>
          <w:color w:val="auto"/>
          <w:highlight w:val="none"/>
        </w:rPr>
        <w:t>环境影响可行性结论</w:t>
      </w:r>
      <w:bookmarkEnd w:id="102"/>
    </w:p>
    <w:p>
      <w:pPr>
        <w:widowControl w:val="0"/>
        <w:ind w:firstLine="482"/>
        <w:rPr>
          <w:b/>
          <w:color w:val="auto"/>
          <w:highlight w:val="none"/>
        </w:rPr>
      </w:pPr>
      <w:r>
        <w:rPr>
          <w:rFonts w:hint="eastAsia"/>
          <w:b/>
          <w:color w:val="auto"/>
          <w:highlight w:val="none"/>
        </w:rPr>
        <w:t>在严格落实本环境影响报告书提出各项环境保护措施和环境风险防范措施后，各项污染物可实现达标排放，环境风险处于可接受水平，项目对各环境要素的影响小，不会改变区域的环境功能。本项目在巴中市平昌县响滩镇建设从环保角度是可行的。</w:t>
      </w:r>
    </w:p>
    <w:p>
      <w:pPr>
        <w:pStyle w:val="4"/>
        <w:widowControl w:val="0"/>
        <w:rPr>
          <w:color w:val="auto"/>
          <w:highlight w:val="none"/>
        </w:rPr>
      </w:pPr>
      <w:bookmarkStart w:id="103" w:name="_Toc23590"/>
      <w:r>
        <w:rPr>
          <w:rFonts w:hint="eastAsia"/>
          <w:color w:val="auto"/>
          <w:highlight w:val="none"/>
        </w:rPr>
        <w:t>环境保护对策建议</w:t>
      </w:r>
      <w:bookmarkEnd w:id="103"/>
    </w:p>
    <w:p>
      <w:pPr>
        <w:widowControl w:val="0"/>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）项目在建设过程中应确保足够的环保资金，以实施污染物治理措施，做好建设项目的“三同时”工作。</w:t>
      </w:r>
    </w:p>
    <w:p>
      <w:pPr>
        <w:widowControl w:val="0"/>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认真贯彻执行国家和地方的各项环保法规和方针政策，建立一套完善的“环境管理手册”，落实环境管理规章制度，强化管理，确定专门的环境管理人员，落实专人负责环保处理设施的运行和维护，接受当地环保部门的监督和管理。在当地环保部门的指导下，定期对污染物进行监测，并建立污染物管理档案。</w:t>
      </w:r>
    </w:p>
    <w:p>
      <w:pPr>
        <w:widowControl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公司在生产过程中，应严格按照国家有关危险废物管理和处置的规定，加强对固废的分类收集和管理工作；在储存和运输过程中，严防中途泄漏，并定期对危险废物处置情况的回访，确保不对周围环境造成二次污染。</w:t>
      </w:r>
    </w:p>
    <w:p>
      <w:pPr>
        <w:widowControl w:val="0"/>
        <w:ind w:firstLine="480"/>
        <w:rPr>
          <w:color w:val="auto"/>
          <w:highlight w:val="none"/>
        </w:rPr>
      </w:pPr>
    </w:p>
    <w:p>
      <w:pPr>
        <w:widowControl w:val="0"/>
        <w:ind w:firstLine="480"/>
        <w:rPr>
          <w:color w:val="auto"/>
          <w:highlight w:val="none"/>
        </w:rPr>
      </w:pPr>
    </w:p>
    <w:sectPr>
      <w:pgSz w:w="12240" w:h="15840"/>
      <w:pgMar w:top="1440" w:right="1417" w:bottom="1440" w:left="1417" w:header="720" w:footer="72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FZXBSJW--GB1-0">
    <w:altName w:val="宋体"/>
    <w:panose1 w:val="00000000000000000000"/>
    <w:charset w:val="86"/>
    <w:family w:val="auto"/>
    <w:pitch w:val="default"/>
    <w:sig w:usb0="00000000" w:usb1="00000000" w:usb2="00000000" w:usb3="00000000" w:csb0="00040000" w:csb1="00000000"/>
  </w:font>
  <w:font w:name="TimesNewRomanPSMT">
    <w:altName w:val="MS Gothic"/>
    <w:panose1 w:val="00000000000000000000"/>
    <w:charset w:val="80"/>
    <w:family w:val="auto"/>
    <w:pitch w:val="default"/>
    <w:sig w:usb0="00000000" w:usb1="00000000" w:usb2="00000000" w:usb3="00000000" w:csb0="00020000" w:csb1="00000000"/>
  </w:font>
  <w:font w:name="MS Gothic">
    <w:panose1 w:val="020B0609070205080204"/>
    <w:charset w:val="80"/>
    <w:family w:val="auto"/>
    <w:pitch w:val="default"/>
    <w:sig w:usb0="E00002FF" w:usb1="6AC7FDFB" w:usb2="08000012" w:usb3="00000000" w:csb0="4002009F" w:csb1="DFD70000"/>
  </w:font>
  <w:font w:name="Ti">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CambriaMath">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EC149"/>
    <w:multiLevelType w:val="multilevel"/>
    <w:tmpl w:val="94CEC149"/>
    <w:lvl w:ilvl="0" w:tentative="0">
      <w:start w:val="1"/>
      <w:numFmt w:val="decimal"/>
      <w:suff w:val="space"/>
      <w:lvlText w:val="%1"/>
      <w:lvlJc w:val="center"/>
      <w:pPr>
        <w:tabs>
          <w:tab w:val="left" w:pos="0"/>
        </w:tabs>
        <w:ind w:left="0" w:firstLine="0"/>
      </w:pPr>
      <w:rPr>
        <w:rFonts w:hint="default" w:ascii="Times New Roman" w:hAnsi="Times New Roman" w:eastAsia="宋体" w:cs="宋体"/>
        <w:b/>
        <w:sz w:val="32"/>
        <w:szCs w:val="32"/>
      </w:rPr>
    </w:lvl>
    <w:lvl w:ilvl="1" w:tentative="0">
      <w:start w:val="1"/>
      <w:numFmt w:val="decimal"/>
      <w:isLgl/>
      <w:suff w:val="space"/>
      <w:lvlText w:val="%1.%2"/>
      <w:lvlJc w:val="left"/>
      <w:pPr>
        <w:tabs>
          <w:tab w:val="left" w:pos="420"/>
        </w:tabs>
        <w:ind w:left="0" w:firstLine="0"/>
      </w:pPr>
      <w:rPr>
        <w:rFonts w:hint="default" w:ascii="Times New Roman" w:hAnsi="Times New Roman" w:eastAsia="宋体" w:cs="宋体"/>
        <w:sz w:val="28"/>
        <w:szCs w:val="24"/>
      </w:rPr>
    </w:lvl>
    <w:lvl w:ilvl="2" w:tentative="0">
      <w:start w:val="1"/>
      <w:numFmt w:val="decimal"/>
      <w:isLgl/>
      <w:suff w:val="space"/>
      <w:lvlText w:val="%1.%2.%3"/>
      <w:lvlJc w:val="left"/>
      <w:pPr>
        <w:tabs>
          <w:tab w:val="left" w:pos="0"/>
        </w:tabs>
        <w:ind w:left="0" w:firstLine="0"/>
      </w:pPr>
      <w:rPr>
        <w:rFonts w:hint="default" w:ascii="Times New Roman" w:hAnsi="Times New Roman" w:eastAsia="宋体" w:cs="宋体"/>
        <w:b/>
        <w:bCs/>
        <w:sz w:val="24"/>
        <w:szCs w:val="24"/>
      </w:rPr>
    </w:lvl>
    <w:lvl w:ilvl="3" w:tentative="0">
      <w:start w:val="1"/>
      <w:numFmt w:val="decimal"/>
      <w:isLgl/>
      <w:suff w:val="space"/>
      <w:lvlText w:val="%1.%2.%3.%4"/>
      <w:lvlJc w:val="left"/>
      <w:pPr>
        <w:tabs>
          <w:tab w:val="left" w:pos="420"/>
        </w:tabs>
        <w:ind w:left="0" w:firstLine="0"/>
      </w:pPr>
      <w:rPr>
        <w:rFonts w:hint="default" w:ascii="Times New Roman" w:hAnsi="Times New Roman" w:eastAsia="宋体" w:cs="宋体"/>
        <w:b/>
        <w:sz w:val="24"/>
        <w:szCs w:val="24"/>
      </w:rPr>
    </w:lvl>
    <w:lvl w:ilvl="4" w:tentative="0">
      <w:start w:val="1"/>
      <w:numFmt w:val="decimal"/>
      <w:lvlRestart w:val="2"/>
      <w:pStyle w:val="7"/>
      <w:isLgl/>
      <w:suff w:val="nothing"/>
      <w:lvlText w:val="表%1.%2-%5  "/>
      <w:lvlJc w:val="left"/>
      <w:pPr>
        <w:tabs>
          <w:tab w:val="left" w:pos="420"/>
        </w:tabs>
        <w:ind w:left="0" w:firstLine="0"/>
      </w:pPr>
      <w:rPr>
        <w:rFonts w:hint="default" w:ascii="Times New Roman" w:hAnsi="Times New Roman" w:eastAsia="宋体" w:cs="宋体"/>
        <w:b/>
        <w:sz w:val="21"/>
        <w:szCs w:val="24"/>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C54386B7"/>
    <w:multiLevelType w:val="singleLevel"/>
    <w:tmpl w:val="C54386B7"/>
    <w:lvl w:ilvl="0" w:tentative="0">
      <w:start w:val="1"/>
      <w:numFmt w:val="decimal"/>
      <w:suff w:val="nothing"/>
      <w:lvlText w:val="%1、"/>
      <w:lvlJc w:val="left"/>
    </w:lvl>
  </w:abstractNum>
  <w:abstractNum w:abstractNumId="2">
    <w:nsid w:val="CBBEE6FE"/>
    <w:multiLevelType w:val="singleLevel"/>
    <w:tmpl w:val="CBBEE6FE"/>
    <w:lvl w:ilvl="0" w:tentative="0">
      <w:start w:val="1"/>
      <w:numFmt w:val="decimal"/>
      <w:suff w:val="nothing"/>
      <w:lvlText w:val="（%1）"/>
      <w:lvlJc w:val="left"/>
    </w:lvl>
  </w:abstractNum>
  <w:abstractNum w:abstractNumId="3">
    <w:nsid w:val="D6B7818C"/>
    <w:multiLevelType w:val="singleLevel"/>
    <w:tmpl w:val="D6B7818C"/>
    <w:lvl w:ilvl="0" w:tentative="0">
      <w:start w:val="3"/>
      <w:numFmt w:val="decimal"/>
      <w:suff w:val="nothing"/>
      <w:lvlText w:val="%1）"/>
      <w:lvlJc w:val="left"/>
    </w:lvl>
  </w:abstractNum>
  <w:abstractNum w:abstractNumId="4">
    <w:nsid w:val="DB0F071A"/>
    <w:multiLevelType w:val="multilevel"/>
    <w:tmpl w:val="DB0F071A"/>
    <w:lvl w:ilvl="0" w:tentative="0">
      <w:start w:val="1"/>
      <w:numFmt w:val="decimal"/>
      <w:pStyle w:val="3"/>
      <w:suff w:val="space"/>
      <w:lvlText w:val="%1"/>
      <w:lvlJc w:val="center"/>
      <w:pPr>
        <w:tabs>
          <w:tab w:val="left" w:pos="0"/>
        </w:tabs>
        <w:ind w:left="0" w:firstLine="0"/>
      </w:pPr>
      <w:rPr>
        <w:rFonts w:hint="default" w:ascii="Times New Roman" w:hAnsi="Times New Roman" w:eastAsia="宋体" w:cs="宋体"/>
        <w:b/>
        <w:sz w:val="32"/>
        <w:szCs w:val="32"/>
      </w:rPr>
    </w:lvl>
    <w:lvl w:ilvl="1" w:tentative="0">
      <w:start w:val="1"/>
      <w:numFmt w:val="decimal"/>
      <w:pStyle w:val="4"/>
      <w:isLgl/>
      <w:suff w:val="space"/>
      <w:lvlText w:val="%1.%2"/>
      <w:lvlJc w:val="left"/>
      <w:pPr>
        <w:tabs>
          <w:tab w:val="left" w:pos="420"/>
        </w:tabs>
        <w:ind w:left="0" w:firstLine="0"/>
      </w:pPr>
      <w:rPr>
        <w:rFonts w:hint="default" w:ascii="Times New Roman" w:hAnsi="Times New Roman" w:eastAsia="宋体" w:cs="宋体"/>
        <w:sz w:val="28"/>
        <w:szCs w:val="24"/>
      </w:rPr>
    </w:lvl>
    <w:lvl w:ilvl="2" w:tentative="0">
      <w:start w:val="1"/>
      <w:numFmt w:val="decimal"/>
      <w:pStyle w:val="5"/>
      <w:isLgl/>
      <w:suff w:val="space"/>
      <w:lvlText w:val="%1.%2.%3"/>
      <w:lvlJc w:val="left"/>
      <w:pPr>
        <w:tabs>
          <w:tab w:val="left" w:pos="0"/>
        </w:tabs>
        <w:ind w:left="0" w:firstLine="0"/>
      </w:pPr>
      <w:rPr>
        <w:rFonts w:hint="default" w:ascii="Times New Roman" w:hAnsi="Times New Roman" w:eastAsia="宋体" w:cs="宋体"/>
        <w:b/>
        <w:bCs/>
        <w:sz w:val="24"/>
        <w:szCs w:val="24"/>
      </w:rPr>
    </w:lvl>
    <w:lvl w:ilvl="3" w:tentative="0">
      <w:start w:val="1"/>
      <w:numFmt w:val="decimal"/>
      <w:pStyle w:val="6"/>
      <w:isLgl/>
      <w:suff w:val="space"/>
      <w:lvlText w:val="%1.%2.%3.%4"/>
      <w:lvlJc w:val="left"/>
      <w:pPr>
        <w:tabs>
          <w:tab w:val="left" w:pos="3416"/>
        </w:tabs>
        <w:ind w:left="2836" w:firstLine="0"/>
      </w:pPr>
      <w:rPr>
        <w:rFonts w:hint="default" w:ascii="Times New Roman" w:hAnsi="Times New Roman" w:eastAsia="宋体" w:cs="宋体"/>
        <w:b/>
        <w:sz w:val="24"/>
        <w:szCs w:val="24"/>
      </w:rPr>
    </w:lvl>
    <w:lvl w:ilvl="4" w:tentative="0">
      <w:start w:val="1"/>
      <w:numFmt w:val="decimal"/>
      <w:lvlRestart w:val="2"/>
      <w:pStyle w:val="27"/>
      <w:isLgl/>
      <w:suff w:val="nothing"/>
      <w:lvlText w:val="表%1.%2-%5  "/>
      <w:lvlJc w:val="left"/>
      <w:pPr>
        <w:tabs>
          <w:tab w:val="left" w:pos="3403"/>
        </w:tabs>
        <w:ind w:left="3403" w:firstLine="0"/>
      </w:pPr>
      <w:rPr>
        <w:rFonts w:hint="default" w:ascii="Times New Roman" w:hAnsi="Times New Roman" w:eastAsia="宋体" w:cs="宋体"/>
        <w:b/>
        <w:sz w:val="21"/>
        <w:szCs w:val="21"/>
      </w:rPr>
    </w:lvl>
    <w:lvl w:ilvl="5" w:tentative="0">
      <w:start w:val="1"/>
      <w:numFmt w:val="decimal"/>
      <w:lvlRestart w:val="2"/>
      <w:isLgl/>
      <w:suff w:val="nothing"/>
      <w:lvlText w:val="图%1.%2-%6  "/>
      <w:lvlJc w:val="left"/>
      <w:pPr>
        <w:tabs>
          <w:tab w:val="left" w:pos="420"/>
        </w:tabs>
        <w:ind w:left="0" w:firstLine="0"/>
      </w:pPr>
      <w:rPr>
        <w:rFonts w:hint="default" w:ascii="Times New Roman" w:hAnsi="Times New Roman" w:eastAsia="宋体" w:cs="宋体"/>
        <w:sz w:val="21"/>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5">
    <w:nsid w:val="E92D670F"/>
    <w:multiLevelType w:val="singleLevel"/>
    <w:tmpl w:val="E92D670F"/>
    <w:lvl w:ilvl="0" w:tentative="0">
      <w:start w:val="1"/>
      <w:numFmt w:val="decimal"/>
      <w:suff w:val="nothing"/>
      <w:lvlText w:val="（%1）"/>
      <w:lvlJc w:val="left"/>
    </w:lvl>
  </w:abstractNum>
  <w:abstractNum w:abstractNumId="6">
    <w:nsid w:val="05BFC406"/>
    <w:multiLevelType w:val="singleLevel"/>
    <w:tmpl w:val="05BFC406"/>
    <w:lvl w:ilvl="0" w:tentative="0">
      <w:start w:val="1"/>
      <w:numFmt w:val="decimal"/>
      <w:suff w:val="nothing"/>
      <w:lvlText w:val="%1、"/>
      <w:lvlJc w:val="left"/>
    </w:lvl>
  </w:abstractNum>
  <w:abstractNum w:abstractNumId="7">
    <w:nsid w:val="08F9C5E3"/>
    <w:multiLevelType w:val="singleLevel"/>
    <w:tmpl w:val="08F9C5E3"/>
    <w:lvl w:ilvl="0" w:tentative="0">
      <w:start w:val="1"/>
      <w:numFmt w:val="decimal"/>
      <w:suff w:val="nothing"/>
      <w:lvlText w:val="（%1）"/>
      <w:lvlJc w:val="left"/>
      <w:pPr>
        <w:ind w:left="-2"/>
      </w:pPr>
    </w:lvl>
  </w:abstractNum>
  <w:abstractNum w:abstractNumId="8">
    <w:nsid w:val="24D3604A"/>
    <w:multiLevelType w:val="singleLevel"/>
    <w:tmpl w:val="24D3604A"/>
    <w:lvl w:ilvl="0" w:tentative="0">
      <w:start w:val="1"/>
      <w:numFmt w:val="decimal"/>
      <w:suff w:val="nothing"/>
      <w:lvlText w:val="%1、"/>
      <w:lvlJc w:val="left"/>
    </w:lvl>
  </w:abstractNum>
  <w:abstractNum w:abstractNumId="9">
    <w:nsid w:val="32BBDBFA"/>
    <w:multiLevelType w:val="singleLevel"/>
    <w:tmpl w:val="32BBDBFA"/>
    <w:lvl w:ilvl="0" w:tentative="0">
      <w:start w:val="1"/>
      <w:numFmt w:val="decimal"/>
      <w:suff w:val="nothing"/>
      <w:lvlText w:val="（%1）"/>
      <w:lvlJc w:val="left"/>
    </w:lvl>
  </w:abstractNum>
  <w:abstractNum w:abstractNumId="10">
    <w:nsid w:val="4E256581"/>
    <w:multiLevelType w:val="singleLevel"/>
    <w:tmpl w:val="4E256581"/>
    <w:lvl w:ilvl="0" w:tentative="0">
      <w:start w:val="1"/>
      <w:numFmt w:val="decimal"/>
      <w:suff w:val="nothing"/>
      <w:lvlText w:val="（%1）"/>
      <w:lvlJc w:val="left"/>
    </w:lvl>
  </w:abstractNum>
  <w:abstractNum w:abstractNumId="11">
    <w:nsid w:val="50E41964"/>
    <w:multiLevelType w:val="singleLevel"/>
    <w:tmpl w:val="50E41964"/>
    <w:lvl w:ilvl="0" w:tentative="0">
      <w:start w:val="1"/>
      <w:numFmt w:val="decimal"/>
      <w:suff w:val="nothing"/>
      <w:lvlText w:val="%1、"/>
      <w:lvlJc w:val="left"/>
    </w:lvl>
  </w:abstractNum>
  <w:abstractNum w:abstractNumId="12">
    <w:nsid w:val="6E963CC5"/>
    <w:multiLevelType w:val="multilevel"/>
    <w:tmpl w:val="6E963CC5"/>
    <w:lvl w:ilvl="0" w:tentative="0">
      <w:start w:val="1"/>
      <w:numFmt w:val="decimal"/>
      <w:suff w:val="space"/>
      <w:lvlText w:val="%1"/>
      <w:lvlJc w:val="center"/>
      <w:pPr>
        <w:tabs>
          <w:tab w:val="left" w:pos="0"/>
        </w:tabs>
        <w:ind w:left="0" w:firstLine="0"/>
      </w:pPr>
      <w:rPr>
        <w:rFonts w:hint="default" w:ascii="Times New Roman" w:hAnsi="Times New Roman" w:eastAsia="宋体" w:cs="宋体"/>
        <w:b/>
        <w:sz w:val="32"/>
        <w:szCs w:val="32"/>
      </w:rPr>
    </w:lvl>
    <w:lvl w:ilvl="1" w:tentative="0">
      <w:start w:val="1"/>
      <w:numFmt w:val="decimal"/>
      <w:isLgl/>
      <w:suff w:val="space"/>
      <w:lvlText w:val="%1.%2"/>
      <w:lvlJc w:val="left"/>
      <w:pPr>
        <w:tabs>
          <w:tab w:val="left" w:pos="420"/>
        </w:tabs>
        <w:ind w:left="0" w:firstLine="0"/>
      </w:pPr>
      <w:rPr>
        <w:rFonts w:hint="default" w:ascii="Times New Roman" w:hAnsi="Times New Roman" w:eastAsia="宋体" w:cs="宋体"/>
        <w:sz w:val="28"/>
        <w:szCs w:val="24"/>
      </w:rPr>
    </w:lvl>
    <w:lvl w:ilvl="2" w:tentative="0">
      <w:start w:val="1"/>
      <w:numFmt w:val="decimal"/>
      <w:isLgl/>
      <w:suff w:val="space"/>
      <w:lvlText w:val="%1.%2.%3"/>
      <w:lvlJc w:val="left"/>
      <w:pPr>
        <w:tabs>
          <w:tab w:val="left" w:pos="0"/>
        </w:tabs>
        <w:ind w:left="0" w:firstLine="0"/>
      </w:pPr>
      <w:rPr>
        <w:rFonts w:hint="default" w:ascii="Times New Roman" w:hAnsi="Times New Roman" w:eastAsia="宋体" w:cs="宋体"/>
        <w:b/>
        <w:bCs/>
        <w:sz w:val="24"/>
        <w:szCs w:val="24"/>
      </w:rPr>
    </w:lvl>
    <w:lvl w:ilvl="3" w:tentative="0">
      <w:start w:val="1"/>
      <w:numFmt w:val="decimal"/>
      <w:isLgl/>
      <w:suff w:val="space"/>
      <w:lvlText w:val="%1.%2.%3.%4"/>
      <w:lvlJc w:val="left"/>
      <w:pPr>
        <w:tabs>
          <w:tab w:val="left" w:pos="420"/>
        </w:tabs>
        <w:ind w:left="0" w:firstLine="0"/>
      </w:pPr>
      <w:rPr>
        <w:rFonts w:hint="default" w:ascii="Times New Roman" w:hAnsi="Times New Roman" w:eastAsia="宋体" w:cs="宋体"/>
        <w:b/>
        <w:sz w:val="24"/>
        <w:szCs w:val="24"/>
      </w:rPr>
    </w:lvl>
    <w:lvl w:ilvl="4" w:tentative="0">
      <w:start w:val="1"/>
      <w:numFmt w:val="decimal"/>
      <w:lvlRestart w:val="2"/>
      <w:isLgl/>
      <w:suff w:val="nothing"/>
      <w:lvlText w:val="表%1.%2-%5  "/>
      <w:lvlJc w:val="left"/>
      <w:pPr>
        <w:tabs>
          <w:tab w:val="left" w:pos="420"/>
        </w:tabs>
        <w:ind w:left="0" w:firstLine="0"/>
      </w:pPr>
      <w:rPr>
        <w:rFonts w:hint="default" w:ascii="Times New Roman" w:hAnsi="Times New Roman" w:eastAsia="宋体" w:cs="宋体"/>
        <w:b/>
        <w:sz w:val="21"/>
        <w:szCs w:val="21"/>
      </w:rPr>
    </w:lvl>
    <w:lvl w:ilvl="5" w:tentative="0">
      <w:start w:val="1"/>
      <w:numFmt w:val="decimal"/>
      <w:pStyle w:val="8"/>
      <w:isLgl/>
      <w:suff w:val="nothing"/>
      <w:lvlText w:val="图%1.%2-%6  "/>
      <w:lvlJc w:val="left"/>
      <w:pPr>
        <w:tabs>
          <w:tab w:val="left" w:pos="420"/>
        </w:tabs>
        <w:ind w:left="0" w:firstLine="0"/>
      </w:pPr>
      <w:rPr>
        <w:rFonts w:hint="default" w:ascii="Times New Roman" w:hAnsi="Times New Roman" w:eastAsia="宋体" w:cs="宋体"/>
        <w:sz w:val="21"/>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3">
    <w:nsid w:val="77EA3206"/>
    <w:multiLevelType w:val="singleLevel"/>
    <w:tmpl w:val="77EA3206"/>
    <w:lvl w:ilvl="0" w:tentative="0">
      <w:start w:val="1"/>
      <w:numFmt w:val="decimal"/>
      <w:suff w:val="nothing"/>
      <w:lvlText w:val="（%1）"/>
      <w:lvlJc w:val="left"/>
    </w:lvl>
  </w:abstractNum>
  <w:abstractNum w:abstractNumId="14">
    <w:nsid w:val="7B9E37D1"/>
    <w:multiLevelType w:val="singleLevel"/>
    <w:tmpl w:val="7B9E37D1"/>
    <w:lvl w:ilvl="0" w:tentative="0">
      <w:start w:val="1"/>
      <w:numFmt w:val="decimal"/>
      <w:suff w:val="nothing"/>
      <w:lvlText w:val="（%1）"/>
      <w:lvlJc w:val="left"/>
    </w:lvl>
  </w:abstractNum>
  <w:num w:numId="1">
    <w:abstractNumId w:val="4"/>
  </w:num>
  <w:num w:numId="2">
    <w:abstractNumId w:val="0"/>
  </w:num>
  <w:num w:numId="3">
    <w:abstractNumId w:val="12"/>
  </w:num>
  <w:num w:numId="4">
    <w:abstractNumId w:val="5"/>
  </w:num>
  <w:num w:numId="5">
    <w:abstractNumId w:val="2"/>
  </w:num>
  <w:num w:numId="6">
    <w:abstractNumId w:val="11"/>
  </w:num>
  <w:num w:numId="7">
    <w:abstractNumId w:val="1"/>
  </w:num>
  <w:num w:numId="8">
    <w:abstractNumId w:val="8"/>
  </w:num>
  <w:num w:numId="9">
    <w:abstractNumId w:val="6"/>
  </w:num>
  <w:num w:numId="10">
    <w:abstractNumId w:val="3"/>
  </w:num>
  <w:num w:numId="11">
    <w:abstractNumId w:val="13"/>
  </w:num>
  <w:num w:numId="12">
    <w:abstractNumId w:val="9"/>
  </w:num>
  <w:num w:numId="13">
    <w:abstractNumId w:val="1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5N2Q0OTc3OWMxNmRhMGNhZTBkZmI2ZWU5NDhmMGUifQ=="/>
  </w:docVars>
  <w:rsids>
    <w:rsidRoot w:val="00172A27"/>
    <w:rsid w:val="000C22B9"/>
    <w:rsid w:val="0010613D"/>
    <w:rsid w:val="00172A27"/>
    <w:rsid w:val="001B55A3"/>
    <w:rsid w:val="001C30F6"/>
    <w:rsid w:val="001C6209"/>
    <w:rsid w:val="001E38AA"/>
    <w:rsid w:val="00236377"/>
    <w:rsid w:val="00243AF7"/>
    <w:rsid w:val="002664AC"/>
    <w:rsid w:val="00272C8F"/>
    <w:rsid w:val="0027452D"/>
    <w:rsid w:val="002A0F93"/>
    <w:rsid w:val="002A2870"/>
    <w:rsid w:val="002D2E3C"/>
    <w:rsid w:val="003568E5"/>
    <w:rsid w:val="00370A19"/>
    <w:rsid w:val="003C31AA"/>
    <w:rsid w:val="003E62A5"/>
    <w:rsid w:val="003F7E05"/>
    <w:rsid w:val="00401A3B"/>
    <w:rsid w:val="00401C02"/>
    <w:rsid w:val="004159D2"/>
    <w:rsid w:val="00417D64"/>
    <w:rsid w:val="004C6BE0"/>
    <w:rsid w:val="005079D5"/>
    <w:rsid w:val="005227AE"/>
    <w:rsid w:val="00524F58"/>
    <w:rsid w:val="005365B3"/>
    <w:rsid w:val="005746C5"/>
    <w:rsid w:val="005F5DDA"/>
    <w:rsid w:val="00653524"/>
    <w:rsid w:val="006C0AA9"/>
    <w:rsid w:val="00721EA4"/>
    <w:rsid w:val="007876CC"/>
    <w:rsid w:val="007A3D22"/>
    <w:rsid w:val="00857337"/>
    <w:rsid w:val="008B404E"/>
    <w:rsid w:val="008C6150"/>
    <w:rsid w:val="008D4BB8"/>
    <w:rsid w:val="008D5925"/>
    <w:rsid w:val="008F3A0D"/>
    <w:rsid w:val="00917C06"/>
    <w:rsid w:val="00964A39"/>
    <w:rsid w:val="0097685D"/>
    <w:rsid w:val="009F730F"/>
    <w:rsid w:val="00AF4DD8"/>
    <w:rsid w:val="00B3119A"/>
    <w:rsid w:val="00B3362D"/>
    <w:rsid w:val="00B6050E"/>
    <w:rsid w:val="00BD63BF"/>
    <w:rsid w:val="00C21AC0"/>
    <w:rsid w:val="00C253CC"/>
    <w:rsid w:val="00CA342F"/>
    <w:rsid w:val="00CE6BE8"/>
    <w:rsid w:val="00D00D58"/>
    <w:rsid w:val="00D1379B"/>
    <w:rsid w:val="00D45860"/>
    <w:rsid w:val="00D95C11"/>
    <w:rsid w:val="00DD2254"/>
    <w:rsid w:val="00DE34B3"/>
    <w:rsid w:val="00E578D5"/>
    <w:rsid w:val="01896218"/>
    <w:rsid w:val="01CB0D68"/>
    <w:rsid w:val="02186CA0"/>
    <w:rsid w:val="031B24CA"/>
    <w:rsid w:val="03446C54"/>
    <w:rsid w:val="036D3CCA"/>
    <w:rsid w:val="05070F97"/>
    <w:rsid w:val="05504C1A"/>
    <w:rsid w:val="05AE466E"/>
    <w:rsid w:val="05D21E8D"/>
    <w:rsid w:val="06617F58"/>
    <w:rsid w:val="07A57644"/>
    <w:rsid w:val="0818460C"/>
    <w:rsid w:val="08234629"/>
    <w:rsid w:val="083D3249"/>
    <w:rsid w:val="08C22947"/>
    <w:rsid w:val="08D04637"/>
    <w:rsid w:val="08D42EDE"/>
    <w:rsid w:val="09557FE5"/>
    <w:rsid w:val="09E07FAD"/>
    <w:rsid w:val="0A2E4808"/>
    <w:rsid w:val="0B40131B"/>
    <w:rsid w:val="0EBA0424"/>
    <w:rsid w:val="0F6A7D2B"/>
    <w:rsid w:val="0F902076"/>
    <w:rsid w:val="0FEB5D1F"/>
    <w:rsid w:val="1072358E"/>
    <w:rsid w:val="11394A8C"/>
    <w:rsid w:val="11AB01DF"/>
    <w:rsid w:val="11CA618E"/>
    <w:rsid w:val="11E52AC5"/>
    <w:rsid w:val="121648EA"/>
    <w:rsid w:val="126B4D85"/>
    <w:rsid w:val="12C32316"/>
    <w:rsid w:val="12E834E0"/>
    <w:rsid w:val="13B40A3F"/>
    <w:rsid w:val="14411BAE"/>
    <w:rsid w:val="146A7901"/>
    <w:rsid w:val="158909AE"/>
    <w:rsid w:val="16ED61AA"/>
    <w:rsid w:val="1715017B"/>
    <w:rsid w:val="17634499"/>
    <w:rsid w:val="17902D16"/>
    <w:rsid w:val="17B3580A"/>
    <w:rsid w:val="17C503CF"/>
    <w:rsid w:val="18654D43"/>
    <w:rsid w:val="18D726BA"/>
    <w:rsid w:val="198E5F6D"/>
    <w:rsid w:val="19C90B4F"/>
    <w:rsid w:val="19FE5D55"/>
    <w:rsid w:val="1A4578CD"/>
    <w:rsid w:val="1A6E12AA"/>
    <w:rsid w:val="1ADC3894"/>
    <w:rsid w:val="1B3619FC"/>
    <w:rsid w:val="1B995EC5"/>
    <w:rsid w:val="1BC63BF7"/>
    <w:rsid w:val="1BDB64B4"/>
    <w:rsid w:val="1C1525D1"/>
    <w:rsid w:val="1CCB6AC4"/>
    <w:rsid w:val="1D6C47A2"/>
    <w:rsid w:val="1DB37804"/>
    <w:rsid w:val="1E6536DC"/>
    <w:rsid w:val="1E8C2DEB"/>
    <w:rsid w:val="1E8D23F0"/>
    <w:rsid w:val="1EA65835"/>
    <w:rsid w:val="1EAA6CD6"/>
    <w:rsid w:val="1EED1156"/>
    <w:rsid w:val="1F094008"/>
    <w:rsid w:val="1F1F267B"/>
    <w:rsid w:val="1FD510B6"/>
    <w:rsid w:val="1FD8532C"/>
    <w:rsid w:val="20807204"/>
    <w:rsid w:val="20CA16C8"/>
    <w:rsid w:val="21A45E09"/>
    <w:rsid w:val="23171F14"/>
    <w:rsid w:val="234341BA"/>
    <w:rsid w:val="239517CE"/>
    <w:rsid w:val="23A50606"/>
    <w:rsid w:val="23B7381A"/>
    <w:rsid w:val="243136B7"/>
    <w:rsid w:val="24E830D7"/>
    <w:rsid w:val="2527056A"/>
    <w:rsid w:val="25372553"/>
    <w:rsid w:val="25426629"/>
    <w:rsid w:val="26167EA9"/>
    <w:rsid w:val="273B6CD2"/>
    <w:rsid w:val="274773F3"/>
    <w:rsid w:val="2784047D"/>
    <w:rsid w:val="27850300"/>
    <w:rsid w:val="28AB6482"/>
    <w:rsid w:val="290235FF"/>
    <w:rsid w:val="29061CFE"/>
    <w:rsid w:val="2914321B"/>
    <w:rsid w:val="291C0726"/>
    <w:rsid w:val="29465FD4"/>
    <w:rsid w:val="29553127"/>
    <w:rsid w:val="298B1245"/>
    <w:rsid w:val="2AB930EB"/>
    <w:rsid w:val="2AEE36D7"/>
    <w:rsid w:val="2B51492B"/>
    <w:rsid w:val="2C264F60"/>
    <w:rsid w:val="2D481CBC"/>
    <w:rsid w:val="2D6056EC"/>
    <w:rsid w:val="2F250F00"/>
    <w:rsid w:val="2F6306A6"/>
    <w:rsid w:val="2F854501"/>
    <w:rsid w:val="30E94868"/>
    <w:rsid w:val="30EB74A3"/>
    <w:rsid w:val="31276849"/>
    <w:rsid w:val="32E675E2"/>
    <w:rsid w:val="33F732E1"/>
    <w:rsid w:val="34790F6F"/>
    <w:rsid w:val="347F542F"/>
    <w:rsid w:val="35505741"/>
    <w:rsid w:val="358153AB"/>
    <w:rsid w:val="35AE3F45"/>
    <w:rsid w:val="35D769B9"/>
    <w:rsid w:val="36883291"/>
    <w:rsid w:val="374F522B"/>
    <w:rsid w:val="379E3057"/>
    <w:rsid w:val="37A37C67"/>
    <w:rsid w:val="37C45154"/>
    <w:rsid w:val="38C903C8"/>
    <w:rsid w:val="390261EE"/>
    <w:rsid w:val="39BE7EBA"/>
    <w:rsid w:val="39C63106"/>
    <w:rsid w:val="39EF2CAA"/>
    <w:rsid w:val="3A246410"/>
    <w:rsid w:val="3AC95B14"/>
    <w:rsid w:val="3ACF787B"/>
    <w:rsid w:val="3B240168"/>
    <w:rsid w:val="3B515127"/>
    <w:rsid w:val="3DBF3A92"/>
    <w:rsid w:val="3DD5790B"/>
    <w:rsid w:val="3DE64C0F"/>
    <w:rsid w:val="3E513B60"/>
    <w:rsid w:val="41630901"/>
    <w:rsid w:val="41F50EC4"/>
    <w:rsid w:val="420324F5"/>
    <w:rsid w:val="429A2B6B"/>
    <w:rsid w:val="4393617A"/>
    <w:rsid w:val="43D12EC3"/>
    <w:rsid w:val="440909F4"/>
    <w:rsid w:val="44415700"/>
    <w:rsid w:val="452F4EB6"/>
    <w:rsid w:val="45310999"/>
    <w:rsid w:val="45CC1863"/>
    <w:rsid w:val="46C67E9B"/>
    <w:rsid w:val="478C48C1"/>
    <w:rsid w:val="47A8359B"/>
    <w:rsid w:val="47B176A5"/>
    <w:rsid w:val="48066E0F"/>
    <w:rsid w:val="49332C07"/>
    <w:rsid w:val="493A430F"/>
    <w:rsid w:val="49460FE2"/>
    <w:rsid w:val="49B333D3"/>
    <w:rsid w:val="49F1501C"/>
    <w:rsid w:val="4A150474"/>
    <w:rsid w:val="4A8E5A52"/>
    <w:rsid w:val="4A980649"/>
    <w:rsid w:val="4BEE5053"/>
    <w:rsid w:val="4C286BF6"/>
    <w:rsid w:val="4C9C14F5"/>
    <w:rsid w:val="4CE449BE"/>
    <w:rsid w:val="4CF2631D"/>
    <w:rsid w:val="4D3E1944"/>
    <w:rsid w:val="4DD07CCB"/>
    <w:rsid w:val="4E2053D3"/>
    <w:rsid w:val="4E9A648B"/>
    <w:rsid w:val="4EC11091"/>
    <w:rsid w:val="4ECF06FA"/>
    <w:rsid w:val="50ED655A"/>
    <w:rsid w:val="50F14D6F"/>
    <w:rsid w:val="519673A3"/>
    <w:rsid w:val="5375767E"/>
    <w:rsid w:val="53AC1597"/>
    <w:rsid w:val="55162664"/>
    <w:rsid w:val="557A3530"/>
    <w:rsid w:val="55C84A21"/>
    <w:rsid w:val="562D64BC"/>
    <w:rsid w:val="56C8569A"/>
    <w:rsid w:val="5750702D"/>
    <w:rsid w:val="57AD1534"/>
    <w:rsid w:val="580B06E8"/>
    <w:rsid w:val="5813523C"/>
    <w:rsid w:val="58565F7C"/>
    <w:rsid w:val="595C56D0"/>
    <w:rsid w:val="595C6A7D"/>
    <w:rsid w:val="5A9A3FC3"/>
    <w:rsid w:val="5A9F59DF"/>
    <w:rsid w:val="5AA60261"/>
    <w:rsid w:val="5B1A59D8"/>
    <w:rsid w:val="5BB22495"/>
    <w:rsid w:val="5BC00CA7"/>
    <w:rsid w:val="5CAB1ED9"/>
    <w:rsid w:val="5CB7320D"/>
    <w:rsid w:val="5E3505C7"/>
    <w:rsid w:val="5EA27FC0"/>
    <w:rsid w:val="5EB620B4"/>
    <w:rsid w:val="5EC4153D"/>
    <w:rsid w:val="5ED97050"/>
    <w:rsid w:val="5FA83354"/>
    <w:rsid w:val="60197F7F"/>
    <w:rsid w:val="6047043A"/>
    <w:rsid w:val="60944613"/>
    <w:rsid w:val="60AF79A7"/>
    <w:rsid w:val="60D434BC"/>
    <w:rsid w:val="61E8737F"/>
    <w:rsid w:val="62501848"/>
    <w:rsid w:val="62FC7990"/>
    <w:rsid w:val="630A13CF"/>
    <w:rsid w:val="63B80232"/>
    <w:rsid w:val="63E20BE0"/>
    <w:rsid w:val="63E243A2"/>
    <w:rsid w:val="63FD2A35"/>
    <w:rsid w:val="64663815"/>
    <w:rsid w:val="64E0332E"/>
    <w:rsid w:val="650E0E64"/>
    <w:rsid w:val="6514211D"/>
    <w:rsid w:val="657A598B"/>
    <w:rsid w:val="661B7C73"/>
    <w:rsid w:val="66A5577A"/>
    <w:rsid w:val="66DA22B9"/>
    <w:rsid w:val="66E45C9F"/>
    <w:rsid w:val="6702206D"/>
    <w:rsid w:val="67A32B3B"/>
    <w:rsid w:val="67B876E8"/>
    <w:rsid w:val="67C477CA"/>
    <w:rsid w:val="68CE673A"/>
    <w:rsid w:val="68FF0D26"/>
    <w:rsid w:val="69006AD9"/>
    <w:rsid w:val="69BE50B1"/>
    <w:rsid w:val="69EA7571"/>
    <w:rsid w:val="6A9A0DB9"/>
    <w:rsid w:val="6ACF2383"/>
    <w:rsid w:val="6B6E2817"/>
    <w:rsid w:val="6C4C1F0F"/>
    <w:rsid w:val="6C7224AC"/>
    <w:rsid w:val="6D160F4B"/>
    <w:rsid w:val="6D19442B"/>
    <w:rsid w:val="6E0E5233"/>
    <w:rsid w:val="6E3E0334"/>
    <w:rsid w:val="6E587417"/>
    <w:rsid w:val="6E86054A"/>
    <w:rsid w:val="6ECB6C73"/>
    <w:rsid w:val="6FAB4440"/>
    <w:rsid w:val="701F57CE"/>
    <w:rsid w:val="704E7E3B"/>
    <w:rsid w:val="711C304E"/>
    <w:rsid w:val="71453F49"/>
    <w:rsid w:val="71DB390C"/>
    <w:rsid w:val="729E0484"/>
    <w:rsid w:val="72CA0D17"/>
    <w:rsid w:val="73306A3E"/>
    <w:rsid w:val="740B779D"/>
    <w:rsid w:val="74143A56"/>
    <w:rsid w:val="746F2563"/>
    <w:rsid w:val="74A946D5"/>
    <w:rsid w:val="74C97264"/>
    <w:rsid w:val="74FC5C93"/>
    <w:rsid w:val="75057C77"/>
    <w:rsid w:val="76B23889"/>
    <w:rsid w:val="76D93F56"/>
    <w:rsid w:val="77A60B3C"/>
    <w:rsid w:val="781E2A48"/>
    <w:rsid w:val="78203850"/>
    <w:rsid w:val="784D3F2B"/>
    <w:rsid w:val="78980E51"/>
    <w:rsid w:val="78C422CD"/>
    <w:rsid w:val="78D463E9"/>
    <w:rsid w:val="790572B0"/>
    <w:rsid w:val="79576399"/>
    <w:rsid w:val="799623EA"/>
    <w:rsid w:val="79CA55C4"/>
    <w:rsid w:val="7A3C7E6A"/>
    <w:rsid w:val="7AED46FB"/>
    <w:rsid w:val="7B6C0BEF"/>
    <w:rsid w:val="7B71501D"/>
    <w:rsid w:val="7B8408C2"/>
    <w:rsid w:val="7B8D642A"/>
    <w:rsid w:val="7C56760B"/>
    <w:rsid w:val="7CDC7852"/>
    <w:rsid w:val="7DE256C2"/>
    <w:rsid w:val="7DEE6654"/>
    <w:rsid w:val="7EF3263E"/>
    <w:rsid w:val="7EF664CC"/>
    <w:rsid w:val="7F5325C5"/>
    <w:rsid w:val="7F793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8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29"/>
    <w:qFormat/>
    <w:uiPriority w:val="0"/>
    <w:pPr>
      <w:keepNext/>
      <w:keepLines/>
      <w:numPr>
        <w:ilvl w:val="0"/>
        <w:numId w:val="1"/>
      </w:numPr>
      <w:jc w:val="center"/>
      <w:outlineLvl w:val="0"/>
    </w:pPr>
    <w:rPr>
      <w:b/>
      <w:kern w:val="44"/>
      <w:sz w:val="32"/>
    </w:rPr>
  </w:style>
  <w:style w:type="paragraph" w:styleId="4">
    <w:name w:val="heading 2"/>
    <w:basedOn w:val="1"/>
    <w:next w:val="1"/>
    <w:unhideWhenUsed/>
    <w:qFormat/>
    <w:uiPriority w:val="0"/>
    <w:pPr>
      <w:keepNext/>
      <w:keepLines/>
      <w:numPr>
        <w:ilvl w:val="1"/>
        <w:numId w:val="1"/>
      </w:numPr>
      <w:ind w:firstLineChars="0"/>
      <w:outlineLvl w:val="1"/>
    </w:pPr>
    <w:rPr>
      <w:b/>
      <w:sz w:val="28"/>
    </w:rPr>
  </w:style>
  <w:style w:type="paragraph" w:styleId="5">
    <w:name w:val="heading 3"/>
    <w:basedOn w:val="1"/>
    <w:next w:val="1"/>
    <w:link w:val="26"/>
    <w:unhideWhenUsed/>
    <w:qFormat/>
    <w:uiPriority w:val="0"/>
    <w:pPr>
      <w:keepNext/>
      <w:keepLines/>
      <w:numPr>
        <w:ilvl w:val="2"/>
        <w:numId w:val="1"/>
      </w:numPr>
      <w:tabs>
        <w:tab w:val="left" w:pos="567"/>
        <w:tab w:val="clear" w:pos="0"/>
      </w:tabs>
      <w:ind w:firstLine="200" w:firstLineChars="50"/>
      <w:outlineLvl w:val="2"/>
    </w:pPr>
    <w:rPr>
      <w:b/>
    </w:rPr>
  </w:style>
  <w:style w:type="paragraph" w:styleId="6">
    <w:name w:val="heading 4"/>
    <w:basedOn w:val="1"/>
    <w:next w:val="1"/>
    <w:unhideWhenUsed/>
    <w:qFormat/>
    <w:uiPriority w:val="0"/>
    <w:pPr>
      <w:keepNext/>
      <w:keepLines/>
      <w:numPr>
        <w:ilvl w:val="3"/>
        <w:numId w:val="1"/>
      </w:numPr>
      <w:tabs>
        <w:tab w:val="left" w:pos="1134"/>
        <w:tab w:val="clear" w:pos="3416"/>
      </w:tabs>
      <w:ind w:left="0" w:firstLine="400" w:firstLineChars="100"/>
      <w:outlineLvl w:val="3"/>
    </w:pPr>
    <w:rPr>
      <w:b/>
    </w:rPr>
  </w:style>
  <w:style w:type="paragraph" w:styleId="7">
    <w:name w:val="heading 5"/>
    <w:basedOn w:val="1"/>
    <w:next w:val="1"/>
    <w:unhideWhenUsed/>
    <w:qFormat/>
    <w:uiPriority w:val="0"/>
    <w:pPr>
      <w:keepNext/>
      <w:keepLines/>
      <w:numPr>
        <w:ilvl w:val="4"/>
        <w:numId w:val="2"/>
      </w:numPr>
      <w:tabs>
        <w:tab w:val="left" w:pos="1701"/>
        <w:tab w:val="clear" w:pos="420"/>
      </w:tabs>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3"/>
      </w:numPr>
      <w:spacing w:before="240" w:after="64" w:line="317" w:lineRule="auto"/>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Normal Indent"/>
    <w:basedOn w:val="1"/>
    <w:next w:val="1"/>
    <w:unhideWhenUsed/>
    <w:qFormat/>
    <w:uiPriority w:val="0"/>
    <w:pPr>
      <w:ind w:firstLine="420"/>
    </w:pPr>
  </w:style>
  <w:style w:type="paragraph" w:styleId="13">
    <w:name w:val="annotation text"/>
    <w:basedOn w:val="1"/>
    <w:link w:val="35"/>
    <w:qFormat/>
    <w:uiPriority w:val="0"/>
    <w:pPr>
      <w:jc w:val="left"/>
    </w:pPr>
  </w:style>
  <w:style w:type="paragraph" w:styleId="14">
    <w:name w:val="Body Text"/>
    <w:basedOn w:val="1"/>
    <w:next w:val="1"/>
    <w:qFormat/>
    <w:uiPriority w:val="0"/>
    <w:pPr>
      <w:spacing w:after="120"/>
    </w:pPr>
  </w:style>
  <w:style w:type="paragraph" w:styleId="15">
    <w:name w:val="Plain Text"/>
    <w:basedOn w:val="1"/>
    <w:qFormat/>
    <w:uiPriority w:val="0"/>
    <w:rPr>
      <w:rFonts w:ascii="宋体" w:hAnsi="Courier New"/>
    </w:rPr>
  </w:style>
  <w:style w:type="paragraph" w:styleId="16">
    <w:name w:val="Balloon Text"/>
    <w:basedOn w:val="1"/>
    <w:link w:val="37"/>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Normal (Web)"/>
    <w:basedOn w:val="1"/>
    <w:qFormat/>
    <w:uiPriority w:val="0"/>
  </w:style>
  <w:style w:type="paragraph" w:styleId="21">
    <w:name w:val="annotation subject"/>
    <w:basedOn w:val="13"/>
    <w:next w:val="13"/>
    <w:link w:val="36"/>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annotation reference"/>
    <w:basedOn w:val="24"/>
    <w:qFormat/>
    <w:uiPriority w:val="0"/>
    <w:rPr>
      <w:sz w:val="21"/>
      <w:szCs w:val="21"/>
    </w:rPr>
  </w:style>
  <w:style w:type="character" w:customStyle="1" w:styleId="26">
    <w:name w:val="标题 3 Char"/>
    <w:link w:val="5"/>
    <w:qFormat/>
    <w:uiPriority w:val="0"/>
    <w:rPr>
      <w:rFonts w:ascii="Times New Roman" w:hAnsi="Times New Roman" w:eastAsia="宋体"/>
      <w:b/>
      <w:sz w:val="24"/>
    </w:rPr>
  </w:style>
  <w:style w:type="paragraph" w:customStyle="1" w:styleId="27">
    <w:name w:val="小表头"/>
    <w:basedOn w:val="28"/>
    <w:next w:val="28"/>
    <w:link w:val="31"/>
    <w:qFormat/>
    <w:uiPriority w:val="0"/>
    <w:pPr>
      <w:numPr>
        <w:ilvl w:val="4"/>
        <w:numId w:val="1"/>
      </w:numPr>
      <w:tabs>
        <w:tab w:val="left" w:pos="0"/>
        <w:tab w:val="clear" w:pos="3403"/>
      </w:tabs>
      <w:spacing w:line="400" w:lineRule="atLeast"/>
      <w:ind w:left="0"/>
    </w:pPr>
    <w:rPr>
      <w:b/>
    </w:rPr>
  </w:style>
  <w:style w:type="paragraph" w:customStyle="1" w:styleId="28">
    <w:name w:val="表格"/>
    <w:basedOn w:val="1"/>
    <w:next w:val="1"/>
    <w:link w:val="30"/>
    <w:qFormat/>
    <w:uiPriority w:val="0"/>
    <w:pPr>
      <w:spacing w:line="240" w:lineRule="auto"/>
      <w:ind w:firstLine="0" w:firstLineChars="0"/>
      <w:jc w:val="center"/>
    </w:pPr>
    <w:rPr>
      <w:sz w:val="21"/>
    </w:rPr>
  </w:style>
  <w:style w:type="character" w:customStyle="1" w:styleId="29">
    <w:name w:val="标题 1 Char"/>
    <w:link w:val="3"/>
    <w:qFormat/>
    <w:uiPriority w:val="0"/>
    <w:rPr>
      <w:rFonts w:ascii="Times New Roman" w:hAnsi="Times New Roman" w:eastAsia="宋体"/>
      <w:b/>
      <w:kern w:val="44"/>
      <w:sz w:val="32"/>
    </w:rPr>
  </w:style>
  <w:style w:type="character" w:customStyle="1" w:styleId="30">
    <w:name w:val="表格 Char"/>
    <w:link w:val="28"/>
    <w:qFormat/>
    <w:uiPriority w:val="0"/>
    <w:rPr>
      <w:rFonts w:ascii="Times New Roman" w:hAnsi="Times New Roman" w:eastAsia="宋体"/>
      <w:sz w:val="21"/>
    </w:rPr>
  </w:style>
  <w:style w:type="character" w:customStyle="1" w:styleId="31">
    <w:name w:val="小表头 Char"/>
    <w:link w:val="27"/>
    <w:qFormat/>
    <w:uiPriority w:val="0"/>
    <w:rPr>
      <w:rFonts w:ascii="Times New Roman" w:hAnsi="Times New Roman" w:eastAsia="宋体"/>
      <w:b/>
      <w:sz w:val="21"/>
    </w:rPr>
  </w:style>
  <w:style w:type="paragraph" w:customStyle="1" w:styleId="32">
    <w:name w:val="图标"/>
    <w:basedOn w:val="1"/>
    <w:link w:val="39"/>
    <w:qFormat/>
    <w:uiPriority w:val="0"/>
    <w:pPr>
      <w:spacing w:line="400" w:lineRule="atLeast"/>
      <w:ind w:firstLine="800" w:firstLineChars="200"/>
      <w:jc w:val="center"/>
    </w:pPr>
    <w:rPr>
      <w:rFonts w:hint="eastAsia"/>
      <w:b/>
      <w:sz w:val="21"/>
    </w:rPr>
  </w:style>
  <w:style w:type="table" w:customStyle="1" w:styleId="33">
    <w:name w:val="Table Grid_0"/>
    <w:basedOn w:val="22"/>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Table Normal"/>
    <w:unhideWhenUsed/>
    <w:qFormat/>
    <w:uiPriority w:val="0"/>
    <w:tblPr>
      <w:tblCellMar>
        <w:top w:w="0" w:type="dxa"/>
        <w:left w:w="0" w:type="dxa"/>
        <w:bottom w:w="0" w:type="dxa"/>
        <w:right w:w="0" w:type="dxa"/>
      </w:tblCellMar>
    </w:tblPr>
  </w:style>
  <w:style w:type="character" w:customStyle="1" w:styleId="35">
    <w:name w:val="批注文字 Char"/>
    <w:basedOn w:val="24"/>
    <w:link w:val="13"/>
    <w:qFormat/>
    <w:uiPriority w:val="0"/>
    <w:rPr>
      <w:kern w:val="2"/>
      <w:sz w:val="24"/>
    </w:rPr>
  </w:style>
  <w:style w:type="character" w:customStyle="1" w:styleId="36">
    <w:name w:val="批注主题 Char"/>
    <w:basedOn w:val="35"/>
    <w:link w:val="21"/>
    <w:qFormat/>
    <w:uiPriority w:val="0"/>
    <w:rPr>
      <w:b/>
      <w:bCs/>
      <w:kern w:val="2"/>
      <w:sz w:val="24"/>
    </w:rPr>
  </w:style>
  <w:style w:type="character" w:customStyle="1" w:styleId="37">
    <w:name w:val="批注框文本 Char"/>
    <w:basedOn w:val="24"/>
    <w:link w:val="16"/>
    <w:qFormat/>
    <w:uiPriority w:val="0"/>
    <w:rPr>
      <w:kern w:val="2"/>
      <w:sz w:val="18"/>
      <w:szCs w:val="18"/>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图标 Char"/>
    <w:link w:val="32"/>
    <w:qFormat/>
    <w:uiPriority w:val="0"/>
    <w:rPr>
      <w:rFonts w:hint="eastAsia"/>
      <w:b/>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0.png"/><Relationship Id="rId55" Type="http://schemas.openxmlformats.org/officeDocument/2006/relationships/image" Target="media/image29.wmf"/><Relationship Id="rId54" Type="http://schemas.openxmlformats.org/officeDocument/2006/relationships/oleObject" Target="embeddings/oleObject9.bin"/><Relationship Id="rId53" Type="http://schemas.openxmlformats.org/officeDocument/2006/relationships/chart" Target="charts/chart8.xml"/><Relationship Id="rId52" Type="http://schemas.openxmlformats.org/officeDocument/2006/relationships/chart" Target="charts/chart7.xml"/><Relationship Id="rId51" Type="http://schemas.openxmlformats.org/officeDocument/2006/relationships/chart" Target="charts/chart6.xml"/><Relationship Id="rId50" Type="http://schemas.openxmlformats.org/officeDocument/2006/relationships/chart" Target="charts/chart5.xml"/><Relationship Id="rId5" Type="http://schemas.openxmlformats.org/officeDocument/2006/relationships/footer" Target="footer1.xml"/><Relationship Id="rId49" Type="http://schemas.openxmlformats.org/officeDocument/2006/relationships/chart" Target="charts/chart4.xml"/><Relationship Id="rId48" Type="http://schemas.openxmlformats.org/officeDocument/2006/relationships/chart" Target="charts/chart3.xml"/><Relationship Id="rId47" Type="http://schemas.openxmlformats.org/officeDocument/2006/relationships/chart" Target="charts/chart2.xml"/><Relationship Id="rId46" Type="http://schemas.openxmlformats.org/officeDocument/2006/relationships/chart" Target="charts/chart1.xml"/><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wmf"/><Relationship Id="rId42" Type="http://schemas.openxmlformats.org/officeDocument/2006/relationships/oleObject" Target="embeddings/oleObject8.bin"/><Relationship Id="rId41" Type="http://schemas.openxmlformats.org/officeDocument/2006/relationships/image" Target="media/image25.w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oleObject" Target="embeddings/oleObject6.bin"/><Relationship Id="rId37" Type="http://schemas.openxmlformats.org/officeDocument/2006/relationships/image" Target="media/image23.wmf"/><Relationship Id="rId36" Type="http://schemas.openxmlformats.org/officeDocument/2006/relationships/oleObject" Target="embeddings/oleObject5.bin"/><Relationship Id="rId35" Type="http://schemas.openxmlformats.org/officeDocument/2006/relationships/image" Target="media/image22.wmf"/><Relationship Id="rId34" Type="http://schemas.openxmlformats.org/officeDocument/2006/relationships/oleObject" Target="embeddings/oleObject4.bin"/><Relationship Id="rId33" Type="http://schemas.openxmlformats.org/officeDocument/2006/relationships/image" Target="media/image21.wmf"/><Relationship Id="rId32" Type="http://schemas.openxmlformats.org/officeDocument/2006/relationships/oleObject" Target="embeddings/oleObject3.bin"/><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package" Target="embeddings/Microsoft_Visio___1.vsdx"/><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h\Desktop\&#26032;&#24314;%20XLSX%20&#24037;&#20316;&#349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h\Desktop\&#26032;&#24314;%20XLSX%20&#24037;&#20316;&#34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h\Desktop\&#26032;&#24314;%20XLSX%20&#24037;&#20316;&#349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h\Desktop\&#26032;&#24314;%20XLSX%20&#24037;&#20316;&#34920;(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工作表(1).xlsx]100天'!$B$6</c:f>
              <c:strCache>
                <c:ptCount val="1"/>
                <c:pt idx="0">
                  <c:v>100天         </c:v>
                </c:pt>
              </c:strCache>
            </c:strRef>
          </c:tx>
          <c:spPr>
            <a:ln w="12700" cap="rnd" cmpd="sng" algn="ctr">
              <a:solidFill>
                <a:srgbClr val="00B0F0"/>
              </a:solidFill>
              <a:prstDash val="solid"/>
              <a:round/>
            </a:ln>
            <a:effectLst/>
          </c:spPr>
          <c:marker>
            <c:symbol val="circle"/>
            <c:size val="3"/>
            <c:spPr>
              <a:solidFill>
                <a:srgbClr val="00B0F0"/>
              </a:solidFill>
              <a:ln w="9525" cap="flat" cmpd="sng" algn="ctr">
                <a:noFill/>
                <a:prstDash val="solid"/>
                <a:round/>
              </a:ln>
              <a:effectLst/>
            </c:spPr>
          </c:marker>
          <c:dLbls>
            <c:delete val="1"/>
          </c:dLbls>
          <c:cat>
            <c:strRef>
              <c:f>'[新建 XLSX 工作表(1).xlsx]100天'!$A$7:$A$57</c:f>
              <c:strCache>
                <c:ptCount val="51"/>
                <c:pt idx="0">
                  <c:v>0m</c:v>
                </c:pt>
                <c:pt idx="1">
                  <c:v>4m</c:v>
                </c:pt>
                <c:pt idx="2">
                  <c:v>8m</c:v>
                </c:pt>
                <c:pt idx="3">
                  <c:v>12m</c:v>
                </c:pt>
                <c:pt idx="4">
                  <c:v>16m</c:v>
                </c:pt>
                <c:pt idx="5">
                  <c:v>20m</c:v>
                </c:pt>
                <c:pt idx="6">
                  <c:v>24m</c:v>
                </c:pt>
                <c:pt idx="7">
                  <c:v>28m</c:v>
                </c:pt>
                <c:pt idx="8">
                  <c:v>32m</c:v>
                </c:pt>
                <c:pt idx="9">
                  <c:v>36m</c:v>
                </c:pt>
                <c:pt idx="10">
                  <c:v>40m</c:v>
                </c:pt>
                <c:pt idx="11">
                  <c:v>44m</c:v>
                </c:pt>
                <c:pt idx="12">
                  <c:v>48m</c:v>
                </c:pt>
                <c:pt idx="13">
                  <c:v>52m</c:v>
                </c:pt>
                <c:pt idx="14">
                  <c:v>56m</c:v>
                </c:pt>
                <c:pt idx="15">
                  <c:v>60m</c:v>
                </c:pt>
                <c:pt idx="16">
                  <c:v>64m</c:v>
                </c:pt>
                <c:pt idx="17">
                  <c:v>68m</c:v>
                </c:pt>
                <c:pt idx="18">
                  <c:v>72m</c:v>
                </c:pt>
                <c:pt idx="19">
                  <c:v>76m</c:v>
                </c:pt>
                <c:pt idx="20">
                  <c:v>80m</c:v>
                </c:pt>
                <c:pt idx="21">
                  <c:v>84m</c:v>
                </c:pt>
                <c:pt idx="22">
                  <c:v>88m</c:v>
                </c:pt>
                <c:pt idx="23">
                  <c:v>92m</c:v>
                </c:pt>
                <c:pt idx="24">
                  <c:v>96m</c:v>
                </c:pt>
                <c:pt idx="25">
                  <c:v>100m</c:v>
                </c:pt>
                <c:pt idx="26">
                  <c:v>104m</c:v>
                </c:pt>
                <c:pt idx="27">
                  <c:v>108m</c:v>
                </c:pt>
                <c:pt idx="28">
                  <c:v>112m</c:v>
                </c:pt>
                <c:pt idx="29">
                  <c:v>116m</c:v>
                </c:pt>
                <c:pt idx="30">
                  <c:v>120m</c:v>
                </c:pt>
                <c:pt idx="31">
                  <c:v>124m</c:v>
                </c:pt>
                <c:pt idx="32">
                  <c:v>128m</c:v>
                </c:pt>
                <c:pt idx="33">
                  <c:v>132m</c:v>
                </c:pt>
                <c:pt idx="34">
                  <c:v>136m</c:v>
                </c:pt>
                <c:pt idx="35">
                  <c:v>140m</c:v>
                </c:pt>
                <c:pt idx="36">
                  <c:v>144m</c:v>
                </c:pt>
                <c:pt idx="37">
                  <c:v>148m</c:v>
                </c:pt>
                <c:pt idx="38">
                  <c:v>152m</c:v>
                </c:pt>
                <c:pt idx="39">
                  <c:v>156m</c:v>
                </c:pt>
                <c:pt idx="40">
                  <c:v>160m</c:v>
                </c:pt>
                <c:pt idx="41">
                  <c:v>164m</c:v>
                </c:pt>
                <c:pt idx="42">
                  <c:v>168m</c:v>
                </c:pt>
                <c:pt idx="43">
                  <c:v>172m</c:v>
                </c:pt>
                <c:pt idx="44">
                  <c:v>176m</c:v>
                </c:pt>
                <c:pt idx="45">
                  <c:v>180m</c:v>
                </c:pt>
                <c:pt idx="46">
                  <c:v>184m</c:v>
                </c:pt>
                <c:pt idx="47">
                  <c:v>188m</c:v>
                </c:pt>
                <c:pt idx="48">
                  <c:v>192m</c:v>
                </c:pt>
                <c:pt idx="49">
                  <c:v>196m</c:v>
                </c:pt>
                <c:pt idx="50">
                  <c:v>200m</c:v>
                </c:pt>
              </c:strCache>
            </c:strRef>
          </c:cat>
          <c:val>
            <c:numRef>
              <c:f>'[新建 XLSX 工作表(1).xlsx]100天'!$B$7:$B$57</c:f>
              <c:numCache>
                <c:formatCode>0.00_ </c:formatCode>
                <c:ptCount val="51"/>
                <c:pt idx="0">
                  <c:v>445</c:v>
                </c:pt>
                <c:pt idx="1">
                  <c:v>317</c:v>
                </c:pt>
                <c:pt idx="2">
                  <c:v>186</c:v>
                </c:pt>
                <c:pt idx="3">
                  <c:v>87.9</c:v>
                </c:pt>
                <c:pt idx="4">
                  <c:v>32.8</c:v>
                </c:pt>
                <c:pt idx="5">
                  <c:v>9.59</c:v>
                </c:pt>
                <c:pt idx="6">
                  <c:v>2.17</c:v>
                </c:pt>
                <c:pt idx="7">
                  <c:v>0.381</c:v>
                </c:pt>
                <c:pt idx="8">
                  <c:v>0.0513</c:v>
                </c:pt>
                <c:pt idx="9">
                  <c:v>0.0053</c:v>
                </c:pt>
                <c:pt idx="10">
                  <c:v>0.000419</c:v>
                </c:pt>
                <c:pt idx="11">
                  <c:v>2.53e-5</c:v>
                </c:pt>
                <c:pt idx="12">
                  <c:v>1.17e-6</c:v>
                </c:pt>
                <c:pt idx="13">
                  <c:v>4.25e-8</c:v>
                </c:pt>
                <c:pt idx="14">
                  <c:v>1.13e-9</c:v>
                </c:pt>
                <c:pt idx="15">
                  <c:v>2.25e-11</c:v>
                </c:pt>
                <c:pt idx="16">
                  <c:v>1.98e-13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ser>
        <c:dLbls>
          <c:showLegendKey val="0"/>
          <c:showVal val="0"/>
          <c:showCatName val="0"/>
          <c:showSerName val="0"/>
          <c:showPercent val="0"/>
          <c:showBubbleSize val="0"/>
        </c:dLbls>
        <c:marker val="1"/>
        <c:smooth val="0"/>
        <c:axId val="207894016"/>
        <c:axId val="275305536"/>
        <c:extLst>
          <c:ext xmlns:c15="http://schemas.microsoft.com/office/drawing/2012/chart" uri="{02D57815-91ED-43cb-92C2-25804820EDAC}">
            <c15:filteredLineSeries>
              <c15:ser>
                <c:idx val="0"/>
                <c:order val="0"/>
                <c:tx>
                  <c:strRef>
                    <c:extLst>
                      <c:ext uri="{02D57815-91ED-43cb-92C2-25804820EDAC}">
                        <c15:formulaRef>
                          <c15:sqref>'[新建 XLSX 工作表(1).xlsx]100天'!$A$6</c15:sqref>
                        </c15:formulaRef>
                      </c:ext>
                    </c:extLst>
                    <c:strCache>
                      <c:ptCount val="1"/>
                      <c:pt idx="0">
                        <c:v>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extLst>
                      <c:ext uri="{02D57815-91ED-43cb-92C2-25804820EDAC}">
                        <c15:fullRef>
                          <c15:sqref/>
                        </c15:fullRef>
                        <c15:formulaRef>
                          <c15:sqref>'[新建 XLSX 工作表(1).xlsx]100天'!$A$7:$A$57</c15:sqref>
                        </c15:formulaRef>
                      </c:ext>
                    </c:extLst>
                    <c:strCache>
                      <c:ptCount val="51"/>
                      <c:pt idx="0">
                        <c:v>0m</c:v>
                      </c:pt>
                      <c:pt idx="1">
                        <c:v>4m</c:v>
                      </c:pt>
                      <c:pt idx="2">
                        <c:v>8m</c:v>
                      </c:pt>
                      <c:pt idx="3">
                        <c:v>12m</c:v>
                      </c:pt>
                      <c:pt idx="4">
                        <c:v>16m</c:v>
                      </c:pt>
                      <c:pt idx="5">
                        <c:v>20m</c:v>
                      </c:pt>
                      <c:pt idx="6">
                        <c:v>24m</c:v>
                      </c:pt>
                      <c:pt idx="7">
                        <c:v>28m</c:v>
                      </c:pt>
                      <c:pt idx="8">
                        <c:v>32m</c:v>
                      </c:pt>
                      <c:pt idx="9">
                        <c:v>36m</c:v>
                      </c:pt>
                      <c:pt idx="10">
                        <c:v>40m</c:v>
                      </c:pt>
                      <c:pt idx="11">
                        <c:v>44m</c:v>
                      </c:pt>
                      <c:pt idx="12">
                        <c:v>48m</c:v>
                      </c:pt>
                      <c:pt idx="13">
                        <c:v>52m</c:v>
                      </c:pt>
                      <c:pt idx="14">
                        <c:v>56m</c:v>
                      </c:pt>
                      <c:pt idx="15">
                        <c:v>60m</c:v>
                      </c:pt>
                      <c:pt idx="16">
                        <c:v>64m</c:v>
                      </c:pt>
                      <c:pt idx="17">
                        <c:v>68m</c:v>
                      </c:pt>
                      <c:pt idx="18">
                        <c:v>72m</c:v>
                      </c:pt>
                      <c:pt idx="19">
                        <c:v>76m</c:v>
                      </c:pt>
                      <c:pt idx="20">
                        <c:v>80m</c:v>
                      </c:pt>
                      <c:pt idx="21">
                        <c:v>84m</c:v>
                      </c:pt>
                      <c:pt idx="22">
                        <c:v>88m</c:v>
                      </c:pt>
                      <c:pt idx="23">
                        <c:v>92m</c:v>
                      </c:pt>
                      <c:pt idx="24">
                        <c:v>96m</c:v>
                      </c:pt>
                      <c:pt idx="25">
                        <c:v>100m</c:v>
                      </c:pt>
                      <c:pt idx="26">
                        <c:v>104m</c:v>
                      </c:pt>
                      <c:pt idx="27">
                        <c:v>108m</c:v>
                      </c:pt>
                      <c:pt idx="28">
                        <c:v>112m</c:v>
                      </c:pt>
                      <c:pt idx="29">
                        <c:v>116m</c:v>
                      </c:pt>
                      <c:pt idx="30">
                        <c:v>120m</c:v>
                      </c:pt>
                      <c:pt idx="31">
                        <c:v>124m</c:v>
                      </c:pt>
                      <c:pt idx="32">
                        <c:v>128m</c:v>
                      </c:pt>
                      <c:pt idx="33">
                        <c:v>132m</c:v>
                      </c:pt>
                      <c:pt idx="34">
                        <c:v>136m</c:v>
                      </c:pt>
                      <c:pt idx="35">
                        <c:v>140m</c:v>
                      </c:pt>
                      <c:pt idx="36">
                        <c:v>144m</c:v>
                      </c:pt>
                      <c:pt idx="37">
                        <c:v>148m</c:v>
                      </c:pt>
                      <c:pt idx="38">
                        <c:v>152m</c:v>
                      </c:pt>
                      <c:pt idx="39">
                        <c:v>156m</c:v>
                      </c:pt>
                      <c:pt idx="40">
                        <c:v>160m</c:v>
                      </c:pt>
                      <c:pt idx="41">
                        <c:v>164m</c:v>
                      </c:pt>
                      <c:pt idx="42">
                        <c:v>168m</c:v>
                      </c:pt>
                      <c:pt idx="43">
                        <c:v>172m</c:v>
                      </c:pt>
                      <c:pt idx="44">
                        <c:v>176m</c:v>
                      </c:pt>
                      <c:pt idx="45">
                        <c:v>180m</c:v>
                      </c:pt>
                      <c:pt idx="46">
                        <c:v>184m</c:v>
                      </c:pt>
                      <c:pt idx="47">
                        <c:v>188m</c:v>
                      </c:pt>
                      <c:pt idx="48">
                        <c:v>192m</c:v>
                      </c:pt>
                      <c:pt idx="49">
                        <c:v>196m</c:v>
                      </c:pt>
                      <c:pt idx="50">
                        <c:v>200m</c:v>
                      </c:pt>
                    </c:strCache>
                  </c:str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ext>
        </c:extLst>
      </c:lineChart>
      <c:catAx>
        <c:axId val="207894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5305536"/>
        <c:crosses val="autoZero"/>
        <c:auto val="1"/>
        <c:lblAlgn val="ctr"/>
        <c:lblOffset val="100"/>
        <c:tickLblSkip val="10"/>
        <c:noMultiLvlLbl val="0"/>
      </c:catAx>
      <c:valAx>
        <c:axId val="2753055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8940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cked"/>
        <c:varyColors val="0"/>
        <c:ser>
          <c:idx val="1"/>
          <c:order val="1"/>
          <c:tx>
            <c:strRef>
              <c:f>'[新建 XLSX 工作表(1).xlsx]1000天'!$B$6</c:f>
              <c:strCache>
                <c:ptCount val="1"/>
                <c:pt idx="0">
                  <c:v>1000天         </c:v>
                </c:pt>
              </c:strCache>
            </c:strRef>
          </c:tx>
          <c:spPr>
            <a:ln w="12700" cap="rnd" cmpd="sng" algn="ctr">
              <a:solidFill>
                <a:srgbClr val="00B0F0"/>
              </a:solidFill>
              <a:prstDash val="solid"/>
              <a:round/>
            </a:ln>
            <a:effectLst/>
          </c:spPr>
          <c:marker>
            <c:symbol val="circle"/>
            <c:size val="3"/>
            <c:spPr>
              <a:solidFill>
                <a:srgbClr val="00B0F0"/>
              </a:solidFill>
              <a:ln w="9525" cap="flat" cmpd="sng" algn="ctr">
                <a:noFill/>
                <a:prstDash val="solid"/>
                <a:round/>
              </a:ln>
              <a:effectLst/>
            </c:spPr>
          </c:marker>
          <c:dLbls>
            <c:delete val="1"/>
          </c:dLbls>
          <c:cat>
            <c:strRef>
              <c:f>'[新建 XLSX 工作表(1).xlsx]1000天'!$A$7:$A$107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工作表(1).xlsx]1000天'!$B$7:$B$107</c:f>
              <c:numCache>
                <c:formatCode>0.00_ </c:formatCode>
                <c:ptCount val="101"/>
                <c:pt idx="0">
                  <c:v>10.5</c:v>
                </c:pt>
                <c:pt idx="1">
                  <c:v>15.6</c:v>
                </c:pt>
                <c:pt idx="2">
                  <c:v>21.7</c:v>
                </c:pt>
                <c:pt idx="3">
                  <c:v>28.1</c:v>
                </c:pt>
                <c:pt idx="4">
                  <c:v>34.3</c:v>
                </c:pt>
                <c:pt idx="5">
                  <c:v>39.3</c:v>
                </c:pt>
                <c:pt idx="6">
                  <c:v>42.5</c:v>
                </c:pt>
                <c:pt idx="7">
                  <c:v>43.6</c:v>
                </c:pt>
                <c:pt idx="8">
                  <c:v>42.2</c:v>
                </c:pt>
                <c:pt idx="9">
                  <c:v>38.8</c:v>
                </c:pt>
                <c:pt idx="10">
                  <c:v>33.9</c:v>
                </c:pt>
                <c:pt idx="11">
                  <c:v>28.1</c:v>
                </c:pt>
                <c:pt idx="12">
                  <c:v>22.1</c:v>
                </c:pt>
                <c:pt idx="13">
                  <c:v>16.6</c:v>
                </c:pt>
                <c:pt idx="14">
                  <c:v>11.8</c:v>
                </c:pt>
                <c:pt idx="15">
                  <c:v>8.05</c:v>
                </c:pt>
                <c:pt idx="16">
                  <c:v>5.21</c:v>
                </c:pt>
                <c:pt idx="17">
                  <c:v>3.22</c:v>
                </c:pt>
                <c:pt idx="18">
                  <c:v>1.9</c:v>
                </c:pt>
                <c:pt idx="19">
                  <c:v>1.07</c:v>
                </c:pt>
                <c:pt idx="20">
                  <c:v>0.572</c:v>
                </c:pt>
                <c:pt idx="21">
                  <c:v>0.293</c:v>
                </c:pt>
                <c:pt idx="22">
                  <c:v>0.144</c:v>
                </c:pt>
                <c:pt idx="23">
                  <c:v>0.0673</c:v>
                </c:pt>
                <c:pt idx="24">
                  <c:v>0.0302</c:v>
                </c:pt>
                <c:pt idx="25">
                  <c:v>0.0129</c:v>
                </c:pt>
                <c:pt idx="26">
                  <c:v>0.0053</c:v>
                </c:pt>
                <c:pt idx="27">
                  <c:v>0.00208</c:v>
                </c:pt>
                <c:pt idx="28">
                  <c:v>0.000782</c:v>
                </c:pt>
                <c:pt idx="29">
                  <c:v>0.000282</c:v>
                </c:pt>
                <c:pt idx="30">
                  <c:v>9.71e-5</c:v>
                </c:pt>
                <c:pt idx="31">
                  <c:v>3.21e-5</c:v>
                </c:pt>
                <c:pt idx="32">
                  <c:v>1.01e-5</c:v>
                </c:pt>
                <c:pt idx="33">
                  <c:v>3.08e-6</c:v>
                </c:pt>
                <c:pt idx="34">
                  <c:v>8.94e-7</c:v>
                </c:pt>
                <c:pt idx="35">
                  <c:v>2.49e-7</c:v>
                </c:pt>
                <c:pt idx="36">
                  <c:v>6.64e-8</c:v>
                </c:pt>
                <c:pt idx="37">
                  <c:v>1.7e-8</c:v>
                </c:pt>
                <c:pt idx="38">
                  <c:v>4.16e-9</c:v>
                </c:pt>
                <c:pt idx="39">
                  <c:v>9.75e-10</c:v>
                </c:pt>
                <c:pt idx="40">
                  <c:v>2.37e-10</c:v>
                </c:pt>
                <c:pt idx="41">
                  <c:v>5.07e-11</c:v>
                </c:pt>
                <c:pt idx="42">
                  <c:v>1.04e-11</c:v>
                </c:pt>
                <c:pt idx="43">
                  <c:v>2.05e-12</c:v>
                </c:pt>
                <c:pt idx="44">
                  <c:v>3.95e-13</c:v>
                </c:pt>
                <c:pt idx="45">
                  <c:v>7.41e-14</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ser>
        <c:dLbls>
          <c:showLegendKey val="0"/>
          <c:showVal val="0"/>
          <c:showCatName val="0"/>
          <c:showSerName val="0"/>
          <c:showPercent val="0"/>
          <c:showBubbleSize val="0"/>
        </c:dLbls>
        <c:marker val="1"/>
        <c:smooth val="0"/>
        <c:axId val="207895040"/>
        <c:axId val="283091520"/>
        <c:extLst>
          <c:ext xmlns:c15="http://schemas.microsoft.com/office/drawing/2012/chart" uri="{02D57815-91ED-43cb-92C2-25804820EDAC}">
            <c15:filteredLineSeries>
              <c15:ser>
                <c:idx val="0"/>
                <c:order val="0"/>
                <c:tx>
                  <c:strRef>
                    <c:extLst>
                      <c:ext uri="{02D57815-91ED-43cb-92C2-25804820EDAC}">
                        <c15:formulaRef>
                          <c15:sqref>'[新建 XLSX 工作表(1).xlsx]1000天'!$A$6</c15:sqref>
                        </c15:formulaRef>
                      </c:ext>
                    </c:extLst>
                    <c:strCache>
                      <c:ptCount val="1"/>
                      <c:pt idx="0">
                        <c:v>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extLst>
                      <c:ext uri="{02D57815-91ED-43cb-92C2-25804820EDAC}">
                        <c15:fullRef>
                          <c15:sqref/>
                        </c15:fullRef>
                        <c15:formulaRef>
                          <c15:sqref>'[新建 XLSX 工作表(1).xlsx]1000天'!$A$7:$A$107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207895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3091520"/>
        <c:crosses val="autoZero"/>
        <c:auto val="1"/>
        <c:lblAlgn val="ctr"/>
        <c:lblOffset val="100"/>
        <c:tickLblSkip val="20"/>
        <c:noMultiLvlLbl val="0"/>
      </c:catAx>
      <c:valAx>
        <c:axId val="283091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89504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工作表(1).xlsx]3650天'!$B$6</c:f>
              <c:strCache>
                <c:ptCount val="1"/>
                <c:pt idx="0">
                  <c:v>3650天         </c:v>
                </c:pt>
              </c:strCache>
            </c:strRef>
          </c:tx>
          <c:spPr>
            <a:ln w="12700" cap="rnd" cmpd="sng" algn="ctr">
              <a:solidFill>
                <a:srgbClr val="00B0F0"/>
              </a:solidFill>
              <a:prstDash val="solid"/>
              <a:round/>
            </a:ln>
            <a:effectLst/>
          </c:spPr>
          <c:marker>
            <c:symbol val="circle"/>
            <c:size val="3"/>
            <c:spPr>
              <a:solidFill>
                <a:srgbClr val="00B0F0"/>
              </a:solidFill>
              <a:ln w="9525" cap="flat" cmpd="sng" algn="ctr">
                <a:noFill/>
                <a:prstDash val="solid"/>
                <a:round/>
              </a:ln>
              <a:effectLst/>
            </c:spPr>
          </c:marker>
          <c:dLbls>
            <c:delete val="1"/>
          </c:dLbls>
          <c:cat>
            <c:strRef>
              <c:f>'[新建 XLSX 工作表(1).xlsx]3650天'!$A$7:$A$107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工作表(1).xlsx]3650天'!$B$7:$B$107</c:f>
              <c:numCache>
                <c:formatCode>0.00_ </c:formatCode>
                <c:ptCount val="101"/>
                <c:pt idx="0">
                  <c:v>0.784</c:v>
                </c:pt>
                <c:pt idx="1">
                  <c:v>1.05</c:v>
                </c:pt>
                <c:pt idx="2">
                  <c:v>1.38</c:v>
                </c:pt>
                <c:pt idx="3">
                  <c:v>1.8</c:v>
                </c:pt>
                <c:pt idx="4">
                  <c:v>2.31</c:v>
                </c:pt>
                <c:pt idx="5">
                  <c:v>2.92</c:v>
                </c:pt>
                <c:pt idx="6">
                  <c:v>3.65</c:v>
                </c:pt>
                <c:pt idx="7">
                  <c:v>4.49</c:v>
                </c:pt>
                <c:pt idx="8">
                  <c:v>5.45</c:v>
                </c:pt>
                <c:pt idx="9">
                  <c:v>6.53</c:v>
                </c:pt>
                <c:pt idx="10">
                  <c:v>7.72</c:v>
                </c:pt>
                <c:pt idx="11">
                  <c:v>9.01</c:v>
                </c:pt>
                <c:pt idx="12">
                  <c:v>10.4</c:v>
                </c:pt>
                <c:pt idx="13">
                  <c:v>11.8</c:v>
                </c:pt>
                <c:pt idx="14">
                  <c:v>13.2</c:v>
                </c:pt>
                <c:pt idx="15">
                  <c:v>14.6</c:v>
                </c:pt>
                <c:pt idx="16">
                  <c:v>16</c:v>
                </c:pt>
                <c:pt idx="17">
                  <c:v>17.2</c:v>
                </c:pt>
                <c:pt idx="18">
                  <c:v>18.4</c:v>
                </c:pt>
                <c:pt idx="19">
                  <c:v>19.3</c:v>
                </c:pt>
                <c:pt idx="20">
                  <c:v>20</c:v>
                </c:pt>
                <c:pt idx="21">
                  <c:v>20.5</c:v>
                </c:pt>
                <c:pt idx="22">
                  <c:v>20.8</c:v>
                </c:pt>
                <c:pt idx="23">
                  <c:v>20.7</c:v>
                </c:pt>
                <c:pt idx="24">
                  <c:v>20.5</c:v>
                </c:pt>
                <c:pt idx="25">
                  <c:v>19.9</c:v>
                </c:pt>
                <c:pt idx="26">
                  <c:v>19.2</c:v>
                </c:pt>
                <c:pt idx="27">
                  <c:v>18.2</c:v>
                </c:pt>
                <c:pt idx="28">
                  <c:v>17.1</c:v>
                </c:pt>
                <c:pt idx="29">
                  <c:v>15.8</c:v>
                </c:pt>
                <c:pt idx="30">
                  <c:v>14.4</c:v>
                </c:pt>
                <c:pt idx="31">
                  <c:v>13</c:v>
                </c:pt>
                <c:pt idx="32">
                  <c:v>11.6</c:v>
                </c:pt>
                <c:pt idx="33">
                  <c:v>10.2</c:v>
                </c:pt>
                <c:pt idx="34">
                  <c:v>8.9</c:v>
                </c:pt>
                <c:pt idx="35">
                  <c:v>7.64</c:v>
                </c:pt>
                <c:pt idx="36">
                  <c:v>6.48</c:v>
                </c:pt>
                <c:pt idx="37">
                  <c:v>5.43</c:v>
                </c:pt>
                <c:pt idx="38">
                  <c:v>4.49</c:v>
                </c:pt>
                <c:pt idx="39">
                  <c:v>3.67</c:v>
                </c:pt>
                <c:pt idx="40">
                  <c:v>2.96</c:v>
                </c:pt>
                <c:pt idx="41">
                  <c:v>2.36</c:v>
                </c:pt>
                <c:pt idx="42">
                  <c:v>1.86</c:v>
                </c:pt>
                <c:pt idx="43">
                  <c:v>1.45</c:v>
                </c:pt>
                <c:pt idx="44">
                  <c:v>1.11</c:v>
                </c:pt>
                <c:pt idx="45">
                  <c:v>0.842</c:v>
                </c:pt>
                <c:pt idx="46">
                  <c:v>0.631</c:v>
                </c:pt>
                <c:pt idx="47">
                  <c:v>0.467</c:v>
                </c:pt>
                <c:pt idx="48">
                  <c:v>0.341</c:v>
                </c:pt>
                <c:pt idx="49">
                  <c:v>0.246</c:v>
                </c:pt>
                <c:pt idx="50">
                  <c:v>0.176</c:v>
                </c:pt>
                <c:pt idx="51">
                  <c:v>0.124</c:v>
                </c:pt>
                <c:pt idx="52">
                  <c:v>0.0862</c:v>
                </c:pt>
                <c:pt idx="53">
                  <c:v>0.0593</c:v>
                </c:pt>
                <c:pt idx="54">
                  <c:v>0.0402</c:v>
                </c:pt>
                <c:pt idx="55">
                  <c:v>0.027</c:v>
                </c:pt>
                <c:pt idx="56">
                  <c:v>0.0179</c:v>
                </c:pt>
                <c:pt idx="57">
                  <c:v>0.0117</c:v>
                </c:pt>
                <c:pt idx="58">
                  <c:v>0.00757</c:v>
                </c:pt>
                <c:pt idx="59">
                  <c:v>0.00484</c:v>
                </c:pt>
                <c:pt idx="60">
                  <c:v>0.00305</c:v>
                </c:pt>
                <c:pt idx="61">
                  <c:v>0.0019</c:v>
                </c:pt>
                <c:pt idx="62">
                  <c:v>0.00117</c:v>
                </c:pt>
                <c:pt idx="63">
                  <c:v>0.000713</c:v>
                </c:pt>
                <c:pt idx="64">
                  <c:v>0.000429</c:v>
                </c:pt>
                <c:pt idx="65">
                  <c:v>0.000255</c:v>
                </c:pt>
                <c:pt idx="66">
                  <c:v>0.000149</c:v>
                </c:pt>
                <c:pt idx="67">
                  <c:v>8.66e-5</c:v>
                </c:pt>
                <c:pt idx="68">
                  <c:v>4.96e-5</c:v>
                </c:pt>
                <c:pt idx="69">
                  <c:v>2.81e-5</c:v>
                </c:pt>
                <c:pt idx="70">
                  <c:v>1.57e-5</c:v>
                </c:pt>
                <c:pt idx="71">
                  <c:v>8.66e-6</c:v>
                </c:pt>
                <c:pt idx="72">
                  <c:v>4.72e-6</c:v>
                </c:pt>
                <c:pt idx="73">
                  <c:v>2.55e-6</c:v>
                </c:pt>
                <c:pt idx="74">
                  <c:v>1.36e-6</c:v>
                </c:pt>
                <c:pt idx="75">
                  <c:v>7.13e-7</c:v>
                </c:pt>
                <c:pt idx="76">
                  <c:v>3.71e-7</c:v>
                </c:pt>
                <c:pt idx="77">
                  <c:v>1.9e-7</c:v>
                </c:pt>
                <c:pt idx="78">
                  <c:v>9.67e-8</c:v>
                </c:pt>
                <c:pt idx="79">
                  <c:v>4.85e-8</c:v>
                </c:pt>
                <c:pt idx="80">
                  <c:v>2.4e-8</c:v>
                </c:pt>
                <c:pt idx="81">
                  <c:v>1.18e-8</c:v>
                </c:pt>
                <c:pt idx="82">
                  <c:v>5.68e-9</c:v>
                </c:pt>
                <c:pt idx="83">
                  <c:v>2.72e-9</c:v>
                </c:pt>
                <c:pt idx="84">
                  <c:v>1.27e-9</c:v>
                </c:pt>
                <c:pt idx="85">
                  <c:v>5.92e-10</c:v>
                </c:pt>
                <c:pt idx="86">
                  <c:v>2.98e-10</c:v>
                </c:pt>
                <c:pt idx="87">
                  <c:v>1.35e-10</c:v>
                </c:pt>
                <c:pt idx="88">
                  <c:v>6.07e-11</c:v>
                </c:pt>
                <c:pt idx="89">
                  <c:v>2.69e-11</c:v>
                </c:pt>
                <c:pt idx="90">
                  <c:v>1.18e-11</c:v>
                </c:pt>
                <c:pt idx="91">
                  <c:v>5.11e-12</c:v>
                </c:pt>
                <c:pt idx="92">
                  <c:v>2.17e-12</c:v>
                </c:pt>
                <c:pt idx="93">
                  <c:v>9.14e-13</c:v>
                </c:pt>
                <c:pt idx="94">
                  <c:v>3.95e-13</c:v>
                </c:pt>
                <c:pt idx="95">
                  <c:v>1.73e-13</c:v>
                </c:pt>
                <c:pt idx="96">
                  <c:v>7.41e-14</c:v>
                </c:pt>
                <c:pt idx="97">
                  <c:v>2.47e-14</c:v>
                </c:pt>
                <c:pt idx="98">
                  <c:v>0</c:v>
                </c:pt>
                <c:pt idx="99">
                  <c:v>0</c:v>
                </c:pt>
                <c:pt idx="100">
                  <c:v>0</c:v>
                </c:pt>
              </c:numCache>
            </c:numRef>
          </c:val>
          <c:smooth val="0"/>
        </c:ser>
        <c:dLbls>
          <c:showLegendKey val="0"/>
          <c:showVal val="0"/>
          <c:showCatName val="0"/>
          <c:showSerName val="0"/>
          <c:showPercent val="0"/>
          <c:showBubbleSize val="0"/>
        </c:dLbls>
        <c:marker val="1"/>
        <c:smooth val="0"/>
        <c:axId val="207896064"/>
        <c:axId val="283092672"/>
        <c:extLst>
          <c:ext xmlns:c15="http://schemas.microsoft.com/office/drawing/2012/chart" uri="{02D57815-91ED-43cb-92C2-25804820EDAC}">
            <c15:filteredLineSeries>
              <c15:ser>
                <c:idx val="0"/>
                <c:order val="0"/>
                <c:tx>
                  <c:strRef>
                    <c:extLst>
                      <c:ext uri="{02D57815-91ED-43cb-92C2-25804820EDAC}">
                        <c15:formulaRef>
                          <c15:sqref>'[新建 XLSX 工作表(1).xlsx]3650天'!$A$6</c15:sqref>
                        </c15:formulaRef>
                      </c:ext>
                    </c:extLst>
                    <c:strCache>
                      <c:ptCount val="1"/>
                      <c:pt idx="0">
                        <c:v>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extLst>
                      <c:ext uri="{02D57815-91ED-43cb-92C2-25804820EDAC}">
                        <c15:fullRef>
                          <c15:sqref/>
                        </c15:fullRef>
                        <c15:formulaRef>
                          <c15:sqref>'[新建 XLSX 工作表(1).xlsx]3650天'!$A$7:$A$107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2078960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3092672"/>
        <c:crosses val="autoZero"/>
        <c:auto val="1"/>
        <c:lblAlgn val="ctr"/>
        <c:lblOffset val="100"/>
        <c:tickLblSkip val="20"/>
        <c:noMultiLvlLbl val="0"/>
      </c:catAx>
      <c:valAx>
        <c:axId val="2830926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89606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工作表(1).xlsx]7300天'!$B$6</c:f>
              <c:strCache>
                <c:ptCount val="1"/>
                <c:pt idx="0">
                  <c:v>7300天         </c:v>
                </c:pt>
              </c:strCache>
            </c:strRef>
          </c:tx>
          <c:spPr>
            <a:ln w="12700" cap="rnd" cmpd="sng" algn="ctr">
              <a:solidFill>
                <a:srgbClr val="00B0F0"/>
              </a:solidFill>
              <a:prstDash val="solid"/>
              <a:round/>
            </a:ln>
            <a:effectLst/>
          </c:spPr>
          <c:marker>
            <c:symbol val="circle"/>
            <c:size val="3"/>
            <c:spPr>
              <a:solidFill>
                <a:srgbClr val="00B0F0"/>
              </a:solidFill>
              <a:ln w="9525" cap="flat" cmpd="sng" algn="ctr">
                <a:noFill/>
                <a:prstDash val="solid"/>
                <a:round/>
              </a:ln>
              <a:effectLst/>
            </c:spPr>
          </c:marker>
          <c:dLbls>
            <c:delete val="1"/>
          </c:dLbls>
          <c:cat>
            <c:strRef>
              <c:f>'[新建 XLSX 工作表(1).xlsx]7300天'!$A$7:$A$107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工作表(1).xlsx]7300天'!$B$7:$B$107</c:f>
              <c:numCache>
                <c:formatCode>0.00_ </c:formatCode>
                <c:ptCount val="101"/>
                <c:pt idx="0">
                  <c:v>0.0398</c:v>
                </c:pt>
                <c:pt idx="1">
                  <c:v>0.0521</c:v>
                </c:pt>
                <c:pt idx="2">
                  <c:v>0.0679</c:v>
                </c:pt>
                <c:pt idx="3">
                  <c:v>0.0879</c:v>
                </c:pt>
                <c:pt idx="4">
                  <c:v>0.113</c:v>
                </c:pt>
                <c:pt idx="5">
                  <c:v>0.144</c:v>
                </c:pt>
                <c:pt idx="6">
                  <c:v>0.183</c:v>
                </c:pt>
                <c:pt idx="7">
                  <c:v>0.231</c:v>
                </c:pt>
                <c:pt idx="8">
                  <c:v>0.289</c:v>
                </c:pt>
                <c:pt idx="9">
                  <c:v>0.36</c:v>
                </c:pt>
                <c:pt idx="10">
                  <c:v>0.445</c:v>
                </c:pt>
                <c:pt idx="11">
                  <c:v>0.547</c:v>
                </c:pt>
                <c:pt idx="12">
                  <c:v>0.667</c:v>
                </c:pt>
                <c:pt idx="13">
                  <c:v>0.81</c:v>
                </c:pt>
                <c:pt idx="14">
                  <c:v>0.976</c:v>
                </c:pt>
                <c:pt idx="15">
                  <c:v>1.17</c:v>
                </c:pt>
                <c:pt idx="16">
                  <c:v>1.39</c:v>
                </c:pt>
                <c:pt idx="17">
                  <c:v>1.65</c:v>
                </c:pt>
                <c:pt idx="18">
                  <c:v>1.93</c:v>
                </c:pt>
                <c:pt idx="19">
                  <c:v>2.26</c:v>
                </c:pt>
                <c:pt idx="20">
                  <c:v>2.62</c:v>
                </c:pt>
                <c:pt idx="21">
                  <c:v>3.03</c:v>
                </c:pt>
                <c:pt idx="22">
                  <c:v>3.47</c:v>
                </c:pt>
                <c:pt idx="23">
                  <c:v>3.95</c:v>
                </c:pt>
                <c:pt idx="24">
                  <c:v>4.47</c:v>
                </c:pt>
                <c:pt idx="25">
                  <c:v>5.03</c:v>
                </c:pt>
                <c:pt idx="26">
                  <c:v>5.62</c:v>
                </c:pt>
                <c:pt idx="27">
                  <c:v>6.24</c:v>
                </c:pt>
                <c:pt idx="28">
                  <c:v>6.89</c:v>
                </c:pt>
                <c:pt idx="29">
                  <c:v>7.56</c:v>
                </c:pt>
                <c:pt idx="30">
                  <c:v>8.24</c:v>
                </c:pt>
                <c:pt idx="31">
                  <c:v>8.93</c:v>
                </c:pt>
                <c:pt idx="32">
                  <c:v>9.62</c:v>
                </c:pt>
                <c:pt idx="33">
                  <c:v>10.3</c:v>
                </c:pt>
                <c:pt idx="34">
                  <c:v>10.9</c:v>
                </c:pt>
                <c:pt idx="35">
                  <c:v>11.6</c:v>
                </c:pt>
                <c:pt idx="36">
                  <c:v>12.2</c:v>
                </c:pt>
                <c:pt idx="37">
                  <c:v>12.7</c:v>
                </c:pt>
                <c:pt idx="38">
                  <c:v>13.2</c:v>
                </c:pt>
                <c:pt idx="39">
                  <c:v>13.6</c:v>
                </c:pt>
                <c:pt idx="40">
                  <c:v>13.9</c:v>
                </c:pt>
                <c:pt idx="41">
                  <c:v>14.2</c:v>
                </c:pt>
                <c:pt idx="42">
                  <c:v>14.3</c:v>
                </c:pt>
                <c:pt idx="43">
                  <c:v>14.4</c:v>
                </c:pt>
                <c:pt idx="44">
                  <c:v>14.4</c:v>
                </c:pt>
                <c:pt idx="45">
                  <c:v>14.3</c:v>
                </c:pt>
                <c:pt idx="46">
                  <c:v>14.2</c:v>
                </c:pt>
                <c:pt idx="47">
                  <c:v>13.9</c:v>
                </c:pt>
                <c:pt idx="48">
                  <c:v>13.6</c:v>
                </c:pt>
                <c:pt idx="49">
                  <c:v>13.2</c:v>
                </c:pt>
                <c:pt idx="50">
                  <c:v>12.7</c:v>
                </c:pt>
                <c:pt idx="51">
                  <c:v>12.1</c:v>
                </c:pt>
                <c:pt idx="52">
                  <c:v>11.6</c:v>
                </c:pt>
                <c:pt idx="53">
                  <c:v>10.9</c:v>
                </c:pt>
                <c:pt idx="54">
                  <c:v>10.3</c:v>
                </c:pt>
                <c:pt idx="55">
                  <c:v>9.61</c:v>
                </c:pt>
                <c:pt idx="56">
                  <c:v>8.93</c:v>
                </c:pt>
                <c:pt idx="57">
                  <c:v>8.24</c:v>
                </c:pt>
                <c:pt idx="58">
                  <c:v>7.56</c:v>
                </c:pt>
                <c:pt idx="59">
                  <c:v>6.9</c:v>
                </c:pt>
                <c:pt idx="60">
                  <c:v>6.25</c:v>
                </c:pt>
                <c:pt idx="61">
                  <c:v>5.63</c:v>
                </c:pt>
                <c:pt idx="62">
                  <c:v>5.04</c:v>
                </c:pt>
                <c:pt idx="63">
                  <c:v>4.49</c:v>
                </c:pt>
                <c:pt idx="64">
                  <c:v>3.97</c:v>
                </c:pt>
                <c:pt idx="65">
                  <c:v>3.49</c:v>
                </c:pt>
                <c:pt idx="66">
                  <c:v>3.05</c:v>
                </c:pt>
                <c:pt idx="67">
                  <c:v>2.65</c:v>
                </c:pt>
                <c:pt idx="68">
                  <c:v>2.29</c:v>
                </c:pt>
                <c:pt idx="69">
                  <c:v>1.96</c:v>
                </c:pt>
                <c:pt idx="70">
                  <c:v>1.67</c:v>
                </c:pt>
                <c:pt idx="71">
                  <c:v>1.42</c:v>
                </c:pt>
                <c:pt idx="72">
                  <c:v>1.2</c:v>
                </c:pt>
                <c:pt idx="73">
                  <c:v>1</c:v>
                </c:pt>
                <c:pt idx="74">
                  <c:v>0.833</c:v>
                </c:pt>
                <c:pt idx="75">
                  <c:v>0.689</c:v>
                </c:pt>
                <c:pt idx="76">
                  <c:v>0.567</c:v>
                </c:pt>
                <c:pt idx="77">
                  <c:v>0.463</c:v>
                </c:pt>
                <c:pt idx="78">
                  <c:v>0.376</c:v>
                </c:pt>
                <c:pt idx="79">
                  <c:v>0.304</c:v>
                </c:pt>
                <c:pt idx="80">
                  <c:v>0.244</c:v>
                </c:pt>
                <c:pt idx="81">
                  <c:v>0.194</c:v>
                </c:pt>
                <c:pt idx="82">
                  <c:v>0.154</c:v>
                </c:pt>
                <c:pt idx="83">
                  <c:v>0.121</c:v>
                </c:pt>
                <c:pt idx="84">
                  <c:v>0.0951</c:v>
                </c:pt>
                <c:pt idx="85">
                  <c:v>0.0741</c:v>
                </c:pt>
                <c:pt idx="86">
                  <c:v>0.0573</c:v>
                </c:pt>
                <c:pt idx="87">
                  <c:v>0.0441</c:v>
                </c:pt>
                <c:pt idx="88">
                  <c:v>0.0337</c:v>
                </c:pt>
                <c:pt idx="89">
                  <c:v>0.0256</c:v>
                </c:pt>
                <c:pt idx="90">
                  <c:v>0.0193</c:v>
                </c:pt>
                <c:pt idx="91">
                  <c:v>0.0145</c:v>
                </c:pt>
                <c:pt idx="92">
                  <c:v>0.0108</c:v>
                </c:pt>
                <c:pt idx="93">
                  <c:v>0.00804</c:v>
                </c:pt>
                <c:pt idx="94">
                  <c:v>0.00593</c:v>
                </c:pt>
                <c:pt idx="95">
                  <c:v>0.00434</c:v>
                </c:pt>
                <c:pt idx="96">
                  <c:v>0.00316</c:v>
                </c:pt>
                <c:pt idx="97">
                  <c:v>0.00229</c:v>
                </c:pt>
                <c:pt idx="98">
                  <c:v>0.00165</c:v>
                </c:pt>
                <c:pt idx="99">
                  <c:v>0.00118</c:v>
                </c:pt>
                <c:pt idx="100">
                  <c:v>0.000838</c:v>
                </c:pt>
              </c:numCache>
            </c:numRef>
          </c:val>
          <c:smooth val="0"/>
        </c:ser>
        <c:dLbls>
          <c:showLegendKey val="0"/>
          <c:showVal val="0"/>
          <c:showCatName val="0"/>
          <c:showSerName val="0"/>
          <c:showPercent val="0"/>
          <c:showBubbleSize val="0"/>
        </c:dLbls>
        <c:marker val="1"/>
        <c:smooth val="0"/>
        <c:axId val="282597376"/>
        <c:axId val="283094400"/>
        <c:extLst>
          <c:ext xmlns:c15="http://schemas.microsoft.com/office/drawing/2012/chart" uri="{02D57815-91ED-43cb-92C2-25804820EDAC}">
            <c15:filteredLineSeries>
              <c15:ser>
                <c:idx val="0"/>
                <c:order val="0"/>
                <c:tx>
                  <c:strRef>
                    <c:extLst>
                      <c:ext uri="{02D57815-91ED-43cb-92C2-25804820EDAC}">
                        <c15:formulaRef>
                          <c15:sqref>'[新建 XLSX 工作表(1).xlsx]7300天'!$A$6</c15:sqref>
                        </c15:formulaRef>
                      </c:ext>
                    </c:extLst>
                    <c:strCache>
                      <c:ptCount val="1"/>
                      <c:pt idx="0">
                        <c:v>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strRef>
                    <c:extLst>
                      <c:ext uri="{02D57815-91ED-43cb-92C2-25804820EDAC}">
                        <c15:fullRef>
                          <c15:sqref/>
                        </c15:fullRef>
                        <c15:formulaRef>
                          <c15:sqref>'[新建 XLSX 工作表(1).xlsx]7300天'!$A$7:$A$107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282597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3094400"/>
        <c:crosses val="autoZero"/>
        <c:auto val="1"/>
        <c:lblAlgn val="ctr"/>
        <c:lblOffset val="100"/>
        <c:tickLblSkip val="20"/>
        <c:noMultiLvlLbl val="0"/>
      </c:catAx>
      <c:valAx>
        <c:axId val="283094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25973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936944444444444"/>
          <c:y val="0.174768518518519"/>
          <c:w val="0.87575"/>
          <c:h val="0.583425925925926"/>
        </c:manualLayout>
      </c:layout>
      <c:lineChart>
        <c:grouping val="standard"/>
        <c:varyColors val="0"/>
        <c:ser>
          <c:idx val="2"/>
          <c:order val="2"/>
          <c:tx>
            <c:strRef>
              <c:f>'[新建 XLSX 工作表.xlsx]100'!$C$6</c:f>
              <c:strCache>
                <c:ptCount val="1"/>
                <c:pt idx="0">
                  <c:v>第 100.0 天</c:v>
                </c:pt>
              </c:strCache>
            </c:strRef>
          </c:tx>
          <c:spPr>
            <a:ln w="25400" cap="rnd" cmpd="sng">
              <a:solidFill>
                <a:srgbClr val="00B0F0"/>
              </a:solidFill>
              <a:prstDash val="solid"/>
              <a:round/>
            </a:ln>
            <a:effectLst/>
          </c:spPr>
          <c:marker>
            <c:symbol val="circle"/>
            <c:size val="4"/>
            <c:spPr>
              <a:solidFill>
                <a:srgbClr val="00B0F0">
                  <a:alpha val="79000"/>
                </a:srgbClr>
              </a:solidFill>
              <a:ln w="12700" cmpd="sng">
                <a:noFill/>
                <a:prstDash val="solid"/>
              </a:ln>
              <a:effectLst/>
            </c:spPr>
          </c:marker>
          <c:dLbls>
            <c:delete val="1"/>
          </c:dLbls>
          <c:cat>
            <c:numRef>
              <c:f>'[新建 XLSX 工作表.xlsx]100'!$B$7:$B$57</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f>'[新建 XLSX 工作表.xlsx]100'!$C$7:$C$57</c:f>
              <c:numCache>
                <c:formatCode>0.00_ </c:formatCode>
                <c:ptCount val="51"/>
                <c:pt idx="0">
                  <c:v>23</c:v>
                </c:pt>
                <c:pt idx="1">
                  <c:v>6.06</c:v>
                </c:pt>
                <c:pt idx="2">
                  <c:v>3.55</c:v>
                </c:pt>
                <c:pt idx="3">
                  <c:v>2.19</c:v>
                </c:pt>
                <c:pt idx="4">
                  <c:v>1.34</c:v>
                </c:pt>
                <c:pt idx="5">
                  <c:v>0.8</c:v>
                </c:pt>
                <c:pt idx="6">
                  <c:v>0.46</c:v>
                </c:pt>
                <c:pt idx="7">
                  <c:v>0.253</c:v>
                </c:pt>
                <c:pt idx="8">
                  <c:v>0.132</c:v>
                </c:pt>
                <c:pt idx="9">
                  <c:v>0.0658</c:v>
                </c:pt>
                <c:pt idx="10">
                  <c:v>0.0309</c:v>
                </c:pt>
                <c:pt idx="11">
                  <c:v>0.0137</c:v>
                </c:pt>
                <c:pt idx="12">
                  <c:v>0.00576</c:v>
                </c:pt>
                <c:pt idx="13">
                  <c:v>0.00227</c:v>
                </c:pt>
                <c:pt idx="14">
                  <c:v>0.000844</c:v>
                </c:pt>
                <c:pt idx="15">
                  <c:v>0.000295</c:v>
                </c:pt>
                <c:pt idx="16">
                  <c:v>9.66e-5</c:v>
                </c:pt>
                <c:pt idx="17">
                  <c:v>2.97e-5</c:v>
                </c:pt>
                <c:pt idx="18">
                  <c:v>8.59e-6</c:v>
                </c:pt>
                <c:pt idx="19">
                  <c:v>2.32e-6</c:v>
                </c:pt>
                <c:pt idx="20">
                  <c:v>5.9e-7</c:v>
                </c:pt>
                <c:pt idx="21">
                  <c:v>1.4e-7</c:v>
                </c:pt>
                <c:pt idx="22">
                  <c:v>3.12e-8</c:v>
                </c:pt>
                <c:pt idx="23">
                  <c:v>6.51e-9</c:v>
                </c:pt>
                <c:pt idx="24">
                  <c:v>1.27e-9</c:v>
                </c:pt>
                <c:pt idx="25">
                  <c:v>2.32e-10</c:v>
                </c:pt>
                <c:pt idx="26">
                  <c:v>3.96e-11</c:v>
                </c:pt>
                <c:pt idx="27">
                  <c:v>6.33e-12</c:v>
                </c:pt>
                <c:pt idx="28">
                  <c:v>9.45e-13</c:v>
                </c:pt>
                <c:pt idx="29">
                  <c:v>1.32e-13</c:v>
                </c:pt>
                <c:pt idx="30">
                  <c:v>1.72e-14</c:v>
                </c:pt>
                <c:pt idx="31">
                  <c:v>2.1e-15</c:v>
                </c:pt>
                <c:pt idx="32">
                  <c:v>2.39e-16</c:v>
                </c:pt>
                <c:pt idx="33">
                  <c:v>2.53e-17</c:v>
                </c:pt>
                <c:pt idx="34">
                  <c:v>2.51e-18</c:v>
                </c:pt>
                <c:pt idx="35">
                  <c:v>2.32e-19</c:v>
                </c:pt>
                <c:pt idx="36">
                  <c:v>2e-20</c:v>
                </c:pt>
                <c:pt idx="37">
                  <c:v>1.61e-21</c:v>
                </c:pt>
                <c:pt idx="38">
                  <c:v>1.21e-22</c:v>
                </c:pt>
                <c:pt idx="39">
                  <c:v>8.43e-24</c:v>
                </c:pt>
                <c:pt idx="40">
                  <c:v>5.49e-25</c:v>
                </c:pt>
                <c:pt idx="41">
                  <c:v>3.33e-26</c:v>
                </c:pt>
                <c:pt idx="42">
                  <c:v>1.88e-27</c:v>
                </c:pt>
                <c:pt idx="43">
                  <c:v>9.9e-29</c:v>
                </c:pt>
                <c:pt idx="44">
                  <c:v>4.86e-30</c:v>
                </c:pt>
                <c:pt idx="45">
                  <c:v>2.22e-31</c:v>
                </c:pt>
                <c:pt idx="46">
                  <c:v>9.45e-33</c:v>
                </c:pt>
                <c:pt idx="47">
                  <c:v>3.74e-34</c:v>
                </c:pt>
                <c:pt idx="48">
                  <c:v>1.38e-35</c:v>
                </c:pt>
                <c:pt idx="49">
                  <c:v>4.76e-37</c:v>
                </c:pt>
                <c:pt idx="50">
                  <c:v>1.52e-38</c:v>
                </c:pt>
              </c:numCache>
            </c:numRef>
          </c:val>
          <c:smooth val="1"/>
        </c:ser>
        <c:dLbls>
          <c:showLegendKey val="0"/>
          <c:showVal val="0"/>
          <c:showCatName val="0"/>
          <c:showSerName val="0"/>
          <c:showPercent val="0"/>
          <c:showBubbleSize val="0"/>
        </c:dLbls>
        <c:marker val="1"/>
        <c:smooth val="1"/>
        <c:axId val="1465836192"/>
        <c:axId val="1465841632"/>
        <c:extLst>
          <c:ext xmlns:c15="http://schemas.microsoft.com/office/drawing/2012/chart" uri="{02D57815-91ED-43cb-92C2-25804820EDAC}">
            <c15:filteredLineSeries>
              <c15:ser>
                <c:idx val="0"/>
                <c:order val="0"/>
                <c:tx>
                  <c:strRef>
                    <c:extLst>
                      <c:ext uri="{02D57815-91ED-43cb-92C2-25804820EDAC}">
                        <c15:formulaRef>
                          <c15:sqref>'[新建 XLSX 工作表.xlsx]100'!$A$6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工作表.xlsx]100'!$B$7:$B$57</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15:filteredLineSeries>
              <c15:ser>
                <c:idx val="1"/>
                <c:order val="1"/>
                <c:tx>
                  <c:strRef>
                    <c:extLst>
                      <c:ext uri="{02D57815-91ED-43cb-92C2-25804820EDAC}">
                        <c15:formulaRef>
                          <c15:sqref>'[新建 XLSX 工作表.xlsx]100'!$B$6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工作表.xlsx]100'!$B$7:$B$57</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extLst>
                      <c:ext uri="{02D57815-91ED-43cb-92C2-25804820EDAC}">
                        <c15:formulaRef>
                          <c15:sqref>{0,2,4,6,8,10,12,14,16,18,20,22,24,26,28,30,32,34,36,38,40,42,44,46,48,50,52,54,56,58,60,62,64,66,68,70,72,74,76,78,80,82,84,86,88,90,92,94,96,98,100}</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val>
                <c:smooth val="0"/>
              </c15:ser>
            </c15:filteredLineSeries>
          </c:ext>
        </c:extLst>
      </c:lineChart>
      <c:catAx>
        <c:axId val="1465836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5841632"/>
        <c:crosses val="autoZero"/>
        <c:auto val="1"/>
        <c:lblAlgn val="ctr"/>
        <c:lblOffset val="100"/>
        <c:tickLblSkip val="10"/>
        <c:noMultiLvlLbl val="0"/>
      </c:catAx>
      <c:valAx>
        <c:axId val="1465841632"/>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5836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工作表.xlsx]1000'!$C$6</c:f>
              <c:strCache>
                <c:ptCount val="1"/>
                <c:pt idx="0">
                  <c:v>第 1000.0 天</c:v>
                </c:pt>
              </c:strCache>
            </c:strRef>
          </c:tx>
          <c:spPr>
            <a:ln w="28575" cap="rnd" cmpd="sng">
              <a:solidFill>
                <a:srgbClr val="00B0F0"/>
              </a:solidFill>
              <a:prstDash val="solid"/>
              <a:round/>
            </a:ln>
            <a:effectLst/>
          </c:spPr>
          <c:marker>
            <c:symbol val="circle"/>
            <c:size val="5"/>
            <c:spPr>
              <a:solidFill>
                <a:srgbClr val="00B0F0"/>
              </a:solidFill>
              <a:ln w="9525">
                <a:noFill/>
              </a:ln>
              <a:effectLst/>
            </c:spPr>
          </c:marker>
          <c:dLbls>
            <c:delete val="1"/>
          </c:dLbls>
          <c:cat>
            <c:numRef>
              <c:f>'[新建 XLSX 工作表.xlsx]1000'!$B$7:$B$57</c:f>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f>'[新建 XLSX 工作表.xlsx]1000'!$C$7:$C$57</c:f>
              <c:numCache>
                <c:formatCode>0.00_ </c:formatCode>
                <c:ptCount val="51"/>
                <c:pt idx="0">
                  <c:v>22.3</c:v>
                </c:pt>
                <c:pt idx="1">
                  <c:v>7.88</c:v>
                </c:pt>
                <c:pt idx="2">
                  <c:v>5.65</c:v>
                </c:pt>
                <c:pt idx="3">
                  <c:v>4.39</c:v>
                </c:pt>
                <c:pt idx="4">
                  <c:v>3.5</c:v>
                </c:pt>
                <c:pt idx="5">
                  <c:v>2.81</c:v>
                </c:pt>
                <c:pt idx="6">
                  <c:v>2.26</c:v>
                </c:pt>
                <c:pt idx="7">
                  <c:v>1.8</c:v>
                </c:pt>
                <c:pt idx="8">
                  <c:v>1.42</c:v>
                </c:pt>
                <c:pt idx="9">
                  <c:v>1.1</c:v>
                </c:pt>
                <c:pt idx="10">
                  <c:v>0.842</c:v>
                </c:pt>
                <c:pt idx="11">
                  <c:v>0.633</c:v>
                </c:pt>
                <c:pt idx="12">
                  <c:v>0.468</c:v>
                </c:pt>
                <c:pt idx="13">
                  <c:v>0.339</c:v>
                </c:pt>
                <c:pt idx="14">
                  <c:v>0.24</c:v>
                </c:pt>
                <c:pt idx="15">
                  <c:v>0.167</c:v>
                </c:pt>
                <c:pt idx="16">
                  <c:v>0.114</c:v>
                </c:pt>
                <c:pt idx="17">
                  <c:v>0.0756</c:v>
                </c:pt>
                <c:pt idx="18">
                  <c:v>0.0491</c:v>
                </c:pt>
                <c:pt idx="19">
                  <c:v>0.0312</c:v>
                </c:pt>
                <c:pt idx="20">
                  <c:v>0.0194</c:v>
                </c:pt>
                <c:pt idx="21">
                  <c:v>0.0117</c:v>
                </c:pt>
                <c:pt idx="22">
                  <c:v>0.00694</c:v>
                </c:pt>
                <c:pt idx="23">
                  <c:v>0.00401</c:v>
                </c:pt>
                <c:pt idx="24">
                  <c:v>0.00226</c:v>
                </c:pt>
                <c:pt idx="25">
                  <c:v>0.00124</c:v>
                </c:pt>
                <c:pt idx="26">
                  <c:v>0.000664</c:v>
                </c:pt>
                <c:pt idx="27">
                  <c:v>0.000347</c:v>
                </c:pt>
                <c:pt idx="28">
                  <c:v>0.000177</c:v>
                </c:pt>
                <c:pt idx="29">
                  <c:v>8.77e-5</c:v>
                </c:pt>
                <c:pt idx="30">
                  <c:v>4.24e-5</c:v>
                </c:pt>
                <c:pt idx="31">
                  <c:v>2e-5</c:v>
                </c:pt>
                <c:pt idx="32">
                  <c:v>9.19e-6</c:v>
                </c:pt>
                <c:pt idx="33">
                  <c:v>4.11e-6</c:v>
                </c:pt>
                <c:pt idx="34">
                  <c:v>1.79e-6</c:v>
                </c:pt>
                <c:pt idx="35">
                  <c:v>7.62e-7</c:v>
                </c:pt>
                <c:pt idx="36">
                  <c:v>3.15e-7</c:v>
                </c:pt>
                <c:pt idx="37">
                  <c:v>1.27e-7</c:v>
                </c:pt>
                <c:pt idx="38">
                  <c:v>4.99e-8</c:v>
                </c:pt>
                <c:pt idx="39">
                  <c:v>1.91e-8</c:v>
                </c:pt>
                <c:pt idx="40">
                  <c:v>7.09e-9</c:v>
                </c:pt>
                <c:pt idx="41">
                  <c:v>2.57e-9</c:v>
                </c:pt>
                <c:pt idx="42">
                  <c:v>9.07e-10</c:v>
                </c:pt>
                <c:pt idx="43">
                  <c:v>3.12e-10</c:v>
                </c:pt>
                <c:pt idx="44">
                  <c:v>1.04e-10</c:v>
                </c:pt>
                <c:pt idx="45">
                  <c:v>3.39e-11</c:v>
                </c:pt>
                <c:pt idx="46">
                  <c:v>1.08e-11</c:v>
                </c:pt>
                <c:pt idx="47">
                  <c:v>3.32e-12</c:v>
                </c:pt>
                <c:pt idx="48">
                  <c:v>9.95e-13</c:v>
                </c:pt>
                <c:pt idx="49">
                  <c:v>2.91e-13</c:v>
                </c:pt>
                <c:pt idx="50">
                  <c:v>8.26e-14</c:v>
                </c:pt>
              </c:numCache>
            </c:numRef>
          </c:val>
          <c:smooth val="0"/>
        </c:ser>
        <c:dLbls>
          <c:showLegendKey val="0"/>
          <c:showVal val="0"/>
          <c:showCatName val="0"/>
          <c:showSerName val="0"/>
          <c:showPercent val="0"/>
          <c:showBubbleSize val="0"/>
        </c:dLbls>
        <c:marker val="1"/>
        <c:smooth val="0"/>
        <c:axId val="1465832384"/>
        <c:axId val="1467505984"/>
        <c:extLst>
          <c:ext xmlns:c15="http://schemas.microsoft.com/office/drawing/2012/chart" uri="{02D57815-91ED-43cb-92C2-25804820EDAC}">
            <c15:filteredLineSeries>
              <c15:ser>
                <c:idx val="0"/>
                <c:order val="0"/>
                <c:tx>
                  <c:strRef>
                    <c:extLst>
                      <c:ext uri="{02D57815-91ED-43cb-92C2-25804820EDAC}">
                        <c15:formulaRef>
                          <c15:sqref>'[新建 XLSX 工作表.xlsx]1000'!$A$6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工作表.xlsx]1000'!$B$7:$B$57</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15:filteredLineSeries>
              <c15:ser>
                <c:idx val="1"/>
                <c:order val="1"/>
                <c:tx>
                  <c:strRef>
                    <c:extLst>
                      <c:ext uri="{02D57815-91ED-43cb-92C2-25804820EDAC}">
                        <c15:formulaRef>
                          <c15:sqref>'[新建 XLSX 工作表.xlsx]1000'!$B$6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工作表.xlsx]1000'!$B$7:$B$57</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extLst>
                      <c:ext uri="{02D57815-91ED-43cb-92C2-25804820EDAC}">
                        <c15:formulaRef>
                          <c15:sqref>{0,4,8,12,16,20,24,28,32,36,40,44,48,52,56,60,64,68,72,76,80,84,88,92,96,100,104,108,112,116,120,124,128,132,136,140,144,148,152,156,160,164,168,172,176,180,184,188,192,196,200}</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val>
                <c:smooth val="0"/>
              </c15:ser>
            </c15:filteredLineSeries>
          </c:ext>
        </c:extLst>
      </c:lineChart>
      <c:catAx>
        <c:axId val="1465832384"/>
        <c:scaling>
          <c:orientation val="minMax"/>
        </c:scaling>
        <c:delete val="0"/>
        <c:axPos val="b"/>
        <c:numFmt formatCode="General" sourceLinked="0"/>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7505984"/>
        <c:crosses val="autoZero"/>
        <c:auto val="1"/>
        <c:lblAlgn val="ctr"/>
        <c:lblOffset val="100"/>
        <c:tickLblSkip val="10"/>
        <c:tickMarkSkip val="20"/>
        <c:noMultiLvlLbl val="0"/>
      </c:catAx>
      <c:valAx>
        <c:axId val="146750598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583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工作表.xlsx]3650'!$C$6</c:f>
              <c:strCache>
                <c:ptCount val="1"/>
                <c:pt idx="0">
                  <c:v>第 3650.0 天</c:v>
                </c:pt>
              </c:strCache>
            </c:strRef>
          </c:tx>
          <c:spPr>
            <a:ln w="28575" cap="rnd">
              <a:solidFill>
                <a:srgbClr val="00B0F0"/>
              </a:solidFill>
              <a:round/>
            </a:ln>
            <a:effectLst/>
          </c:spPr>
          <c:marker>
            <c:symbol val="circle"/>
            <c:size val="5"/>
            <c:spPr>
              <a:solidFill>
                <a:srgbClr val="00B0F0"/>
              </a:solidFill>
              <a:ln w="9525">
                <a:noFill/>
              </a:ln>
              <a:effectLst/>
            </c:spPr>
          </c:marker>
          <c:dLbls>
            <c:delete val="1"/>
          </c:dLbls>
          <c:cat>
            <c:numRef>
              <c:f>'[新建 XLSX 工作表.xlsx]3650'!$B$7:$B$107</c:f>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f>'[新建 XLSX 工作表.xlsx]3650'!$C$7:$C$107</c:f>
              <c:numCache>
                <c:formatCode>0.00_ </c:formatCode>
                <c:ptCount val="101"/>
                <c:pt idx="0">
                  <c:v>0.0205</c:v>
                </c:pt>
                <c:pt idx="1">
                  <c:v>0.0248</c:v>
                </c:pt>
                <c:pt idx="2">
                  <c:v>0.0297</c:v>
                </c:pt>
                <c:pt idx="3">
                  <c:v>0.0351</c:v>
                </c:pt>
                <c:pt idx="4">
                  <c:v>0.041</c:v>
                </c:pt>
                <c:pt idx="5">
                  <c:v>0.0473</c:v>
                </c:pt>
                <c:pt idx="6">
                  <c:v>0.0539</c:v>
                </c:pt>
                <c:pt idx="7">
                  <c:v>0.0607</c:v>
                </c:pt>
                <c:pt idx="8">
                  <c:v>0.0675</c:v>
                </c:pt>
                <c:pt idx="9">
                  <c:v>0.0741</c:v>
                </c:pt>
                <c:pt idx="10">
                  <c:v>0.0805</c:v>
                </c:pt>
                <c:pt idx="11">
                  <c:v>0.0863</c:v>
                </c:pt>
                <c:pt idx="12">
                  <c:v>0.0914</c:v>
                </c:pt>
                <c:pt idx="13">
                  <c:v>0.0957</c:v>
                </c:pt>
                <c:pt idx="14">
                  <c:v>0.0989</c:v>
                </c:pt>
                <c:pt idx="15">
                  <c:v>0.101</c:v>
                </c:pt>
                <c:pt idx="16">
                  <c:v>0.102</c:v>
                </c:pt>
                <c:pt idx="17">
                  <c:v>0.102</c:v>
                </c:pt>
                <c:pt idx="18">
                  <c:v>0.1</c:v>
                </c:pt>
                <c:pt idx="19">
                  <c:v>0.0973</c:v>
                </c:pt>
                <c:pt idx="20">
                  <c:v>0.0935</c:v>
                </c:pt>
                <c:pt idx="21">
                  <c:v>0.0887</c:v>
                </c:pt>
                <c:pt idx="22">
                  <c:v>0.0832</c:v>
                </c:pt>
                <c:pt idx="23">
                  <c:v>0.0771</c:v>
                </c:pt>
                <c:pt idx="24">
                  <c:v>0.0705</c:v>
                </c:pt>
                <c:pt idx="25">
                  <c:v>0.0638</c:v>
                </c:pt>
                <c:pt idx="26">
                  <c:v>0.057</c:v>
                </c:pt>
                <c:pt idx="27">
                  <c:v>0.0503</c:v>
                </c:pt>
                <c:pt idx="28">
                  <c:v>0.0438</c:v>
                </c:pt>
                <c:pt idx="29">
                  <c:v>0.0377</c:v>
                </c:pt>
                <c:pt idx="30">
                  <c:v>0.0321</c:v>
                </c:pt>
                <c:pt idx="31">
                  <c:v>0.027</c:v>
                </c:pt>
                <c:pt idx="32">
                  <c:v>0.0224</c:v>
                </c:pt>
                <c:pt idx="33">
                  <c:v>0.0184</c:v>
                </c:pt>
                <c:pt idx="34">
                  <c:v>0.0149</c:v>
                </c:pt>
                <c:pt idx="35">
                  <c:v>0.0119</c:v>
                </c:pt>
                <c:pt idx="36">
                  <c:v>0.00943</c:v>
                </c:pt>
                <c:pt idx="37">
                  <c:v>0.00737</c:v>
                </c:pt>
                <c:pt idx="38">
                  <c:v>0.00569</c:v>
                </c:pt>
                <c:pt idx="39">
                  <c:v>0.00434</c:v>
                </c:pt>
                <c:pt idx="40">
                  <c:v>0.00327</c:v>
                </c:pt>
                <c:pt idx="41">
                  <c:v>0.00243</c:v>
                </c:pt>
                <c:pt idx="42">
                  <c:v>0.00179</c:v>
                </c:pt>
                <c:pt idx="43">
                  <c:v>0.0013</c:v>
                </c:pt>
                <c:pt idx="44">
                  <c:v>0.000934</c:v>
                </c:pt>
                <c:pt idx="45">
                  <c:v>0.000662</c:v>
                </c:pt>
                <c:pt idx="46">
                  <c:v>0.000464</c:v>
                </c:pt>
                <c:pt idx="47">
                  <c:v>0.000321</c:v>
                </c:pt>
                <c:pt idx="48">
                  <c:v>0.00022</c:v>
                </c:pt>
                <c:pt idx="49">
                  <c:v>0.000148</c:v>
                </c:pt>
                <c:pt idx="50">
                  <c:v>9.91e-5</c:v>
                </c:pt>
                <c:pt idx="51">
                  <c:v>6.53e-5</c:v>
                </c:pt>
                <c:pt idx="52">
                  <c:v>4.26e-5</c:v>
                </c:pt>
                <c:pt idx="53">
                  <c:v>2.74e-5</c:v>
                </c:pt>
                <c:pt idx="54">
                  <c:v>1.74e-5</c:v>
                </c:pt>
                <c:pt idx="55">
                  <c:v>1.1e-5</c:v>
                </c:pt>
                <c:pt idx="56">
                  <c:v>6.8e-6</c:v>
                </c:pt>
                <c:pt idx="57">
                  <c:v>4.17e-6</c:v>
                </c:pt>
                <c:pt idx="58">
                  <c:v>2.53e-6</c:v>
                </c:pt>
                <c:pt idx="59">
                  <c:v>1.51e-6</c:v>
                </c:pt>
                <c:pt idx="60">
                  <c:v>8.96e-7</c:v>
                </c:pt>
                <c:pt idx="61">
                  <c:v>5.24e-7</c:v>
                </c:pt>
                <c:pt idx="62">
                  <c:v>3.03e-7</c:v>
                </c:pt>
                <c:pt idx="63">
                  <c:v>1.73e-7</c:v>
                </c:pt>
                <c:pt idx="64">
                  <c:v>9.74e-8</c:v>
                </c:pt>
                <c:pt idx="65">
                  <c:v>5.43e-8</c:v>
                </c:pt>
                <c:pt idx="66">
                  <c:v>2.99e-8</c:v>
                </c:pt>
                <c:pt idx="67">
                  <c:v>1.62e-8</c:v>
                </c:pt>
                <c:pt idx="68">
                  <c:v>8.73e-9</c:v>
                </c:pt>
                <c:pt idx="69">
                  <c:v>4.64e-9</c:v>
                </c:pt>
                <c:pt idx="70">
                  <c:v>2.43e-9</c:v>
                </c:pt>
                <c:pt idx="71">
                  <c:v>1.26e-9</c:v>
                </c:pt>
                <c:pt idx="72">
                  <c:v>6.46e-10</c:v>
                </c:pt>
                <c:pt idx="73">
                  <c:v>3.27e-10</c:v>
                </c:pt>
                <c:pt idx="74">
                  <c:v>1.64e-10</c:v>
                </c:pt>
                <c:pt idx="75">
                  <c:v>8.09e-11</c:v>
                </c:pt>
                <c:pt idx="76">
                  <c:v>3.95e-11</c:v>
                </c:pt>
                <c:pt idx="77">
                  <c:v>1.91e-11</c:v>
                </c:pt>
                <c:pt idx="78">
                  <c:v>9.08e-12</c:v>
                </c:pt>
                <c:pt idx="79">
                  <c:v>4.28e-12</c:v>
                </c:pt>
                <c:pt idx="80">
                  <c:v>1.99e-12</c:v>
                </c:pt>
                <c:pt idx="81">
                  <c:v>9.17e-13</c:v>
                </c:pt>
                <c:pt idx="82">
                  <c:v>4.17e-13</c:v>
                </c:pt>
                <c:pt idx="83">
                  <c:v>1.87e-13</c:v>
                </c:pt>
                <c:pt idx="84">
                  <c:v>8.31e-14</c:v>
                </c:pt>
                <c:pt idx="85">
                  <c:v>3.64e-14</c:v>
                </c:pt>
                <c:pt idx="86">
                  <c:v>1.58e-14</c:v>
                </c:pt>
                <c:pt idx="87">
                  <c:v>6.76e-15</c:v>
                </c:pt>
                <c:pt idx="88">
                  <c:v>2.86e-15</c:v>
                </c:pt>
                <c:pt idx="89">
                  <c:v>1.2e-15</c:v>
                </c:pt>
                <c:pt idx="90">
                  <c:v>4.95e-16</c:v>
                </c:pt>
                <c:pt idx="91">
                  <c:v>2.02e-16</c:v>
                </c:pt>
                <c:pt idx="92">
                  <c:v>8.15e-17</c:v>
                </c:pt>
                <c:pt idx="93">
                  <c:v>3.25e-17</c:v>
                </c:pt>
                <c:pt idx="94">
                  <c:v>1.28e-17</c:v>
                </c:pt>
                <c:pt idx="95">
                  <c:v>4.99e-18</c:v>
                </c:pt>
                <c:pt idx="96">
                  <c:v>1.92e-18</c:v>
                </c:pt>
                <c:pt idx="97">
                  <c:v>7.3e-19</c:v>
                </c:pt>
                <c:pt idx="98">
                  <c:v>2.74e-19</c:v>
                </c:pt>
                <c:pt idx="99">
                  <c:v>1.02e-19</c:v>
                </c:pt>
                <c:pt idx="100">
                  <c:v>3.74e-20</c:v>
                </c:pt>
              </c:numCache>
            </c:numRef>
          </c:val>
          <c:smooth val="0"/>
        </c:ser>
        <c:dLbls>
          <c:showLegendKey val="0"/>
          <c:showVal val="0"/>
          <c:showCatName val="0"/>
          <c:showSerName val="0"/>
          <c:showPercent val="0"/>
          <c:showBubbleSize val="0"/>
        </c:dLbls>
        <c:marker val="1"/>
        <c:smooth val="0"/>
        <c:axId val="1467506528"/>
        <c:axId val="1467503808"/>
        <c:extLst>
          <c:ext xmlns:c15="http://schemas.microsoft.com/office/drawing/2012/chart" uri="{02D57815-91ED-43cb-92C2-25804820EDAC}">
            <c15:filteredLineSeries>
              <c15:ser>
                <c:idx val="0"/>
                <c:order val="0"/>
                <c:tx>
                  <c:strRef>
                    <c:extLst>
                      <c:ext uri="{02D57815-91ED-43cb-92C2-25804820EDAC}">
                        <c15:formulaRef>
                          <c15:sqref>'[新建 XLSX 工作表.xlsx]3650'!$A$6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工作表.xlsx]3650'!$B$7:$B$107</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15:filteredLineSeries>
              <c15:ser>
                <c:idx val="1"/>
                <c:order val="1"/>
                <c:tx>
                  <c:strRef>
                    <c:extLst>
                      <c:ext uri="{02D57815-91ED-43cb-92C2-25804820EDAC}">
                        <c15:formulaRef>
                          <c15:sqref>'[新建 XLSX 工作表.xlsx]3650'!$B$6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工作表.xlsx]3650'!$B$7:$B$107</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extLst>
                      <c:ext uri="{02D57815-91ED-43cb-92C2-25804820EDAC}">
                        <c15:formulaRef>
                          <c15:sqref>{0,5,10,15,20,25,30,35,40,45,50,55,60,65,70,75,80,85,90,95,100,105,110,115,120,125,130,135,140,145,150,155,160,165,170,175,180,185,190,195,200,205,210,215,220,225,230,235,240,245,250,255,260,265,270,275,280,285,290,295,300,305,310,315,320,325,330,335,340,345,350,355,360,365,370,375,380,385,390,395,400,405,410,415,420,425,430,435,440,445,450,455,460,465,470,475,480,485,490,495,500}</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val>
                <c:smooth val="0"/>
              </c15:ser>
            </c15:filteredLineSeries>
          </c:ext>
        </c:extLst>
      </c:lineChart>
      <c:catAx>
        <c:axId val="146750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7503808"/>
        <c:crosses val="autoZero"/>
        <c:auto val="1"/>
        <c:lblAlgn val="ctr"/>
        <c:lblOffset val="100"/>
        <c:tickLblSkip val="10"/>
        <c:noMultiLvlLbl val="0"/>
      </c:catAx>
      <c:valAx>
        <c:axId val="1467503808"/>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7506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工作表.xlsx]7300'!$C$6</c:f>
              <c:strCache>
                <c:ptCount val="1"/>
                <c:pt idx="0">
                  <c:v>第 7300.0 天</c:v>
                </c:pt>
              </c:strCache>
            </c:strRef>
          </c:tx>
          <c:spPr>
            <a:ln w="28575" cap="rnd">
              <a:solidFill>
                <a:srgbClr val="00B0F0"/>
              </a:solidFill>
              <a:round/>
            </a:ln>
            <a:effectLst/>
          </c:spPr>
          <c:marker>
            <c:symbol val="circle"/>
            <c:size val="5"/>
            <c:spPr>
              <a:solidFill>
                <a:srgbClr val="00B0F0"/>
              </a:solidFill>
              <a:ln w="9525">
                <a:noFill/>
              </a:ln>
              <a:effectLst/>
            </c:spPr>
          </c:marker>
          <c:dLbls>
            <c:delete val="1"/>
          </c:dLbls>
          <c:cat>
            <c:numRef>
              <c:f>'[新建 XLSX 工作表.xlsx]7300'!$B$7:$B$107</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f>'[新建 XLSX 工作表.xlsx]7300'!$C$7:$C$107</c:f>
              <c:numCache>
                <c:formatCode>0.000_ </c:formatCode>
                <c:ptCount val="101"/>
                <c:pt idx="0">
                  <c:v>0.00195</c:v>
                </c:pt>
                <c:pt idx="1">
                  <c:v>0.00286</c:v>
                </c:pt>
                <c:pt idx="2">
                  <c:v>0.00409</c:v>
                </c:pt>
                <c:pt idx="3">
                  <c:v>0.00573</c:v>
                </c:pt>
                <c:pt idx="4">
                  <c:v>0.00782</c:v>
                </c:pt>
                <c:pt idx="5">
                  <c:v>0.0104</c:v>
                </c:pt>
                <c:pt idx="6">
                  <c:v>0.0136</c:v>
                </c:pt>
                <c:pt idx="7">
                  <c:v>0.0172</c:v>
                </c:pt>
                <c:pt idx="8">
                  <c:v>0.0214</c:v>
                </c:pt>
                <c:pt idx="9">
                  <c:v>0.0259</c:v>
                </c:pt>
                <c:pt idx="10">
                  <c:v>0.0306</c:v>
                </c:pt>
                <c:pt idx="11">
                  <c:v>0.0353</c:v>
                </c:pt>
                <c:pt idx="12">
                  <c:v>0.0397</c:v>
                </c:pt>
                <c:pt idx="13">
                  <c:v>0.0437</c:v>
                </c:pt>
                <c:pt idx="14">
                  <c:v>0.0469</c:v>
                </c:pt>
                <c:pt idx="15">
                  <c:v>0.0491</c:v>
                </c:pt>
                <c:pt idx="16">
                  <c:v>0.0502</c:v>
                </c:pt>
                <c:pt idx="17">
                  <c:v>0.0501</c:v>
                </c:pt>
                <c:pt idx="18">
                  <c:v>0.0489</c:v>
                </c:pt>
                <c:pt idx="19">
                  <c:v>0.0465</c:v>
                </c:pt>
                <c:pt idx="20">
                  <c:v>0.0432</c:v>
                </c:pt>
                <c:pt idx="21">
                  <c:v>0.0392</c:v>
                </c:pt>
                <c:pt idx="22">
                  <c:v>0.0347</c:v>
                </c:pt>
                <c:pt idx="23">
                  <c:v>0.03</c:v>
                </c:pt>
                <c:pt idx="24">
                  <c:v>0.0253</c:v>
                </c:pt>
                <c:pt idx="25">
                  <c:v>0.0208</c:v>
                </c:pt>
                <c:pt idx="26">
                  <c:v>0.0167</c:v>
                </c:pt>
                <c:pt idx="27">
                  <c:v>0.0131</c:v>
                </c:pt>
                <c:pt idx="28">
                  <c:v>0.0101</c:v>
                </c:pt>
                <c:pt idx="29">
                  <c:v>0.00753</c:v>
                </c:pt>
                <c:pt idx="30">
                  <c:v>0.0055</c:v>
                </c:pt>
                <c:pt idx="31">
                  <c:v>0.00392</c:v>
                </c:pt>
                <c:pt idx="32">
                  <c:v>0.00273</c:v>
                </c:pt>
                <c:pt idx="33">
                  <c:v>0.00186</c:v>
                </c:pt>
                <c:pt idx="34">
                  <c:v>0.00123</c:v>
                </c:pt>
                <c:pt idx="35">
                  <c:v>0.000797</c:v>
                </c:pt>
                <c:pt idx="36">
                  <c:v>0.000504</c:v>
                </c:pt>
                <c:pt idx="37">
                  <c:v>0.000311</c:v>
                </c:pt>
                <c:pt idx="38">
                  <c:v>0.000187</c:v>
                </c:pt>
                <c:pt idx="39">
                  <c:v>0.00011</c:v>
                </c:pt>
                <c:pt idx="40">
                  <c:v>6.33e-5</c:v>
                </c:pt>
                <c:pt idx="41">
                  <c:v>3.55e-5</c:v>
                </c:pt>
                <c:pt idx="42">
                  <c:v>1.94e-5</c:v>
                </c:pt>
                <c:pt idx="43">
                  <c:v>1.04e-5</c:v>
                </c:pt>
                <c:pt idx="44">
                  <c:v>5.42e-6</c:v>
                </c:pt>
                <c:pt idx="45">
                  <c:v>2.76e-6</c:v>
                </c:pt>
                <c:pt idx="46">
                  <c:v>1.37e-6</c:v>
                </c:pt>
                <c:pt idx="47">
                  <c:v>6.66e-7</c:v>
                </c:pt>
                <c:pt idx="48">
                  <c:v>3.16e-7</c:v>
                </c:pt>
                <c:pt idx="49">
                  <c:v>1.46e-7</c:v>
                </c:pt>
                <c:pt idx="50">
                  <c:v>6.6e-8</c:v>
                </c:pt>
                <c:pt idx="51">
                  <c:v>2.91e-8</c:v>
                </c:pt>
                <c:pt idx="52">
                  <c:v>1.25e-8</c:v>
                </c:pt>
                <c:pt idx="53">
                  <c:v>5.27e-9</c:v>
                </c:pt>
                <c:pt idx="54">
                  <c:v>2.16e-9</c:v>
                </c:pt>
                <c:pt idx="55">
                  <c:v>8.66e-10</c:v>
                </c:pt>
                <c:pt idx="56">
                  <c:v>3.39e-10</c:v>
                </c:pt>
                <c:pt idx="57">
                  <c:v>1.3e-10</c:v>
                </c:pt>
                <c:pt idx="58">
                  <c:v>4.83e-11</c:v>
                </c:pt>
                <c:pt idx="59">
                  <c:v>1.76e-11</c:v>
                </c:pt>
                <c:pt idx="60">
                  <c:v>6.25e-12</c:v>
                </c:pt>
                <c:pt idx="61">
                  <c:v>2.17e-12</c:v>
                </c:pt>
                <c:pt idx="62">
                  <c:v>7.36e-13</c:v>
                </c:pt>
                <c:pt idx="63">
                  <c:v>2.43e-13</c:v>
                </c:pt>
                <c:pt idx="64">
                  <c:v>7.86e-14</c:v>
                </c:pt>
                <c:pt idx="65">
                  <c:v>2.48e-14</c:v>
                </c:pt>
                <c:pt idx="66">
                  <c:v>7.64e-15</c:v>
                </c:pt>
                <c:pt idx="67">
                  <c:v>2.3e-15</c:v>
                </c:pt>
                <c:pt idx="68">
                  <c:v>6.75e-16</c:v>
                </c:pt>
                <c:pt idx="69">
                  <c:v>1.93e-16</c:v>
                </c:pt>
                <c:pt idx="70">
                  <c:v>5.42e-17</c:v>
                </c:pt>
                <c:pt idx="71">
                  <c:v>1.48e-17</c:v>
                </c:pt>
                <c:pt idx="72">
                  <c:v>3.95e-18</c:v>
                </c:pt>
                <c:pt idx="73">
                  <c:v>1.03e-18</c:v>
                </c:pt>
                <c:pt idx="74">
                  <c:v>2.62e-19</c:v>
                </c:pt>
                <c:pt idx="75">
                  <c:v>6.51e-20</c:v>
                </c:pt>
                <c:pt idx="76">
                  <c:v>1.58e-20</c:v>
                </c:pt>
                <c:pt idx="77">
                  <c:v>3.74e-21</c:v>
                </c:pt>
                <c:pt idx="78">
                  <c:v>8.65e-22</c:v>
                </c:pt>
                <c:pt idx="79">
                  <c:v>1.95e-22</c:v>
                </c:pt>
                <c:pt idx="80">
                  <c:v>4.31e-23</c:v>
                </c:pt>
                <c:pt idx="81">
                  <c:v>9.27e-24</c:v>
                </c:pt>
                <c:pt idx="82">
                  <c:v>1.95e-24</c:v>
                </c:pt>
                <c:pt idx="83">
                  <c:v>4e-25</c:v>
                </c:pt>
                <c:pt idx="84">
                  <c:v>8.02e-26</c:v>
                </c:pt>
                <c:pt idx="85">
                  <c:v>1.57e-26</c:v>
                </c:pt>
                <c:pt idx="86">
                  <c:v>3e-27</c:v>
                </c:pt>
                <c:pt idx="87">
                  <c:v>5.6e-28</c:v>
                </c:pt>
                <c:pt idx="88">
                  <c:v>1.02e-28</c:v>
                </c:pt>
                <c:pt idx="89">
                  <c:v>1.82e-29</c:v>
                </c:pt>
                <c:pt idx="90">
                  <c:v>3.16e-30</c:v>
                </c:pt>
                <c:pt idx="91">
                  <c:v>5.36e-31</c:v>
                </c:pt>
                <c:pt idx="92">
                  <c:v>8.88e-32</c:v>
                </c:pt>
                <c:pt idx="93">
                  <c:v>1.44e-32</c:v>
                </c:pt>
                <c:pt idx="94">
                  <c:v>2.27e-33</c:v>
                </c:pt>
                <c:pt idx="95">
                  <c:v>3.5e-34</c:v>
                </c:pt>
                <c:pt idx="96">
                  <c:v>5.28e-35</c:v>
                </c:pt>
                <c:pt idx="97">
                  <c:v>7.77e-36</c:v>
                </c:pt>
                <c:pt idx="98">
                  <c:v>1.12e-36</c:v>
                </c:pt>
                <c:pt idx="99">
                  <c:v>1.57e-37</c:v>
                </c:pt>
                <c:pt idx="100">
                  <c:v>2.15e-38</c:v>
                </c:pt>
              </c:numCache>
            </c:numRef>
          </c:val>
          <c:smooth val="0"/>
        </c:ser>
        <c:dLbls>
          <c:showLegendKey val="0"/>
          <c:showVal val="0"/>
          <c:showCatName val="0"/>
          <c:showSerName val="0"/>
          <c:showPercent val="0"/>
          <c:showBubbleSize val="0"/>
        </c:dLbls>
        <c:marker val="1"/>
        <c:smooth val="0"/>
        <c:axId val="1467507072"/>
        <c:axId val="1467510880"/>
        <c:extLst>
          <c:ext xmlns:c15="http://schemas.microsoft.com/office/drawing/2012/chart" uri="{02D57815-91ED-43cb-92C2-25804820EDAC}">
            <c15:filteredLineSeries>
              <c15:ser>
                <c:idx val="0"/>
                <c:order val="0"/>
                <c:tx>
                  <c:strRef>
                    <c:extLst>
                      <c:ext uri="{02D57815-91ED-43cb-92C2-25804820EDAC}">
                        <c15:formulaRef>
                          <c15:sqref>'[新建 XLSX 工作表.xlsx]7300'!$A$6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工作表.xlsx]7300'!$B$7:$B$107</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15:filteredLineSeries>
              <c15:ser>
                <c:idx val="1"/>
                <c:order val="1"/>
                <c:tx>
                  <c:strRef>
                    <c:extLst>
                      <c:ext uri="{02D57815-91ED-43cb-92C2-25804820EDAC}">
                        <c15:formulaRef>
                          <c15:sqref>'[新建 XLSX 工作表.xlsx]7300'!$B$6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工作表.xlsx]7300'!$B$7:$B$107</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0,10,20,30,40,50,60,70,80,90,100,110,120,130,140,150,160,170,180,190,200,210,220,230,240,250,260,270,280,290,300,310,320,330,340,350,360,370,380,390,400,410,420,430,440,450,460,470,480,490,500,510,520,530,540,550,560,570,580,590,600,610,620,630,640,650,660,670,680,690,700,710,720,730,740,750,760,770,780,790,800,810,820,830,840,850,860,870,880,890,900,910,920,930,940,950,960,970,980,990,1000}</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val>
                <c:smooth val="0"/>
              </c15:ser>
            </c15:filteredLineSeries>
          </c:ext>
        </c:extLst>
      </c:lineChart>
      <c:catAx>
        <c:axId val="14675070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7510880"/>
        <c:crosses val="autoZero"/>
        <c:auto val="1"/>
        <c:lblAlgn val="ctr"/>
        <c:lblOffset val="100"/>
        <c:tickLblSkip val="20"/>
        <c:noMultiLvlLbl val="0"/>
      </c:catAx>
      <c:valAx>
        <c:axId val="1467510880"/>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750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CF599F-4FBB-4713-9DBE-916C89B4487C}">
  <ds:schemaRefs/>
</ds:datastoreItem>
</file>

<file path=docProps/app.xml><?xml version="1.0" encoding="utf-8"?>
<Properties xmlns="http://schemas.openxmlformats.org/officeDocument/2006/extended-properties" xmlns:vt="http://schemas.openxmlformats.org/officeDocument/2006/docPropsVTypes">
  <Template>Normal</Template>
  <Pages>229</Pages>
  <Words>140768</Words>
  <Characters>166241</Characters>
  <Lines>358</Lines>
  <Paragraphs>355</Paragraphs>
  <TotalTime>9</TotalTime>
  <ScaleCrop>false</ScaleCrop>
  <LinksUpToDate>false</LinksUpToDate>
  <CharactersWithSpaces>166928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2019-11-22T01:52:00Z</dcterms:created>
  <dc:creator>hh</dc:creator>
  <cp:lastModifiedBy>Yellow</cp:lastModifiedBy>
  <dcterms:modified xsi:type="dcterms:W3CDTF">2022-07-14T03:53:50Z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516B7AB8EEF244768E794F5CC57E29FE</vt:lpwstr>
  </property>
</Properties>
</file>